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BAAC" w14:textId="0CC2D578" w:rsidR="00FE6F2A" w:rsidRPr="00F83B6E" w:rsidRDefault="00FE6F2A" w:rsidP="00F25A93">
      <w:pPr>
        <w:pStyle w:val="SpacebeforeTitle"/>
        <w:rPr>
          <w:color w:val="000000" w:themeColor="text1"/>
          <w:sz w:val="32"/>
          <w:szCs w:val="32"/>
          <w:lang w:val="en-AU"/>
        </w:rPr>
      </w:pPr>
    </w:p>
    <w:p w14:paraId="29840C1A" w14:textId="49D0FB11" w:rsidR="000D196B" w:rsidRPr="00F83B6E" w:rsidRDefault="000D196B" w:rsidP="00F25A93">
      <w:pPr>
        <w:pStyle w:val="SpacebeforeTitle"/>
        <w:rPr>
          <w:color w:val="000000" w:themeColor="text1"/>
          <w:sz w:val="32"/>
          <w:szCs w:val="32"/>
          <w:lang w:val="en-AU"/>
        </w:rPr>
      </w:pPr>
    </w:p>
    <w:p w14:paraId="1647126C" w14:textId="77777777" w:rsidR="000D196B" w:rsidRPr="00F83B6E" w:rsidRDefault="000D196B" w:rsidP="000D196B">
      <w:pPr>
        <w:pStyle w:val="SpacebeforeTitle"/>
        <w:spacing w:after="240"/>
        <w:jc w:val="both"/>
        <w:rPr>
          <w:color w:val="000000" w:themeColor="text1"/>
          <w:sz w:val="56"/>
          <w:szCs w:val="56"/>
          <w:lang w:val="en-AU"/>
        </w:rPr>
      </w:pPr>
    </w:p>
    <w:p w14:paraId="255FD03A" w14:textId="77777777" w:rsidR="000D196B" w:rsidRPr="00F83B6E" w:rsidRDefault="000D196B" w:rsidP="000D196B">
      <w:pPr>
        <w:pStyle w:val="SpacebeforeTitle"/>
        <w:spacing w:after="240"/>
        <w:jc w:val="both"/>
        <w:rPr>
          <w:color w:val="000000" w:themeColor="text1"/>
          <w:sz w:val="56"/>
          <w:szCs w:val="56"/>
          <w:lang w:val="en-AU"/>
        </w:rPr>
      </w:pPr>
    </w:p>
    <w:p w14:paraId="713C88CC" w14:textId="26588E7B" w:rsidR="000D196B" w:rsidRPr="00F83B6E" w:rsidRDefault="000D196B" w:rsidP="00B92D40">
      <w:pPr>
        <w:pStyle w:val="SpacebeforeTitle"/>
        <w:tabs>
          <w:tab w:val="left" w:pos="945"/>
        </w:tabs>
        <w:spacing w:after="240"/>
        <w:jc w:val="center"/>
        <w:rPr>
          <w:b/>
          <w:bCs/>
          <w:color w:val="000000" w:themeColor="text1"/>
          <w:sz w:val="56"/>
          <w:szCs w:val="56"/>
          <w:lang w:val="en-AU"/>
        </w:rPr>
      </w:pPr>
      <w:r w:rsidRPr="00F83B6E">
        <w:rPr>
          <w:b/>
          <w:bCs/>
          <w:color w:val="000000" w:themeColor="text1"/>
          <w:sz w:val="56"/>
          <w:szCs w:val="56"/>
          <w:lang w:val="en-AU"/>
        </w:rPr>
        <w:t>Investment Design</w:t>
      </w:r>
    </w:p>
    <w:p w14:paraId="2E5ECB91" w14:textId="77777777" w:rsidR="00B92D40" w:rsidRPr="00F83B6E" w:rsidRDefault="00B92D40" w:rsidP="00B92D40">
      <w:pPr>
        <w:pStyle w:val="SpacebeforeTitle"/>
        <w:tabs>
          <w:tab w:val="left" w:pos="945"/>
        </w:tabs>
        <w:spacing w:after="240"/>
        <w:jc w:val="center"/>
        <w:rPr>
          <w:b/>
          <w:bCs/>
          <w:color w:val="000000" w:themeColor="text1"/>
          <w:sz w:val="56"/>
          <w:szCs w:val="56"/>
          <w:lang w:val="en-AU"/>
        </w:rPr>
      </w:pPr>
    </w:p>
    <w:p w14:paraId="74766079" w14:textId="38C14FBB" w:rsidR="00566889" w:rsidRPr="00F83B6E" w:rsidRDefault="000D196B" w:rsidP="00B92D40">
      <w:pPr>
        <w:pStyle w:val="SpacebeforeTitle"/>
        <w:spacing w:after="240"/>
        <w:jc w:val="center"/>
        <w:rPr>
          <w:b/>
          <w:bCs/>
          <w:color w:val="000000" w:themeColor="text1"/>
          <w:sz w:val="56"/>
          <w:szCs w:val="56"/>
          <w:lang w:val="en-AU"/>
        </w:rPr>
      </w:pPr>
      <w:r w:rsidRPr="00F83B6E">
        <w:rPr>
          <w:b/>
          <w:bCs/>
          <w:color w:val="000000" w:themeColor="text1"/>
          <w:sz w:val="56"/>
          <w:szCs w:val="56"/>
          <w:lang w:val="en-AU"/>
        </w:rPr>
        <w:t>Australia Indonesia</w:t>
      </w:r>
    </w:p>
    <w:p w14:paraId="418AA3CE" w14:textId="3A671599" w:rsidR="000D196B" w:rsidRPr="00F83B6E" w:rsidRDefault="000D196B" w:rsidP="00B92D40">
      <w:pPr>
        <w:pStyle w:val="SpacebeforeTitle"/>
        <w:spacing w:after="240"/>
        <w:jc w:val="center"/>
        <w:rPr>
          <w:b/>
          <w:bCs/>
          <w:color w:val="000000" w:themeColor="text1"/>
          <w:sz w:val="56"/>
          <w:szCs w:val="56"/>
          <w:lang w:val="en-AU"/>
        </w:rPr>
      </w:pPr>
      <w:r w:rsidRPr="00F83B6E">
        <w:rPr>
          <w:b/>
          <w:bCs/>
          <w:color w:val="000000" w:themeColor="text1"/>
          <w:sz w:val="56"/>
          <w:szCs w:val="56"/>
          <w:lang w:val="en-AU"/>
        </w:rPr>
        <w:t>Knowledge Partnership Platform</w:t>
      </w:r>
    </w:p>
    <w:p w14:paraId="1FB474A3" w14:textId="77777777" w:rsidR="0045496A" w:rsidRPr="00F83B6E" w:rsidRDefault="0045496A" w:rsidP="00B92D40">
      <w:pPr>
        <w:pStyle w:val="SpacebeforeTitle"/>
        <w:spacing w:after="240"/>
        <w:jc w:val="center"/>
        <w:rPr>
          <w:b/>
          <w:bCs/>
          <w:color w:val="000000" w:themeColor="text1"/>
          <w:sz w:val="56"/>
          <w:szCs w:val="56"/>
          <w:lang w:val="en-AU"/>
        </w:rPr>
      </w:pPr>
    </w:p>
    <w:p w14:paraId="369B5DEE" w14:textId="2F03A895" w:rsidR="000D196B" w:rsidRPr="00F83B6E" w:rsidRDefault="000D196B" w:rsidP="00B92D40">
      <w:pPr>
        <w:pStyle w:val="SpacebeforeTitle"/>
        <w:spacing w:after="240"/>
        <w:jc w:val="center"/>
        <w:rPr>
          <w:b/>
          <w:bCs/>
          <w:color w:val="000000" w:themeColor="text1"/>
          <w:sz w:val="32"/>
          <w:szCs w:val="32"/>
          <w:lang w:val="en-AU"/>
        </w:rPr>
      </w:pPr>
      <w:r w:rsidRPr="00F83B6E">
        <w:rPr>
          <w:b/>
          <w:bCs/>
          <w:color w:val="000000" w:themeColor="text1"/>
          <w:sz w:val="56"/>
          <w:szCs w:val="56"/>
          <w:lang w:val="en-AU"/>
        </w:rPr>
        <w:t>August 2022</w:t>
      </w:r>
    </w:p>
    <w:p w14:paraId="6EF64071" w14:textId="630AE0D9" w:rsidR="000D196B" w:rsidRPr="00F83B6E" w:rsidRDefault="000D196B" w:rsidP="00F25A93">
      <w:pPr>
        <w:pStyle w:val="SpacebeforeTitle"/>
        <w:rPr>
          <w:color w:val="000000" w:themeColor="text1"/>
          <w:sz w:val="36"/>
          <w:szCs w:val="36"/>
          <w:lang w:val="en-AU"/>
        </w:rPr>
      </w:pPr>
    </w:p>
    <w:p w14:paraId="3360C557" w14:textId="227F72A6" w:rsidR="00566889" w:rsidRPr="00F83B6E" w:rsidRDefault="00566889" w:rsidP="00F25A93">
      <w:pPr>
        <w:pStyle w:val="SpacebeforeTitle"/>
        <w:rPr>
          <w:color w:val="000000" w:themeColor="text1"/>
          <w:sz w:val="36"/>
          <w:szCs w:val="36"/>
          <w:lang w:val="en-AU"/>
        </w:rPr>
      </w:pPr>
    </w:p>
    <w:p w14:paraId="0E5E0E31" w14:textId="49533701" w:rsidR="00566889" w:rsidRPr="00F83B6E" w:rsidRDefault="00566889" w:rsidP="00F25A93">
      <w:pPr>
        <w:pStyle w:val="SpacebeforeTitle"/>
        <w:rPr>
          <w:color w:val="000000" w:themeColor="text1"/>
          <w:sz w:val="36"/>
          <w:szCs w:val="36"/>
          <w:lang w:val="en-AU"/>
        </w:rPr>
      </w:pPr>
    </w:p>
    <w:p w14:paraId="2567C997" w14:textId="77777777" w:rsidR="00B85055" w:rsidRPr="00F83B6E" w:rsidRDefault="00CE4665" w:rsidP="00CF0071">
      <w:pPr>
        <w:pStyle w:val="Heading1"/>
        <w:numPr>
          <w:ilvl w:val="0"/>
          <w:numId w:val="0"/>
        </w:numPr>
        <w:rPr>
          <w:noProof/>
          <w:color w:val="000000" w:themeColor="text1"/>
        </w:rPr>
      </w:pPr>
      <w:bookmarkStart w:id="0" w:name="_Toc103947295"/>
      <w:bookmarkStart w:id="1" w:name="_Toc146528275"/>
      <w:r w:rsidRPr="00F83B6E">
        <w:rPr>
          <w:color w:val="000000" w:themeColor="text1"/>
        </w:rPr>
        <w:lastRenderedPageBreak/>
        <w:t>Table of Contents</w:t>
      </w:r>
      <w:bookmarkEnd w:id="0"/>
      <w:bookmarkEnd w:id="1"/>
      <w:r w:rsidRPr="00F83B6E">
        <w:rPr>
          <w:rFonts w:cs="Times New Roman"/>
          <w:caps/>
          <w:noProof/>
          <w:color w:val="000000" w:themeColor="text1"/>
          <w:sz w:val="22"/>
        </w:rPr>
        <w:fldChar w:fldCharType="begin"/>
      </w:r>
      <w:r w:rsidRPr="00F83B6E">
        <w:rPr>
          <w:rFonts w:cs="Times New Roman"/>
          <w:color w:val="000000" w:themeColor="text1"/>
        </w:rPr>
        <w:instrText xml:space="preserve"> TOC \o "1-2" \h \z \u </w:instrText>
      </w:r>
      <w:r w:rsidRPr="00F83B6E">
        <w:rPr>
          <w:rFonts w:cs="Times New Roman"/>
          <w:caps/>
          <w:noProof/>
          <w:color w:val="000000" w:themeColor="text1"/>
          <w:sz w:val="22"/>
        </w:rPr>
        <w:fldChar w:fldCharType="separate"/>
      </w:r>
    </w:p>
    <w:p w14:paraId="19AD6C97" w14:textId="5EA642E9" w:rsidR="00B85055" w:rsidRPr="00F83B6E" w:rsidRDefault="00A578DF">
      <w:pPr>
        <w:pStyle w:val="TOC1"/>
        <w:rPr>
          <w:rFonts w:eastAsiaTheme="minorEastAsia"/>
          <w:b w:val="0"/>
          <w:caps w:val="0"/>
          <w:color w:val="000000" w:themeColor="text1"/>
          <w:lang w:val="en-AU" w:eastAsia="en-AU"/>
        </w:rPr>
      </w:pPr>
      <w:hyperlink w:anchor="_Toc146528275" w:history="1">
        <w:r w:rsidR="00B85055" w:rsidRPr="00F83B6E">
          <w:rPr>
            <w:rStyle w:val="Hyperlink"/>
            <w:color w:val="000000" w:themeColor="text1"/>
          </w:rPr>
          <w:t>Table of Contents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_Toc146528275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2</w:t>
        </w:r>
        <w:r w:rsidR="00B85055" w:rsidRPr="00F83B6E">
          <w:rPr>
            <w:webHidden/>
            <w:color w:val="000000" w:themeColor="text1"/>
          </w:rPr>
          <w:fldChar w:fldCharType="end"/>
        </w:r>
      </w:hyperlink>
    </w:p>
    <w:p w14:paraId="2D2BA251" w14:textId="4D6CB51C" w:rsidR="00B85055" w:rsidRPr="00F83B6E" w:rsidRDefault="00A578DF">
      <w:pPr>
        <w:pStyle w:val="TOC1"/>
        <w:rPr>
          <w:rFonts w:eastAsiaTheme="minorEastAsia"/>
          <w:b w:val="0"/>
          <w:caps w:val="0"/>
          <w:color w:val="000000" w:themeColor="text1"/>
          <w:lang w:val="en-AU" w:eastAsia="en-AU"/>
        </w:rPr>
      </w:pPr>
      <w:hyperlink w:anchor="_Toc146528276" w:history="1">
        <w:r w:rsidR="00B85055" w:rsidRPr="00F83B6E">
          <w:rPr>
            <w:rStyle w:val="Hyperlink"/>
            <w:color w:val="000000" w:themeColor="text1"/>
          </w:rPr>
          <w:t>A.</w:t>
        </w:r>
        <w:r w:rsidR="00B85055" w:rsidRPr="00F83B6E">
          <w:rPr>
            <w:rFonts w:eastAsiaTheme="minorEastAsia"/>
            <w:b w:val="0"/>
            <w:caps w:val="0"/>
            <w:color w:val="000000" w:themeColor="text1"/>
            <w:lang w:val="en-AU" w:eastAsia="en-AU"/>
          </w:rPr>
          <w:tab/>
        </w:r>
        <w:r w:rsidR="00B85055" w:rsidRPr="00F83B6E">
          <w:rPr>
            <w:rStyle w:val="Hyperlink"/>
            <w:color w:val="000000" w:themeColor="text1"/>
          </w:rPr>
          <w:t>Context, Strategic Intent, and Rationale</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_Toc146528276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3</w:t>
        </w:r>
        <w:r w:rsidR="00B85055" w:rsidRPr="00F83B6E">
          <w:rPr>
            <w:webHidden/>
            <w:color w:val="000000" w:themeColor="text1"/>
          </w:rPr>
          <w:fldChar w:fldCharType="end"/>
        </w:r>
      </w:hyperlink>
    </w:p>
    <w:p w14:paraId="7DFEBF82" w14:textId="11E19CA8" w:rsidR="00B85055" w:rsidRPr="00F83B6E" w:rsidRDefault="00A578DF">
      <w:pPr>
        <w:pStyle w:val="TOC2"/>
        <w:rPr>
          <w:rFonts w:eastAsiaTheme="minorEastAsia"/>
          <w:color w:val="000000" w:themeColor="text1"/>
          <w:sz w:val="22"/>
          <w:lang w:val="en-AU" w:eastAsia="en-AU"/>
        </w:rPr>
      </w:pPr>
      <w:hyperlink w:anchor="_Toc146528277" w:history="1">
        <w:r w:rsidR="00B85055" w:rsidRPr="00F83B6E">
          <w:rPr>
            <w:rStyle w:val="Hyperlink"/>
            <w:color w:val="000000" w:themeColor="text1"/>
          </w:rPr>
          <w:t>A.1.</w:t>
        </w:r>
        <w:r w:rsidR="00B85055" w:rsidRPr="00F83B6E">
          <w:rPr>
            <w:rFonts w:eastAsiaTheme="minorEastAsia"/>
            <w:color w:val="000000" w:themeColor="text1"/>
            <w:sz w:val="22"/>
            <w:lang w:val="en-AU" w:eastAsia="en-AU"/>
          </w:rPr>
          <w:tab/>
        </w:r>
        <w:r w:rsidR="00B85055" w:rsidRPr="00F83B6E">
          <w:rPr>
            <w:rStyle w:val="Hyperlink"/>
            <w:color w:val="000000" w:themeColor="text1"/>
          </w:rPr>
          <w:t>The Indonesian development context</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_Toc146528277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3</w:t>
        </w:r>
        <w:r w:rsidR="00B85055" w:rsidRPr="00F83B6E">
          <w:rPr>
            <w:webHidden/>
            <w:color w:val="000000" w:themeColor="text1"/>
          </w:rPr>
          <w:fldChar w:fldCharType="end"/>
        </w:r>
      </w:hyperlink>
    </w:p>
    <w:p w14:paraId="3105E65F" w14:textId="1840C892" w:rsidR="00B85055" w:rsidRPr="00F83B6E" w:rsidRDefault="00A578DF">
      <w:pPr>
        <w:pStyle w:val="TOC2"/>
        <w:rPr>
          <w:rFonts w:eastAsiaTheme="minorEastAsia"/>
          <w:color w:val="000000" w:themeColor="text1"/>
          <w:sz w:val="22"/>
          <w:lang w:val="en-AU" w:eastAsia="en-AU"/>
        </w:rPr>
      </w:pPr>
      <w:hyperlink w:anchor="_Toc146528278" w:history="1">
        <w:r w:rsidR="00B85055" w:rsidRPr="00F83B6E">
          <w:rPr>
            <w:rStyle w:val="Hyperlink"/>
            <w:color w:val="000000" w:themeColor="text1"/>
          </w:rPr>
          <w:t>A.2.</w:t>
        </w:r>
        <w:r w:rsidR="00B85055" w:rsidRPr="00F83B6E">
          <w:rPr>
            <w:rFonts w:eastAsiaTheme="minorEastAsia"/>
            <w:color w:val="000000" w:themeColor="text1"/>
            <w:sz w:val="22"/>
            <w:lang w:val="en-AU" w:eastAsia="en-AU"/>
          </w:rPr>
          <w:tab/>
        </w:r>
        <w:r w:rsidR="00B85055" w:rsidRPr="00F83B6E">
          <w:rPr>
            <w:rStyle w:val="Hyperlink"/>
            <w:color w:val="000000" w:themeColor="text1"/>
          </w:rPr>
          <w:t>Indonesia’s knowledge and innovation sector</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_Toc146528278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4</w:t>
        </w:r>
        <w:r w:rsidR="00B85055" w:rsidRPr="00F83B6E">
          <w:rPr>
            <w:webHidden/>
            <w:color w:val="000000" w:themeColor="text1"/>
          </w:rPr>
          <w:fldChar w:fldCharType="end"/>
        </w:r>
      </w:hyperlink>
    </w:p>
    <w:p w14:paraId="4A63A600" w14:textId="2FF0DCD5" w:rsidR="00B85055" w:rsidRPr="00F83B6E" w:rsidRDefault="00A578DF">
      <w:pPr>
        <w:pStyle w:val="TOC2"/>
        <w:rPr>
          <w:rFonts w:eastAsiaTheme="minorEastAsia"/>
          <w:color w:val="000000" w:themeColor="text1"/>
          <w:sz w:val="22"/>
          <w:lang w:val="en-AU" w:eastAsia="en-AU"/>
        </w:rPr>
      </w:pPr>
      <w:hyperlink w:anchor="_Toc146528279" w:history="1">
        <w:r w:rsidR="00B85055" w:rsidRPr="00F83B6E">
          <w:rPr>
            <w:rStyle w:val="Hyperlink"/>
            <w:color w:val="000000" w:themeColor="text1"/>
          </w:rPr>
          <w:t>A.3.</w:t>
        </w:r>
        <w:r w:rsidR="00B85055" w:rsidRPr="00F83B6E">
          <w:rPr>
            <w:rFonts w:eastAsiaTheme="minorEastAsia"/>
            <w:color w:val="000000" w:themeColor="text1"/>
            <w:sz w:val="22"/>
            <w:lang w:val="en-AU" w:eastAsia="en-AU"/>
          </w:rPr>
          <w:tab/>
        </w:r>
        <w:r w:rsidR="00B85055" w:rsidRPr="00F83B6E">
          <w:rPr>
            <w:rStyle w:val="Hyperlink"/>
            <w:color w:val="000000" w:themeColor="text1"/>
          </w:rPr>
          <w:t>Australia’s engagement in Indonesia’s knowledge and innovation sector</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_Toc146528279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5</w:t>
        </w:r>
        <w:r w:rsidR="00B85055" w:rsidRPr="00F83B6E">
          <w:rPr>
            <w:webHidden/>
            <w:color w:val="000000" w:themeColor="text1"/>
          </w:rPr>
          <w:fldChar w:fldCharType="end"/>
        </w:r>
      </w:hyperlink>
    </w:p>
    <w:p w14:paraId="6BE41F85" w14:textId="384DD7F8" w:rsidR="00B85055" w:rsidRPr="00F83B6E" w:rsidRDefault="00A578DF">
      <w:pPr>
        <w:pStyle w:val="TOC2"/>
        <w:rPr>
          <w:rFonts w:eastAsiaTheme="minorEastAsia"/>
          <w:color w:val="000000" w:themeColor="text1"/>
          <w:sz w:val="22"/>
          <w:lang w:val="en-AU" w:eastAsia="en-AU"/>
        </w:rPr>
      </w:pPr>
      <w:hyperlink w:anchor="_Toc146528280" w:history="1">
        <w:r w:rsidR="00B85055" w:rsidRPr="00F83B6E">
          <w:rPr>
            <w:rStyle w:val="Hyperlink"/>
            <w:color w:val="000000" w:themeColor="text1"/>
          </w:rPr>
          <w:t>A.4.</w:t>
        </w:r>
        <w:r w:rsidR="00B85055" w:rsidRPr="00F83B6E">
          <w:rPr>
            <w:rFonts w:eastAsiaTheme="minorEastAsia"/>
            <w:color w:val="000000" w:themeColor="text1"/>
            <w:sz w:val="22"/>
            <w:lang w:val="en-AU" w:eastAsia="en-AU"/>
          </w:rPr>
          <w:tab/>
        </w:r>
        <w:r w:rsidR="00B85055" w:rsidRPr="00F83B6E">
          <w:rPr>
            <w:rStyle w:val="Hyperlink"/>
            <w:color w:val="000000" w:themeColor="text1"/>
          </w:rPr>
          <w:t>Strategic Intent: Alignment with DFAT’s policy objectives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_Toc146528280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9</w:t>
        </w:r>
        <w:r w:rsidR="00B85055" w:rsidRPr="00F83B6E">
          <w:rPr>
            <w:webHidden/>
            <w:color w:val="000000" w:themeColor="text1"/>
          </w:rPr>
          <w:fldChar w:fldCharType="end"/>
        </w:r>
      </w:hyperlink>
    </w:p>
    <w:p w14:paraId="299A2322" w14:textId="7B25B0D8" w:rsidR="00B85055" w:rsidRPr="00F83B6E" w:rsidRDefault="00A578DF">
      <w:pPr>
        <w:pStyle w:val="TOC2"/>
        <w:rPr>
          <w:rFonts w:eastAsiaTheme="minorEastAsia"/>
          <w:color w:val="000000" w:themeColor="text1"/>
          <w:sz w:val="22"/>
          <w:lang w:val="en-AU" w:eastAsia="en-AU"/>
        </w:rPr>
      </w:pPr>
      <w:hyperlink w:anchor="_Toc146528281" w:history="1">
        <w:r w:rsidR="00B85055" w:rsidRPr="00F83B6E">
          <w:rPr>
            <w:rStyle w:val="Hyperlink"/>
            <w:color w:val="000000" w:themeColor="text1"/>
          </w:rPr>
          <w:t>A.5.</w:t>
        </w:r>
        <w:r w:rsidR="00B85055" w:rsidRPr="00F83B6E">
          <w:rPr>
            <w:rFonts w:eastAsiaTheme="minorEastAsia"/>
            <w:color w:val="000000" w:themeColor="text1"/>
            <w:sz w:val="22"/>
            <w:lang w:val="en-AU" w:eastAsia="en-AU"/>
          </w:rPr>
          <w:tab/>
        </w:r>
        <w:r w:rsidR="00B85055" w:rsidRPr="00F83B6E">
          <w:rPr>
            <w:rStyle w:val="Hyperlink"/>
            <w:color w:val="000000" w:themeColor="text1"/>
          </w:rPr>
          <w:t>Rationale for Australian engagement</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_Toc146528281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10</w:t>
        </w:r>
        <w:r w:rsidR="00B85055" w:rsidRPr="00F83B6E">
          <w:rPr>
            <w:webHidden/>
            <w:color w:val="000000" w:themeColor="text1"/>
          </w:rPr>
          <w:fldChar w:fldCharType="end"/>
        </w:r>
      </w:hyperlink>
    </w:p>
    <w:p w14:paraId="1942A5E5" w14:textId="0742CF15" w:rsidR="00B85055" w:rsidRPr="00F83B6E" w:rsidRDefault="00A578DF">
      <w:pPr>
        <w:pStyle w:val="TOC1"/>
        <w:rPr>
          <w:rFonts w:eastAsiaTheme="minorEastAsia"/>
          <w:b w:val="0"/>
          <w:caps w:val="0"/>
          <w:color w:val="000000" w:themeColor="text1"/>
          <w:lang w:val="en-AU" w:eastAsia="en-AU"/>
        </w:rPr>
      </w:pPr>
      <w:hyperlink w:anchor="_Toc146528282" w:history="1">
        <w:r w:rsidR="00B85055" w:rsidRPr="00F83B6E">
          <w:rPr>
            <w:rStyle w:val="Hyperlink"/>
            <w:color w:val="000000" w:themeColor="text1"/>
          </w:rPr>
          <w:t>B.</w:t>
        </w:r>
        <w:r w:rsidR="00B85055" w:rsidRPr="00F83B6E">
          <w:rPr>
            <w:rFonts w:eastAsiaTheme="minorEastAsia"/>
            <w:b w:val="0"/>
            <w:caps w:val="0"/>
            <w:color w:val="000000" w:themeColor="text1"/>
            <w:lang w:val="en-AU" w:eastAsia="en-AU"/>
          </w:rPr>
          <w:tab/>
        </w:r>
        <w:r w:rsidR="00B85055" w:rsidRPr="00F83B6E">
          <w:rPr>
            <w:rStyle w:val="Hyperlink"/>
            <w:color w:val="000000" w:themeColor="text1"/>
          </w:rPr>
          <w:t>Proposed Outcomes and Investment Options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_Toc146528282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11</w:t>
        </w:r>
        <w:r w:rsidR="00B85055" w:rsidRPr="00F83B6E">
          <w:rPr>
            <w:webHidden/>
            <w:color w:val="000000" w:themeColor="text1"/>
          </w:rPr>
          <w:fldChar w:fldCharType="end"/>
        </w:r>
      </w:hyperlink>
    </w:p>
    <w:p w14:paraId="2CE3142A" w14:textId="43F0DB38" w:rsidR="00B85055" w:rsidRPr="00F83B6E" w:rsidRDefault="00A578DF">
      <w:pPr>
        <w:pStyle w:val="TOC2"/>
        <w:rPr>
          <w:rFonts w:eastAsiaTheme="minorEastAsia"/>
          <w:color w:val="000000" w:themeColor="text1"/>
          <w:sz w:val="22"/>
          <w:lang w:val="en-AU" w:eastAsia="en-AU"/>
        </w:rPr>
      </w:pPr>
      <w:hyperlink w:anchor="_Toc146528283" w:history="1">
        <w:r w:rsidR="00B85055" w:rsidRPr="00F83B6E">
          <w:rPr>
            <w:rStyle w:val="Hyperlink"/>
            <w:color w:val="000000" w:themeColor="text1"/>
          </w:rPr>
          <w:t>B.1.</w:t>
        </w:r>
        <w:r w:rsidR="00B85055" w:rsidRPr="00F83B6E">
          <w:rPr>
            <w:rFonts w:eastAsiaTheme="minorEastAsia"/>
            <w:color w:val="000000" w:themeColor="text1"/>
            <w:sz w:val="22"/>
            <w:lang w:val="en-AU" w:eastAsia="en-AU"/>
          </w:rPr>
          <w:tab/>
        </w:r>
        <w:r w:rsidR="00B85055" w:rsidRPr="00F83B6E">
          <w:rPr>
            <w:rStyle w:val="Hyperlink"/>
            <w:color w:val="000000" w:themeColor="text1"/>
          </w:rPr>
          <w:t>Program logic</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_Toc146528283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11</w:t>
        </w:r>
        <w:r w:rsidR="00B85055" w:rsidRPr="00F83B6E">
          <w:rPr>
            <w:webHidden/>
            <w:color w:val="000000" w:themeColor="text1"/>
          </w:rPr>
          <w:fldChar w:fldCharType="end"/>
        </w:r>
      </w:hyperlink>
    </w:p>
    <w:p w14:paraId="1E895E29" w14:textId="26EFDF94" w:rsidR="00B85055" w:rsidRPr="00F83B6E" w:rsidRDefault="00A578DF">
      <w:pPr>
        <w:pStyle w:val="TOC2"/>
        <w:rPr>
          <w:rFonts w:eastAsiaTheme="minorEastAsia"/>
          <w:color w:val="000000" w:themeColor="text1"/>
          <w:sz w:val="22"/>
          <w:lang w:val="en-AU" w:eastAsia="en-AU"/>
        </w:rPr>
      </w:pPr>
      <w:hyperlink w:anchor="_Toc146528284" w:history="1">
        <w:r w:rsidR="00B85055" w:rsidRPr="00F83B6E">
          <w:rPr>
            <w:rStyle w:val="Hyperlink"/>
            <w:color w:val="000000" w:themeColor="text1"/>
          </w:rPr>
          <w:t>B.2.</w:t>
        </w:r>
        <w:r w:rsidR="00B85055" w:rsidRPr="00F83B6E">
          <w:rPr>
            <w:rFonts w:eastAsiaTheme="minorEastAsia"/>
            <w:color w:val="000000" w:themeColor="text1"/>
            <w:sz w:val="22"/>
            <w:lang w:val="en-AU" w:eastAsia="en-AU"/>
          </w:rPr>
          <w:tab/>
        </w:r>
        <w:r w:rsidR="00B85055" w:rsidRPr="00F83B6E">
          <w:rPr>
            <w:rStyle w:val="Hyperlink"/>
            <w:color w:val="000000" w:themeColor="text1"/>
          </w:rPr>
          <w:t>Partnership grants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_Toc146528284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17</w:t>
        </w:r>
        <w:r w:rsidR="00B85055" w:rsidRPr="00F83B6E">
          <w:rPr>
            <w:webHidden/>
            <w:color w:val="000000" w:themeColor="text1"/>
          </w:rPr>
          <w:fldChar w:fldCharType="end"/>
        </w:r>
      </w:hyperlink>
    </w:p>
    <w:p w14:paraId="16EE08A3" w14:textId="3001261C" w:rsidR="00B85055" w:rsidRPr="00F83B6E" w:rsidRDefault="00A578DF">
      <w:pPr>
        <w:pStyle w:val="TOC1"/>
        <w:rPr>
          <w:rFonts w:eastAsiaTheme="minorEastAsia"/>
          <w:b w:val="0"/>
          <w:caps w:val="0"/>
          <w:color w:val="000000" w:themeColor="text1"/>
          <w:lang w:val="en-AU" w:eastAsia="en-AU"/>
        </w:rPr>
      </w:pPr>
      <w:hyperlink w:anchor="_Toc146528285" w:history="1">
        <w:r w:rsidR="00B85055" w:rsidRPr="00F83B6E">
          <w:rPr>
            <w:rStyle w:val="Hyperlink"/>
            <w:color w:val="000000" w:themeColor="text1"/>
          </w:rPr>
          <w:t>C.</w:t>
        </w:r>
        <w:r w:rsidR="00B85055" w:rsidRPr="00F83B6E">
          <w:rPr>
            <w:rFonts w:eastAsiaTheme="minorEastAsia"/>
            <w:b w:val="0"/>
            <w:caps w:val="0"/>
            <w:color w:val="000000" w:themeColor="text1"/>
            <w:lang w:val="en-AU" w:eastAsia="en-AU"/>
          </w:rPr>
          <w:tab/>
        </w:r>
        <w:r w:rsidR="00B85055" w:rsidRPr="00F83B6E">
          <w:rPr>
            <w:rStyle w:val="Hyperlink"/>
            <w:color w:val="000000" w:themeColor="text1"/>
          </w:rPr>
          <w:t>Implementation Arrangements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_Toc146528285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25</w:t>
        </w:r>
        <w:r w:rsidR="00B85055" w:rsidRPr="00F83B6E">
          <w:rPr>
            <w:webHidden/>
            <w:color w:val="000000" w:themeColor="text1"/>
          </w:rPr>
          <w:fldChar w:fldCharType="end"/>
        </w:r>
      </w:hyperlink>
    </w:p>
    <w:p w14:paraId="44CE2277" w14:textId="59BC90A0" w:rsidR="00B85055" w:rsidRPr="00F83B6E" w:rsidRDefault="00A578DF">
      <w:pPr>
        <w:pStyle w:val="TOC2"/>
        <w:rPr>
          <w:rFonts w:eastAsiaTheme="minorEastAsia"/>
          <w:color w:val="000000" w:themeColor="text1"/>
          <w:sz w:val="22"/>
          <w:lang w:val="en-AU" w:eastAsia="en-AU"/>
        </w:rPr>
      </w:pPr>
      <w:hyperlink w:anchor="_Toc146528286" w:history="1">
        <w:r w:rsidR="00B85055" w:rsidRPr="00F83B6E">
          <w:rPr>
            <w:rStyle w:val="Hyperlink"/>
            <w:color w:val="000000" w:themeColor="text1"/>
          </w:rPr>
          <w:t>C.1.</w:t>
        </w:r>
        <w:r w:rsidR="00B85055" w:rsidRPr="00F83B6E">
          <w:rPr>
            <w:rFonts w:eastAsiaTheme="minorEastAsia"/>
            <w:color w:val="000000" w:themeColor="text1"/>
            <w:sz w:val="22"/>
            <w:lang w:val="en-AU" w:eastAsia="en-AU"/>
          </w:rPr>
          <w:tab/>
        </w:r>
        <w:r w:rsidR="00B85055" w:rsidRPr="00F83B6E">
          <w:rPr>
            <w:rStyle w:val="Hyperlink"/>
            <w:color w:val="000000" w:themeColor="text1"/>
          </w:rPr>
          <w:t>Governance arrangements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_Toc146528286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25</w:t>
        </w:r>
        <w:r w:rsidR="00B85055" w:rsidRPr="00F83B6E">
          <w:rPr>
            <w:webHidden/>
            <w:color w:val="000000" w:themeColor="text1"/>
          </w:rPr>
          <w:fldChar w:fldCharType="end"/>
        </w:r>
      </w:hyperlink>
    </w:p>
    <w:p w14:paraId="330D137C" w14:textId="0CF92D1C" w:rsidR="00B85055" w:rsidRPr="00F83B6E" w:rsidRDefault="00A578DF">
      <w:pPr>
        <w:pStyle w:val="TOC2"/>
        <w:rPr>
          <w:rFonts w:eastAsiaTheme="minorEastAsia"/>
          <w:color w:val="000000" w:themeColor="text1"/>
          <w:sz w:val="22"/>
          <w:lang w:val="en-AU" w:eastAsia="en-AU"/>
        </w:rPr>
      </w:pPr>
      <w:hyperlink w:anchor="_Toc146528287" w:history="1">
        <w:r w:rsidR="00B85055" w:rsidRPr="00F83B6E">
          <w:rPr>
            <w:rStyle w:val="Hyperlink"/>
            <w:color w:val="000000" w:themeColor="text1"/>
          </w:rPr>
          <w:t>C.2.</w:t>
        </w:r>
        <w:r w:rsidR="00B85055" w:rsidRPr="00F83B6E">
          <w:rPr>
            <w:rFonts w:eastAsiaTheme="minorEastAsia"/>
            <w:color w:val="000000" w:themeColor="text1"/>
            <w:sz w:val="22"/>
            <w:lang w:val="en-AU" w:eastAsia="en-AU"/>
          </w:rPr>
          <w:tab/>
        </w:r>
        <w:r w:rsidR="00B85055" w:rsidRPr="00F83B6E">
          <w:rPr>
            <w:rStyle w:val="Hyperlink"/>
            <w:color w:val="000000" w:themeColor="text1"/>
          </w:rPr>
          <w:t>Management arrangements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_Toc146528287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27</w:t>
        </w:r>
        <w:r w:rsidR="00B85055" w:rsidRPr="00F83B6E">
          <w:rPr>
            <w:webHidden/>
            <w:color w:val="000000" w:themeColor="text1"/>
          </w:rPr>
          <w:fldChar w:fldCharType="end"/>
        </w:r>
      </w:hyperlink>
    </w:p>
    <w:p w14:paraId="17B1573D" w14:textId="2B18B87F" w:rsidR="00B85055" w:rsidRPr="00F83B6E" w:rsidRDefault="00A578DF">
      <w:pPr>
        <w:pStyle w:val="TOC2"/>
        <w:rPr>
          <w:rFonts w:eastAsiaTheme="minorEastAsia"/>
          <w:color w:val="000000" w:themeColor="text1"/>
          <w:sz w:val="22"/>
          <w:lang w:val="en-AU" w:eastAsia="en-AU"/>
        </w:rPr>
      </w:pPr>
      <w:hyperlink w:anchor="_Toc146528288" w:history="1">
        <w:r w:rsidR="00B85055" w:rsidRPr="00F83B6E">
          <w:rPr>
            <w:rStyle w:val="Hyperlink"/>
            <w:color w:val="000000" w:themeColor="text1"/>
          </w:rPr>
          <w:t>C.3.</w:t>
        </w:r>
        <w:r w:rsidR="00B85055" w:rsidRPr="00F83B6E">
          <w:rPr>
            <w:rFonts w:eastAsiaTheme="minorEastAsia"/>
            <w:color w:val="000000" w:themeColor="text1"/>
            <w:sz w:val="22"/>
            <w:lang w:val="en-AU" w:eastAsia="en-AU"/>
          </w:rPr>
          <w:tab/>
        </w:r>
        <w:r w:rsidR="00B85055" w:rsidRPr="00F83B6E">
          <w:rPr>
            <w:rStyle w:val="Hyperlink"/>
            <w:color w:val="000000" w:themeColor="text1"/>
          </w:rPr>
          <w:t>Sustainability</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_Toc146528288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29</w:t>
        </w:r>
        <w:r w:rsidR="00B85055" w:rsidRPr="00F83B6E">
          <w:rPr>
            <w:webHidden/>
            <w:color w:val="000000" w:themeColor="text1"/>
          </w:rPr>
          <w:fldChar w:fldCharType="end"/>
        </w:r>
      </w:hyperlink>
    </w:p>
    <w:p w14:paraId="096C74D0" w14:textId="0C14E409" w:rsidR="00B85055" w:rsidRPr="00F83B6E" w:rsidRDefault="00A578DF">
      <w:pPr>
        <w:pStyle w:val="TOC1"/>
        <w:rPr>
          <w:rFonts w:eastAsiaTheme="minorEastAsia"/>
          <w:b w:val="0"/>
          <w:caps w:val="0"/>
          <w:color w:val="000000" w:themeColor="text1"/>
          <w:lang w:val="en-AU" w:eastAsia="en-AU"/>
        </w:rPr>
      </w:pPr>
      <w:hyperlink w:anchor="_Toc146528289" w:history="1">
        <w:r w:rsidR="00B85055" w:rsidRPr="00F83B6E">
          <w:rPr>
            <w:rStyle w:val="Hyperlink"/>
            <w:color w:val="000000" w:themeColor="text1"/>
          </w:rPr>
          <w:t>D.</w:t>
        </w:r>
        <w:r w:rsidR="00B85055" w:rsidRPr="00F83B6E">
          <w:rPr>
            <w:rFonts w:eastAsiaTheme="minorEastAsia"/>
            <w:b w:val="0"/>
            <w:caps w:val="0"/>
            <w:color w:val="000000" w:themeColor="text1"/>
            <w:lang w:val="en-AU" w:eastAsia="en-AU"/>
          </w:rPr>
          <w:tab/>
        </w:r>
        <w:r w:rsidR="00B85055" w:rsidRPr="00F83B6E">
          <w:rPr>
            <w:rStyle w:val="Hyperlink"/>
            <w:color w:val="000000" w:themeColor="text1"/>
          </w:rPr>
          <w:t>Monitoring and Evaluation</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_Toc146528289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30</w:t>
        </w:r>
        <w:r w:rsidR="00B85055" w:rsidRPr="00F83B6E">
          <w:rPr>
            <w:webHidden/>
            <w:color w:val="000000" w:themeColor="text1"/>
          </w:rPr>
          <w:fldChar w:fldCharType="end"/>
        </w:r>
      </w:hyperlink>
    </w:p>
    <w:p w14:paraId="20CA0523" w14:textId="09C6D110" w:rsidR="00B85055" w:rsidRPr="00F83B6E" w:rsidRDefault="00A578DF">
      <w:pPr>
        <w:pStyle w:val="TOC2"/>
        <w:rPr>
          <w:rFonts w:eastAsiaTheme="minorEastAsia"/>
          <w:color w:val="000000" w:themeColor="text1"/>
          <w:sz w:val="22"/>
          <w:lang w:val="en-AU" w:eastAsia="en-AU"/>
        </w:rPr>
      </w:pPr>
      <w:hyperlink w:anchor="_Toc146528290" w:history="1">
        <w:r w:rsidR="00B85055" w:rsidRPr="00F83B6E">
          <w:rPr>
            <w:rStyle w:val="Hyperlink"/>
            <w:color w:val="000000" w:themeColor="text1"/>
          </w:rPr>
          <w:t>D.1.</w:t>
        </w:r>
        <w:r w:rsidR="00B85055" w:rsidRPr="00F83B6E">
          <w:rPr>
            <w:rFonts w:eastAsiaTheme="minorEastAsia"/>
            <w:color w:val="000000" w:themeColor="text1"/>
            <w:sz w:val="22"/>
            <w:lang w:val="en-AU" w:eastAsia="en-AU"/>
          </w:rPr>
          <w:tab/>
        </w:r>
        <w:r w:rsidR="00B85055" w:rsidRPr="00F83B6E">
          <w:rPr>
            <w:rStyle w:val="Hyperlink"/>
            <w:color w:val="000000" w:themeColor="text1"/>
          </w:rPr>
          <w:t>MEL approach</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_Toc146528290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30</w:t>
        </w:r>
        <w:r w:rsidR="00B85055" w:rsidRPr="00F83B6E">
          <w:rPr>
            <w:webHidden/>
            <w:color w:val="000000" w:themeColor="text1"/>
          </w:rPr>
          <w:fldChar w:fldCharType="end"/>
        </w:r>
      </w:hyperlink>
    </w:p>
    <w:p w14:paraId="0133E4B0" w14:textId="119FD755" w:rsidR="00B85055" w:rsidRPr="00F83B6E" w:rsidRDefault="00A578DF">
      <w:pPr>
        <w:pStyle w:val="TOC2"/>
        <w:rPr>
          <w:rFonts w:eastAsiaTheme="minorEastAsia"/>
          <w:color w:val="000000" w:themeColor="text1"/>
          <w:sz w:val="22"/>
          <w:lang w:val="en-AU" w:eastAsia="en-AU"/>
        </w:rPr>
      </w:pPr>
      <w:hyperlink w:anchor="_Toc146528291" w:history="1">
        <w:r w:rsidR="00B85055" w:rsidRPr="00F83B6E">
          <w:rPr>
            <w:rStyle w:val="Hyperlink"/>
            <w:color w:val="000000" w:themeColor="text1"/>
          </w:rPr>
          <w:t>D.2.</w:t>
        </w:r>
        <w:r w:rsidR="00B85055" w:rsidRPr="00F83B6E">
          <w:rPr>
            <w:rFonts w:eastAsiaTheme="minorEastAsia"/>
            <w:color w:val="000000" w:themeColor="text1"/>
            <w:sz w:val="22"/>
            <w:lang w:val="en-AU" w:eastAsia="en-AU"/>
          </w:rPr>
          <w:tab/>
        </w:r>
        <w:r w:rsidR="00B85055" w:rsidRPr="00F83B6E">
          <w:rPr>
            <w:rStyle w:val="Hyperlink"/>
            <w:color w:val="000000" w:themeColor="text1"/>
          </w:rPr>
          <w:t>Resourcing</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_Toc146528291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34</w:t>
        </w:r>
        <w:r w:rsidR="00B85055" w:rsidRPr="00F83B6E">
          <w:rPr>
            <w:webHidden/>
            <w:color w:val="000000" w:themeColor="text1"/>
          </w:rPr>
          <w:fldChar w:fldCharType="end"/>
        </w:r>
      </w:hyperlink>
    </w:p>
    <w:p w14:paraId="3ED8E6AA" w14:textId="7ED649D3" w:rsidR="00B85055" w:rsidRPr="00F83B6E" w:rsidRDefault="00A578DF">
      <w:pPr>
        <w:pStyle w:val="TOC2"/>
        <w:rPr>
          <w:rFonts w:eastAsiaTheme="minorEastAsia"/>
          <w:color w:val="000000" w:themeColor="text1"/>
          <w:sz w:val="22"/>
          <w:lang w:val="en-AU" w:eastAsia="en-AU"/>
        </w:rPr>
      </w:pPr>
      <w:hyperlink w:anchor="_Toc146528292" w:history="1">
        <w:r w:rsidR="00B85055" w:rsidRPr="00F83B6E">
          <w:rPr>
            <w:rStyle w:val="Hyperlink"/>
            <w:color w:val="000000" w:themeColor="text1"/>
          </w:rPr>
          <w:t>D.3.</w:t>
        </w:r>
        <w:r w:rsidR="00B85055" w:rsidRPr="00F83B6E">
          <w:rPr>
            <w:rFonts w:eastAsiaTheme="minorEastAsia"/>
            <w:color w:val="000000" w:themeColor="text1"/>
            <w:sz w:val="22"/>
            <w:lang w:val="en-AU" w:eastAsia="en-AU"/>
          </w:rPr>
          <w:tab/>
        </w:r>
        <w:r w:rsidR="00B85055" w:rsidRPr="00F83B6E">
          <w:rPr>
            <w:rStyle w:val="Hyperlink"/>
            <w:color w:val="000000" w:themeColor="text1"/>
          </w:rPr>
          <w:t>Independent reviews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_Toc146528292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35</w:t>
        </w:r>
        <w:r w:rsidR="00B85055" w:rsidRPr="00F83B6E">
          <w:rPr>
            <w:webHidden/>
            <w:color w:val="000000" w:themeColor="text1"/>
          </w:rPr>
          <w:fldChar w:fldCharType="end"/>
        </w:r>
      </w:hyperlink>
    </w:p>
    <w:p w14:paraId="2215E07A" w14:textId="5C098E26" w:rsidR="00B85055" w:rsidRPr="00F83B6E" w:rsidRDefault="00A578DF">
      <w:pPr>
        <w:pStyle w:val="TOC1"/>
        <w:rPr>
          <w:rFonts w:eastAsiaTheme="minorEastAsia"/>
          <w:b w:val="0"/>
          <w:caps w:val="0"/>
          <w:color w:val="000000" w:themeColor="text1"/>
          <w:lang w:val="en-AU" w:eastAsia="en-AU"/>
        </w:rPr>
      </w:pPr>
      <w:hyperlink w:anchor="_Toc146528293" w:history="1">
        <w:r w:rsidR="00B85055" w:rsidRPr="00F83B6E">
          <w:rPr>
            <w:rStyle w:val="Hyperlink"/>
            <w:color w:val="000000" w:themeColor="text1"/>
          </w:rPr>
          <w:t>E.</w:t>
        </w:r>
        <w:r w:rsidR="00B85055" w:rsidRPr="00F83B6E">
          <w:rPr>
            <w:rFonts w:eastAsiaTheme="minorEastAsia"/>
            <w:b w:val="0"/>
            <w:caps w:val="0"/>
            <w:color w:val="000000" w:themeColor="text1"/>
            <w:lang w:val="en-AU" w:eastAsia="en-AU"/>
          </w:rPr>
          <w:tab/>
        </w:r>
        <w:r w:rsidR="00B85055" w:rsidRPr="00F83B6E">
          <w:rPr>
            <w:rStyle w:val="Hyperlink"/>
            <w:color w:val="000000" w:themeColor="text1"/>
          </w:rPr>
          <w:t>Cross Cutting Issues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_Toc146528293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35</w:t>
        </w:r>
        <w:r w:rsidR="00B85055" w:rsidRPr="00F83B6E">
          <w:rPr>
            <w:webHidden/>
            <w:color w:val="000000" w:themeColor="text1"/>
          </w:rPr>
          <w:fldChar w:fldCharType="end"/>
        </w:r>
      </w:hyperlink>
    </w:p>
    <w:p w14:paraId="3C5169A9" w14:textId="7547C3B2" w:rsidR="00B85055" w:rsidRPr="00F83B6E" w:rsidRDefault="00A578DF">
      <w:pPr>
        <w:pStyle w:val="TOC2"/>
        <w:rPr>
          <w:rFonts w:eastAsiaTheme="minorEastAsia"/>
          <w:color w:val="000000" w:themeColor="text1"/>
          <w:sz w:val="22"/>
          <w:lang w:val="en-AU" w:eastAsia="en-AU"/>
        </w:rPr>
      </w:pPr>
      <w:hyperlink w:anchor="_Toc146528294" w:history="1">
        <w:r w:rsidR="00B85055" w:rsidRPr="00F83B6E">
          <w:rPr>
            <w:rStyle w:val="Hyperlink"/>
            <w:color w:val="000000" w:themeColor="text1"/>
          </w:rPr>
          <w:t>E.1.</w:t>
        </w:r>
        <w:r w:rsidR="00B85055" w:rsidRPr="00F83B6E">
          <w:rPr>
            <w:rFonts w:eastAsiaTheme="minorEastAsia"/>
            <w:color w:val="000000" w:themeColor="text1"/>
            <w:sz w:val="22"/>
            <w:lang w:val="en-AU" w:eastAsia="en-AU"/>
          </w:rPr>
          <w:tab/>
        </w:r>
        <w:r w:rsidR="00B85055" w:rsidRPr="00F83B6E">
          <w:rPr>
            <w:rStyle w:val="Hyperlink"/>
            <w:color w:val="000000" w:themeColor="text1"/>
          </w:rPr>
          <w:t>Gender equality, disability, and social inclusion</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_Toc146528294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35</w:t>
        </w:r>
        <w:r w:rsidR="00B85055" w:rsidRPr="00F83B6E">
          <w:rPr>
            <w:webHidden/>
            <w:color w:val="000000" w:themeColor="text1"/>
          </w:rPr>
          <w:fldChar w:fldCharType="end"/>
        </w:r>
      </w:hyperlink>
    </w:p>
    <w:p w14:paraId="1A4F3ADC" w14:textId="68E4B39A" w:rsidR="00B85055" w:rsidRPr="00F83B6E" w:rsidRDefault="00A578DF">
      <w:pPr>
        <w:pStyle w:val="TOC2"/>
        <w:rPr>
          <w:rFonts w:eastAsiaTheme="minorEastAsia"/>
          <w:color w:val="000000" w:themeColor="text1"/>
          <w:sz w:val="22"/>
          <w:lang w:val="en-AU" w:eastAsia="en-AU"/>
        </w:rPr>
      </w:pPr>
      <w:hyperlink w:anchor="_Toc146528295" w:history="1">
        <w:r w:rsidR="00B85055" w:rsidRPr="00F83B6E">
          <w:rPr>
            <w:rStyle w:val="Hyperlink"/>
            <w:color w:val="000000" w:themeColor="text1"/>
          </w:rPr>
          <w:t>E.2.</w:t>
        </w:r>
        <w:r w:rsidR="00B85055" w:rsidRPr="00F83B6E">
          <w:rPr>
            <w:rFonts w:eastAsiaTheme="minorEastAsia"/>
            <w:color w:val="000000" w:themeColor="text1"/>
            <w:sz w:val="22"/>
            <w:lang w:val="en-AU" w:eastAsia="en-AU"/>
          </w:rPr>
          <w:tab/>
        </w:r>
        <w:r w:rsidR="00B85055" w:rsidRPr="00F83B6E">
          <w:rPr>
            <w:rStyle w:val="Hyperlink"/>
            <w:color w:val="000000" w:themeColor="text1"/>
          </w:rPr>
          <w:t>Other cross cutting issues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_Toc146528295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39</w:t>
        </w:r>
        <w:r w:rsidR="00B85055" w:rsidRPr="00F83B6E">
          <w:rPr>
            <w:webHidden/>
            <w:color w:val="000000" w:themeColor="text1"/>
          </w:rPr>
          <w:fldChar w:fldCharType="end"/>
        </w:r>
      </w:hyperlink>
    </w:p>
    <w:p w14:paraId="6C91C1D1" w14:textId="0EFD9F19" w:rsidR="00B85055" w:rsidRPr="00F83B6E" w:rsidRDefault="00A578DF">
      <w:pPr>
        <w:pStyle w:val="TOC1"/>
        <w:rPr>
          <w:rFonts w:eastAsiaTheme="minorEastAsia"/>
          <w:b w:val="0"/>
          <w:caps w:val="0"/>
          <w:color w:val="000000" w:themeColor="text1"/>
          <w:lang w:val="en-AU" w:eastAsia="en-AU"/>
        </w:rPr>
      </w:pPr>
      <w:hyperlink w:anchor="_Toc146528296" w:history="1">
        <w:r w:rsidR="00B85055" w:rsidRPr="00F83B6E">
          <w:rPr>
            <w:rStyle w:val="Hyperlink"/>
            <w:color w:val="000000" w:themeColor="text1"/>
          </w:rPr>
          <w:t>F.</w:t>
        </w:r>
        <w:r w:rsidR="00B85055" w:rsidRPr="00F83B6E">
          <w:rPr>
            <w:rFonts w:eastAsiaTheme="minorEastAsia"/>
            <w:b w:val="0"/>
            <w:caps w:val="0"/>
            <w:color w:val="000000" w:themeColor="text1"/>
            <w:lang w:val="en-AU" w:eastAsia="en-AU"/>
          </w:rPr>
          <w:tab/>
        </w:r>
        <w:r w:rsidR="00B85055" w:rsidRPr="00F83B6E">
          <w:rPr>
            <w:rStyle w:val="Hyperlink"/>
            <w:color w:val="000000" w:themeColor="text1"/>
          </w:rPr>
          <w:t>Budget and Resources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_Toc146528296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41</w:t>
        </w:r>
        <w:r w:rsidR="00B85055" w:rsidRPr="00F83B6E">
          <w:rPr>
            <w:webHidden/>
            <w:color w:val="000000" w:themeColor="text1"/>
          </w:rPr>
          <w:fldChar w:fldCharType="end"/>
        </w:r>
      </w:hyperlink>
    </w:p>
    <w:p w14:paraId="2EC55C19" w14:textId="05D45D64" w:rsidR="00B85055" w:rsidRPr="00F83B6E" w:rsidRDefault="00A578DF">
      <w:pPr>
        <w:pStyle w:val="TOC2"/>
        <w:rPr>
          <w:rFonts w:eastAsiaTheme="minorEastAsia"/>
          <w:color w:val="000000" w:themeColor="text1"/>
          <w:sz w:val="22"/>
          <w:lang w:val="en-AU" w:eastAsia="en-AU"/>
        </w:rPr>
      </w:pPr>
      <w:hyperlink w:anchor="_Toc146528297" w:history="1">
        <w:r w:rsidR="00B85055" w:rsidRPr="00F83B6E">
          <w:rPr>
            <w:rStyle w:val="Hyperlink"/>
            <w:color w:val="000000" w:themeColor="text1"/>
          </w:rPr>
          <w:t>F.1.</w:t>
        </w:r>
        <w:r w:rsidR="00B85055" w:rsidRPr="00F83B6E">
          <w:rPr>
            <w:rFonts w:eastAsiaTheme="minorEastAsia"/>
            <w:color w:val="000000" w:themeColor="text1"/>
            <w:sz w:val="22"/>
            <w:lang w:val="en-AU" w:eastAsia="en-AU"/>
          </w:rPr>
          <w:tab/>
        </w:r>
        <w:r w:rsidR="00B85055" w:rsidRPr="00F83B6E">
          <w:rPr>
            <w:rStyle w:val="Hyperlink"/>
            <w:color w:val="000000" w:themeColor="text1"/>
          </w:rPr>
          <w:t>Program budget</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_Toc146528297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41</w:t>
        </w:r>
        <w:r w:rsidR="00B85055" w:rsidRPr="00F83B6E">
          <w:rPr>
            <w:webHidden/>
            <w:color w:val="000000" w:themeColor="text1"/>
          </w:rPr>
          <w:fldChar w:fldCharType="end"/>
        </w:r>
      </w:hyperlink>
    </w:p>
    <w:p w14:paraId="646AF795" w14:textId="5157D476" w:rsidR="00B85055" w:rsidRPr="00F83B6E" w:rsidRDefault="00A578DF">
      <w:pPr>
        <w:pStyle w:val="TOC2"/>
        <w:rPr>
          <w:rFonts w:eastAsiaTheme="minorEastAsia"/>
          <w:color w:val="000000" w:themeColor="text1"/>
          <w:sz w:val="22"/>
          <w:lang w:val="en-AU" w:eastAsia="en-AU"/>
        </w:rPr>
      </w:pPr>
      <w:hyperlink w:anchor="_Toc146528298" w:history="1">
        <w:r w:rsidR="00B85055" w:rsidRPr="00F83B6E">
          <w:rPr>
            <w:rStyle w:val="Hyperlink"/>
            <w:color w:val="000000" w:themeColor="text1"/>
          </w:rPr>
          <w:t>F.2.</w:t>
        </w:r>
        <w:r w:rsidR="00B85055" w:rsidRPr="00F83B6E">
          <w:rPr>
            <w:rFonts w:eastAsiaTheme="minorEastAsia"/>
            <w:color w:val="000000" w:themeColor="text1"/>
            <w:sz w:val="22"/>
            <w:lang w:val="en-AU" w:eastAsia="en-AU"/>
          </w:rPr>
          <w:tab/>
        </w:r>
        <w:r w:rsidR="00B85055" w:rsidRPr="00F83B6E">
          <w:rPr>
            <w:rStyle w:val="Hyperlink"/>
            <w:color w:val="000000" w:themeColor="text1"/>
          </w:rPr>
          <w:t>Number of grants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_Toc146528298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41</w:t>
        </w:r>
        <w:r w:rsidR="00B85055" w:rsidRPr="00F83B6E">
          <w:rPr>
            <w:webHidden/>
            <w:color w:val="000000" w:themeColor="text1"/>
          </w:rPr>
          <w:fldChar w:fldCharType="end"/>
        </w:r>
      </w:hyperlink>
    </w:p>
    <w:p w14:paraId="76A8FA6C" w14:textId="60DA170D" w:rsidR="00B85055" w:rsidRPr="00F83B6E" w:rsidRDefault="00A578DF">
      <w:pPr>
        <w:pStyle w:val="TOC1"/>
        <w:rPr>
          <w:rFonts w:eastAsiaTheme="minorEastAsia"/>
          <w:b w:val="0"/>
          <w:caps w:val="0"/>
          <w:color w:val="000000" w:themeColor="text1"/>
          <w:lang w:val="en-AU" w:eastAsia="en-AU"/>
        </w:rPr>
      </w:pPr>
      <w:hyperlink w:anchor="_Toc146528299" w:history="1">
        <w:r w:rsidR="00B85055" w:rsidRPr="00F83B6E">
          <w:rPr>
            <w:rStyle w:val="Hyperlink"/>
            <w:color w:val="000000" w:themeColor="text1"/>
          </w:rPr>
          <w:t>G.</w:t>
        </w:r>
        <w:r w:rsidR="00B85055" w:rsidRPr="00F83B6E">
          <w:rPr>
            <w:rFonts w:eastAsiaTheme="minorEastAsia"/>
            <w:b w:val="0"/>
            <w:caps w:val="0"/>
            <w:color w:val="000000" w:themeColor="text1"/>
            <w:lang w:val="en-AU" w:eastAsia="en-AU"/>
          </w:rPr>
          <w:tab/>
        </w:r>
        <w:r w:rsidR="00B85055" w:rsidRPr="00F83B6E">
          <w:rPr>
            <w:rStyle w:val="Hyperlink"/>
            <w:color w:val="000000" w:themeColor="text1"/>
          </w:rPr>
          <w:t>Procurement and Partnering</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_Toc146528299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41</w:t>
        </w:r>
        <w:r w:rsidR="00B85055" w:rsidRPr="00F83B6E">
          <w:rPr>
            <w:webHidden/>
            <w:color w:val="000000" w:themeColor="text1"/>
          </w:rPr>
          <w:fldChar w:fldCharType="end"/>
        </w:r>
      </w:hyperlink>
    </w:p>
    <w:p w14:paraId="4B9C05A2" w14:textId="5B549636" w:rsidR="00B85055" w:rsidRPr="00F83B6E" w:rsidRDefault="00A578DF">
      <w:pPr>
        <w:pStyle w:val="TOC2"/>
        <w:rPr>
          <w:rFonts w:eastAsiaTheme="minorEastAsia"/>
          <w:color w:val="000000" w:themeColor="text1"/>
          <w:sz w:val="22"/>
          <w:lang w:val="en-AU" w:eastAsia="en-AU"/>
        </w:rPr>
      </w:pPr>
      <w:hyperlink w:anchor="_Toc146528300" w:history="1">
        <w:r w:rsidR="00B85055" w:rsidRPr="00F83B6E">
          <w:rPr>
            <w:rStyle w:val="Hyperlink"/>
            <w:color w:val="000000" w:themeColor="text1"/>
          </w:rPr>
          <w:t>G.1.</w:t>
        </w:r>
        <w:r w:rsidR="00B85055" w:rsidRPr="00F83B6E">
          <w:rPr>
            <w:rFonts w:eastAsiaTheme="minorEastAsia"/>
            <w:color w:val="000000" w:themeColor="text1"/>
            <w:sz w:val="22"/>
            <w:lang w:val="en-AU" w:eastAsia="en-AU"/>
          </w:rPr>
          <w:tab/>
        </w:r>
        <w:r w:rsidR="00B85055" w:rsidRPr="00F83B6E">
          <w:rPr>
            <w:rStyle w:val="Hyperlink"/>
            <w:color w:val="000000" w:themeColor="text1"/>
          </w:rPr>
          <w:t>Delivery mechanism</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_Toc146528300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41</w:t>
        </w:r>
        <w:r w:rsidR="00B85055" w:rsidRPr="00F83B6E">
          <w:rPr>
            <w:webHidden/>
            <w:color w:val="000000" w:themeColor="text1"/>
          </w:rPr>
          <w:fldChar w:fldCharType="end"/>
        </w:r>
      </w:hyperlink>
    </w:p>
    <w:p w14:paraId="3B90F031" w14:textId="23FA5B63" w:rsidR="00B85055" w:rsidRPr="00F83B6E" w:rsidRDefault="00A578DF">
      <w:pPr>
        <w:pStyle w:val="TOC1"/>
        <w:rPr>
          <w:rFonts w:eastAsiaTheme="minorEastAsia"/>
          <w:b w:val="0"/>
          <w:caps w:val="0"/>
          <w:color w:val="000000" w:themeColor="text1"/>
          <w:lang w:val="en-AU" w:eastAsia="en-AU"/>
        </w:rPr>
      </w:pPr>
      <w:hyperlink w:anchor="_Toc146528301" w:history="1">
        <w:r w:rsidR="00B85055" w:rsidRPr="00F83B6E">
          <w:rPr>
            <w:rStyle w:val="Hyperlink"/>
            <w:color w:val="000000" w:themeColor="text1"/>
          </w:rPr>
          <w:t>H.</w:t>
        </w:r>
        <w:r w:rsidR="00B85055" w:rsidRPr="00F83B6E">
          <w:rPr>
            <w:rFonts w:eastAsiaTheme="minorEastAsia"/>
            <w:b w:val="0"/>
            <w:caps w:val="0"/>
            <w:color w:val="000000" w:themeColor="text1"/>
            <w:lang w:val="en-AU" w:eastAsia="en-AU"/>
          </w:rPr>
          <w:tab/>
        </w:r>
        <w:r w:rsidR="00B85055" w:rsidRPr="00F83B6E">
          <w:rPr>
            <w:rStyle w:val="Hyperlink"/>
            <w:color w:val="000000" w:themeColor="text1"/>
          </w:rPr>
          <w:t>Risk Management and Safeguards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_Toc146528301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43</w:t>
        </w:r>
        <w:r w:rsidR="00B85055" w:rsidRPr="00F83B6E">
          <w:rPr>
            <w:webHidden/>
            <w:color w:val="000000" w:themeColor="text1"/>
          </w:rPr>
          <w:fldChar w:fldCharType="end"/>
        </w:r>
      </w:hyperlink>
    </w:p>
    <w:p w14:paraId="425B678F" w14:textId="07D56EF4" w:rsidR="00B85055" w:rsidRPr="00F83B6E" w:rsidRDefault="00A578DF">
      <w:pPr>
        <w:pStyle w:val="TOC2"/>
        <w:rPr>
          <w:rFonts w:eastAsiaTheme="minorEastAsia"/>
          <w:color w:val="000000" w:themeColor="text1"/>
          <w:sz w:val="22"/>
          <w:lang w:val="en-AU" w:eastAsia="en-AU"/>
        </w:rPr>
      </w:pPr>
      <w:hyperlink w:anchor="_Toc146528302" w:history="1">
        <w:r w:rsidR="00B85055" w:rsidRPr="00F83B6E">
          <w:rPr>
            <w:rStyle w:val="Hyperlink"/>
            <w:color w:val="000000" w:themeColor="text1"/>
          </w:rPr>
          <w:t>H.1.</w:t>
        </w:r>
        <w:r w:rsidR="00B85055" w:rsidRPr="00F83B6E">
          <w:rPr>
            <w:rFonts w:eastAsiaTheme="minorEastAsia"/>
            <w:color w:val="000000" w:themeColor="text1"/>
            <w:sz w:val="22"/>
            <w:lang w:val="en-AU" w:eastAsia="en-AU"/>
          </w:rPr>
          <w:tab/>
        </w:r>
        <w:r w:rsidR="00B85055" w:rsidRPr="00F83B6E">
          <w:rPr>
            <w:rStyle w:val="Hyperlink"/>
            <w:color w:val="000000" w:themeColor="text1"/>
          </w:rPr>
          <w:t>Risk management plan</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_Toc146528302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43</w:t>
        </w:r>
        <w:r w:rsidR="00B85055" w:rsidRPr="00F83B6E">
          <w:rPr>
            <w:webHidden/>
            <w:color w:val="000000" w:themeColor="text1"/>
          </w:rPr>
          <w:fldChar w:fldCharType="end"/>
        </w:r>
      </w:hyperlink>
    </w:p>
    <w:p w14:paraId="47A0B808" w14:textId="1884AF4E" w:rsidR="00B85055" w:rsidRPr="00F83B6E" w:rsidRDefault="00A578DF">
      <w:pPr>
        <w:pStyle w:val="TOC2"/>
        <w:rPr>
          <w:rFonts w:eastAsiaTheme="minorEastAsia"/>
          <w:color w:val="000000" w:themeColor="text1"/>
          <w:sz w:val="22"/>
          <w:lang w:val="en-AU" w:eastAsia="en-AU"/>
        </w:rPr>
      </w:pPr>
      <w:hyperlink w:anchor="_Toc146528303" w:history="1">
        <w:r w:rsidR="00B85055" w:rsidRPr="00F83B6E">
          <w:rPr>
            <w:rStyle w:val="Hyperlink"/>
            <w:color w:val="000000" w:themeColor="text1"/>
          </w:rPr>
          <w:t>H.2.</w:t>
        </w:r>
        <w:r w:rsidR="00B85055" w:rsidRPr="00F83B6E">
          <w:rPr>
            <w:rFonts w:eastAsiaTheme="minorEastAsia"/>
            <w:color w:val="000000" w:themeColor="text1"/>
            <w:sz w:val="22"/>
            <w:lang w:val="en-AU" w:eastAsia="en-AU"/>
          </w:rPr>
          <w:tab/>
        </w:r>
        <w:r w:rsidR="00B85055" w:rsidRPr="00F83B6E">
          <w:rPr>
            <w:rStyle w:val="Hyperlink"/>
            <w:color w:val="000000" w:themeColor="text1"/>
          </w:rPr>
          <w:t>Environmental and social safeguards</w:t>
        </w:r>
        <w:r w:rsidR="00B85055" w:rsidRPr="00F83B6E">
          <w:rPr>
            <w:webHidden/>
            <w:color w:val="000000" w:themeColor="text1"/>
          </w:rPr>
          <w:tab/>
        </w:r>
        <w:r w:rsidR="00B85055" w:rsidRPr="00F83B6E">
          <w:rPr>
            <w:webHidden/>
            <w:color w:val="000000" w:themeColor="text1"/>
          </w:rPr>
          <w:fldChar w:fldCharType="begin"/>
        </w:r>
        <w:r w:rsidR="00B85055" w:rsidRPr="00F83B6E">
          <w:rPr>
            <w:webHidden/>
            <w:color w:val="000000" w:themeColor="text1"/>
          </w:rPr>
          <w:instrText xml:space="preserve"> PAGEREF _Toc146528303 \h </w:instrText>
        </w:r>
        <w:r w:rsidR="00B85055" w:rsidRPr="00F83B6E">
          <w:rPr>
            <w:webHidden/>
            <w:color w:val="000000" w:themeColor="text1"/>
          </w:rPr>
        </w:r>
        <w:r w:rsidR="00B85055" w:rsidRPr="00F83B6E">
          <w:rPr>
            <w:webHidden/>
            <w:color w:val="000000" w:themeColor="text1"/>
          </w:rPr>
          <w:fldChar w:fldCharType="separate"/>
        </w:r>
        <w:r>
          <w:rPr>
            <w:webHidden/>
            <w:color w:val="000000" w:themeColor="text1"/>
          </w:rPr>
          <w:t>45</w:t>
        </w:r>
        <w:r w:rsidR="00B85055" w:rsidRPr="00F83B6E">
          <w:rPr>
            <w:webHidden/>
            <w:color w:val="000000" w:themeColor="text1"/>
          </w:rPr>
          <w:fldChar w:fldCharType="end"/>
        </w:r>
      </w:hyperlink>
    </w:p>
    <w:p w14:paraId="6CDCF8DB" w14:textId="5642B4CB" w:rsidR="00CE4665" w:rsidRPr="00F83B6E" w:rsidRDefault="00CE4665" w:rsidP="001B7A01">
      <w:pPr>
        <w:pStyle w:val="BodyText"/>
        <w:rPr>
          <w:b/>
          <w:bCs/>
          <w:color w:val="000000" w:themeColor="text1"/>
          <w:sz w:val="28"/>
          <w:szCs w:val="28"/>
          <w:lang w:val="fr-FR"/>
        </w:rPr>
      </w:pPr>
      <w:r w:rsidRPr="00F83B6E">
        <w:rPr>
          <w:b/>
          <w:bCs/>
          <w:color w:val="000000" w:themeColor="text1"/>
        </w:rPr>
        <w:fldChar w:fldCharType="end"/>
      </w:r>
    </w:p>
    <w:p w14:paraId="21052003" w14:textId="05E2ABC8" w:rsidR="00F464D9" w:rsidRPr="00F83B6E" w:rsidRDefault="00CE4665" w:rsidP="007808A7">
      <w:pPr>
        <w:pStyle w:val="TOC1"/>
        <w:rPr>
          <w:rFonts w:eastAsiaTheme="minorEastAsia"/>
          <w:color w:val="000000" w:themeColor="text1"/>
          <w:sz w:val="24"/>
          <w:szCs w:val="24"/>
          <w:lang w:val="fr-FR" w:eastAsia="en-GB"/>
        </w:rPr>
      </w:pPr>
      <w:r w:rsidRPr="00F83B6E">
        <w:rPr>
          <w:color w:val="000000" w:themeColor="text1"/>
        </w:rPr>
        <w:fldChar w:fldCharType="begin"/>
      </w:r>
      <w:r w:rsidRPr="00F83B6E">
        <w:rPr>
          <w:color w:val="000000" w:themeColor="text1"/>
          <w:lang w:val="fr-FR"/>
        </w:rPr>
        <w:instrText xml:space="preserve"> TOC \t "Annex heading 2,2,Annex heading 1,1" </w:instrText>
      </w:r>
      <w:r w:rsidRPr="00F83B6E">
        <w:rPr>
          <w:color w:val="000000" w:themeColor="text1"/>
        </w:rPr>
        <w:fldChar w:fldCharType="separate"/>
      </w:r>
    </w:p>
    <w:p w14:paraId="298945FC" w14:textId="68D25257" w:rsidR="00F464D9" w:rsidRPr="00F83B6E" w:rsidRDefault="00F464D9" w:rsidP="007808A7">
      <w:pPr>
        <w:pStyle w:val="TOC1"/>
        <w:rPr>
          <w:color w:val="000000" w:themeColor="text1"/>
          <w:lang w:val="en-AU" w:eastAsia="en-GB"/>
        </w:rPr>
      </w:pPr>
    </w:p>
    <w:p w14:paraId="6A2FFF6D" w14:textId="77777777" w:rsidR="00CE4665" w:rsidRPr="00F83B6E" w:rsidRDefault="00CE4665" w:rsidP="00CE4665">
      <w:pPr>
        <w:suppressAutoHyphens w:val="0"/>
        <w:spacing w:after="120" w:line="440" w:lineRule="atLeast"/>
        <w:rPr>
          <w:rFonts w:ascii="Arial" w:eastAsia="Times New Roman" w:hAnsi="Arial" w:cs="Arial"/>
          <w:b/>
          <w:bCs/>
          <w:color w:val="000000" w:themeColor="text1"/>
          <w:sz w:val="24"/>
          <w:szCs w:val="24"/>
          <w:lang w:val="en-AU" w:eastAsia="en-GB"/>
        </w:rPr>
      </w:pPr>
      <w:r w:rsidRPr="00F83B6E">
        <w:rPr>
          <w:color w:val="000000" w:themeColor="text1"/>
        </w:rPr>
        <w:fldChar w:fldCharType="end"/>
      </w:r>
      <w:r w:rsidRPr="00F83B6E">
        <w:rPr>
          <w:color w:val="000000" w:themeColor="text1"/>
        </w:rPr>
        <w:br w:type="page"/>
      </w:r>
    </w:p>
    <w:p w14:paraId="77B5CC29" w14:textId="7E7AF5C9" w:rsidR="00A32858" w:rsidRPr="00F83B6E" w:rsidRDefault="00566889" w:rsidP="00F56C17">
      <w:pPr>
        <w:pStyle w:val="Heading1"/>
        <w:spacing w:line="281" w:lineRule="auto"/>
        <w:rPr>
          <w:color w:val="000000" w:themeColor="text1"/>
        </w:rPr>
      </w:pPr>
      <w:bookmarkStart w:id="2" w:name="_Toc146528276"/>
      <w:r w:rsidRPr="00F83B6E">
        <w:rPr>
          <w:color w:val="000000" w:themeColor="text1"/>
        </w:rPr>
        <w:lastRenderedPageBreak/>
        <w:t>Context</w:t>
      </w:r>
      <w:r w:rsidR="00E36537" w:rsidRPr="00F83B6E">
        <w:rPr>
          <w:color w:val="000000" w:themeColor="text1"/>
        </w:rPr>
        <w:t>, Strategic Intent,</w:t>
      </w:r>
      <w:r w:rsidRPr="00F83B6E">
        <w:rPr>
          <w:color w:val="000000" w:themeColor="text1"/>
        </w:rPr>
        <w:t xml:space="preserve"> and Rationale</w:t>
      </w:r>
      <w:bookmarkEnd w:id="2"/>
    </w:p>
    <w:p w14:paraId="252E474C" w14:textId="6AB4352F" w:rsidR="00F84B63" w:rsidRPr="00F83B6E" w:rsidRDefault="00802194" w:rsidP="00F27241">
      <w:pPr>
        <w:pStyle w:val="Heading2"/>
        <w:rPr>
          <w:color w:val="000000" w:themeColor="text1"/>
        </w:rPr>
      </w:pPr>
      <w:bookmarkStart w:id="3" w:name="_Toc146528277"/>
      <w:r w:rsidRPr="00F83B6E">
        <w:rPr>
          <w:color w:val="000000" w:themeColor="text1"/>
        </w:rPr>
        <w:t>The Indonesian</w:t>
      </w:r>
      <w:r w:rsidR="006707A3" w:rsidRPr="00F83B6E">
        <w:rPr>
          <w:color w:val="000000" w:themeColor="text1"/>
        </w:rPr>
        <w:t xml:space="preserve"> </w:t>
      </w:r>
      <w:r w:rsidR="00D41E17" w:rsidRPr="00F83B6E">
        <w:rPr>
          <w:color w:val="000000" w:themeColor="text1"/>
        </w:rPr>
        <w:t xml:space="preserve">development </w:t>
      </w:r>
      <w:r w:rsidR="00C16A9F" w:rsidRPr="00F83B6E">
        <w:rPr>
          <w:color w:val="000000" w:themeColor="text1"/>
        </w:rPr>
        <w:t>context</w:t>
      </w:r>
      <w:bookmarkEnd w:id="3"/>
      <w:r w:rsidR="00F54810" w:rsidRPr="00F83B6E">
        <w:rPr>
          <w:color w:val="000000" w:themeColor="text1"/>
        </w:rPr>
        <w:t xml:space="preserve"> </w:t>
      </w:r>
    </w:p>
    <w:p w14:paraId="1C5315BA" w14:textId="398D689A" w:rsidR="002F4D39" w:rsidRPr="00F83B6E" w:rsidRDefault="00F84B63" w:rsidP="00B91543">
      <w:pPr>
        <w:pStyle w:val="BodyText"/>
        <w:rPr>
          <w:color w:val="000000" w:themeColor="text1"/>
        </w:rPr>
      </w:pPr>
      <w:r w:rsidRPr="00F83B6E">
        <w:rPr>
          <w:color w:val="000000" w:themeColor="text1"/>
        </w:rPr>
        <w:t xml:space="preserve">The Indonesian economy is the largest in Southeast Asia and the </w:t>
      </w:r>
      <w:r w:rsidR="00316A62" w:rsidRPr="00F83B6E">
        <w:rPr>
          <w:color w:val="000000" w:themeColor="text1"/>
        </w:rPr>
        <w:t>ten</w:t>
      </w:r>
      <w:r w:rsidRPr="00F83B6E">
        <w:rPr>
          <w:color w:val="000000" w:themeColor="text1"/>
        </w:rPr>
        <w:t xml:space="preserve">th largest in the world in terms of purchasing power parity. </w:t>
      </w:r>
      <w:r w:rsidR="002F4D39" w:rsidRPr="00F83B6E">
        <w:rPr>
          <w:color w:val="000000" w:themeColor="text1"/>
        </w:rPr>
        <w:t>It is characterised</w:t>
      </w:r>
      <w:r w:rsidR="00BF156A" w:rsidRPr="00F83B6E">
        <w:rPr>
          <w:color w:val="000000" w:themeColor="text1"/>
        </w:rPr>
        <w:t xml:space="preserve"> by</w:t>
      </w:r>
      <w:r w:rsidR="002F4D39" w:rsidRPr="00F83B6E">
        <w:rPr>
          <w:color w:val="000000" w:themeColor="text1"/>
        </w:rPr>
        <w:t xml:space="preserve"> a strong</w:t>
      </w:r>
      <w:r w:rsidRPr="00F83B6E">
        <w:rPr>
          <w:color w:val="000000" w:themeColor="text1"/>
        </w:rPr>
        <w:t xml:space="preserve"> services</w:t>
      </w:r>
      <w:r w:rsidR="002F4D39" w:rsidRPr="00F83B6E">
        <w:rPr>
          <w:color w:val="000000" w:themeColor="text1"/>
        </w:rPr>
        <w:t xml:space="preserve"> sector</w:t>
      </w:r>
      <w:r w:rsidRPr="00F83B6E">
        <w:rPr>
          <w:color w:val="000000" w:themeColor="text1"/>
        </w:rPr>
        <w:t>, a declining agriculture sector, and a growing industry and manufacturing sector. Over the past two decades since the shock of the Asian economic crisis, Indonesia has achieved steady economic growth of around five percent</w:t>
      </w:r>
      <w:r w:rsidR="002F4D39" w:rsidRPr="00F83B6E">
        <w:rPr>
          <w:color w:val="000000" w:themeColor="text1"/>
        </w:rPr>
        <w:t xml:space="preserve"> per annum</w:t>
      </w:r>
      <w:r w:rsidRPr="00F83B6E">
        <w:rPr>
          <w:color w:val="000000" w:themeColor="text1"/>
        </w:rPr>
        <w:t xml:space="preserve">. </w:t>
      </w:r>
      <w:r w:rsidR="008206B5" w:rsidRPr="00F83B6E">
        <w:rPr>
          <w:color w:val="000000" w:themeColor="text1"/>
        </w:rPr>
        <w:t>Social welfare has improved overall, wit</w:t>
      </w:r>
      <w:r w:rsidR="00367EEE" w:rsidRPr="00F83B6E">
        <w:rPr>
          <w:color w:val="000000" w:themeColor="text1"/>
        </w:rPr>
        <w:t>h</w:t>
      </w:r>
      <w:r w:rsidR="008206B5" w:rsidRPr="00F83B6E">
        <w:rPr>
          <w:color w:val="000000" w:themeColor="text1"/>
        </w:rPr>
        <w:t xml:space="preserve"> the poverty rate falling from 23.4 percent in 1999 to below 10 percent in 2021.</w:t>
      </w:r>
      <w:r w:rsidRPr="00F83B6E">
        <w:rPr>
          <w:color w:val="000000" w:themeColor="text1"/>
        </w:rPr>
        <w:t xml:space="preserve"> </w:t>
      </w:r>
      <w:bookmarkStart w:id="4" w:name="_Hlk107219185"/>
      <w:r w:rsidR="002F4D39" w:rsidRPr="00F83B6E">
        <w:rPr>
          <w:color w:val="000000" w:themeColor="text1"/>
        </w:rPr>
        <w:t>Though the fall-out of the COVID-19 pandemic has meant the national G</w:t>
      </w:r>
      <w:r w:rsidR="00BB1045" w:rsidRPr="00F83B6E">
        <w:rPr>
          <w:color w:val="000000" w:themeColor="text1"/>
        </w:rPr>
        <w:t xml:space="preserve">ross </w:t>
      </w:r>
      <w:r w:rsidR="002F4D39" w:rsidRPr="00F83B6E">
        <w:rPr>
          <w:color w:val="000000" w:themeColor="text1"/>
        </w:rPr>
        <w:t>D</w:t>
      </w:r>
      <w:r w:rsidR="00BB1045" w:rsidRPr="00F83B6E">
        <w:rPr>
          <w:color w:val="000000" w:themeColor="text1"/>
        </w:rPr>
        <w:t xml:space="preserve">omestic </w:t>
      </w:r>
      <w:r w:rsidR="002F4D39" w:rsidRPr="00F83B6E">
        <w:rPr>
          <w:color w:val="000000" w:themeColor="text1"/>
        </w:rPr>
        <w:t>P</w:t>
      </w:r>
      <w:r w:rsidR="00BB1045" w:rsidRPr="00F83B6E">
        <w:rPr>
          <w:color w:val="000000" w:themeColor="text1"/>
        </w:rPr>
        <w:t>roduct (GDP)</w:t>
      </w:r>
      <w:r w:rsidR="002F4D39" w:rsidRPr="00F83B6E">
        <w:rPr>
          <w:color w:val="000000" w:themeColor="text1"/>
        </w:rPr>
        <w:t xml:space="preserve"> contracted 2.7</w:t>
      </w:r>
      <w:r w:rsidR="007B4690" w:rsidRPr="00F83B6E">
        <w:rPr>
          <w:color w:val="000000" w:themeColor="text1"/>
        </w:rPr>
        <w:t xml:space="preserve"> percent </w:t>
      </w:r>
      <w:r w:rsidR="002F4D39" w:rsidRPr="00F83B6E">
        <w:rPr>
          <w:color w:val="000000" w:themeColor="text1"/>
        </w:rPr>
        <w:t xml:space="preserve">in 2020 </w:t>
      </w:r>
      <w:r w:rsidR="00A91DFD" w:rsidRPr="00F83B6E">
        <w:rPr>
          <w:color w:val="000000" w:themeColor="text1"/>
        </w:rPr>
        <w:t>(</w:t>
      </w:r>
      <w:r w:rsidR="002F4D39" w:rsidRPr="00F83B6E">
        <w:rPr>
          <w:color w:val="000000" w:themeColor="text1"/>
        </w:rPr>
        <w:t>and the country dropped from upper</w:t>
      </w:r>
      <w:r w:rsidR="002741E6" w:rsidRPr="00F83B6E">
        <w:rPr>
          <w:color w:val="000000" w:themeColor="text1"/>
        </w:rPr>
        <w:t>-</w:t>
      </w:r>
      <w:r w:rsidR="00BB1045" w:rsidRPr="00F83B6E">
        <w:rPr>
          <w:color w:val="000000" w:themeColor="text1"/>
        </w:rPr>
        <w:t>middle back</w:t>
      </w:r>
      <w:r w:rsidR="002F4D39" w:rsidRPr="00F83B6E">
        <w:rPr>
          <w:color w:val="000000" w:themeColor="text1"/>
        </w:rPr>
        <w:t xml:space="preserve"> to middle income status), the economy went on to grow </w:t>
      </w:r>
      <w:r w:rsidR="000D1497" w:rsidRPr="00F83B6E">
        <w:rPr>
          <w:color w:val="000000" w:themeColor="text1"/>
        </w:rPr>
        <w:t xml:space="preserve">at </w:t>
      </w:r>
      <w:r w:rsidR="002F4D39" w:rsidRPr="00F83B6E">
        <w:rPr>
          <w:color w:val="000000" w:themeColor="text1"/>
        </w:rPr>
        <w:t>an estimated 3.7 percent in 2021</w:t>
      </w:r>
      <w:r w:rsidR="00A91DFD" w:rsidRPr="00F83B6E">
        <w:rPr>
          <w:rStyle w:val="FootnoteReference"/>
          <w:color w:val="000000" w:themeColor="text1"/>
        </w:rPr>
        <w:footnoteReference w:id="1"/>
      </w:r>
      <w:r w:rsidR="002F4D39" w:rsidRPr="00F83B6E">
        <w:rPr>
          <w:color w:val="000000" w:themeColor="text1"/>
        </w:rPr>
        <w:t xml:space="preserve"> and is forecasted to grow by 5.1 percent in 2022.</w:t>
      </w:r>
      <w:r w:rsidR="00A91DFD" w:rsidRPr="00F83B6E">
        <w:rPr>
          <w:rStyle w:val="FootnoteReference"/>
          <w:color w:val="000000" w:themeColor="text1"/>
        </w:rPr>
        <w:footnoteReference w:id="2"/>
      </w:r>
      <w:r w:rsidR="002F4D39" w:rsidRPr="00F83B6E">
        <w:rPr>
          <w:color w:val="000000" w:themeColor="text1"/>
        </w:rPr>
        <w:t xml:space="preserve"> </w:t>
      </w:r>
      <w:bookmarkEnd w:id="4"/>
    </w:p>
    <w:p w14:paraId="418199A0" w14:textId="2C5B5256" w:rsidR="00295198" w:rsidRPr="00F83B6E" w:rsidRDefault="00E742FD" w:rsidP="00B91543">
      <w:pPr>
        <w:pStyle w:val="BodyText"/>
        <w:rPr>
          <w:color w:val="000000" w:themeColor="text1"/>
        </w:rPr>
      </w:pPr>
      <w:r w:rsidRPr="00F83B6E">
        <w:rPr>
          <w:color w:val="000000" w:themeColor="text1"/>
        </w:rPr>
        <w:t xml:space="preserve">Conversely the </w:t>
      </w:r>
      <w:r w:rsidR="00295198" w:rsidRPr="00F83B6E">
        <w:rPr>
          <w:color w:val="000000" w:themeColor="text1"/>
        </w:rPr>
        <w:t xml:space="preserve">COVID-19 pandemic has </w:t>
      </w:r>
      <w:r w:rsidRPr="00F83B6E">
        <w:rPr>
          <w:color w:val="000000" w:themeColor="text1"/>
        </w:rPr>
        <w:t xml:space="preserve">in some ways </w:t>
      </w:r>
      <w:r w:rsidR="00295198" w:rsidRPr="00F83B6E">
        <w:rPr>
          <w:color w:val="000000" w:themeColor="text1"/>
        </w:rPr>
        <w:t>accelerated, and influenced, Indonesia’s desired economic transition. According to the World Bank, sectors related to the digital economy - many of which are compatible with remote-working arrangements more amenable to people with disability, with family care responsibilities, and</w:t>
      </w:r>
      <w:r w:rsidR="007A43E0" w:rsidRPr="00F83B6E">
        <w:rPr>
          <w:color w:val="000000" w:themeColor="text1"/>
        </w:rPr>
        <w:t>/or</w:t>
      </w:r>
      <w:r w:rsidR="00295198" w:rsidRPr="00F83B6E">
        <w:rPr>
          <w:color w:val="000000" w:themeColor="text1"/>
        </w:rPr>
        <w:t xml:space="preserve"> in remote areas - are likely to grow even faster</w:t>
      </w:r>
      <w:r w:rsidRPr="00F83B6E">
        <w:rPr>
          <w:color w:val="000000" w:themeColor="text1"/>
        </w:rPr>
        <w:t xml:space="preserve"> as a result of pandemic movement restrictions</w:t>
      </w:r>
      <w:r w:rsidR="00295198" w:rsidRPr="00F83B6E">
        <w:rPr>
          <w:color w:val="000000" w:themeColor="text1"/>
        </w:rPr>
        <w:t>.</w:t>
      </w:r>
      <w:r w:rsidR="00295198" w:rsidRPr="00F83B6E">
        <w:rPr>
          <w:color w:val="000000" w:themeColor="text1"/>
          <w:vertAlign w:val="superscript"/>
        </w:rPr>
        <w:footnoteReference w:id="3"/>
      </w:r>
      <w:r w:rsidR="00295198" w:rsidRPr="00F83B6E">
        <w:rPr>
          <w:color w:val="000000" w:themeColor="text1"/>
        </w:rPr>
        <w:t xml:space="preserve"> The COVID-19 recovery context has also increased the appreciation and demand among Indonesian policymakers for evidence-informed policy and innovation, something that is expected to continue. </w:t>
      </w:r>
    </w:p>
    <w:p w14:paraId="1D0D6BDA" w14:textId="3FE3F0F3" w:rsidR="00F84B63" w:rsidRPr="00F83B6E" w:rsidRDefault="00F84B63" w:rsidP="00B91543">
      <w:pPr>
        <w:pStyle w:val="BodyText"/>
        <w:rPr>
          <w:color w:val="000000" w:themeColor="text1"/>
        </w:rPr>
      </w:pPr>
      <w:r w:rsidRPr="00F83B6E">
        <w:rPr>
          <w:color w:val="000000" w:themeColor="text1"/>
        </w:rPr>
        <w:t xml:space="preserve">While Indonesia’s </w:t>
      </w:r>
      <w:r w:rsidR="00E742FD" w:rsidRPr="00F83B6E">
        <w:rPr>
          <w:color w:val="000000" w:themeColor="text1"/>
        </w:rPr>
        <w:t xml:space="preserve">national </w:t>
      </w:r>
      <w:r w:rsidRPr="00F83B6E">
        <w:rPr>
          <w:color w:val="000000" w:themeColor="text1"/>
        </w:rPr>
        <w:t xml:space="preserve">poverty </w:t>
      </w:r>
      <w:r w:rsidR="00E742FD" w:rsidRPr="00F83B6E">
        <w:rPr>
          <w:color w:val="000000" w:themeColor="text1"/>
        </w:rPr>
        <w:t xml:space="preserve">rate </w:t>
      </w:r>
      <w:r w:rsidRPr="00F83B6E">
        <w:rPr>
          <w:color w:val="000000" w:themeColor="text1"/>
        </w:rPr>
        <w:t>has been declining along with economic growth, inequality has</w:t>
      </w:r>
      <w:r w:rsidR="007A43E0" w:rsidRPr="00F83B6E">
        <w:rPr>
          <w:color w:val="000000" w:themeColor="text1"/>
        </w:rPr>
        <w:t xml:space="preserve"> </w:t>
      </w:r>
      <w:r w:rsidRPr="00F83B6E">
        <w:rPr>
          <w:color w:val="000000" w:themeColor="text1"/>
        </w:rPr>
        <w:t>been rising, with the Gini coefficient at 0.37</w:t>
      </w:r>
      <w:r w:rsidR="002F4D39" w:rsidRPr="00F83B6E">
        <w:rPr>
          <w:color w:val="000000" w:themeColor="text1"/>
        </w:rPr>
        <w:t xml:space="preserve"> in 2021</w:t>
      </w:r>
      <w:r w:rsidRPr="00F83B6E">
        <w:rPr>
          <w:color w:val="000000" w:themeColor="text1"/>
        </w:rPr>
        <w:t xml:space="preserve">, compared to 0.29 </w:t>
      </w:r>
      <w:r w:rsidR="007D5CA8" w:rsidRPr="00F83B6E">
        <w:rPr>
          <w:color w:val="000000" w:themeColor="text1"/>
        </w:rPr>
        <w:t>in 2001</w:t>
      </w:r>
      <w:r w:rsidRPr="00F83B6E">
        <w:rPr>
          <w:color w:val="000000" w:themeColor="text1"/>
        </w:rPr>
        <w:t>.</w:t>
      </w:r>
      <w:r w:rsidRPr="00F83B6E">
        <w:rPr>
          <w:rStyle w:val="FootnoteReference"/>
          <w:color w:val="000000" w:themeColor="text1"/>
        </w:rPr>
        <w:footnoteReference w:id="4"/>
      </w:r>
      <w:r w:rsidRPr="00F83B6E">
        <w:rPr>
          <w:rStyle w:val="FootnoteReference"/>
          <w:color w:val="000000" w:themeColor="text1"/>
        </w:rPr>
        <w:t xml:space="preserve"> </w:t>
      </w:r>
      <w:r w:rsidRPr="00F83B6E">
        <w:rPr>
          <w:color w:val="000000" w:themeColor="text1"/>
        </w:rPr>
        <w:t>Inequalities are found between households</w:t>
      </w:r>
      <w:r w:rsidR="007D5CA8" w:rsidRPr="00F83B6E">
        <w:rPr>
          <w:color w:val="000000" w:themeColor="text1"/>
        </w:rPr>
        <w:t xml:space="preserve"> in the same location as well as between regions</w:t>
      </w:r>
      <w:r w:rsidRPr="00F83B6E">
        <w:rPr>
          <w:color w:val="000000" w:themeColor="text1"/>
        </w:rPr>
        <w:t xml:space="preserve">, with </w:t>
      </w:r>
      <w:r w:rsidR="007D5CA8" w:rsidRPr="00F83B6E">
        <w:rPr>
          <w:color w:val="000000" w:themeColor="text1"/>
        </w:rPr>
        <w:t xml:space="preserve">the </w:t>
      </w:r>
      <w:r w:rsidRPr="00F83B6E">
        <w:rPr>
          <w:color w:val="000000" w:themeColor="text1"/>
        </w:rPr>
        <w:t xml:space="preserve">eastern provinces generally </w:t>
      </w:r>
      <w:r w:rsidR="007D5CA8" w:rsidRPr="00F83B6E">
        <w:rPr>
          <w:color w:val="000000" w:themeColor="text1"/>
        </w:rPr>
        <w:t xml:space="preserve">benefiting less from economic growth </w:t>
      </w:r>
      <w:r w:rsidRPr="00F83B6E">
        <w:rPr>
          <w:color w:val="000000" w:themeColor="text1"/>
        </w:rPr>
        <w:t>than those</w:t>
      </w:r>
      <w:r w:rsidR="002F4D39" w:rsidRPr="00F83B6E">
        <w:rPr>
          <w:color w:val="000000" w:themeColor="text1"/>
        </w:rPr>
        <w:t xml:space="preserve"> located in the western part of the country</w:t>
      </w:r>
      <w:r w:rsidRPr="00F83B6E">
        <w:rPr>
          <w:color w:val="000000" w:themeColor="text1"/>
        </w:rPr>
        <w:t xml:space="preserve">. Significant gender inequalities also remain, particularly in </w:t>
      </w:r>
      <w:r w:rsidR="007D5CA8" w:rsidRPr="00F83B6E">
        <w:rPr>
          <w:color w:val="000000" w:themeColor="text1"/>
        </w:rPr>
        <w:t>terms</w:t>
      </w:r>
      <w:r w:rsidRPr="00F83B6E">
        <w:rPr>
          <w:color w:val="000000" w:themeColor="text1"/>
        </w:rPr>
        <w:t xml:space="preserve"> of economic participation and opportunity</w:t>
      </w:r>
      <w:r w:rsidR="003E5852" w:rsidRPr="00F83B6E">
        <w:rPr>
          <w:color w:val="000000" w:themeColor="text1"/>
        </w:rPr>
        <w:t xml:space="preserve">, leadership, and </w:t>
      </w:r>
      <w:r w:rsidRPr="00F83B6E">
        <w:rPr>
          <w:color w:val="000000" w:themeColor="text1"/>
        </w:rPr>
        <w:t>political representation</w:t>
      </w:r>
      <w:r w:rsidR="003E5852" w:rsidRPr="00F83B6E">
        <w:rPr>
          <w:color w:val="000000" w:themeColor="text1"/>
        </w:rPr>
        <w:t>.</w:t>
      </w:r>
      <w:r w:rsidRPr="00F83B6E">
        <w:rPr>
          <w:color w:val="000000" w:themeColor="text1"/>
        </w:rPr>
        <w:t xml:space="preserve"> </w:t>
      </w:r>
      <w:r w:rsidR="002741E6" w:rsidRPr="00F83B6E">
        <w:rPr>
          <w:color w:val="000000" w:themeColor="text1"/>
        </w:rPr>
        <w:t xml:space="preserve">For instance, female participation in the labour force is only 50 – 52 percent, while male more than 80%.  </w:t>
      </w:r>
    </w:p>
    <w:p w14:paraId="2EA10EB8" w14:textId="314AD299" w:rsidR="00C16C74" w:rsidRPr="00F83B6E" w:rsidRDefault="00C16C74" w:rsidP="00B91543">
      <w:pPr>
        <w:pStyle w:val="BodyText"/>
        <w:rPr>
          <w:color w:val="000000" w:themeColor="text1"/>
        </w:rPr>
      </w:pPr>
      <w:r w:rsidRPr="00F83B6E">
        <w:rPr>
          <w:color w:val="000000" w:themeColor="text1"/>
        </w:rPr>
        <w:t>Indonesia’s Vision 2045, launched by President Joko Widodo in May 2019, sets the goal for Indonesia to become a high income developed country</w:t>
      </w:r>
      <w:r w:rsidR="007D5CA8" w:rsidRPr="00F83B6E">
        <w:rPr>
          <w:rStyle w:val="FootnoteReference"/>
          <w:color w:val="000000" w:themeColor="text1"/>
        </w:rPr>
        <w:footnoteReference w:id="5"/>
      </w:r>
      <w:r w:rsidRPr="00F83B6E">
        <w:rPr>
          <w:color w:val="000000" w:themeColor="text1"/>
        </w:rPr>
        <w:t xml:space="preserve"> by the centenary of its independence (2045), transitioning from an agriculture and </w:t>
      </w:r>
      <w:r w:rsidR="007B2D79" w:rsidRPr="00F83B6E">
        <w:rPr>
          <w:color w:val="000000" w:themeColor="text1"/>
        </w:rPr>
        <w:t>resource</w:t>
      </w:r>
      <w:r w:rsidRPr="00F83B6E">
        <w:rPr>
          <w:color w:val="000000" w:themeColor="text1"/>
        </w:rPr>
        <w:t xml:space="preserve">-based developing country to an advanced industrial, service and technology-based developed </w:t>
      </w:r>
      <w:r w:rsidR="007B2D79" w:rsidRPr="00F83B6E">
        <w:rPr>
          <w:color w:val="000000" w:themeColor="text1"/>
        </w:rPr>
        <w:t>nation</w:t>
      </w:r>
      <w:r w:rsidRPr="00F83B6E">
        <w:rPr>
          <w:color w:val="000000" w:themeColor="text1"/>
        </w:rPr>
        <w:t xml:space="preserve">. To achieve this, four pillars are prioritised: </w:t>
      </w:r>
      <w:proofErr w:type="spellStart"/>
      <w:r w:rsidRPr="00F83B6E">
        <w:rPr>
          <w:color w:val="000000" w:themeColor="text1"/>
        </w:rPr>
        <w:t>i</w:t>
      </w:r>
      <w:proofErr w:type="spellEnd"/>
      <w:r w:rsidRPr="00F83B6E">
        <w:rPr>
          <w:color w:val="000000" w:themeColor="text1"/>
        </w:rPr>
        <w:t>) human development and the mastery of science and technology; ii) sustainable economic development; iii) equitable development; and iv) national resilience and governance. The second and third pillars of Vision 2045 are further detailed in the economic transformation strategy</w:t>
      </w:r>
      <w:r w:rsidR="007D5CA8" w:rsidRPr="00F83B6E">
        <w:rPr>
          <w:color w:val="000000" w:themeColor="text1"/>
        </w:rPr>
        <w:t xml:space="preserve"> drafted</w:t>
      </w:r>
      <w:r w:rsidRPr="00F83B6E">
        <w:rPr>
          <w:color w:val="000000" w:themeColor="text1"/>
        </w:rPr>
        <w:t xml:space="preserve"> by the National Development Planning Agency (</w:t>
      </w:r>
      <w:r w:rsidR="008206B5" w:rsidRPr="00F83B6E">
        <w:rPr>
          <w:color w:val="000000" w:themeColor="text1"/>
        </w:rPr>
        <w:t>BAPPENAS</w:t>
      </w:r>
      <w:r w:rsidRPr="00F83B6E">
        <w:rPr>
          <w:color w:val="000000" w:themeColor="text1"/>
        </w:rPr>
        <w:t>) in 2020</w:t>
      </w:r>
      <w:r w:rsidR="007D5CA8" w:rsidRPr="00F83B6E">
        <w:rPr>
          <w:color w:val="000000" w:themeColor="text1"/>
        </w:rPr>
        <w:t xml:space="preserve"> </w:t>
      </w:r>
      <w:r w:rsidR="00784342" w:rsidRPr="00F83B6E">
        <w:rPr>
          <w:color w:val="000000" w:themeColor="text1"/>
        </w:rPr>
        <w:t>and</w:t>
      </w:r>
      <w:r w:rsidR="007D5CA8" w:rsidRPr="00F83B6E">
        <w:rPr>
          <w:color w:val="000000" w:themeColor="text1"/>
        </w:rPr>
        <w:t xml:space="preserve"> comprising six agendas: competitive human resources through better health and education services, research and innovation; economic sector productivity through industrialisation, </w:t>
      </w:r>
      <w:r w:rsidR="008206B5" w:rsidRPr="00F83B6E">
        <w:rPr>
          <w:color w:val="000000" w:themeColor="text1"/>
        </w:rPr>
        <w:t xml:space="preserve">micro, small and medium-sized enterprise (MSME) </w:t>
      </w:r>
      <w:r w:rsidR="007D5CA8" w:rsidRPr="00F83B6E">
        <w:rPr>
          <w:color w:val="000000" w:themeColor="text1"/>
        </w:rPr>
        <w:t xml:space="preserve">productivity and agricultural modernisation; green economy through low-carbon development, the blue economy and energy transition; digital transformation through building digital infrastructure and digitisation of governance and the economy; domestic economic integration including infrastructure for connectivity, sea and air hubs and improving domestic value chains; and capital city relocation as a new source of growth and balancing regional economic growth. The economic </w:t>
      </w:r>
      <w:r w:rsidR="007D5CA8" w:rsidRPr="00F83B6E">
        <w:rPr>
          <w:color w:val="000000" w:themeColor="text1"/>
        </w:rPr>
        <w:lastRenderedPageBreak/>
        <w:t xml:space="preserve">transformation strategy </w:t>
      </w:r>
      <w:r w:rsidR="00E07EA8" w:rsidRPr="00F83B6E">
        <w:rPr>
          <w:color w:val="000000" w:themeColor="text1"/>
        </w:rPr>
        <w:t>builds on the targets</w:t>
      </w:r>
      <w:r w:rsidR="007D5CA8" w:rsidRPr="00F83B6E">
        <w:rPr>
          <w:color w:val="000000" w:themeColor="text1"/>
        </w:rPr>
        <w:t xml:space="preserve"> of Indonesia’s National Medium-Term Development Plan (RPJMN) for 2020-2024 that</w:t>
      </w:r>
      <w:r w:rsidRPr="00F83B6E">
        <w:rPr>
          <w:color w:val="000000" w:themeColor="text1"/>
        </w:rPr>
        <w:t xml:space="preserve"> </w:t>
      </w:r>
      <w:r w:rsidR="00E07EA8" w:rsidRPr="00F83B6E">
        <w:rPr>
          <w:color w:val="000000" w:themeColor="text1"/>
        </w:rPr>
        <w:t>emphasises</w:t>
      </w:r>
      <w:r w:rsidRPr="00F83B6E">
        <w:rPr>
          <w:color w:val="000000" w:themeColor="text1"/>
        </w:rPr>
        <w:t xml:space="preserve"> </w:t>
      </w:r>
      <w:r w:rsidR="00E07EA8" w:rsidRPr="00F83B6E">
        <w:rPr>
          <w:color w:val="000000" w:themeColor="text1"/>
        </w:rPr>
        <w:t>Indonesia’s</w:t>
      </w:r>
      <w:r w:rsidRPr="00F83B6E">
        <w:rPr>
          <w:color w:val="000000" w:themeColor="text1"/>
        </w:rPr>
        <w:t xml:space="preserve"> commitment to the Sustainable Development Goals and includes strategies to increase the ‘knowledge and understanding of individuals, families, communities, community institutions, mass media, and private sectors’, and to enhance ‘networks and coordination’ among various actors. </w:t>
      </w:r>
    </w:p>
    <w:p w14:paraId="0A696535" w14:textId="7FA7D929" w:rsidR="00752DDA" w:rsidRPr="00F83B6E" w:rsidRDefault="00752DDA" w:rsidP="00F27241">
      <w:pPr>
        <w:pStyle w:val="Heading2"/>
        <w:rPr>
          <w:color w:val="000000" w:themeColor="text1"/>
        </w:rPr>
      </w:pPr>
      <w:bookmarkStart w:id="5" w:name="_Toc146528278"/>
      <w:r w:rsidRPr="00F83B6E">
        <w:rPr>
          <w:color w:val="000000" w:themeColor="text1"/>
        </w:rPr>
        <w:t>Indonesia’s knowledge and innovation sector</w:t>
      </w:r>
      <w:bookmarkEnd w:id="5"/>
    </w:p>
    <w:p w14:paraId="7AB56ACA" w14:textId="369F3A3C" w:rsidR="00AF7669" w:rsidRPr="00F83B6E" w:rsidRDefault="00D21EB2" w:rsidP="00B91543">
      <w:pPr>
        <w:pStyle w:val="BodyText"/>
        <w:rPr>
          <w:color w:val="000000" w:themeColor="text1"/>
        </w:rPr>
      </w:pPr>
      <w:r w:rsidRPr="00F83B6E">
        <w:rPr>
          <w:color w:val="000000" w:themeColor="text1"/>
        </w:rPr>
        <w:t xml:space="preserve">As </w:t>
      </w:r>
      <w:r w:rsidR="00B40D51" w:rsidRPr="00F83B6E">
        <w:rPr>
          <w:color w:val="000000" w:themeColor="text1"/>
        </w:rPr>
        <w:t xml:space="preserve">acknowledged </w:t>
      </w:r>
      <w:r w:rsidRPr="00F83B6E">
        <w:rPr>
          <w:color w:val="000000" w:themeColor="text1"/>
        </w:rPr>
        <w:t xml:space="preserve">by </w:t>
      </w:r>
      <w:proofErr w:type="spellStart"/>
      <w:r w:rsidRPr="00F83B6E">
        <w:rPr>
          <w:color w:val="000000" w:themeColor="text1"/>
        </w:rPr>
        <w:t>GoI</w:t>
      </w:r>
      <w:proofErr w:type="spellEnd"/>
      <w:r w:rsidRPr="00F83B6E">
        <w:rPr>
          <w:color w:val="000000" w:themeColor="text1"/>
        </w:rPr>
        <w:t xml:space="preserve">, Indonesia’s economic transformation requires an accelerated transition to a knowledge and innovation-based economy as a means of improving productivity and competitiveness. </w:t>
      </w:r>
      <w:r w:rsidR="00752DDA" w:rsidRPr="00F83B6E">
        <w:rPr>
          <w:color w:val="000000" w:themeColor="text1"/>
        </w:rPr>
        <w:t>The Ministry of Finance identifies the limited technological sophistication of Indonesia’s industries as a factor constraining Indonesia’s economic performance,</w:t>
      </w:r>
      <w:r w:rsidR="0036234A" w:rsidRPr="00F83B6E">
        <w:rPr>
          <w:color w:val="000000" w:themeColor="text1"/>
        </w:rPr>
        <w:t xml:space="preserve"> </w:t>
      </w:r>
      <w:r w:rsidR="00752DDA" w:rsidRPr="00F83B6E">
        <w:rPr>
          <w:color w:val="000000" w:themeColor="text1"/>
        </w:rPr>
        <w:t>and references economic thinking that ‘</w:t>
      </w:r>
      <w:r w:rsidR="00752DDA" w:rsidRPr="00F83B6E">
        <w:rPr>
          <w:i/>
          <w:iCs/>
          <w:color w:val="000000" w:themeColor="text1"/>
        </w:rPr>
        <w:t xml:space="preserve">reaching the status of an advanced economy is possible only through </w:t>
      </w:r>
      <w:r w:rsidR="00752DDA" w:rsidRPr="00F83B6E">
        <w:rPr>
          <w:color w:val="000000" w:themeColor="text1"/>
        </w:rPr>
        <w:t>innovation’.</w:t>
      </w:r>
      <w:r w:rsidR="00752DDA" w:rsidRPr="00F83B6E">
        <w:rPr>
          <w:rStyle w:val="FootnoteReference"/>
          <w:color w:val="000000" w:themeColor="text1"/>
        </w:rPr>
        <w:footnoteReference w:id="6"/>
      </w:r>
      <w:r w:rsidR="008C00D8" w:rsidRPr="00F83B6E">
        <w:rPr>
          <w:color w:val="000000" w:themeColor="text1"/>
        </w:rPr>
        <w:t xml:space="preserve"> </w:t>
      </w:r>
    </w:p>
    <w:p w14:paraId="3BF1D39A" w14:textId="619F5641" w:rsidR="00752DDA" w:rsidRPr="00F83B6E" w:rsidRDefault="00752DDA" w:rsidP="00B91543">
      <w:pPr>
        <w:pStyle w:val="BodyText"/>
        <w:rPr>
          <w:color w:val="000000" w:themeColor="text1"/>
        </w:rPr>
      </w:pPr>
      <w:r w:rsidRPr="00F83B6E">
        <w:rPr>
          <w:color w:val="000000" w:themeColor="text1"/>
        </w:rPr>
        <w:t>Reflecting the national research masterplan (</w:t>
      </w:r>
      <w:proofErr w:type="spellStart"/>
      <w:r w:rsidRPr="00F83B6E">
        <w:rPr>
          <w:i/>
          <w:iCs/>
          <w:color w:val="000000" w:themeColor="text1"/>
        </w:rPr>
        <w:t>Rencana</w:t>
      </w:r>
      <w:proofErr w:type="spellEnd"/>
      <w:r w:rsidRPr="00F83B6E">
        <w:rPr>
          <w:i/>
          <w:iCs/>
          <w:color w:val="000000" w:themeColor="text1"/>
        </w:rPr>
        <w:t xml:space="preserve"> </w:t>
      </w:r>
      <w:proofErr w:type="spellStart"/>
      <w:r w:rsidRPr="00F83B6E">
        <w:rPr>
          <w:i/>
          <w:iCs/>
          <w:color w:val="000000" w:themeColor="text1"/>
        </w:rPr>
        <w:t>Induk</w:t>
      </w:r>
      <w:proofErr w:type="spellEnd"/>
      <w:r w:rsidRPr="00F83B6E">
        <w:rPr>
          <w:i/>
          <w:iCs/>
          <w:color w:val="000000" w:themeColor="text1"/>
        </w:rPr>
        <w:t xml:space="preserve"> </w:t>
      </w:r>
      <w:proofErr w:type="spellStart"/>
      <w:r w:rsidRPr="00F83B6E">
        <w:rPr>
          <w:i/>
          <w:iCs/>
          <w:color w:val="000000" w:themeColor="text1"/>
        </w:rPr>
        <w:t>Riset</w:t>
      </w:r>
      <w:proofErr w:type="spellEnd"/>
      <w:r w:rsidRPr="00F83B6E">
        <w:rPr>
          <w:i/>
          <w:iCs/>
          <w:color w:val="000000" w:themeColor="text1"/>
        </w:rPr>
        <w:t xml:space="preserve"> Nasional</w:t>
      </w:r>
      <w:r w:rsidRPr="00F83B6E">
        <w:rPr>
          <w:color w:val="000000" w:themeColor="text1"/>
        </w:rPr>
        <w:t xml:space="preserve"> 2017-2045), Indonesia’s </w:t>
      </w:r>
      <w:r w:rsidR="00BA4263" w:rsidRPr="00F83B6E">
        <w:rPr>
          <w:color w:val="000000" w:themeColor="text1"/>
        </w:rPr>
        <w:t>B</w:t>
      </w:r>
      <w:r w:rsidRPr="00F83B6E">
        <w:rPr>
          <w:color w:val="000000" w:themeColor="text1"/>
        </w:rPr>
        <w:t xml:space="preserve">lueprint for the </w:t>
      </w:r>
      <w:r w:rsidR="00BA4263" w:rsidRPr="00F83B6E">
        <w:rPr>
          <w:color w:val="000000" w:themeColor="text1"/>
        </w:rPr>
        <w:t>K</w:t>
      </w:r>
      <w:r w:rsidRPr="00F83B6E">
        <w:rPr>
          <w:color w:val="000000" w:themeColor="text1"/>
        </w:rPr>
        <w:t xml:space="preserve">nowledge and </w:t>
      </w:r>
      <w:r w:rsidR="00BA4263" w:rsidRPr="00F83B6E">
        <w:rPr>
          <w:color w:val="000000" w:themeColor="text1"/>
        </w:rPr>
        <w:t>I</w:t>
      </w:r>
      <w:r w:rsidRPr="00F83B6E">
        <w:rPr>
          <w:color w:val="000000" w:themeColor="text1"/>
        </w:rPr>
        <w:t xml:space="preserve">nnovation </w:t>
      </w:r>
      <w:r w:rsidR="00BA4263" w:rsidRPr="00F83B6E">
        <w:rPr>
          <w:color w:val="000000" w:themeColor="text1"/>
        </w:rPr>
        <w:t>E</w:t>
      </w:r>
      <w:r w:rsidRPr="00F83B6E">
        <w:rPr>
          <w:color w:val="000000" w:themeColor="text1"/>
        </w:rPr>
        <w:t>cosystem (</w:t>
      </w:r>
      <w:proofErr w:type="spellStart"/>
      <w:r w:rsidRPr="00F83B6E">
        <w:rPr>
          <w:i/>
          <w:iCs/>
          <w:color w:val="000000" w:themeColor="text1"/>
        </w:rPr>
        <w:t>Cetak</w:t>
      </w:r>
      <w:proofErr w:type="spellEnd"/>
      <w:r w:rsidRPr="00F83B6E">
        <w:rPr>
          <w:i/>
          <w:iCs/>
          <w:color w:val="000000" w:themeColor="text1"/>
        </w:rPr>
        <w:t xml:space="preserve"> </w:t>
      </w:r>
      <w:proofErr w:type="spellStart"/>
      <w:r w:rsidRPr="00F83B6E">
        <w:rPr>
          <w:i/>
          <w:iCs/>
          <w:color w:val="000000" w:themeColor="text1"/>
        </w:rPr>
        <w:t>Biru</w:t>
      </w:r>
      <w:proofErr w:type="spellEnd"/>
      <w:r w:rsidRPr="00F83B6E">
        <w:rPr>
          <w:i/>
          <w:iCs/>
          <w:color w:val="000000" w:themeColor="text1"/>
        </w:rPr>
        <w:t xml:space="preserve"> </w:t>
      </w:r>
      <w:proofErr w:type="spellStart"/>
      <w:r w:rsidRPr="00F83B6E">
        <w:rPr>
          <w:i/>
          <w:iCs/>
          <w:color w:val="000000" w:themeColor="text1"/>
        </w:rPr>
        <w:t>Ekosistem</w:t>
      </w:r>
      <w:proofErr w:type="spellEnd"/>
      <w:r w:rsidRPr="00F83B6E">
        <w:rPr>
          <w:i/>
          <w:iCs/>
          <w:color w:val="000000" w:themeColor="text1"/>
        </w:rPr>
        <w:t xml:space="preserve"> </w:t>
      </w:r>
      <w:proofErr w:type="spellStart"/>
      <w:r w:rsidRPr="00F83B6E">
        <w:rPr>
          <w:i/>
          <w:iCs/>
          <w:color w:val="000000" w:themeColor="text1"/>
        </w:rPr>
        <w:t>Pengetahuan</w:t>
      </w:r>
      <w:proofErr w:type="spellEnd"/>
      <w:r w:rsidRPr="00F83B6E">
        <w:rPr>
          <w:i/>
          <w:iCs/>
          <w:color w:val="000000" w:themeColor="text1"/>
        </w:rPr>
        <w:t xml:space="preserve"> dan </w:t>
      </w:r>
      <w:proofErr w:type="spellStart"/>
      <w:r w:rsidRPr="00F83B6E">
        <w:rPr>
          <w:i/>
          <w:iCs/>
          <w:color w:val="000000" w:themeColor="text1"/>
        </w:rPr>
        <w:t>Inovasi</w:t>
      </w:r>
      <w:proofErr w:type="spellEnd"/>
      <w:r w:rsidR="00BA4263" w:rsidRPr="00F83B6E">
        <w:rPr>
          <w:i/>
          <w:iCs/>
          <w:color w:val="000000" w:themeColor="text1"/>
        </w:rPr>
        <w:t xml:space="preserve"> – the Blueprint</w:t>
      </w:r>
      <w:r w:rsidRPr="00F83B6E">
        <w:rPr>
          <w:color w:val="000000" w:themeColor="text1"/>
        </w:rPr>
        <w:t>)</w:t>
      </w:r>
      <w:r w:rsidR="001C015A" w:rsidRPr="00F83B6E">
        <w:rPr>
          <w:color w:val="000000" w:themeColor="text1"/>
        </w:rPr>
        <w:t xml:space="preserve"> released in 2021</w:t>
      </w:r>
      <w:r w:rsidRPr="00F83B6E">
        <w:rPr>
          <w:color w:val="000000" w:themeColor="text1"/>
        </w:rPr>
        <w:t xml:space="preserve"> emphasises the potential contribution of research and technology to economic growth and presents a strategy to increase t</w:t>
      </w:r>
      <w:r w:rsidR="000D1497" w:rsidRPr="00F83B6E">
        <w:rPr>
          <w:color w:val="000000" w:themeColor="text1"/>
        </w:rPr>
        <w:t>he</w:t>
      </w:r>
      <w:r w:rsidRPr="00F83B6E">
        <w:rPr>
          <w:color w:val="000000" w:themeColor="text1"/>
        </w:rPr>
        <w:t xml:space="preserve"> contribution of science and technology to this objective. Elements of this include increased flexibility of funding to research and innovation activities, and addressing the weakness of </w:t>
      </w:r>
      <w:r w:rsidR="00D2125D" w:rsidRPr="00F83B6E">
        <w:rPr>
          <w:color w:val="000000" w:themeColor="text1"/>
        </w:rPr>
        <w:t xml:space="preserve">non-state actors involvement </w:t>
      </w:r>
      <w:r w:rsidRPr="00F83B6E">
        <w:rPr>
          <w:color w:val="000000" w:themeColor="text1"/>
        </w:rPr>
        <w:t>in interpreting knowledge-based development and innovation.</w:t>
      </w:r>
      <w:r w:rsidRPr="00F83B6E">
        <w:rPr>
          <w:rStyle w:val="FootnoteReference"/>
          <w:color w:val="000000" w:themeColor="text1"/>
        </w:rPr>
        <w:footnoteReference w:id="7"/>
      </w:r>
      <w:r w:rsidR="00D21EB2" w:rsidRPr="00F83B6E">
        <w:rPr>
          <w:color w:val="000000" w:themeColor="text1"/>
        </w:rPr>
        <w:t xml:space="preserve"> </w:t>
      </w:r>
      <w:r w:rsidR="007B10D9" w:rsidRPr="00F83B6E">
        <w:rPr>
          <w:color w:val="000000" w:themeColor="text1"/>
        </w:rPr>
        <w:t xml:space="preserve">The </w:t>
      </w:r>
      <w:r w:rsidR="00BA4263" w:rsidRPr="00F83B6E">
        <w:rPr>
          <w:color w:val="000000" w:themeColor="text1"/>
        </w:rPr>
        <w:t>B</w:t>
      </w:r>
      <w:r w:rsidR="007B10D9" w:rsidRPr="00F83B6E">
        <w:rPr>
          <w:color w:val="000000" w:themeColor="text1"/>
        </w:rPr>
        <w:t xml:space="preserve">lueprint also </w:t>
      </w:r>
      <w:r w:rsidR="00D2125D" w:rsidRPr="00F83B6E">
        <w:rPr>
          <w:color w:val="000000" w:themeColor="text1"/>
        </w:rPr>
        <w:t>highlights</w:t>
      </w:r>
      <w:r w:rsidR="00D21EB2" w:rsidRPr="00F83B6E">
        <w:rPr>
          <w:color w:val="000000" w:themeColor="text1"/>
        </w:rPr>
        <w:t xml:space="preserve"> the importance of evidence-based policy making, and argues that knowledge and public policy have a mutual relationship - a strong knowledge ecosystem will generate evidence that is required for policy making, while sound public policy will strengthen the knowledge ecosystem. </w:t>
      </w:r>
      <w:r w:rsidR="006F55CB" w:rsidRPr="00F83B6E">
        <w:rPr>
          <w:color w:val="000000" w:themeColor="text1"/>
        </w:rPr>
        <w:t>It encourages competitive research grants that involve national and international experts</w:t>
      </w:r>
      <w:r w:rsidR="002339CE" w:rsidRPr="00F83B6E">
        <w:rPr>
          <w:color w:val="000000" w:themeColor="text1"/>
        </w:rPr>
        <w:t>,</w:t>
      </w:r>
      <w:r w:rsidR="006F55CB" w:rsidRPr="00F83B6E">
        <w:rPr>
          <w:color w:val="000000" w:themeColor="text1"/>
        </w:rPr>
        <w:t xml:space="preserve"> and knowledge pool at the sub-national level that is supported by knowledge network at the local, national, and international level.</w:t>
      </w:r>
      <w:r w:rsidR="002339CE" w:rsidRPr="00F83B6E">
        <w:rPr>
          <w:color w:val="000000" w:themeColor="text1"/>
        </w:rPr>
        <w:t xml:space="preserve"> Three of its resourcing targets promote international research collaboration and partnerships to enhance the capacity of supervisors and students.</w:t>
      </w:r>
      <w:r w:rsidR="002339CE" w:rsidRPr="00F83B6E">
        <w:rPr>
          <w:rStyle w:val="FootnoteReference"/>
          <w:color w:val="000000" w:themeColor="text1"/>
        </w:rPr>
        <w:footnoteReference w:id="8"/>
      </w:r>
      <w:r w:rsidR="00AF7669" w:rsidRPr="00F83B6E">
        <w:rPr>
          <w:color w:val="000000" w:themeColor="text1"/>
        </w:rPr>
        <w:t xml:space="preserve"> The </w:t>
      </w:r>
      <w:r w:rsidR="00BA4263" w:rsidRPr="00F83B6E">
        <w:rPr>
          <w:color w:val="000000" w:themeColor="text1"/>
        </w:rPr>
        <w:t>B</w:t>
      </w:r>
      <w:r w:rsidR="00AF7669" w:rsidRPr="00F83B6E">
        <w:rPr>
          <w:color w:val="000000" w:themeColor="text1"/>
        </w:rPr>
        <w:t>lueprint also emphasises the importance of prioritising efforts to address social inequality and research that is inclusive of vulnerable and marginalised groups.</w:t>
      </w:r>
      <w:r w:rsidR="008C00D8" w:rsidRPr="00F83B6E">
        <w:rPr>
          <w:color w:val="000000" w:themeColor="text1"/>
        </w:rPr>
        <w:t xml:space="preserve"> </w:t>
      </w:r>
      <w:r w:rsidR="001C015A" w:rsidRPr="00F83B6E">
        <w:rPr>
          <w:color w:val="000000" w:themeColor="text1"/>
        </w:rPr>
        <w:t xml:space="preserve">To support the implementation of the </w:t>
      </w:r>
      <w:r w:rsidR="00BA4263" w:rsidRPr="00F83B6E">
        <w:rPr>
          <w:color w:val="000000" w:themeColor="text1"/>
        </w:rPr>
        <w:t>B</w:t>
      </w:r>
      <w:r w:rsidR="001C015A" w:rsidRPr="00F83B6E">
        <w:rPr>
          <w:color w:val="000000" w:themeColor="text1"/>
        </w:rPr>
        <w:t>lueprint priorities,</w:t>
      </w:r>
      <w:r w:rsidR="008C00D8" w:rsidRPr="00F83B6E">
        <w:rPr>
          <w:color w:val="000000" w:themeColor="text1"/>
        </w:rPr>
        <w:t xml:space="preserve"> </w:t>
      </w:r>
      <w:proofErr w:type="spellStart"/>
      <w:r w:rsidR="008C00D8" w:rsidRPr="00F83B6E">
        <w:rPr>
          <w:color w:val="000000" w:themeColor="text1"/>
        </w:rPr>
        <w:t>GoI</w:t>
      </w:r>
      <w:proofErr w:type="spellEnd"/>
      <w:r w:rsidR="008C00D8" w:rsidRPr="00F83B6E">
        <w:rPr>
          <w:color w:val="000000" w:themeColor="text1"/>
        </w:rPr>
        <w:t xml:space="preserve"> allocated about IDR 6 trillion (AUD 600 million) annually for research institut</w:t>
      </w:r>
      <w:r w:rsidR="001C015A" w:rsidRPr="00F83B6E">
        <w:rPr>
          <w:color w:val="000000" w:themeColor="text1"/>
        </w:rPr>
        <w:t>ion</w:t>
      </w:r>
      <w:r w:rsidR="008C00D8" w:rsidRPr="00F83B6E">
        <w:rPr>
          <w:color w:val="000000" w:themeColor="text1"/>
        </w:rPr>
        <w:t>s</w:t>
      </w:r>
      <w:r w:rsidR="001C015A" w:rsidRPr="00F83B6E">
        <w:rPr>
          <w:color w:val="000000" w:themeColor="text1"/>
        </w:rPr>
        <w:t xml:space="preserve"> during the 2021 and 2022 fiscal years</w:t>
      </w:r>
      <w:r w:rsidR="008C00D8" w:rsidRPr="00F83B6E">
        <w:rPr>
          <w:color w:val="000000" w:themeColor="text1"/>
        </w:rPr>
        <w:t>. In 2021, the research budget w</w:t>
      </w:r>
      <w:r w:rsidR="001C015A" w:rsidRPr="00F83B6E">
        <w:rPr>
          <w:color w:val="000000" w:themeColor="text1"/>
        </w:rPr>
        <w:t>as</w:t>
      </w:r>
      <w:r w:rsidR="008C00D8" w:rsidRPr="00F83B6E">
        <w:rPr>
          <w:color w:val="000000" w:themeColor="text1"/>
        </w:rPr>
        <w:t xml:space="preserve"> spent by five research institutions, while in 2022 the whole budget is executed by BRIN. In addition to this annual funding for research institutions, </w:t>
      </w:r>
      <w:proofErr w:type="spellStart"/>
      <w:r w:rsidR="008C00D8" w:rsidRPr="00F83B6E">
        <w:rPr>
          <w:color w:val="000000" w:themeColor="text1"/>
        </w:rPr>
        <w:t>GoI</w:t>
      </w:r>
      <w:proofErr w:type="spellEnd"/>
      <w:r w:rsidR="008C00D8" w:rsidRPr="00F83B6E">
        <w:rPr>
          <w:color w:val="000000" w:themeColor="text1"/>
        </w:rPr>
        <w:t xml:space="preserve"> has allocated IDR 8 trillion (AUD 800 million) </w:t>
      </w:r>
      <w:r w:rsidR="001C015A" w:rsidRPr="00F83B6E">
        <w:rPr>
          <w:color w:val="000000" w:themeColor="text1"/>
        </w:rPr>
        <w:t xml:space="preserve">in total </w:t>
      </w:r>
      <w:r w:rsidR="008C00D8" w:rsidRPr="00F83B6E">
        <w:rPr>
          <w:color w:val="000000" w:themeColor="text1"/>
        </w:rPr>
        <w:t>during 2019-2021 for the research endowment fund. This research endowment fund, managed by the education fund management agency (LPDP), has spent about IDR 1.4 trillion (AUD 140 million) for funding 1,668 research projects until the end of 2021. The breakdown between research focused domestically versus international research partnerships is unclear.</w:t>
      </w:r>
    </w:p>
    <w:p w14:paraId="7093094E" w14:textId="33534C3E" w:rsidR="008E6438" w:rsidRPr="00F83B6E" w:rsidRDefault="008E6438" w:rsidP="00B91543">
      <w:pPr>
        <w:pStyle w:val="BodyText"/>
        <w:rPr>
          <w:color w:val="000000" w:themeColor="text1"/>
        </w:rPr>
      </w:pPr>
      <w:r w:rsidRPr="00F83B6E">
        <w:rPr>
          <w:color w:val="000000" w:themeColor="text1"/>
        </w:rPr>
        <w:t>The political economy of the Indonesia’s knowledge and innovation sector is dynamic</w:t>
      </w:r>
      <w:r w:rsidR="00B6057B" w:rsidRPr="00F83B6E">
        <w:rPr>
          <w:color w:val="000000" w:themeColor="text1"/>
        </w:rPr>
        <w:t xml:space="preserve">. </w:t>
      </w:r>
      <w:r w:rsidRPr="00F83B6E">
        <w:rPr>
          <w:color w:val="000000" w:themeColor="text1"/>
        </w:rPr>
        <w:t>Since mid-2019, the sector’s institutional landscape has changed dramatically and swiftly, as established formally by the following:</w:t>
      </w:r>
    </w:p>
    <w:p w14:paraId="53D8E893" w14:textId="38BCDDD8" w:rsidR="008E6438" w:rsidRPr="00F83B6E" w:rsidRDefault="008E6438" w:rsidP="00E6202D">
      <w:pPr>
        <w:pStyle w:val="Bullet1"/>
        <w:rPr>
          <w:color w:val="000000" w:themeColor="text1"/>
        </w:rPr>
      </w:pPr>
      <w:r w:rsidRPr="00F83B6E">
        <w:rPr>
          <w:color w:val="000000" w:themeColor="text1"/>
        </w:rPr>
        <w:t xml:space="preserve">Law No. 11/ 2019 on the National System of Science and Technology (UU </w:t>
      </w:r>
      <w:proofErr w:type="spellStart"/>
      <w:r w:rsidRPr="00F83B6E">
        <w:rPr>
          <w:color w:val="000000" w:themeColor="text1"/>
        </w:rPr>
        <w:t>Sisnas</w:t>
      </w:r>
      <w:proofErr w:type="spellEnd"/>
      <w:r w:rsidRPr="00F83B6E">
        <w:rPr>
          <w:color w:val="000000" w:themeColor="text1"/>
        </w:rPr>
        <w:t xml:space="preserve"> </w:t>
      </w:r>
      <w:proofErr w:type="spellStart"/>
      <w:r w:rsidRPr="00F83B6E">
        <w:rPr>
          <w:color w:val="000000" w:themeColor="text1"/>
        </w:rPr>
        <w:t>Iptek</w:t>
      </w:r>
      <w:proofErr w:type="spellEnd"/>
      <w:r w:rsidRPr="00F83B6E">
        <w:rPr>
          <w:color w:val="000000" w:themeColor="text1"/>
        </w:rPr>
        <w:t xml:space="preserve">) was passed in July 2019 with the intention to ensure the contribution of science and technology to national development and the </w:t>
      </w:r>
      <w:r w:rsidR="005B6EF5" w:rsidRPr="00F83B6E">
        <w:rPr>
          <w:color w:val="000000" w:themeColor="text1"/>
        </w:rPr>
        <w:t>fulfilment</w:t>
      </w:r>
      <w:r w:rsidRPr="00F83B6E">
        <w:rPr>
          <w:color w:val="000000" w:themeColor="text1"/>
        </w:rPr>
        <w:t xml:space="preserve"> of the basic rights of Indonesia’s citizens. </w:t>
      </w:r>
      <w:r w:rsidR="00F40381" w:rsidRPr="00F83B6E">
        <w:rPr>
          <w:color w:val="000000" w:themeColor="text1"/>
        </w:rPr>
        <w:t>This law</w:t>
      </w:r>
      <w:r w:rsidRPr="00F83B6E">
        <w:rPr>
          <w:color w:val="000000" w:themeColor="text1"/>
        </w:rPr>
        <w:t xml:space="preserve"> mandated the creation of a ministerial level agency, the </w:t>
      </w:r>
      <w:hyperlink r:id="rId8" w:history="1">
        <w:r w:rsidRPr="00F83B6E">
          <w:rPr>
            <w:color w:val="000000" w:themeColor="text1"/>
          </w:rPr>
          <w:t>National Innovation and Research Agency</w:t>
        </w:r>
      </w:hyperlink>
      <w:r w:rsidRPr="00F83B6E">
        <w:rPr>
          <w:color w:val="000000" w:themeColor="text1"/>
        </w:rPr>
        <w:t xml:space="preserve"> (BRIN) to oversee all government research functions.</w:t>
      </w:r>
    </w:p>
    <w:p w14:paraId="255917C8" w14:textId="10091CB6" w:rsidR="00950348" w:rsidRPr="00F83B6E" w:rsidRDefault="008E6438" w:rsidP="00E6202D">
      <w:pPr>
        <w:pStyle w:val="Bullet1"/>
        <w:rPr>
          <w:color w:val="000000" w:themeColor="text1"/>
        </w:rPr>
      </w:pPr>
      <w:r w:rsidRPr="00F83B6E">
        <w:rPr>
          <w:color w:val="000000" w:themeColor="text1"/>
        </w:rPr>
        <w:lastRenderedPageBreak/>
        <w:t>Presidential Regulation (</w:t>
      </w:r>
      <w:proofErr w:type="spellStart"/>
      <w:r w:rsidRPr="00F83B6E">
        <w:rPr>
          <w:color w:val="000000" w:themeColor="text1"/>
        </w:rPr>
        <w:t>Perpres</w:t>
      </w:r>
      <w:proofErr w:type="spellEnd"/>
      <w:r w:rsidRPr="00F83B6E">
        <w:rPr>
          <w:color w:val="000000" w:themeColor="text1"/>
        </w:rPr>
        <w:t>) No. 78/ 2021 saw the disbandment of the Ministry of Research and Technology (</w:t>
      </w:r>
      <w:proofErr w:type="spellStart"/>
      <w:r w:rsidRPr="00F83B6E">
        <w:rPr>
          <w:color w:val="000000" w:themeColor="text1"/>
        </w:rPr>
        <w:t>MoRT</w:t>
      </w:r>
      <w:proofErr w:type="spellEnd"/>
      <w:r w:rsidRPr="00F83B6E">
        <w:rPr>
          <w:color w:val="000000" w:themeColor="text1"/>
        </w:rPr>
        <w:t>) and its function</w:t>
      </w:r>
      <w:r w:rsidR="008206B5" w:rsidRPr="00F83B6E">
        <w:rPr>
          <w:color w:val="000000" w:themeColor="text1"/>
        </w:rPr>
        <w:t>s</w:t>
      </w:r>
      <w:r w:rsidRPr="00F83B6E">
        <w:rPr>
          <w:color w:val="000000" w:themeColor="text1"/>
        </w:rPr>
        <w:t xml:space="preserve">, along with higher education, integrated into the </w:t>
      </w:r>
      <w:hyperlink r:id="rId9" w:history="1">
        <w:r w:rsidRPr="00F83B6E">
          <w:rPr>
            <w:color w:val="000000" w:themeColor="text1"/>
          </w:rPr>
          <w:t>Ministry of Education, Culture</w:t>
        </w:r>
        <w:r w:rsidR="008206B5" w:rsidRPr="00F83B6E" w:rsidDel="008206B5">
          <w:rPr>
            <w:color w:val="000000" w:themeColor="text1"/>
          </w:rPr>
          <w:t xml:space="preserve"> </w:t>
        </w:r>
      </w:hyperlink>
      <w:r w:rsidRPr="00F83B6E">
        <w:rPr>
          <w:color w:val="000000" w:themeColor="text1"/>
        </w:rPr>
        <w:t xml:space="preserve"> (</w:t>
      </w:r>
      <w:proofErr w:type="spellStart"/>
      <w:r w:rsidRPr="00F83B6E">
        <w:rPr>
          <w:color w:val="000000" w:themeColor="text1"/>
        </w:rPr>
        <w:t>MoEC</w:t>
      </w:r>
      <w:proofErr w:type="spellEnd"/>
      <w:r w:rsidRPr="00F83B6E">
        <w:rPr>
          <w:color w:val="000000" w:themeColor="text1"/>
        </w:rPr>
        <w:t xml:space="preserve"> – now </w:t>
      </w:r>
      <w:proofErr w:type="spellStart"/>
      <w:r w:rsidRPr="00F83B6E">
        <w:rPr>
          <w:color w:val="000000" w:themeColor="text1"/>
        </w:rPr>
        <w:t>MoECRT</w:t>
      </w:r>
      <w:proofErr w:type="spellEnd"/>
      <w:r w:rsidRPr="00F83B6E">
        <w:rPr>
          <w:color w:val="000000" w:themeColor="text1"/>
        </w:rPr>
        <w:t>).</w:t>
      </w:r>
    </w:p>
    <w:p w14:paraId="36DA68E2" w14:textId="1FE4BDFB" w:rsidR="008E6438" w:rsidRPr="00F83B6E" w:rsidRDefault="008E6438" w:rsidP="00B91543">
      <w:pPr>
        <w:pStyle w:val="BodyText"/>
        <w:rPr>
          <w:color w:val="000000" w:themeColor="text1"/>
        </w:rPr>
      </w:pPr>
      <w:r w:rsidRPr="00F83B6E">
        <w:rPr>
          <w:color w:val="000000" w:themeColor="text1"/>
        </w:rPr>
        <w:t>As a result, the following two agencies now share oversight of Indonesia’s national research system and priorities:</w:t>
      </w:r>
    </w:p>
    <w:p w14:paraId="73F677FF" w14:textId="5B651489" w:rsidR="008E6438" w:rsidRPr="00F83B6E" w:rsidRDefault="008E6438" w:rsidP="00E6202D">
      <w:pPr>
        <w:pStyle w:val="Bullet1"/>
        <w:rPr>
          <w:color w:val="000000" w:themeColor="text1"/>
        </w:rPr>
      </w:pPr>
      <w:r w:rsidRPr="00F83B6E">
        <w:rPr>
          <w:color w:val="000000" w:themeColor="text1"/>
        </w:rPr>
        <w:t xml:space="preserve">BRIN is responsible for implementing integrated research and innovation activities for all central government agencies. As of early 2022, BRIN had integrated six autonomous government research organisations and 33 research units that had previously operated under a specific ministry or agency. Its broad remit ranges from establishing and monitoring quality and professional standards, promoting evidence-based policy making, strengthening research and development and science and technology innovation; and granting permission for research and development activities by foreign entities and individuals. </w:t>
      </w:r>
    </w:p>
    <w:p w14:paraId="51665FEE" w14:textId="1DA0B3A1" w:rsidR="008E6438" w:rsidRPr="00F83B6E" w:rsidRDefault="008E6438" w:rsidP="00E6202D">
      <w:pPr>
        <w:pStyle w:val="Bullet1"/>
        <w:rPr>
          <w:color w:val="000000" w:themeColor="text1"/>
        </w:rPr>
      </w:pPr>
      <w:proofErr w:type="spellStart"/>
      <w:r w:rsidRPr="00F83B6E">
        <w:rPr>
          <w:color w:val="000000" w:themeColor="text1"/>
        </w:rPr>
        <w:t>MoECRT</w:t>
      </w:r>
      <w:proofErr w:type="spellEnd"/>
      <w:r w:rsidRPr="00F83B6E">
        <w:rPr>
          <w:color w:val="000000" w:themeColor="text1"/>
        </w:rPr>
        <w:t xml:space="preserve"> is responsible for coordinating research activities undertaken by public and private universities - public universities as working units under the Directorate General of Higher Education, Research, and Technology, and private universities through the ministry’s regulatory framework. The latest institutional adjustment in 2021 formalised </w:t>
      </w:r>
      <w:r w:rsidR="00D2125D" w:rsidRPr="00F83B6E">
        <w:rPr>
          <w:color w:val="000000" w:themeColor="text1"/>
        </w:rPr>
        <w:t>the ministry’s</w:t>
      </w:r>
      <w:r w:rsidRPr="00F83B6E">
        <w:rPr>
          <w:color w:val="000000" w:themeColor="text1"/>
        </w:rPr>
        <w:t xml:space="preserve"> role in research and technology governance, providing more authority than before.</w:t>
      </w:r>
    </w:p>
    <w:p w14:paraId="1C9F183E" w14:textId="520A31DF" w:rsidR="00F40381" w:rsidRPr="00F83B6E" w:rsidRDefault="008E6438" w:rsidP="00B91543">
      <w:pPr>
        <w:pStyle w:val="BodyText"/>
        <w:rPr>
          <w:color w:val="000000" w:themeColor="text1"/>
        </w:rPr>
      </w:pPr>
      <w:r w:rsidRPr="00F83B6E">
        <w:rPr>
          <w:color w:val="000000" w:themeColor="text1"/>
        </w:rPr>
        <w:t xml:space="preserve">In parallel, </w:t>
      </w:r>
      <w:r w:rsidR="008206B5" w:rsidRPr="00F83B6E">
        <w:rPr>
          <w:color w:val="000000" w:themeColor="text1"/>
        </w:rPr>
        <w:t>BAPPENAS</w:t>
      </w:r>
      <w:r w:rsidRPr="00F83B6E">
        <w:rPr>
          <w:color w:val="000000" w:themeColor="text1"/>
        </w:rPr>
        <w:t xml:space="preserve"> is responsible for developing </w:t>
      </w:r>
      <w:proofErr w:type="spellStart"/>
      <w:r w:rsidRPr="00F83B6E">
        <w:rPr>
          <w:color w:val="000000" w:themeColor="text1"/>
        </w:rPr>
        <w:t>GoI</w:t>
      </w:r>
      <w:proofErr w:type="spellEnd"/>
      <w:r w:rsidRPr="00F83B6E">
        <w:rPr>
          <w:color w:val="000000" w:themeColor="text1"/>
        </w:rPr>
        <w:t xml:space="preserve"> strategic plans </w:t>
      </w:r>
      <w:r w:rsidR="006B4FC9" w:rsidRPr="00F83B6E">
        <w:rPr>
          <w:color w:val="000000" w:themeColor="text1"/>
        </w:rPr>
        <w:t>such as</w:t>
      </w:r>
      <w:r w:rsidRPr="00F83B6E">
        <w:rPr>
          <w:color w:val="000000" w:themeColor="text1"/>
        </w:rPr>
        <w:t xml:space="preserve"> the </w:t>
      </w:r>
      <w:r w:rsidR="00784342" w:rsidRPr="00F83B6E">
        <w:rPr>
          <w:color w:val="000000" w:themeColor="text1"/>
        </w:rPr>
        <w:t xml:space="preserve">long-term, </w:t>
      </w:r>
      <w:r w:rsidRPr="00F83B6E">
        <w:rPr>
          <w:color w:val="000000" w:themeColor="text1"/>
        </w:rPr>
        <w:t>medium-term and annual development plans (</w:t>
      </w:r>
      <w:r w:rsidR="00F40381" w:rsidRPr="00F83B6E">
        <w:rPr>
          <w:color w:val="000000" w:themeColor="text1"/>
        </w:rPr>
        <w:t xml:space="preserve">RPJPN, RPJMN </w:t>
      </w:r>
      <w:r w:rsidRPr="00F83B6E">
        <w:rPr>
          <w:color w:val="000000" w:themeColor="text1"/>
        </w:rPr>
        <w:t xml:space="preserve">and RKP), </w:t>
      </w:r>
      <w:r w:rsidR="006B4FC9" w:rsidRPr="00F83B6E">
        <w:rPr>
          <w:color w:val="000000" w:themeColor="text1"/>
        </w:rPr>
        <w:t xml:space="preserve">and more recently </w:t>
      </w:r>
      <w:r w:rsidRPr="00F83B6E">
        <w:rPr>
          <w:color w:val="000000" w:themeColor="text1"/>
        </w:rPr>
        <w:t xml:space="preserve">the Indonesia Vision 2045 and the economic transformation agendas. The extent to which </w:t>
      </w:r>
      <w:r w:rsidR="008206B5" w:rsidRPr="00F83B6E">
        <w:rPr>
          <w:color w:val="000000" w:themeColor="text1"/>
        </w:rPr>
        <w:t>BAPPENAS</w:t>
      </w:r>
      <w:r w:rsidRPr="00F83B6E">
        <w:rPr>
          <w:color w:val="000000" w:themeColor="text1"/>
        </w:rPr>
        <w:t xml:space="preserve"> base</w:t>
      </w:r>
      <w:r w:rsidR="00A917FF" w:rsidRPr="00F83B6E">
        <w:rPr>
          <w:color w:val="000000" w:themeColor="text1"/>
        </w:rPr>
        <w:t>s</w:t>
      </w:r>
      <w:r w:rsidRPr="00F83B6E">
        <w:rPr>
          <w:color w:val="000000" w:themeColor="text1"/>
        </w:rPr>
        <w:t xml:space="preserve"> its policies and plans on research and evidence </w:t>
      </w:r>
      <w:r w:rsidR="00784342" w:rsidRPr="00F83B6E">
        <w:rPr>
          <w:color w:val="000000" w:themeColor="text1"/>
        </w:rPr>
        <w:t xml:space="preserve">provides an example that may </w:t>
      </w:r>
      <w:r w:rsidR="00A917FF" w:rsidRPr="00F83B6E">
        <w:rPr>
          <w:color w:val="000000" w:themeColor="text1"/>
        </w:rPr>
        <w:t>influence</w:t>
      </w:r>
      <w:r w:rsidRPr="00F83B6E">
        <w:rPr>
          <w:color w:val="000000" w:themeColor="text1"/>
        </w:rPr>
        <w:t xml:space="preserve"> other </w:t>
      </w:r>
      <w:proofErr w:type="spellStart"/>
      <w:r w:rsidRPr="00F83B6E">
        <w:rPr>
          <w:color w:val="000000" w:themeColor="text1"/>
        </w:rPr>
        <w:t>GoI</w:t>
      </w:r>
      <w:proofErr w:type="spellEnd"/>
      <w:r w:rsidRPr="00F83B6E">
        <w:rPr>
          <w:color w:val="000000" w:themeColor="text1"/>
        </w:rPr>
        <w:t xml:space="preserve"> agencies and sub-national government</w:t>
      </w:r>
      <w:r w:rsidR="00FD5D8E" w:rsidRPr="00F83B6E">
        <w:rPr>
          <w:color w:val="000000" w:themeColor="text1"/>
        </w:rPr>
        <w:t>s</w:t>
      </w:r>
      <w:r w:rsidR="00CC1856" w:rsidRPr="00F83B6E">
        <w:rPr>
          <w:color w:val="000000" w:themeColor="text1"/>
        </w:rPr>
        <w:t>.</w:t>
      </w:r>
      <w:r w:rsidR="00FD5D8E" w:rsidRPr="00F83B6E">
        <w:rPr>
          <w:rStyle w:val="FootnoteReference"/>
          <w:color w:val="000000" w:themeColor="text1"/>
        </w:rPr>
        <w:footnoteReference w:id="9"/>
      </w:r>
      <w:r w:rsidR="006B4FC9" w:rsidRPr="00F83B6E">
        <w:rPr>
          <w:color w:val="000000" w:themeColor="text1"/>
        </w:rPr>
        <w:t xml:space="preserve"> </w:t>
      </w:r>
    </w:p>
    <w:p w14:paraId="4A138C57" w14:textId="5ADF6BBC" w:rsidR="008E6438" w:rsidRPr="00F83B6E" w:rsidRDefault="008E6438" w:rsidP="00B91543">
      <w:pPr>
        <w:pStyle w:val="BodyText"/>
        <w:rPr>
          <w:color w:val="000000" w:themeColor="text1"/>
        </w:rPr>
      </w:pPr>
      <w:r w:rsidRPr="00F83B6E">
        <w:rPr>
          <w:color w:val="000000" w:themeColor="text1"/>
        </w:rPr>
        <w:t xml:space="preserve">In addition to these agencies, non-government actors have specific roles in the knowledge and innovation sector. </w:t>
      </w:r>
      <w:r w:rsidR="00E11C08" w:rsidRPr="00F83B6E">
        <w:rPr>
          <w:color w:val="000000" w:themeColor="text1"/>
        </w:rPr>
        <w:t xml:space="preserve">For instance, they contribute to knowledge and innovation production and application </w:t>
      </w:r>
      <w:r w:rsidR="00784342" w:rsidRPr="00F83B6E">
        <w:rPr>
          <w:color w:val="000000" w:themeColor="text1"/>
        </w:rPr>
        <w:t>through</w:t>
      </w:r>
      <w:r w:rsidR="00E11C08" w:rsidRPr="00F83B6E">
        <w:rPr>
          <w:color w:val="000000" w:themeColor="text1"/>
        </w:rPr>
        <w:t xml:space="preserve"> </w:t>
      </w:r>
      <w:r w:rsidR="00784342" w:rsidRPr="00F83B6E">
        <w:rPr>
          <w:color w:val="000000" w:themeColor="text1"/>
        </w:rPr>
        <w:t xml:space="preserve">research, </w:t>
      </w:r>
      <w:r w:rsidR="00E11C08" w:rsidRPr="00F83B6E">
        <w:rPr>
          <w:color w:val="000000" w:themeColor="text1"/>
        </w:rPr>
        <w:t>education</w:t>
      </w:r>
      <w:r w:rsidR="00784342" w:rsidRPr="00F83B6E">
        <w:rPr>
          <w:color w:val="000000" w:themeColor="text1"/>
        </w:rPr>
        <w:t xml:space="preserve"> and advocacy </w:t>
      </w:r>
      <w:r w:rsidR="00E11C08" w:rsidRPr="00F83B6E">
        <w:rPr>
          <w:color w:val="000000" w:themeColor="text1"/>
        </w:rPr>
        <w:t xml:space="preserve">activities. </w:t>
      </w:r>
      <w:r w:rsidRPr="00F83B6E">
        <w:rPr>
          <w:color w:val="000000" w:themeColor="text1"/>
        </w:rPr>
        <w:t xml:space="preserve">The </w:t>
      </w:r>
      <w:r w:rsidR="00F40381" w:rsidRPr="00F83B6E">
        <w:rPr>
          <w:color w:val="000000" w:themeColor="text1"/>
        </w:rPr>
        <w:t>Science and Technology</w:t>
      </w:r>
      <w:r w:rsidRPr="00F83B6E">
        <w:rPr>
          <w:color w:val="000000" w:themeColor="text1"/>
        </w:rPr>
        <w:t xml:space="preserve"> Law recognise</w:t>
      </w:r>
      <w:r w:rsidR="00A917FF" w:rsidRPr="00F83B6E">
        <w:rPr>
          <w:color w:val="000000" w:themeColor="text1"/>
        </w:rPr>
        <w:t>s</w:t>
      </w:r>
      <w:r w:rsidRPr="00F83B6E">
        <w:rPr>
          <w:color w:val="000000" w:themeColor="text1"/>
        </w:rPr>
        <w:t xml:space="preserve"> non-government actors as individuals and private groups, institutions, and universities. The </w:t>
      </w:r>
      <w:r w:rsidR="00A917FF" w:rsidRPr="00F83B6E">
        <w:rPr>
          <w:color w:val="000000" w:themeColor="text1"/>
        </w:rPr>
        <w:t>B</w:t>
      </w:r>
      <w:r w:rsidRPr="00F83B6E">
        <w:rPr>
          <w:color w:val="000000" w:themeColor="text1"/>
        </w:rPr>
        <w:t>lueprint for the knowledge and innovation ecosystem acknowledge</w:t>
      </w:r>
      <w:r w:rsidR="00A917FF" w:rsidRPr="00F83B6E">
        <w:rPr>
          <w:color w:val="000000" w:themeColor="text1"/>
        </w:rPr>
        <w:t>s</w:t>
      </w:r>
      <w:r w:rsidRPr="00F83B6E">
        <w:rPr>
          <w:color w:val="000000" w:themeColor="text1"/>
        </w:rPr>
        <w:t xml:space="preserve"> the importance of these actors in formulating </w:t>
      </w:r>
      <w:r w:rsidR="00E11C08" w:rsidRPr="00F83B6E">
        <w:rPr>
          <w:color w:val="000000" w:themeColor="text1"/>
        </w:rPr>
        <w:t>and</w:t>
      </w:r>
      <w:r w:rsidRPr="00F83B6E">
        <w:rPr>
          <w:color w:val="000000" w:themeColor="text1"/>
        </w:rPr>
        <w:t xml:space="preserve"> evaluating policies. </w:t>
      </w:r>
    </w:p>
    <w:p w14:paraId="0661CA1A" w14:textId="762C88D7" w:rsidR="008E6438" w:rsidRPr="00F83B6E" w:rsidRDefault="008E6438" w:rsidP="00B91543">
      <w:pPr>
        <w:pStyle w:val="BodyText"/>
        <w:rPr>
          <w:color w:val="000000" w:themeColor="text1"/>
        </w:rPr>
      </w:pPr>
      <w:r w:rsidRPr="00F83B6E">
        <w:rPr>
          <w:color w:val="000000" w:themeColor="text1"/>
        </w:rPr>
        <w:t xml:space="preserve">The </w:t>
      </w:r>
      <w:r w:rsidR="00F40381" w:rsidRPr="00F83B6E">
        <w:rPr>
          <w:color w:val="000000" w:themeColor="text1"/>
        </w:rPr>
        <w:t xml:space="preserve">KPP program team will need to monitor for any changes resulting from </w:t>
      </w:r>
      <w:r w:rsidRPr="00F83B6E">
        <w:rPr>
          <w:color w:val="000000" w:themeColor="text1"/>
        </w:rPr>
        <w:t xml:space="preserve">Indonesia’s presidential and parliamentary elections in 2024 </w:t>
      </w:r>
      <w:r w:rsidR="00F40381" w:rsidRPr="00F83B6E">
        <w:rPr>
          <w:color w:val="000000" w:themeColor="text1"/>
        </w:rPr>
        <w:t>that may impact on</w:t>
      </w:r>
      <w:r w:rsidR="00295198" w:rsidRPr="00F83B6E">
        <w:rPr>
          <w:color w:val="000000" w:themeColor="text1"/>
        </w:rPr>
        <w:t xml:space="preserve"> institutional arrangements, including the shared leadership of BRIN and </w:t>
      </w:r>
      <w:proofErr w:type="spellStart"/>
      <w:r w:rsidR="00295198" w:rsidRPr="00F83B6E">
        <w:rPr>
          <w:color w:val="000000" w:themeColor="text1"/>
        </w:rPr>
        <w:t>MoECRT</w:t>
      </w:r>
      <w:proofErr w:type="spellEnd"/>
      <w:r w:rsidR="006B4FC9" w:rsidRPr="00F83B6E">
        <w:rPr>
          <w:color w:val="000000" w:themeColor="text1"/>
        </w:rPr>
        <w:t>. T</w:t>
      </w:r>
      <w:r w:rsidRPr="00F83B6E">
        <w:rPr>
          <w:color w:val="000000" w:themeColor="text1"/>
        </w:rPr>
        <w:t xml:space="preserve">he successor President </w:t>
      </w:r>
      <w:r w:rsidR="007813F4" w:rsidRPr="00F83B6E">
        <w:rPr>
          <w:color w:val="000000" w:themeColor="text1"/>
        </w:rPr>
        <w:t xml:space="preserve">and new administration </w:t>
      </w:r>
      <w:r w:rsidRPr="00F83B6E">
        <w:rPr>
          <w:color w:val="000000" w:themeColor="text1"/>
        </w:rPr>
        <w:t>may pursue a different approach</w:t>
      </w:r>
      <w:r w:rsidR="006B4FC9" w:rsidRPr="00F83B6E">
        <w:rPr>
          <w:color w:val="000000" w:themeColor="text1"/>
        </w:rPr>
        <w:t xml:space="preserve"> and </w:t>
      </w:r>
      <w:r w:rsidRPr="00F83B6E">
        <w:rPr>
          <w:color w:val="000000" w:themeColor="text1"/>
        </w:rPr>
        <w:t>revise</w:t>
      </w:r>
      <w:r w:rsidR="007813F4" w:rsidRPr="00F83B6E">
        <w:rPr>
          <w:color w:val="000000" w:themeColor="text1"/>
        </w:rPr>
        <w:t xml:space="preserve"> respective mandates</w:t>
      </w:r>
      <w:r w:rsidRPr="00F83B6E">
        <w:rPr>
          <w:color w:val="000000" w:themeColor="text1"/>
        </w:rPr>
        <w:t xml:space="preserve"> </w:t>
      </w:r>
      <w:r w:rsidR="00E11C08" w:rsidRPr="00F83B6E">
        <w:rPr>
          <w:color w:val="000000" w:themeColor="text1"/>
        </w:rPr>
        <w:t>post-election</w:t>
      </w:r>
      <w:r w:rsidRPr="00F83B6E">
        <w:rPr>
          <w:color w:val="000000" w:themeColor="text1"/>
        </w:rPr>
        <w:t xml:space="preserve">. </w:t>
      </w:r>
      <w:r w:rsidR="00F40381" w:rsidRPr="00F83B6E">
        <w:rPr>
          <w:color w:val="000000" w:themeColor="text1"/>
        </w:rPr>
        <w:t>The program will need to actively pursue new opportunities should they arise and ensure ongoing alignment with Indonesia’s evolving kn</w:t>
      </w:r>
      <w:r w:rsidR="0017623C" w:rsidRPr="00F83B6E">
        <w:rPr>
          <w:color w:val="000000" w:themeColor="text1"/>
        </w:rPr>
        <w:t>o</w:t>
      </w:r>
      <w:r w:rsidR="00F40381" w:rsidRPr="00F83B6E">
        <w:rPr>
          <w:color w:val="000000" w:themeColor="text1"/>
        </w:rPr>
        <w:t>wledge and innovation priorities.</w:t>
      </w:r>
    </w:p>
    <w:p w14:paraId="02676B15" w14:textId="29E73985" w:rsidR="00BA0333" w:rsidRPr="00F83B6E" w:rsidRDefault="00D41E17" w:rsidP="00F27241">
      <w:pPr>
        <w:pStyle w:val="Heading2"/>
        <w:rPr>
          <w:color w:val="000000" w:themeColor="text1"/>
        </w:rPr>
      </w:pPr>
      <w:bookmarkStart w:id="6" w:name="_Toc146528279"/>
      <w:r w:rsidRPr="00F83B6E">
        <w:rPr>
          <w:color w:val="000000" w:themeColor="text1"/>
        </w:rPr>
        <w:t>Australia’s e</w:t>
      </w:r>
      <w:r w:rsidR="004C3DE8" w:rsidRPr="00F83B6E">
        <w:rPr>
          <w:color w:val="000000" w:themeColor="text1"/>
        </w:rPr>
        <w:t xml:space="preserve">ngagement in </w:t>
      </w:r>
      <w:r w:rsidR="00BA0333" w:rsidRPr="00F83B6E">
        <w:rPr>
          <w:color w:val="000000" w:themeColor="text1"/>
        </w:rPr>
        <w:t>Indonesia</w:t>
      </w:r>
      <w:r w:rsidR="00802194" w:rsidRPr="00F83B6E">
        <w:rPr>
          <w:color w:val="000000" w:themeColor="text1"/>
        </w:rPr>
        <w:t>’s</w:t>
      </w:r>
      <w:r w:rsidR="00BA0333" w:rsidRPr="00F83B6E">
        <w:rPr>
          <w:color w:val="000000" w:themeColor="text1"/>
        </w:rPr>
        <w:t xml:space="preserve"> knowledge </w:t>
      </w:r>
      <w:r w:rsidR="00752DDA" w:rsidRPr="00F83B6E">
        <w:rPr>
          <w:color w:val="000000" w:themeColor="text1"/>
        </w:rPr>
        <w:t xml:space="preserve">and innovation </w:t>
      </w:r>
      <w:r w:rsidR="00BA0333" w:rsidRPr="00F83B6E">
        <w:rPr>
          <w:color w:val="000000" w:themeColor="text1"/>
        </w:rPr>
        <w:t>sector</w:t>
      </w:r>
      <w:bookmarkEnd w:id="6"/>
    </w:p>
    <w:p w14:paraId="4BB961CD" w14:textId="7AACC7DD" w:rsidR="006D47D9" w:rsidRPr="00F83B6E" w:rsidRDefault="006D47D9" w:rsidP="00B91543">
      <w:pPr>
        <w:pStyle w:val="BodyText"/>
        <w:rPr>
          <w:color w:val="000000" w:themeColor="text1"/>
        </w:rPr>
      </w:pPr>
      <w:r w:rsidRPr="00F83B6E">
        <w:rPr>
          <w:color w:val="000000" w:themeColor="text1"/>
        </w:rPr>
        <w:t>Australia’s and Indonesia’s knowledge and innovation sectors differ in size, capacity and strength, and their relationship can be characterised as asymmetrical. For instance, with 3,767 joint research publications between both countries, Australia is Indonesia’s third most important international collaborator for research publications produced up to February 2022,</w:t>
      </w:r>
      <w:r w:rsidR="00FD5D8E" w:rsidRPr="00F83B6E">
        <w:rPr>
          <w:rStyle w:val="FootnoteReference"/>
          <w:color w:val="000000" w:themeColor="text1"/>
        </w:rPr>
        <w:footnoteReference w:id="10"/>
      </w:r>
      <w:r w:rsidRPr="00F83B6E">
        <w:rPr>
          <w:color w:val="000000" w:themeColor="text1"/>
        </w:rPr>
        <w:t xml:space="preserve"> </w:t>
      </w:r>
      <w:r w:rsidR="00FD5D8E" w:rsidRPr="00F83B6E">
        <w:rPr>
          <w:color w:val="000000" w:themeColor="text1"/>
        </w:rPr>
        <w:t>while Indonesia is</w:t>
      </w:r>
      <w:r w:rsidRPr="00F83B6E">
        <w:rPr>
          <w:color w:val="000000" w:themeColor="text1"/>
        </w:rPr>
        <w:t xml:space="preserve"> Australia’s 35th international research collaborator for the same period.</w:t>
      </w:r>
      <w:r w:rsidRPr="00F83B6E">
        <w:rPr>
          <w:rStyle w:val="FootnoteReference"/>
          <w:color w:val="000000" w:themeColor="text1"/>
        </w:rPr>
        <w:footnoteReference w:id="11"/>
      </w:r>
      <w:r w:rsidRPr="00F83B6E">
        <w:rPr>
          <w:color w:val="000000" w:themeColor="text1"/>
        </w:rPr>
        <w:t xml:space="preserve"> </w:t>
      </w:r>
      <w:r w:rsidR="00FD5D8E" w:rsidRPr="00F83B6E">
        <w:rPr>
          <w:color w:val="000000" w:themeColor="text1"/>
        </w:rPr>
        <w:t>T</w:t>
      </w:r>
      <w:r w:rsidRPr="00F83B6E">
        <w:rPr>
          <w:color w:val="000000" w:themeColor="text1"/>
        </w:rPr>
        <w:t>he number of citations of research publications, which are often equated with research quality indicators</w:t>
      </w:r>
      <w:r w:rsidR="00FD5D8E" w:rsidRPr="00F83B6E">
        <w:rPr>
          <w:color w:val="000000" w:themeColor="text1"/>
        </w:rPr>
        <w:t xml:space="preserve">, is also illustrative: </w:t>
      </w:r>
      <w:r w:rsidRPr="00F83B6E">
        <w:rPr>
          <w:color w:val="000000" w:themeColor="text1"/>
        </w:rPr>
        <w:t>Indonesia has 19 percent less citations than the global average, whereas</w:t>
      </w:r>
      <w:r w:rsidRPr="00F83B6E" w:rsidDel="001F41B6">
        <w:rPr>
          <w:color w:val="000000" w:themeColor="text1"/>
        </w:rPr>
        <w:t xml:space="preserve"> </w:t>
      </w:r>
      <w:r w:rsidRPr="00F83B6E">
        <w:rPr>
          <w:color w:val="000000" w:themeColor="text1"/>
        </w:rPr>
        <w:t>Australia</w:t>
      </w:r>
      <w:r w:rsidR="00D2125D" w:rsidRPr="00F83B6E">
        <w:rPr>
          <w:color w:val="000000" w:themeColor="text1"/>
        </w:rPr>
        <w:t xml:space="preserve"> has </w:t>
      </w:r>
      <w:r w:rsidRPr="00F83B6E">
        <w:rPr>
          <w:color w:val="000000" w:themeColor="text1"/>
        </w:rPr>
        <w:t xml:space="preserve">60 percent </w:t>
      </w:r>
      <w:r w:rsidRPr="00F83B6E">
        <w:rPr>
          <w:color w:val="000000" w:themeColor="text1"/>
        </w:rPr>
        <w:lastRenderedPageBreak/>
        <w:t>more citations that the global average.</w:t>
      </w:r>
      <w:r w:rsidR="00FD5D8E" w:rsidRPr="00F83B6E">
        <w:rPr>
          <w:rStyle w:val="FootnoteReference"/>
          <w:color w:val="000000" w:themeColor="text1"/>
        </w:rPr>
        <w:t xml:space="preserve"> </w:t>
      </w:r>
      <w:r w:rsidR="00FD5D8E" w:rsidRPr="00F83B6E">
        <w:rPr>
          <w:rStyle w:val="FootnoteReference"/>
          <w:color w:val="000000" w:themeColor="text1"/>
        </w:rPr>
        <w:footnoteReference w:id="12"/>
      </w:r>
      <w:r w:rsidRPr="00F83B6E">
        <w:rPr>
          <w:color w:val="000000" w:themeColor="text1"/>
        </w:rPr>
        <w:t xml:space="preserve"> Importantly, publications that are co-authored between Indonesia-Australia </w:t>
      </w:r>
      <w:r w:rsidR="00FD5D8E" w:rsidRPr="00F83B6E">
        <w:rPr>
          <w:color w:val="000000" w:themeColor="text1"/>
        </w:rPr>
        <w:t>enjoy 140</w:t>
      </w:r>
      <w:r w:rsidR="00BC1889" w:rsidRPr="00F83B6E">
        <w:rPr>
          <w:color w:val="000000" w:themeColor="text1"/>
        </w:rPr>
        <w:t xml:space="preserve"> percent </w:t>
      </w:r>
      <w:r w:rsidR="00FD5D8E" w:rsidRPr="00F83B6E">
        <w:rPr>
          <w:color w:val="000000" w:themeColor="text1"/>
        </w:rPr>
        <w:t xml:space="preserve">more </w:t>
      </w:r>
      <w:r w:rsidR="00BC1889" w:rsidRPr="00F83B6E">
        <w:rPr>
          <w:color w:val="000000" w:themeColor="text1"/>
        </w:rPr>
        <w:t>citations that the global average</w:t>
      </w:r>
      <w:r w:rsidRPr="00F83B6E">
        <w:rPr>
          <w:color w:val="000000" w:themeColor="text1"/>
        </w:rPr>
        <w:t>, indicating that international collaboration strengthens the quality and profile of research studies, for both parties.</w:t>
      </w:r>
      <w:r w:rsidRPr="00F83B6E">
        <w:rPr>
          <w:rStyle w:val="FootnoteReference"/>
          <w:color w:val="000000" w:themeColor="text1"/>
        </w:rPr>
        <w:footnoteReference w:id="13"/>
      </w:r>
      <w:r w:rsidRPr="00F83B6E">
        <w:rPr>
          <w:color w:val="000000" w:themeColor="text1"/>
        </w:rPr>
        <w:t xml:space="preserve"> </w:t>
      </w:r>
      <w:r w:rsidR="00836E02" w:rsidRPr="00F83B6E">
        <w:rPr>
          <w:color w:val="000000" w:themeColor="text1"/>
        </w:rPr>
        <w:t xml:space="preserve">This asymmetry reflects in part the bureaucratic challenges and risks (e.g. securing approach permits for researchers) faced by Australian organisations wanting to get involved in research activities in Indonesia. </w:t>
      </w:r>
      <w:r w:rsidRPr="00F83B6E">
        <w:rPr>
          <w:color w:val="000000" w:themeColor="text1"/>
        </w:rPr>
        <w:t xml:space="preserve">Establishing </w:t>
      </w:r>
      <w:r w:rsidR="00836E02" w:rsidRPr="00F83B6E">
        <w:rPr>
          <w:color w:val="000000" w:themeColor="text1"/>
        </w:rPr>
        <w:t xml:space="preserve">an environment for </w:t>
      </w:r>
      <w:r w:rsidRPr="00F83B6E">
        <w:rPr>
          <w:color w:val="000000" w:themeColor="text1"/>
        </w:rPr>
        <w:t>genuine and sustainable knowledge partnerships between organisation of both countries can help address some of the existing asymmetry while benefiting the respective sectors and contributing to Indonesia’s development.</w:t>
      </w:r>
    </w:p>
    <w:p w14:paraId="4D422FB6" w14:textId="3917D771" w:rsidR="00240697" w:rsidRPr="00F83B6E" w:rsidRDefault="00BA0333" w:rsidP="00B91543">
      <w:pPr>
        <w:pStyle w:val="BodyText"/>
        <w:rPr>
          <w:color w:val="000000" w:themeColor="text1"/>
        </w:rPr>
      </w:pPr>
      <w:r w:rsidRPr="00F83B6E">
        <w:rPr>
          <w:color w:val="000000" w:themeColor="text1"/>
        </w:rPr>
        <w:t xml:space="preserve">Australia has </w:t>
      </w:r>
      <w:r w:rsidR="00120017" w:rsidRPr="00F83B6E">
        <w:rPr>
          <w:color w:val="000000" w:themeColor="text1"/>
        </w:rPr>
        <w:t>a long history of engagement in Indonesia’s knowledge and innovation sector.</w:t>
      </w:r>
      <w:r w:rsidR="000F0AAC" w:rsidRPr="00F83B6E">
        <w:rPr>
          <w:rStyle w:val="FootnoteReference"/>
          <w:color w:val="000000" w:themeColor="text1"/>
        </w:rPr>
        <w:footnoteReference w:id="14"/>
      </w:r>
      <w:r w:rsidR="00120017" w:rsidRPr="00F83B6E">
        <w:rPr>
          <w:color w:val="000000" w:themeColor="text1"/>
        </w:rPr>
        <w:t xml:space="preserve"> </w:t>
      </w:r>
      <w:r w:rsidR="00646B33" w:rsidRPr="00F83B6E">
        <w:rPr>
          <w:color w:val="000000" w:themeColor="text1"/>
        </w:rPr>
        <w:t xml:space="preserve">Multiple </w:t>
      </w:r>
      <w:proofErr w:type="spellStart"/>
      <w:r w:rsidR="00646B33" w:rsidRPr="00F83B6E">
        <w:rPr>
          <w:color w:val="000000" w:themeColor="text1"/>
        </w:rPr>
        <w:t>GoA</w:t>
      </w:r>
      <w:proofErr w:type="spellEnd"/>
      <w:r w:rsidR="00646B33" w:rsidRPr="00F83B6E">
        <w:rPr>
          <w:color w:val="000000" w:themeColor="text1"/>
        </w:rPr>
        <w:t xml:space="preserve"> agencies, such as </w:t>
      </w:r>
      <w:r w:rsidR="00F40381" w:rsidRPr="00F83B6E">
        <w:rPr>
          <w:color w:val="000000" w:themeColor="text1"/>
        </w:rPr>
        <w:t xml:space="preserve">the </w:t>
      </w:r>
      <w:r w:rsidR="00646B33" w:rsidRPr="00F83B6E">
        <w:rPr>
          <w:color w:val="000000" w:themeColor="text1"/>
        </w:rPr>
        <w:t>C</w:t>
      </w:r>
      <w:r w:rsidR="00F40381" w:rsidRPr="00F83B6E">
        <w:rPr>
          <w:color w:val="000000" w:themeColor="text1"/>
        </w:rPr>
        <w:t xml:space="preserve">ommonwealth </w:t>
      </w:r>
      <w:r w:rsidR="00646B33" w:rsidRPr="00F83B6E">
        <w:rPr>
          <w:color w:val="000000" w:themeColor="text1"/>
        </w:rPr>
        <w:t>S</w:t>
      </w:r>
      <w:r w:rsidR="00F40381" w:rsidRPr="00F83B6E">
        <w:rPr>
          <w:color w:val="000000" w:themeColor="text1"/>
        </w:rPr>
        <w:t xml:space="preserve">cience and </w:t>
      </w:r>
      <w:r w:rsidR="00646B33" w:rsidRPr="00F83B6E">
        <w:rPr>
          <w:color w:val="000000" w:themeColor="text1"/>
        </w:rPr>
        <w:t>I</w:t>
      </w:r>
      <w:r w:rsidR="00F40381" w:rsidRPr="00F83B6E">
        <w:rPr>
          <w:color w:val="000000" w:themeColor="text1"/>
        </w:rPr>
        <w:t xml:space="preserve">ndustrial </w:t>
      </w:r>
      <w:r w:rsidR="00646B33" w:rsidRPr="00F83B6E">
        <w:rPr>
          <w:color w:val="000000" w:themeColor="text1"/>
        </w:rPr>
        <w:t>R</w:t>
      </w:r>
      <w:r w:rsidR="00F40381" w:rsidRPr="00F83B6E">
        <w:rPr>
          <w:color w:val="000000" w:themeColor="text1"/>
        </w:rPr>
        <w:t xml:space="preserve">esearch </w:t>
      </w:r>
      <w:r w:rsidR="00646B33" w:rsidRPr="00F83B6E">
        <w:rPr>
          <w:color w:val="000000" w:themeColor="text1"/>
        </w:rPr>
        <w:t>O</w:t>
      </w:r>
      <w:r w:rsidR="00F40381" w:rsidRPr="00F83B6E">
        <w:rPr>
          <w:color w:val="000000" w:themeColor="text1"/>
        </w:rPr>
        <w:t>rganisation (CSIRO)</w:t>
      </w:r>
      <w:r w:rsidR="00646B33" w:rsidRPr="00F83B6E">
        <w:rPr>
          <w:color w:val="000000" w:themeColor="text1"/>
        </w:rPr>
        <w:t xml:space="preserve"> and </w:t>
      </w:r>
      <w:r w:rsidR="00F40381" w:rsidRPr="00F83B6E">
        <w:rPr>
          <w:color w:val="000000" w:themeColor="text1"/>
        </w:rPr>
        <w:t xml:space="preserve">The </w:t>
      </w:r>
      <w:r w:rsidR="00646B33" w:rsidRPr="00F83B6E">
        <w:rPr>
          <w:color w:val="000000" w:themeColor="text1"/>
        </w:rPr>
        <w:t>A</w:t>
      </w:r>
      <w:r w:rsidR="00F40381" w:rsidRPr="00F83B6E">
        <w:rPr>
          <w:color w:val="000000" w:themeColor="text1"/>
        </w:rPr>
        <w:t xml:space="preserve">ustralian </w:t>
      </w:r>
      <w:r w:rsidR="00646B33" w:rsidRPr="00F83B6E">
        <w:rPr>
          <w:color w:val="000000" w:themeColor="text1"/>
        </w:rPr>
        <w:t>C</w:t>
      </w:r>
      <w:r w:rsidR="00F40381" w:rsidRPr="00F83B6E">
        <w:rPr>
          <w:color w:val="000000" w:themeColor="text1"/>
        </w:rPr>
        <w:t xml:space="preserve">entre for </w:t>
      </w:r>
      <w:r w:rsidR="00646B33" w:rsidRPr="00F83B6E">
        <w:rPr>
          <w:color w:val="000000" w:themeColor="text1"/>
        </w:rPr>
        <w:t>I</w:t>
      </w:r>
      <w:r w:rsidR="00F40381" w:rsidRPr="00F83B6E">
        <w:rPr>
          <w:color w:val="000000" w:themeColor="text1"/>
        </w:rPr>
        <w:t xml:space="preserve">nternational </w:t>
      </w:r>
      <w:r w:rsidR="00646B33" w:rsidRPr="00F83B6E">
        <w:rPr>
          <w:color w:val="000000" w:themeColor="text1"/>
        </w:rPr>
        <w:t>A</w:t>
      </w:r>
      <w:r w:rsidR="00F40381" w:rsidRPr="00F83B6E">
        <w:rPr>
          <w:color w:val="000000" w:themeColor="text1"/>
        </w:rPr>
        <w:t xml:space="preserve">gricultural </w:t>
      </w:r>
      <w:r w:rsidR="00646B33" w:rsidRPr="00F83B6E">
        <w:rPr>
          <w:color w:val="000000" w:themeColor="text1"/>
        </w:rPr>
        <w:t>R</w:t>
      </w:r>
      <w:r w:rsidR="00F40381" w:rsidRPr="00F83B6E">
        <w:rPr>
          <w:color w:val="000000" w:themeColor="text1"/>
        </w:rPr>
        <w:t>esearch (ACIAR)</w:t>
      </w:r>
      <w:r w:rsidR="00646B33" w:rsidRPr="00F83B6E">
        <w:rPr>
          <w:color w:val="000000" w:themeColor="text1"/>
        </w:rPr>
        <w:t xml:space="preserve">, have and continue to be involved in the sector. </w:t>
      </w:r>
      <w:r w:rsidR="00120017" w:rsidRPr="00F83B6E">
        <w:rPr>
          <w:color w:val="000000" w:themeColor="text1"/>
        </w:rPr>
        <w:t xml:space="preserve">DFAT has </w:t>
      </w:r>
      <w:r w:rsidRPr="00F83B6E">
        <w:rPr>
          <w:color w:val="000000" w:themeColor="text1"/>
        </w:rPr>
        <w:t xml:space="preserve">invested </w:t>
      </w:r>
      <w:r w:rsidR="00120017" w:rsidRPr="00F83B6E">
        <w:rPr>
          <w:color w:val="000000" w:themeColor="text1"/>
        </w:rPr>
        <w:t xml:space="preserve">proactively </w:t>
      </w:r>
      <w:r w:rsidRPr="00F83B6E">
        <w:rPr>
          <w:color w:val="000000" w:themeColor="text1"/>
        </w:rPr>
        <w:t>for a decade in strengthening Indonesia’s knowledge sector for better evidence-informed policy, most notably through the Knowledge Sector Initiative (</w:t>
      </w:r>
      <w:r w:rsidR="006A6F3D" w:rsidRPr="00F83B6E">
        <w:rPr>
          <w:color w:val="000000" w:themeColor="text1"/>
        </w:rPr>
        <w:t xml:space="preserve">KSI, </w:t>
      </w:r>
      <w:r w:rsidRPr="00F83B6E">
        <w:rPr>
          <w:color w:val="000000" w:themeColor="text1"/>
        </w:rPr>
        <w:t>2012-2022).</w:t>
      </w:r>
      <w:r w:rsidR="00120017" w:rsidRPr="00F83B6E">
        <w:rPr>
          <w:rStyle w:val="FootnoteReference"/>
          <w:color w:val="000000" w:themeColor="text1"/>
        </w:rPr>
        <w:footnoteReference w:id="15"/>
      </w:r>
      <w:r w:rsidRPr="00F83B6E">
        <w:rPr>
          <w:color w:val="000000" w:themeColor="text1"/>
        </w:rPr>
        <w:t xml:space="preserve"> DFAT also supported the establishment of the Abdul Latif Jameel Poverty Action Lab Southeast Asia (J-PAL SEA), with the current phase of funding to conclude in 2022, and </w:t>
      </w:r>
      <w:r w:rsidR="006D47D9" w:rsidRPr="00F83B6E">
        <w:rPr>
          <w:color w:val="000000" w:themeColor="text1"/>
        </w:rPr>
        <w:t xml:space="preserve">the </w:t>
      </w:r>
      <w:r w:rsidRPr="00F83B6E">
        <w:rPr>
          <w:color w:val="000000" w:themeColor="text1"/>
        </w:rPr>
        <w:t>United Nations Pulse Lab Jakarta (</w:t>
      </w:r>
      <w:r w:rsidR="006A6F3D" w:rsidRPr="00F83B6E">
        <w:rPr>
          <w:color w:val="000000" w:themeColor="text1"/>
        </w:rPr>
        <w:t>Pulse Lab</w:t>
      </w:r>
      <w:r w:rsidRPr="00F83B6E">
        <w:rPr>
          <w:color w:val="000000" w:themeColor="text1"/>
        </w:rPr>
        <w:t xml:space="preserve">) program that has DFAT funding committed until 2023. </w:t>
      </w:r>
      <w:r w:rsidR="00120017" w:rsidRPr="00F83B6E">
        <w:rPr>
          <w:color w:val="000000" w:themeColor="text1"/>
        </w:rPr>
        <w:t>L</w:t>
      </w:r>
      <w:r w:rsidRPr="00F83B6E">
        <w:rPr>
          <w:color w:val="000000" w:themeColor="text1"/>
        </w:rPr>
        <w:t>ong</w:t>
      </w:r>
      <w:r w:rsidR="00120017" w:rsidRPr="00F83B6E">
        <w:rPr>
          <w:color w:val="000000" w:themeColor="text1"/>
        </w:rPr>
        <w:t xml:space="preserve">.-standing </w:t>
      </w:r>
      <w:r w:rsidRPr="00F83B6E">
        <w:rPr>
          <w:color w:val="000000" w:themeColor="text1"/>
        </w:rPr>
        <w:t>relationships also exist between Australian and Indonesian universities and researchers. The Australian National University Indonesia Project (</w:t>
      </w:r>
      <w:r w:rsidR="006A6F3D" w:rsidRPr="00F83B6E">
        <w:rPr>
          <w:color w:val="000000" w:themeColor="text1"/>
        </w:rPr>
        <w:t>Indonesia Project</w:t>
      </w:r>
      <w:r w:rsidRPr="00F83B6E">
        <w:rPr>
          <w:color w:val="000000" w:themeColor="text1"/>
        </w:rPr>
        <w:t>) has operated since 1965</w:t>
      </w:r>
      <w:r w:rsidR="006D47D9" w:rsidRPr="00F83B6E">
        <w:rPr>
          <w:color w:val="000000" w:themeColor="text1"/>
        </w:rPr>
        <w:t xml:space="preserve"> (with support from DFAT)</w:t>
      </w:r>
      <w:r w:rsidRPr="00F83B6E">
        <w:rPr>
          <w:color w:val="000000" w:themeColor="text1"/>
        </w:rPr>
        <w:t xml:space="preserve">, producing and disseminating research on Indonesia’s economy and society. ANU-IP has an ongoing relationship with Indonesia’s SMERU </w:t>
      </w:r>
      <w:r w:rsidR="00E85FCC" w:rsidRPr="00F83B6E">
        <w:rPr>
          <w:color w:val="000000" w:themeColor="text1"/>
        </w:rPr>
        <w:t>Research Institute</w:t>
      </w:r>
      <w:r w:rsidR="006361B3" w:rsidRPr="00F83B6E">
        <w:rPr>
          <w:color w:val="000000" w:themeColor="text1"/>
        </w:rPr>
        <w:t>,</w:t>
      </w:r>
      <w:r w:rsidR="00E85FCC" w:rsidRPr="00F83B6E">
        <w:rPr>
          <w:color w:val="000000" w:themeColor="text1"/>
        </w:rPr>
        <w:t xml:space="preserve"> </w:t>
      </w:r>
      <w:r w:rsidRPr="00F83B6E">
        <w:rPr>
          <w:color w:val="000000" w:themeColor="text1"/>
        </w:rPr>
        <w:t xml:space="preserve">and </w:t>
      </w:r>
      <w:r w:rsidR="006D47D9" w:rsidRPr="00F83B6E">
        <w:rPr>
          <w:color w:val="000000" w:themeColor="text1"/>
        </w:rPr>
        <w:t xml:space="preserve">the next phase </w:t>
      </w:r>
      <w:r w:rsidRPr="00F83B6E">
        <w:rPr>
          <w:color w:val="000000" w:themeColor="text1"/>
        </w:rPr>
        <w:t>is expected to start in the second half of 2022. Monash University’s Australia-Indonesia Centre (AIC) was established in 2014</w:t>
      </w:r>
      <w:r w:rsidR="00BC1889" w:rsidRPr="00F83B6E">
        <w:rPr>
          <w:color w:val="000000" w:themeColor="text1"/>
        </w:rPr>
        <w:t xml:space="preserve"> with funding from the Australian government</w:t>
      </w:r>
      <w:r w:rsidRPr="00F83B6E">
        <w:rPr>
          <w:color w:val="000000" w:themeColor="text1"/>
        </w:rPr>
        <w:t xml:space="preserve">. The AIC Partnership for Australia-Indonesia Research (AIC-PAIR) </w:t>
      </w:r>
      <w:r w:rsidR="00BC1889" w:rsidRPr="00F83B6E">
        <w:rPr>
          <w:color w:val="000000" w:themeColor="text1"/>
        </w:rPr>
        <w:t>is a DFAT-funded initiative (AUD 8 million, 2019-2022) that deepen</w:t>
      </w:r>
      <w:r w:rsidR="006A6F3D" w:rsidRPr="00F83B6E">
        <w:rPr>
          <w:color w:val="000000" w:themeColor="text1"/>
        </w:rPr>
        <w:t>s</w:t>
      </w:r>
      <w:r w:rsidR="00BC1889" w:rsidRPr="00F83B6E">
        <w:rPr>
          <w:color w:val="000000" w:themeColor="text1"/>
        </w:rPr>
        <w:t xml:space="preserve"> the research linkages between </w:t>
      </w:r>
      <w:r w:rsidRPr="00F83B6E">
        <w:rPr>
          <w:color w:val="000000" w:themeColor="text1"/>
        </w:rPr>
        <w:t>11 Australian and Indonesian universitie</w:t>
      </w:r>
      <w:r w:rsidR="00646B33" w:rsidRPr="00F83B6E">
        <w:rPr>
          <w:color w:val="000000" w:themeColor="text1"/>
        </w:rPr>
        <w:t>s</w:t>
      </w:r>
      <w:r w:rsidRPr="00F83B6E">
        <w:rPr>
          <w:color w:val="000000" w:themeColor="text1"/>
        </w:rPr>
        <w:t>.</w:t>
      </w:r>
      <w:r w:rsidR="006D47D9" w:rsidRPr="00F83B6E">
        <w:rPr>
          <w:rStyle w:val="FootnoteReference"/>
          <w:color w:val="000000" w:themeColor="text1"/>
        </w:rPr>
        <w:footnoteReference w:id="16"/>
      </w:r>
      <w:r w:rsidRPr="00F83B6E">
        <w:rPr>
          <w:color w:val="000000" w:themeColor="text1"/>
        </w:rPr>
        <w:t xml:space="preserve"> </w:t>
      </w:r>
      <w:r w:rsidR="00646B33" w:rsidRPr="00F83B6E">
        <w:rPr>
          <w:color w:val="000000" w:themeColor="text1"/>
        </w:rPr>
        <w:t xml:space="preserve">The Indonesia Project and AIC have built and expanded the academic and institutional linkages between Australia and Indonesia (including at the sub-national level) while producing and disseminating high-quality, multidisciplinary research. </w:t>
      </w:r>
      <w:r w:rsidRPr="00F83B6E">
        <w:rPr>
          <w:color w:val="000000" w:themeColor="text1"/>
        </w:rPr>
        <w:t xml:space="preserve">The extensive network of Indonesian alumni of Australian universities, many of whom have studied thanks to Australian Awards scholarships, is an asset to these initiatives. </w:t>
      </w:r>
    </w:p>
    <w:p w14:paraId="6B811855" w14:textId="16C50CAF" w:rsidR="0060191D" w:rsidRPr="00F83B6E" w:rsidRDefault="00E82236" w:rsidP="00B91543">
      <w:pPr>
        <w:pStyle w:val="BodyText"/>
        <w:rPr>
          <w:color w:val="000000" w:themeColor="text1"/>
        </w:rPr>
      </w:pPr>
      <w:r w:rsidRPr="00F83B6E">
        <w:rPr>
          <w:color w:val="000000" w:themeColor="text1"/>
        </w:rPr>
        <w:t>T</w:t>
      </w:r>
      <w:r w:rsidR="0060191D" w:rsidRPr="00F83B6E">
        <w:rPr>
          <w:color w:val="000000" w:themeColor="text1"/>
        </w:rPr>
        <w:t xml:space="preserve">he experience gained from </w:t>
      </w:r>
      <w:r w:rsidRPr="00F83B6E">
        <w:rPr>
          <w:color w:val="000000" w:themeColor="text1"/>
        </w:rPr>
        <w:t xml:space="preserve">these multiple </w:t>
      </w:r>
      <w:r w:rsidR="00646B33" w:rsidRPr="00F83B6E">
        <w:rPr>
          <w:color w:val="000000" w:themeColor="text1"/>
        </w:rPr>
        <w:t xml:space="preserve">investments </w:t>
      </w:r>
      <w:r w:rsidRPr="00F83B6E">
        <w:rPr>
          <w:color w:val="000000" w:themeColor="text1"/>
        </w:rPr>
        <w:t>has brought valuable lessons</w:t>
      </w:r>
      <w:r w:rsidR="0060191D" w:rsidRPr="00F83B6E">
        <w:rPr>
          <w:color w:val="000000" w:themeColor="text1"/>
        </w:rPr>
        <w:t>.</w:t>
      </w:r>
      <w:r w:rsidR="00D9048E" w:rsidRPr="00F83B6E">
        <w:rPr>
          <w:rStyle w:val="FootnoteReference"/>
          <w:color w:val="000000" w:themeColor="text1"/>
        </w:rPr>
        <w:footnoteReference w:id="17"/>
      </w:r>
      <w:r w:rsidR="0060191D" w:rsidRPr="00F83B6E">
        <w:rPr>
          <w:color w:val="000000" w:themeColor="text1"/>
        </w:rPr>
        <w:t xml:space="preserve"> </w:t>
      </w:r>
      <w:r w:rsidRPr="00F83B6E">
        <w:rPr>
          <w:color w:val="000000" w:themeColor="text1"/>
        </w:rPr>
        <w:t xml:space="preserve">A recent </w:t>
      </w:r>
      <w:r w:rsidR="00194EE9" w:rsidRPr="00F83B6E">
        <w:rPr>
          <w:color w:val="000000" w:themeColor="text1"/>
        </w:rPr>
        <w:t xml:space="preserve">independent </w:t>
      </w:r>
      <w:r w:rsidR="0060191D" w:rsidRPr="00F83B6E">
        <w:rPr>
          <w:color w:val="000000" w:themeColor="text1"/>
        </w:rPr>
        <w:t>strategic review</w:t>
      </w:r>
      <w:r w:rsidR="00194EE9" w:rsidRPr="00F83B6E">
        <w:rPr>
          <w:color w:val="000000" w:themeColor="text1"/>
        </w:rPr>
        <w:t xml:space="preserve"> (ISR)</w:t>
      </w:r>
      <w:r w:rsidR="0060191D" w:rsidRPr="00F83B6E">
        <w:rPr>
          <w:color w:val="000000" w:themeColor="text1"/>
        </w:rPr>
        <w:t xml:space="preserve"> of DFAT</w:t>
      </w:r>
      <w:r w:rsidRPr="00F83B6E">
        <w:rPr>
          <w:color w:val="000000" w:themeColor="text1"/>
        </w:rPr>
        <w:t>-funded</w:t>
      </w:r>
      <w:r w:rsidR="0060191D" w:rsidRPr="00F83B6E">
        <w:rPr>
          <w:color w:val="000000" w:themeColor="text1"/>
        </w:rPr>
        <w:t xml:space="preserve"> </w:t>
      </w:r>
      <w:r w:rsidRPr="00F83B6E">
        <w:rPr>
          <w:color w:val="000000" w:themeColor="text1"/>
        </w:rPr>
        <w:t>KSI, JPAL SEA and Pulse Lab investments</w:t>
      </w:r>
      <w:r w:rsidR="00D9048E" w:rsidRPr="00F83B6E">
        <w:rPr>
          <w:rStyle w:val="FootnoteReference"/>
          <w:color w:val="000000" w:themeColor="text1"/>
        </w:rPr>
        <w:footnoteReference w:id="18"/>
      </w:r>
      <w:r w:rsidRPr="00F83B6E">
        <w:rPr>
          <w:color w:val="000000" w:themeColor="text1"/>
        </w:rPr>
        <w:t xml:space="preserve"> </w:t>
      </w:r>
      <w:r w:rsidR="00E76D57" w:rsidRPr="00F83B6E">
        <w:rPr>
          <w:color w:val="000000" w:themeColor="text1"/>
        </w:rPr>
        <w:t xml:space="preserve">notes that </w:t>
      </w:r>
      <w:r w:rsidR="00646B33" w:rsidRPr="00F83B6E">
        <w:rPr>
          <w:color w:val="000000" w:themeColor="text1"/>
        </w:rPr>
        <w:t xml:space="preserve">these </w:t>
      </w:r>
      <w:r w:rsidR="00BC1889" w:rsidRPr="00F83B6E">
        <w:rPr>
          <w:color w:val="000000" w:themeColor="text1"/>
        </w:rPr>
        <w:t xml:space="preserve">programs </w:t>
      </w:r>
      <w:r w:rsidRPr="00F83B6E">
        <w:rPr>
          <w:color w:val="000000" w:themeColor="text1"/>
        </w:rPr>
        <w:t xml:space="preserve">have produced some excellent results over the past decade and </w:t>
      </w:r>
      <w:r w:rsidR="00F47E47" w:rsidRPr="00F83B6E">
        <w:rPr>
          <w:color w:val="000000" w:themeColor="text1"/>
        </w:rPr>
        <w:t xml:space="preserve">that </w:t>
      </w:r>
      <w:r w:rsidR="00E76D57" w:rsidRPr="00F83B6E">
        <w:rPr>
          <w:color w:val="000000" w:themeColor="text1"/>
        </w:rPr>
        <w:t>the established relationships of trust among key government and non-government actors provides a strong foundation for future support.</w:t>
      </w:r>
      <w:r w:rsidR="006619A7" w:rsidRPr="00F83B6E">
        <w:rPr>
          <w:color w:val="000000" w:themeColor="text1"/>
        </w:rPr>
        <w:t xml:space="preserve"> </w:t>
      </w:r>
      <w:r w:rsidRPr="00F83B6E">
        <w:rPr>
          <w:color w:val="000000" w:themeColor="text1"/>
        </w:rPr>
        <w:t xml:space="preserve">It further highlights </w:t>
      </w:r>
      <w:r w:rsidR="00646B33" w:rsidRPr="00F83B6E">
        <w:rPr>
          <w:color w:val="000000" w:themeColor="text1"/>
        </w:rPr>
        <w:t>t</w:t>
      </w:r>
      <w:r w:rsidR="00E76D57" w:rsidRPr="00F83B6E">
        <w:rPr>
          <w:color w:val="000000" w:themeColor="text1"/>
        </w:rPr>
        <w:t xml:space="preserve">he </w:t>
      </w:r>
      <w:r w:rsidR="00646B33" w:rsidRPr="00F83B6E">
        <w:rPr>
          <w:color w:val="000000" w:themeColor="text1"/>
        </w:rPr>
        <w:lastRenderedPageBreak/>
        <w:t xml:space="preserve">positive and significant shift in the </w:t>
      </w:r>
      <w:r w:rsidR="00E76D57" w:rsidRPr="00F83B6E">
        <w:rPr>
          <w:color w:val="000000" w:themeColor="text1"/>
        </w:rPr>
        <w:t>operating context</w:t>
      </w:r>
      <w:r w:rsidR="00F47E47" w:rsidRPr="00F83B6E">
        <w:rPr>
          <w:color w:val="000000" w:themeColor="text1"/>
        </w:rPr>
        <w:t xml:space="preserve"> -</w:t>
      </w:r>
      <w:r w:rsidR="00646B33" w:rsidRPr="00F83B6E">
        <w:rPr>
          <w:color w:val="000000" w:themeColor="text1"/>
        </w:rPr>
        <w:t xml:space="preserve"> i.e. the ‘knowledge sector’ has become a better known concept, as has evidence-informed policy making</w:t>
      </w:r>
      <w:r w:rsidR="00E66106" w:rsidRPr="00F83B6E">
        <w:rPr>
          <w:color w:val="000000" w:themeColor="text1"/>
        </w:rPr>
        <w:t xml:space="preserve">. </w:t>
      </w:r>
      <w:r w:rsidR="00D9048E" w:rsidRPr="00F83B6E">
        <w:rPr>
          <w:color w:val="000000" w:themeColor="text1"/>
        </w:rPr>
        <w:t xml:space="preserve">The ISR summarises success factors in the knowledge to policy pathway as: alignment with champions’ priorities; being problem-oriented; focusing on the practical application of results (rather than simply on providing information); and being able to convene and facilitate coordinated action. </w:t>
      </w:r>
      <w:r w:rsidR="00A46592" w:rsidRPr="00F83B6E">
        <w:rPr>
          <w:color w:val="000000" w:themeColor="text1"/>
        </w:rPr>
        <w:t>L</w:t>
      </w:r>
      <w:r w:rsidR="00E66106" w:rsidRPr="00F83B6E">
        <w:rPr>
          <w:color w:val="000000" w:themeColor="text1"/>
        </w:rPr>
        <w:t>essons</w:t>
      </w:r>
      <w:r w:rsidR="006713C3" w:rsidRPr="00F83B6E">
        <w:rPr>
          <w:color w:val="000000" w:themeColor="text1"/>
        </w:rPr>
        <w:t xml:space="preserve"> </w:t>
      </w:r>
      <w:r w:rsidR="00A46592" w:rsidRPr="00F83B6E">
        <w:rPr>
          <w:color w:val="000000" w:themeColor="text1"/>
        </w:rPr>
        <w:t xml:space="preserve">learned from current and past DFAT investments in the knowledge and innovation sector and their implications </w:t>
      </w:r>
      <w:r w:rsidR="00D9048E" w:rsidRPr="00F83B6E">
        <w:rPr>
          <w:color w:val="000000" w:themeColor="text1"/>
        </w:rPr>
        <w:t xml:space="preserve">for the KPP </w:t>
      </w:r>
      <w:r w:rsidR="00B6057B" w:rsidRPr="00F83B6E">
        <w:rPr>
          <w:color w:val="000000" w:themeColor="text1"/>
        </w:rPr>
        <w:t>design</w:t>
      </w:r>
      <w:r w:rsidR="00D9048E" w:rsidRPr="00F83B6E">
        <w:rPr>
          <w:color w:val="000000" w:themeColor="text1"/>
        </w:rPr>
        <w:t xml:space="preserve"> </w:t>
      </w:r>
      <w:r w:rsidR="006F182D" w:rsidRPr="00F83B6E">
        <w:rPr>
          <w:color w:val="000000" w:themeColor="text1"/>
        </w:rPr>
        <w:t xml:space="preserve">are summarised </w:t>
      </w:r>
      <w:r w:rsidR="00646B33" w:rsidRPr="00F83B6E">
        <w:rPr>
          <w:color w:val="000000" w:themeColor="text1"/>
        </w:rPr>
        <w:t>below</w:t>
      </w:r>
      <w:r w:rsidR="0060191D" w:rsidRPr="00F83B6E">
        <w:rPr>
          <w:color w:val="000000" w:themeColor="text1"/>
        </w:rPr>
        <w:t>:</w:t>
      </w:r>
    </w:p>
    <w:p w14:paraId="551E2755" w14:textId="319A8B38" w:rsidR="00A6152F" w:rsidRPr="00F83B6E" w:rsidRDefault="00A6152F" w:rsidP="00B91543">
      <w:pPr>
        <w:pStyle w:val="BodyText"/>
        <w:numPr>
          <w:ilvl w:val="0"/>
          <w:numId w:val="31"/>
        </w:numPr>
        <w:rPr>
          <w:color w:val="000000" w:themeColor="text1"/>
        </w:rPr>
      </w:pPr>
      <w:r w:rsidRPr="00F83B6E">
        <w:rPr>
          <w:color w:val="000000" w:themeColor="text1"/>
        </w:rPr>
        <w:t>T</w:t>
      </w:r>
      <w:r w:rsidR="00271846" w:rsidRPr="00F83B6E">
        <w:rPr>
          <w:color w:val="000000" w:themeColor="text1"/>
        </w:rPr>
        <w:t xml:space="preserve">here is a considerable room to grow university-level and industry partnerships in the fields of research, science, technology, and innovation, while aligning with shared priorities reflected in the </w:t>
      </w:r>
      <w:r w:rsidR="006A6F3D" w:rsidRPr="00F83B6E">
        <w:rPr>
          <w:color w:val="000000" w:themeColor="text1"/>
        </w:rPr>
        <w:t>Comprehensive Strategic Partnership between Australia and the Republic of Indonesia (CSP)</w:t>
      </w:r>
      <w:r w:rsidR="00271846" w:rsidRPr="00F83B6E">
        <w:rPr>
          <w:color w:val="000000" w:themeColor="text1"/>
        </w:rPr>
        <w:t xml:space="preserve">, </w:t>
      </w:r>
      <w:r w:rsidR="006A6F3D" w:rsidRPr="00F83B6E">
        <w:rPr>
          <w:color w:val="000000" w:themeColor="text1"/>
        </w:rPr>
        <w:t>Indonesia-Australia Comprehensive Economic Partnership Agreement (</w:t>
      </w:r>
      <w:r w:rsidR="00271846" w:rsidRPr="00F83B6E">
        <w:rPr>
          <w:color w:val="000000" w:themeColor="text1"/>
        </w:rPr>
        <w:t>IA-CEPA</w:t>
      </w:r>
      <w:r w:rsidR="006A6F3D" w:rsidRPr="00F83B6E">
        <w:rPr>
          <w:color w:val="000000" w:themeColor="text1"/>
        </w:rPr>
        <w:t>)</w:t>
      </w:r>
      <w:r w:rsidR="00271846" w:rsidRPr="00F83B6E">
        <w:rPr>
          <w:color w:val="000000" w:themeColor="text1"/>
        </w:rPr>
        <w:t xml:space="preserve"> and </w:t>
      </w:r>
      <w:r w:rsidR="006A6F3D" w:rsidRPr="00F83B6E">
        <w:rPr>
          <w:color w:val="000000" w:themeColor="text1"/>
        </w:rPr>
        <w:t>the Indonesia COVID-19 Development Response Plan (</w:t>
      </w:r>
      <w:r w:rsidR="00271846" w:rsidRPr="00F83B6E">
        <w:rPr>
          <w:color w:val="000000" w:themeColor="text1"/>
        </w:rPr>
        <w:t>CDRP</w:t>
      </w:r>
      <w:r w:rsidR="006A6F3D" w:rsidRPr="00F83B6E">
        <w:rPr>
          <w:color w:val="000000" w:themeColor="text1"/>
        </w:rPr>
        <w:t>)</w:t>
      </w:r>
      <w:r w:rsidR="00271846" w:rsidRPr="00F83B6E">
        <w:rPr>
          <w:color w:val="000000" w:themeColor="text1"/>
        </w:rPr>
        <w:t xml:space="preserve">.  </w:t>
      </w:r>
    </w:p>
    <w:p w14:paraId="4A3C1299" w14:textId="5F966E8D" w:rsidR="004471D5" w:rsidRPr="00F83B6E" w:rsidRDefault="00A6152F" w:rsidP="000909B9">
      <w:pPr>
        <w:pStyle w:val="BodyText"/>
        <w:numPr>
          <w:ilvl w:val="0"/>
          <w:numId w:val="31"/>
        </w:numPr>
        <w:rPr>
          <w:color w:val="000000" w:themeColor="text1"/>
        </w:rPr>
      </w:pPr>
      <w:r w:rsidRPr="00F83B6E">
        <w:rPr>
          <w:color w:val="000000" w:themeColor="text1"/>
        </w:rPr>
        <w:t xml:space="preserve">Most Australian funded programs include a ‘knowledge to policy’ approach to support Indonesia policy reform across a range of sectors. </w:t>
      </w:r>
      <w:r w:rsidR="000909B9" w:rsidRPr="00F83B6E">
        <w:rPr>
          <w:color w:val="000000" w:themeColor="text1"/>
        </w:rPr>
        <w:t xml:space="preserve">However, to </w:t>
      </w:r>
      <w:r w:rsidR="004471D5" w:rsidRPr="00F83B6E">
        <w:rPr>
          <w:color w:val="000000" w:themeColor="text1"/>
        </w:rPr>
        <w:t>tackl</w:t>
      </w:r>
      <w:r w:rsidR="000909B9" w:rsidRPr="00F83B6E">
        <w:rPr>
          <w:color w:val="000000" w:themeColor="text1"/>
        </w:rPr>
        <w:t>e</w:t>
      </w:r>
      <w:r w:rsidR="004471D5" w:rsidRPr="00F83B6E">
        <w:rPr>
          <w:color w:val="000000" w:themeColor="text1"/>
        </w:rPr>
        <w:t xml:space="preserve"> </w:t>
      </w:r>
      <w:r w:rsidR="000909B9" w:rsidRPr="00F83B6E">
        <w:rPr>
          <w:color w:val="000000" w:themeColor="text1"/>
        </w:rPr>
        <w:t xml:space="preserve">complex challenges or so-called ‘wicked’ socio-economic problems, </w:t>
      </w:r>
      <w:r w:rsidR="00135CCC" w:rsidRPr="00F83B6E">
        <w:rPr>
          <w:color w:val="000000" w:themeColor="text1"/>
        </w:rPr>
        <w:t xml:space="preserve">a combination of </w:t>
      </w:r>
      <w:r w:rsidR="004471D5" w:rsidRPr="00F83B6E">
        <w:rPr>
          <w:color w:val="000000" w:themeColor="text1"/>
        </w:rPr>
        <w:t>policy and technolog</w:t>
      </w:r>
      <w:r w:rsidR="00135CCC" w:rsidRPr="00F83B6E">
        <w:rPr>
          <w:color w:val="000000" w:themeColor="text1"/>
        </w:rPr>
        <w:t>ical</w:t>
      </w:r>
      <w:r w:rsidR="004471D5" w:rsidRPr="00F83B6E">
        <w:rPr>
          <w:color w:val="000000" w:themeColor="text1"/>
        </w:rPr>
        <w:t xml:space="preserve"> solutions </w:t>
      </w:r>
      <w:r w:rsidR="00135CCC" w:rsidRPr="00F83B6E">
        <w:rPr>
          <w:color w:val="000000" w:themeColor="text1"/>
        </w:rPr>
        <w:t>may be required</w:t>
      </w:r>
      <w:r w:rsidR="000909B9" w:rsidRPr="00F83B6E">
        <w:rPr>
          <w:color w:val="000000" w:themeColor="text1"/>
        </w:rPr>
        <w:t xml:space="preserve">. </w:t>
      </w:r>
      <w:r w:rsidR="006A6F3D" w:rsidRPr="00F83B6E">
        <w:rPr>
          <w:color w:val="000000" w:themeColor="text1"/>
        </w:rPr>
        <w:t xml:space="preserve">The KPP will combine policy and scientific research to inform solutions to address complex socio-economic </w:t>
      </w:r>
      <w:r w:rsidR="00135CCC" w:rsidRPr="00F83B6E">
        <w:rPr>
          <w:color w:val="000000" w:themeColor="text1"/>
        </w:rPr>
        <w:t>problems</w:t>
      </w:r>
      <w:r w:rsidR="007A43E0" w:rsidRPr="00F83B6E">
        <w:rPr>
          <w:color w:val="000000" w:themeColor="text1"/>
        </w:rPr>
        <w:t xml:space="preserve"> in a </w:t>
      </w:r>
      <w:r w:rsidR="008350C4" w:rsidRPr="00F83B6E">
        <w:rPr>
          <w:color w:val="000000" w:themeColor="text1"/>
        </w:rPr>
        <w:t xml:space="preserve">joint, </w:t>
      </w:r>
      <w:r w:rsidR="007A43E0" w:rsidRPr="00F83B6E">
        <w:rPr>
          <w:color w:val="000000" w:themeColor="text1"/>
        </w:rPr>
        <w:t>complementary and synergistic manner.</w:t>
      </w:r>
      <w:r w:rsidR="00271846" w:rsidRPr="00F83B6E">
        <w:rPr>
          <w:color w:val="000000" w:themeColor="text1"/>
        </w:rPr>
        <w:t xml:space="preserve"> </w:t>
      </w:r>
      <w:r w:rsidR="000909B9" w:rsidRPr="00F83B6E">
        <w:rPr>
          <w:color w:val="000000" w:themeColor="text1"/>
        </w:rPr>
        <w:t>While scientific research and innovation for commercialisation have not been a key focus of DFAT’s knowledge sector investments to date, some smaller scale K2I partnership schemes between CSIRO, ACIAR and various Indonesian counterparts provide interesting model for KPP to explore.</w:t>
      </w:r>
    </w:p>
    <w:p w14:paraId="19727C6F" w14:textId="75BE323C" w:rsidR="004C1F9A" w:rsidRPr="00F83B6E" w:rsidRDefault="00D9048E" w:rsidP="00815CC8">
      <w:pPr>
        <w:pStyle w:val="BodyText"/>
        <w:numPr>
          <w:ilvl w:val="0"/>
          <w:numId w:val="31"/>
        </w:numPr>
        <w:rPr>
          <w:color w:val="000000" w:themeColor="text1"/>
        </w:rPr>
      </w:pPr>
      <w:r w:rsidRPr="00F83B6E">
        <w:rPr>
          <w:color w:val="000000" w:themeColor="text1"/>
        </w:rPr>
        <w:t>A d</w:t>
      </w:r>
      <w:r w:rsidR="0060191D" w:rsidRPr="00F83B6E">
        <w:rPr>
          <w:color w:val="000000" w:themeColor="text1"/>
        </w:rPr>
        <w:t>emand</w:t>
      </w:r>
      <w:r w:rsidRPr="00F83B6E">
        <w:rPr>
          <w:color w:val="000000" w:themeColor="text1"/>
        </w:rPr>
        <w:t>-driven agenda</w:t>
      </w:r>
      <w:r w:rsidR="0060191D" w:rsidRPr="00F83B6E">
        <w:rPr>
          <w:color w:val="000000" w:themeColor="text1"/>
        </w:rPr>
        <w:t xml:space="preserve"> </w:t>
      </w:r>
      <w:r w:rsidRPr="00F83B6E">
        <w:rPr>
          <w:color w:val="000000" w:themeColor="text1"/>
        </w:rPr>
        <w:t xml:space="preserve">poses the risk of </w:t>
      </w:r>
      <w:r w:rsidR="00BC2490" w:rsidRPr="00F83B6E">
        <w:rPr>
          <w:color w:val="000000" w:themeColor="text1"/>
        </w:rPr>
        <w:t xml:space="preserve">not including </w:t>
      </w:r>
      <w:r w:rsidR="0060191D" w:rsidRPr="00F83B6E">
        <w:rPr>
          <w:color w:val="000000" w:themeColor="text1"/>
        </w:rPr>
        <w:t xml:space="preserve">important but less visible or attractive areas of reform or </w:t>
      </w:r>
      <w:r w:rsidR="00BC2490" w:rsidRPr="00F83B6E">
        <w:rPr>
          <w:color w:val="000000" w:themeColor="text1"/>
        </w:rPr>
        <w:t xml:space="preserve">those </w:t>
      </w:r>
      <w:r w:rsidRPr="00F83B6E">
        <w:rPr>
          <w:color w:val="000000" w:themeColor="text1"/>
        </w:rPr>
        <w:t>deemed</w:t>
      </w:r>
      <w:r w:rsidR="0060191D" w:rsidRPr="00F83B6E">
        <w:rPr>
          <w:color w:val="000000" w:themeColor="text1"/>
        </w:rPr>
        <w:t xml:space="preserve"> too time consuming for </w:t>
      </w:r>
      <w:r w:rsidR="00194EE9" w:rsidRPr="00F83B6E">
        <w:rPr>
          <w:color w:val="000000" w:themeColor="text1"/>
        </w:rPr>
        <w:t xml:space="preserve">the investment </w:t>
      </w:r>
      <w:r w:rsidR="0060191D" w:rsidRPr="00F83B6E">
        <w:rPr>
          <w:color w:val="000000" w:themeColor="text1"/>
        </w:rPr>
        <w:t>timeframes.</w:t>
      </w:r>
      <w:r w:rsidR="00BD1560" w:rsidRPr="00F83B6E">
        <w:rPr>
          <w:color w:val="000000" w:themeColor="text1"/>
        </w:rPr>
        <w:t xml:space="preserve"> </w:t>
      </w:r>
      <w:r w:rsidR="008B142F" w:rsidRPr="00F83B6E">
        <w:rPr>
          <w:color w:val="000000" w:themeColor="text1"/>
        </w:rPr>
        <w:t xml:space="preserve">Priorities for KPP-supported research agenda will be developed with flexibility (annually, through a </w:t>
      </w:r>
      <w:r w:rsidR="000953B9" w:rsidRPr="00F83B6E">
        <w:rPr>
          <w:color w:val="000000" w:themeColor="text1"/>
        </w:rPr>
        <w:t>planning</w:t>
      </w:r>
      <w:r w:rsidR="008B142F" w:rsidRPr="00F83B6E">
        <w:rPr>
          <w:color w:val="000000" w:themeColor="text1"/>
        </w:rPr>
        <w:t xml:space="preserve"> process), inclusiveness (based on engagement with a broad range of stakeholders), and ownership (deliberated and agreed between both </w:t>
      </w:r>
      <w:proofErr w:type="spellStart"/>
      <w:r w:rsidR="008B142F" w:rsidRPr="00F83B6E">
        <w:rPr>
          <w:color w:val="000000" w:themeColor="text1"/>
        </w:rPr>
        <w:t>GoI</w:t>
      </w:r>
      <w:proofErr w:type="spellEnd"/>
      <w:r w:rsidR="008B142F" w:rsidRPr="00F83B6E">
        <w:rPr>
          <w:color w:val="000000" w:themeColor="text1"/>
        </w:rPr>
        <w:t xml:space="preserve"> and </w:t>
      </w:r>
      <w:proofErr w:type="spellStart"/>
      <w:r w:rsidR="008B142F" w:rsidRPr="00F83B6E">
        <w:rPr>
          <w:color w:val="000000" w:themeColor="text1"/>
        </w:rPr>
        <w:t>GoA</w:t>
      </w:r>
      <w:proofErr w:type="spellEnd"/>
      <w:r w:rsidR="008B142F" w:rsidRPr="00F83B6E">
        <w:rPr>
          <w:color w:val="000000" w:themeColor="text1"/>
        </w:rPr>
        <w:t xml:space="preserve"> at the appropriate program governance level).</w:t>
      </w:r>
      <w:r w:rsidR="002900E9" w:rsidRPr="00F83B6E">
        <w:rPr>
          <w:color w:val="000000" w:themeColor="text1"/>
        </w:rPr>
        <w:t xml:space="preserve"> </w:t>
      </w:r>
      <w:r w:rsidR="006748F2" w:rsidRPr="00F83B6E">
        <w:rPr>
          <w:color w:val="000000" w:themeColor="text1"/>
        </w:rPr>
        <w:t xml:space="preserve">KPP will strike a balance between strategic priority setting and demand-driven research led by </w:t>
      </w:r>
      <w:r w:rsidR="00A614B0" w:rsidRPr="00F83B6E">
        <w:rPr>
          <w:color w:val="000000" w:themeColor="text1"/>
        </w:rPr>
        <w:t>partnerships</w:t>
      </w:r>
      <w:r w:rsidR="006748F2" w:rsidRPr="00F83B6E">
        <w:rPr>
          <w:color w:val="000000" w:themeColor="text1"/>
        </w:rPr>
        <w:t xml:space="preserve"> and their stakeholders, by focusing </w:t>
      </w:r>
      <w:proofErr w:type="spellStart"/>
      <w:r w:rsidR="006748F2" w:rsidRPr="00F83B6E">
        <w:rPr>
          <w:color w:val="000000" w:themeColor="text1"/>
        </w:rPr>
        <w:t>G</w:t>
      </w:r>
      <w:r w:rsidR="00A967BC" w:rsidRPr="00F83B6E">
        <w:rPr>
          <w:color w:val="000000" w:themeColor="text1"/>
        </w:rPr>
        <w:t>o</w:t>
      </w:r>
      <w:r w:rsidR="006748F2" w:rsidRPr="00F83B6E">
        <w:rPr>
          <w:color w:val="000000" w:themeColor="text1"/>
        </w:rPr>
        <w:t>I-G</w:t>
      </w:r>
      <w:r w:rsidR="00A967BC" w:rsidRPr="00F83B6E">
        <w:rPr>
          <w:color w:val="000000" w:themeColor="text1"/>
        </w:rPr>
        <w:t>o</w:t>
      </w:r>
      <w:r w:rsidR="006748F2" w:rsidRPr="00F83B6E">
        <w:rPr>
          <w:color w:val="000000" w:themeColor="text1"/>
        </w:rPr>
        <w:t>A</w:t>
      </w:r>
      <w:proofErr w:type="spellEnd"/>
      <w:r w:rsidR="006748F2" w:rsidRPr="00F83B6E">
        <w:rPr>
          <w:color w:val="000000" w:themeColor="text1"/>
        </w:rPr>
        <w:t xml:space="preserve"> decision making at the broad strategic theme level and allowing </w:t>
      </w:r>
      <w:r w:rsidR="00A614B0" w:rsidRPr="00F83B6E">
        <w:rPr>
          <w:color w:val="000000" w:themeColor="text1"/>
        </w:rPr>
        <w:t>partnerships</w:t>
      </w:r>
      <w:r w:rsidR="006748F2" w:rsidRPr="00F83B6E">
        <w:rPr>
          <w:color w:val="000000" w:themeColor="text1"/>
        </w:rPr>
        <w:t xml:space="preserve"> to work with stakeholders and beneficiaries to identify specific areas of research and to test ideas through applied research methods</w:t>
      </w:r>
      <w:r w:rsidR="00A614B0" w:rsidRPr="00F83B6E">
        <w:rPr>
          <w:color w:val="000000" w:themeColor="text1"/>
        </w:rPr>
        <w:t xml:space="preserve">. Partnership grant proposals will require candidate grantees to outline how they will seek to respond to the chosen strategic themes and partnership principles as a means of managing this risk.  </w:t>
      </w:r>
    </w:p>
    <w:p w14:paraId="4FDB7D32" w14:textId="1C9A2FA5" w:rsidR="00D9464A" w:rsidRPr="00F83B6E" w:rsidRDefault="00D9464A" w:rsidP="00D9464A">
      <w:pPr>
        <w:pStyle w:val="BodyText"/>
        <w:numPr>
          <w:ilvl w:val="0"/>
          <w:numId w:val="31"/>
        </w:numPr>
        <w:rPr>
          <w:color w:val="000000" w:themeColor="text1"/>
        </w:rPr>
      </w:pPr>
      <w:r w:rsidRPr="00F83B6E">
        <w:rPr>
          <w:color w:val="000000" w:themeColor="text1"/>
        </w:rPr>
        <w:t xml:space="preserve">The historical lack of an overarching framework for </w:t>
      </w:r>
      <w:proofErr w:type="spellStart"/>
      <w:r w:rsidRPr="00F83B6E">
        <w:rPr>
          <w:color w:val="000000" w:themeColor="text1"/>
        </w:rPr>
        <w:t>GoA</w:t>
      </w:r>
      <w:proofErr w:type="spellEnd"/>
      <w:r w:rsidRPr="00F83B6E">
        <w:rPr>
          <w:color w:val="000000" w:themeColor="text1"/>
        </w:rPr>
        <w:t xml:space="preserve"> knowledge sector investments and the different timing of the multiple investments present</w:t>
      </w:r>
      <w:r w:rsidR="00964CC5" w:rsidRPr="00F83B6E">
        <w:rPr>
          <w:color w:val="000000" w:themeColor="text1"/>
        </w:rPr>
        <w:t>ed</w:t>
      </w:r>
      <w:r w:rsidRPr="00F83B6E">
        <w:rPr>
          <w:color w:val="000000" w:themeColor="text1"/>
        </w:rPr>
        <w:t xml:space="preserve"> a barrier to alignment</w:t>
      </w:r>
      <w:r w:rsidR="003C115E" w:rsidRPr="00F83B6E">
        <w:rPr>
          <w:color w:val="000000" w:themeColor="text1"/>
        </w:rPr>
        <w:t xml:space="preserve"> and coherence</w:t>
      </w:r>
      <w:r w:rsidRPr="00F83B6E">
        <w:rPr>
          <w:color w:val="000000" w:themeColor="text1"/>
        </w:rPr>
        <w:t>. Though existing investments will continue to operate independently until their agreed end, KPP offers an opportunity to bring a single flexible platform</w:t>
      </w:r>
      <w:r w:rsidR="003C115E" w:rsidRPr="00F83B6E">
        <w:rPr>
          <w:color w:val="000000" w:themeColor="text1"/>
        </w:rPr>
        <w:t xml:space="preserve"> for DFAT investments in the Indonesian knowledge sector</w:t>
      </w:r>
      <w:r w:rsidRPr="00F83B6E">
        <w:rPr>
          <w:color w:val="000000" w:themeColor="text1"/>
        </w:rPr>
        <w:t xml:space="preserve">, to evolve DFAT programming towards a more strategic portfolio approach, and to shift to a stronger Australia-Indonesia research partner model that balances public policy research with an increased focus on science, technology, and innovation. </w:t>
      </w:r>
      <w:r w:rsidR="003C115E" w:rsidRPr="00F83B6E">
        <w:rPr>
          <w:color w:val="000000" w:themeColor="text1"/>
        </w:rPr>
        <w:t xml:space="preserve">The extent to which KPP consolidates other investments over time will be discussed and agreed in due course by relevant parties.  </w:t>
      </w:r>
    </w:p>
    <w:p w14:paraId="24DE21E8" w14:textId="1CD27CD5" w:rsidR="00240697" w:rsidRPr="00F83B6E" w:rsidRDefault="000909B9" w:rsidP="00B91543">
      <w:pPr>
        <w:pStyle w:val="BodyText"/>
        <w:numPr>
          <w:ilvl w:val="0"/>
          <w:numId w:val="31"/>
        </w:numPr>
        <w:rPr>
          <w:color w:val="000000" w:themeColor="text1"/>
        </w:rPr>
      </w:pPr>
      <w:r w:rsidRPr="00F83B6E">
        <w:rPr>
          <w:color w:val="000000" w:themeColor="text1"/>
        </w:rPr>
        <w:t xml:space="preserve">KPP is well placed to address system constraints in Indonesia’s knowledge and innovation sector – no other </w:t>
      </w:r>
      <w:proofErr w:type="spellStart"/>
      <w:r w:rsidRPr="00F83B6E">
        <w:rPr>
          <w:color w:val="000000" w:themeColor="text1"/>
        </w:rPr>
        <w:t>G</w:t>
      </w:r>
      <w:r w:rsidR="00A967BC" w:rsidRPr="00F83B6E">
        <w:rPr>
          <w:color w:val="000000" w:themeColor="text1"/>
        </w:rPr>
        <w:t>o</w:t>
      </w:r>
      <w:r w:rsidRPr="00F83B6E">
        <w:rPr>
          <w:color w:val="000000" w:themeColor="text1"/>
        </w:rPr>
        <w:t>A</w:t>
      </w:r>
      <w:proofErr w:type="spellEnd"/>
      <w:r w:rsidRPr="00F83B6E">
        <w:rPr>
          <w:color w:val="000000" w:themeColor="text1"/>
        </w:rPr>
        <w:t xml:space="preserve"> investment is tackling these issues and other programs stand to benefit. </w:t>
      </w:r>
      <w:r w:rsidR="00964CC5" w:rsidRPr="00F83B6E">
        <w:rPr>
          <w:color w:val="000000" w:themeColor="text1"/>
        </w:rPr>
        <w:t>However, strengthening</w:t>
      </w:r>
      <w:r w:rsidR="00514A64" w:rsidRPr="00F83B6E">
        <w:rPr>
          <w:color w:val="000000" w:themeColor="text1"/>
        </w:rPr>
        <w:t xml:space="preserve"> the entire</w:t>
      </w:r>
      <w:r w:rsidR="004471D5" w:rsidRPr="00F83B6E">
        <w:rPr>
          <w:color w:val="000000" w:themeColor="text1"/>
        </w:rPr>
        <w:t xml:space="preserve"> Indonesian</w:t>
      </w:r>
      <w:r w:rsidR="00514A64" w:rsidRPr="00F83B6E">
        <w:rPr>
          <w:color w:val="000000" w:themeColor="text1"/>
        </w:rPr>
        <w:t xml:space="preserve"> knowledge and innovation sector brings the unavoidable risks of becoming consumed by the complexity of the ecosystem, where priorities </w:t>
      </w:r>
      <w:r w:rsidR="00271846" w:rsidRPr="00F83B6E">
        <w:rPr>
          <w:color w:val="000000" w:themeColor="text1"/>
        </w:rPr>
        <w:t xml:space="preserve">swiftly </w:t>
      </w:r>
      <w:r w:rsidR="00514A64" w:rsidRPr="00F83B6E">
        <w:rPr>
          <w:color w:val="000000" w:themeColor="text1"/>
        </w:rPr>
        <w:t xml:space="preserve">shift and results are slow to be achieved or unsustainable. </w:t>
      </w:r>
      <w:r w:rsidR="00D76877" w:rsidRPr="00F83B6E">
        <w:rPr>
          <w:color w:val="000000" w:themeColor="text1"/>
        </w:rPr>
        <w:t xml:space="preserve">KPP </w:t>
      </w:r>
      <w:r w:rsidR="006713C3" w:rsidRPr="00F83B6E">
        <w:rPr>
          <w:color w:val="000000" w:themeColor="text1"/>
        </w:rPr>
        <w:t xml:space="preserve">needs to be realistic about what can be achieved in a five-year window and </w:t>
      </w:r>
      <w:r w:rsidR="004471D5" w:rsidRPr="00F83B6E">
        <w:rPr>
          <w:color w:val="000000" w:themeColor="text1"/>
        </w:rPr>
        <w:t>be selective</w:t>
      </w:r>
      <w:r w:rsidR="006713C3" w:rsidRPr="00F83B6E">
        <w:rPr>
          <w:color w:val="000000" w:themeColor="text1"/>
        </w:rPr>
        <w:t xml:space="preserve"> </w:t>
      </w:r>
      <w:r w:rsidR="004471D5" w:rsidRPr="00F83B6E">
        <w:rPr>
          <w:color w:val="000000" w:themeColor="text1"/>
        </w:rPr>
        <w:t xml:space="preserve">and strategic </w:t>
      </w:r>
      <w:r w:rsidR="006713C3" w:rsidRPr="00F83B6E">
        <w:rPr>
          <w:color w:val="000000" w:themeColor="text1"/>
        </w:rPr>
        <w:t xml:space="preserve">on aspects of </w:t>
      </w:r>
      <w:r w:rsidR="00514A64" w:rsidRPr="00F83B6E">
        <w:rPr>
          <w:color w:val="000000" w:themeColor="text1"/>
        </w:rPr>
        <w:t xml:space="preserve">systemic </w:t>
      </w:r>
      <w:r w:rsidR="006713C3" w:rsidRPr="00F83B6E">
        <w:rPr>
          <w:color w:val="000000" w:themeColor="text1"/>
        </w:rPr>
        <w:t>reform</w:t>
      </w:r>
      <w:r w:rsidR="004471D5" w:rsidRPr="00F83B6E">
        <w:rPr>
          <w:color w:val="000000" w:themeColor="text1"/>
        </w:rPr>
        <w:t xml:space="preserve"> it pursues</w:t>
      </w:r>
      <w:r w:rsidR="006713C3" w:rsidRPr="00F83B6E">
        <w:rPr>
          <w:color w:val="000000" w:themeColor="text1"/>
        </w:rPr>
        <w:t xml:space="preserve">. </w:t>
      </w:r>
      <w:r w:rsidR="00514A64" w:rsidRPr="00F83B6E">
        <w:rPr>
          <w:color w:val="000000" w:themeColor="text1"/>
        </w:rPr>
        <w:t xml:space="preserve">As such, </w:t>
      </w:r>
      <w:r w:rsidR="002900E9" w:rsidRPr="00F83B6E">
        <w:rPr>
          <w:color w:val="000000" w:themeColor="text1"/>
        </w:rPr>
        <w:t xml:space="preserve">KPP </w:t>
      </w:r>
      <w:r w:rsidRPr="00F83B6E">
        <w:rPr>
          <w:color w:val="000000" w:themeColor="text1"/>
        </w:rPr>
        <w:t xml:space="preserve">could </w:t>
      </w:r>
      <w:r w:rsidR="002900E9" w:rsidRPr="00F83B6E">
        <w:rPr>
          <w:color w:val="000000" w:themeColor="text1"/>
        </w:rPr>
        <w:t>take a targeted problem-based, rather than system-wide, approach to support knowledge sector development.</w:t>
      </w:r>
      <w:r w:rsidR="00E76D57" w:rsidRPr="00F83B6E">
        <w:rPr>
          <w:color w:val="000000" w:themeColor="text1"/>
        </w:rPr>
        <w:t xml:space="preserve"> </w:t>
      </w:r>
      <w:r w:rsidR="0060191D" w:rsidRPr="00F83B6E">
        <w:rPr>
          <w:color w:val="000000" w:themeColor="text1"/>
        </w:rPr>
        <w:t xml:space="preserve">This targeted approach </w:t>
      </w:r>
      <w:r w:rsidR="002900E9" w:rsidRPr="00F83B6E">
        <w:rPr>
          <w:color w:val="000000" w:themeColor="text1"/>
        </w:rPr>
        <w:t>should</w:t>
      </w:r>
      <w:r w:rsidR="006713C3" w:rsidRPr="00F83B6E">
        <w:rPr>
          <w:color w:val="000000" w:themeColor="text1"/>
        </w:rPr>
        <w:t xml:space="preserve"> </w:t>
      </w:r>
      <w:r w:rsidR="00E87912" w:rsidRPr="00F83B6E">
        <w:rPr>
          <w:color w:val="000000" w:themeColor="text1"/>
        </w:rPr>
        <w:t>be catalytic and</w:t>
      </w:r>
      <w:r w:rsidR="0060191D" w:rsidRPr="00F83B6E">
        <w:rPr>
          <w:color w:val="000000" w:themeColor="text1"/>
        </w:rPr>
        <w:t xml:space="preserve"> </w:t>
      </w:r>
      <w:r w:rsidR="0060191D" w:rsidRPr="00F83B6E">
        <w:rPr>
          <w:color w:val="000000" w:themeColor="text1"/>
        </w:rPr>
        <w:lastRenderedPageBreak/>
        <w:t xml:space="preserve">extend to GEDSI </w:t>
      </w:r>
      <w:r w:rsidR="006713C3" w:rsidRPr="00F83B6E">
        <w:rPr>
          <w:color w:val="000000" w:themeColor="text1"/>
        </w:rPr>
        <w:t>considerations in the sector, prioritising o</w:t>
      </w:r>
      <w:r w:rsidR="0060191D" w:rsidRPr="00F83B6E">
        <w:rPr>
          <w:color w:val="000000" w:themeColor="text1"/>
        </w:rPr>
        <w:t xml:space="preserve">perational strategies over which KPP has more control as a way to raise the profile of </w:t>
      </w:r>
      <w:r w:rsidR="006713C3" w:rsidRPr="00F83B6E">
        <w:rPr>
          <w:color w:val="000000" w:themeColor="text1"/>
        </w:rPr>
        <w:t xml:space="preserve">a </w:t>
      </w:r>
      <w:r w:rsidR="0060191D" w:rsidRPr="00F83B6E">
        <w:rPr>
          <w:color w:val="000000" w:themeColor="text1"/>
        </w:rPr>
        <w:t xml:space="preserve">more diverse </w:t>
      </w:r>
      <w:r w:rsidR="006713C3" w:rsidRPr="00F83B6E">
        <w:rPr>
          <w:color w:val="000000" w:themeColor="text1"/>
        </w:rPr>
        <w:t>and inclusive environment.</w:t>
      </w:r>
      <w:r w:rsidR="00271846" w:rsidRPr="00F83B6E">
        <w:rPr>
          <w:color w:val="000000" w:themeColor="text1"/>
        </w:rPr>
        <w:t xml:space="preserve"> </w:t>
      </w:r>
    </w:p>
    <w:p w14:paraId="2CC8D579" w14:textId="7CD57A70" w:rsidR="00950348" w:rsidRPr="00F83B6E" w:rsidRDefault="002900E9" w:rsidP="00D9464A">
      <w:pPr>
        <w:pStyle w:val="BodyText"/>
        <w:numPr>
          <w:ilvl w:val="0"/>
          <w:numId w:val="31"/>
        </w:numPr>
        <w:rPr>
          <w:color w:val="000000" w:themeColor="text1"/>
        </w:rPr>
      </w:pPr>
      <w:r w:rsidRPr="00F83B6E">
        <w:rPr>
          <w:color w:val="000000" w:themeColor="text1"/>
        </w:rPr>
        <w:t>W</w:t>
      </w:r>
      <w:r w:rsidR="004471D5" w:rsidRPr="00F83B6E">
        <w:rPr>
          <w:color w:val="000000" w:themeColor="text1"/>
        </w:rPr>
        <w:t xml:space="preserve">orking collaboratively with </w:t>
      </w:r>
      <w:proofErr w:type="spellStart"/>
      <w:r w:rsidR="004471D5" w:rsidRPr="00F83B6E">
        <w:rPr>
          <w:color w:val="000000" w:themeColor="text1"/>
        </w:rPr>
        <w:t>GoI</w:t>
      </w:r>
      <w:proofErr w:type="spellEnd"/>
      <w:r w:rsidR="004471D5" w:rsidRPr="00F83B6E">
        <w:rPr>
          <w:color w:val="000000" w:themeColor="text1"/>
        </w:rPr>
        <w:t xml:space="preserve"> champions, policy research institutions, private sector, civil society</w:t>
      </w:r>
      <w:r w:rsidR="007E673D" w:rsidRPr="00F83B6E">
        <w:rPr>
          <w:color w:val="000000" w:themeColor="text1"/>
        </w:rPr>
        <w:t xml:space="preserve"> organisations (CSOs)</w:t>
      </w:r>
      <w:r w:rsidR="004471D5" w:rsidRPr="00F83B6E">
        <w:rPr>
          <w:color w:val="000000" w:themeColor="text1"/>
        </w:rPr>
        <w:t xml:space="preserve"> and community stakeholders</w:t>
      </w:r>
      <w:r w:rsidRPr="00F83B6E">
        <w:rPr>
          <w:color w:val="000000" w:themeColor="text1"/>
        </w:rPr>
        <w:t xml:space="preserve"> is important</w:t>
      </w:r>
      <w:r w:rsidR="004471D5" w:rsidRPr="00F83B6E">
        <w:rPr>
          <w:color w:val="000000" w:themeColor="text1"/>
        </w:rPr>
        <w:t xml:space="preserve">. </w:t>
      </w:r>
      <w:r w:rsidR="00056DA1" w:rsidRPr="00F83B6E">
        <w:rPr>
          <w:color w:val="000000" w:themeColor="text1"/>
        </w:rPr>
        <w:t>T</w:t>
      </w:r>
      <w:r w:rsidR="00A72779" w:rsidRPr="00F83B6E">
        <w:rPr>
          <w:color w:val="000000" w:themeColor="text1"/>
        </w:rPr>
        <w:t xml:space="preserve">he ISR identified the importance of KSI’s </w:t>
      </w:r>
      <w:r w:rsidR="00056DA1" w:rsidRPr="00F83B6E">
        <w:rPr>
          <w:color w:val="000000" w:themeColor="text1"/>
        </w:rPr>
        <w:t xml:space="preserve">efforts to </w:t>
      </w:r>
      <w:r w:rsidR="00A72779" w:rsidRPr="00F83B6E">
        <w:rPr>
          <w:color w:val="000000" w:themeColor="text1"/>
        </w:rPr>
        <w:t>conven</w:t>
      </w:r>
      <w:r w:rsidR="00056DA1" w:rsidRPr="00F83B6E">
        <w:rPr>
          <w:color w:val="000000" w:themeColor="text1"/>
        </w:rPr>
        <w:t>e</w:t>
      </w:r>
      <w:r w:rsidR="00A72779" w:rsidRPr="00F83B6E">
        <w:rPr>
          <w:color w:val="000000" w:themeColor="text1"/>
        </w:rPr>
        <w:t xml:space="preserve"> actors and facilitat</w:t>
      </w:r>
      <w:r w:rsidR="00056DA1" w:rsidRPr="00F83B6E">
        <w:rPr>
          <w:color w:val="000000" w:themeColor="text1"/>
        </w:rPr>
        <w:t>e</w:t>
      </w:r>
      <w:r w:rsidR="00A72779" w:rsidRPr="00F83B6E">
        <w:rPr>
          <w:color w:val="000000" w:themeColor="text1"/>
        </w:rPr>
        <w:t xml:space="preserve"> discussion</w:t>
      </w:r>
      <w:r w:rsidR="00056DA1" w:rsidRPr="00F83B6E">
        <w:rPr>
          <w:color w:val="000000" w:themeColor="text1"/>
        </w:rPr>
        <w:t>s</w:t>
      </w:r>
      <w:r w:rsidR="00A72779" w:rsidRPr="00F83B6E">
        <w:rPr>
          <w:color w:val="000000" w:themeColor="text1"/>
        </w:rPr>
        <w:t xml:space="preserve"> and debate</w:t>
      </w:r>
      <w:r w:rsidR="00056DA1" w:rsidRPr="00F83B6E">
        <w:rPr>
          <w:color w:val="000000" w:themeColor="text1"/>
        </w:rPr>
        <w:t>s</w:t>
      </w:r>
      <w:r w:rsidR="00A72779" w:rsidRPr="00F83B6E">
        <w:rPr>
          <w:color w:val="000000" w:themeColor="text1"/>
        </w:rPr>
        <w:t xml:space="preserve"> by bridging those with a mandate/interest in the issue and those with authority/power to influence the outcome. </w:t>
      </w:r>
      <w:r w:rsidR="004471D5" w:rsidRPr="00F83B6E">
        <w:rPr>
          <w:color w:val="000000" w:themeColor="text1"/>
        </w:rPr>
        <w:t xml:space="preserve">For instance, KSI has convened a wide range of stakeholders for public discussions, media engagement and social media interventions to discuss rapidly emerging development issues. J-PAL and UN Pulse Lab have brought internationally acclaimed expertise, including from Australian institutions, to strengthen the ability of a selection of Indonesian policy makers and researchers to apply rigorous scientific methods to prepare evidence-informed policy reform options. </w:t>
      </w:r>
      <w:r w:rsidR="008F41E7" w:rsidRPr="00F83B6E">
        <w:rPr>
          <w:color w:val="000000" w:themeColor="text1"/>
        </w:rPr>
        <w:t>KPP</w:t>
      </w:r>
      <w:r w:rsidRPr="00F83B6E">
        <w:rPr>
          <w:color w:val="000000" w:themeColor="text1"/>
        </w:rPr>
        <w:t xml:space="preserve"> should</w:t>
      </w:r>
      <w:r w:rsidR="008F41E7" w:rsidRPr="00F83B6E">
        <w:rPr>
          <w:color w:val="000000" w:themeColor="text1"/>
        </w:rPr>
        <w:t xml:space="preserve"> engage with </w:t>
      </w:r>
      <w:r w:rsidRPr="00F83B6E">
        <w:rPr>
          <w:color w:val="000000" w:themeColor="text1"/>
        </w:rPr>
        <w:t>a range of</w:t>
      </w:r>
      <w:r w:rsidR="008F41E7" w:rsidRPr="00F83B6E">
        <w:rPr>
          <w:color w:val="000000" w:themeColor="text1"/>
        </w:rPr>
        <w:t xml:space="preserve"> stakeholders active i</w:t>
      </w:r>
      <w:r w:rsidRPr="00F83B6E">
        <w:rPr>
          <w:color w:val="000000" w:themeColor="text1"/>
        </w:rPr>
        <w:t>n</w:t>
      </w:r>
      <w:r w:rsidR="008F41E7" w:rsidRPr="00F83B6E">
        <w:rPr>
          <w:color w:val="000000" w:themeColor="text1"/>
        </w:rPr>
        <w:t xml:space="preserve"> relevant areas of knowledge</w:t>
      </w:r>
      <w:r w:rsidRPr="00F83B6E">
        <w:rPr>
          <w:color w:val="000000" w:themeColor="text1"/>
        </w:rPr>
        <w:t xml:space="preserve">, seek to work with reform champions, and build coalitions of stakeholders with similar interests. </w:t>
      </w:r>
      <w:r w:rsidR="006748F2" w:rsidRPr="00F83B6E">
        <w:rPr>
          <w:color w:val="000000" w:themeColor="text1"/>
        </w:rPr>
        <w:t>Both the Platform Hub and the Partnerships will have a role in coalition building.</w:t>
      </w:r>
    </w:p>
    <w:p w14:paraId="4B62A136" w14:textId="588BC44B" w:rsidR="004471D5" w:rsidRPr="00F83B6E" w:rsidRDefault="004471D5" w:rsidP="00B91543">
      <w:pPr>
        <w:pStyle w:val="BodyText"/>
        <w:numPr>
          <w:ilvl w:val="0"/>
          <w:numId w:val="31"/>
        </w:numPr>
        <w:rPr>
          <w:color w:val="000000" w:themeColor="text1"/>
        </w:rPr>
      </w:pPr>
      <w:r w:rsidRPr="00F83B6E">
        <w:rPr>
          <w:color w:val="000000" w:themeColor="text1"/>
        </w:rPr>
        <w:t xml:space="preserve">Whether targeting policy </w:t>
      </w:r>
      <w:r w:rsidR="008F41E7" w:rsidRPr="00F83B6E">
        <w:rPr>
          <w:color w:val="000000" w:themeColor="text1"/>
        </w:rPr>
        <w:t>and/</w:t>
      </w:r>
      <w:r w:rsidRPr="00F83B6E">
        <w:rPr>
          <w:color w:val="000000" w:themeColor="text1"/>
        </w:rPr>
        <w:t xml:space="preserve">or innovation, knowledge products need to be sufficiently </w:t>
      </w:r>
      <w:r w:rsidR="0007295C" w:rsidRPr="00F83B6E">
        <w:rPr>
          <w:color w:val="000000" w:themeColor="text1"/>
        </w:rPr>
        <w:t xml:space="preserve">operational and </w:t>
      </w:r>
      <w:r w:rsidR="008F41E7" w:rsidRPr="00F83B6E">
        <w:rPr>
          <w:color w:val="000000" w:themeColor="text1"/>
        </w:rPr>
        <w:t>pragmatic</w:t>
      </w:r>
      <w:r w:rsidRPr="00F83B6E">
        <w:rPr>
          <w:color w:val="000000" w:themeColor="text1"/>
        </w:rPr>
        <w:t xml:space="preserve"> to be viable. DFAT’s own innovation strategy states that ‘</w:t>
      </w:r>
      <w:r w:rsidRPr="00F83B6E">
        <w:rPr>
          <w:i/>
          <w:iCs/>
          <w:color w:val="000000" w:themeColor="text1"/>
        </w:rPr>
        <w:t>early engagement with internal and external stakeholders who can take ideas to scale is key to delivering sustainable and scalable outcomes</w:t>
      </w:r>
      <w:r w:rsidRPr="00F83B6E">
        <w:rPr>
          <w:color w:val="000000" w:themeColor="text1"/>
        </w:rPr>
        <w:t xml:space="preserve">’. Examples from previous knowledge sector investments include speed-dating style events to connect policy maker needs with knowledge providers implemented by J-PAL globally; and CSIRO’s structured moon-shot – ideation – incubation – acceleration model involving potential knowledge product buyers and knowledge producers at each stage. </w:t>
      </w:r>
      <w:r w:rsidR="002900E9" w:rsidRPr="00F83B6E">
        <w:rPr>
          <w:color w:val="000000" w:themeColor="text1"/>
        </w:rPr>
        <w:t>KPP should engage with potential knowledge users from the research framing stage or as early as possible, to maximise the uptake of knowledge downstream.</w:t>
      </w:r>
    </w:p>
    <w:p w14:paraId="66E7886E" w14:textId="520BC2E8" w:rsidR="004471D5" w:rsidRPr="00F83B6E" w:rsidRDefault="00E76D57" w:rsidP="00B91543">
      <w:pPr>
        <w:pStyle w:val="BodyText"/>
        <w:numPr>
          <w:ilvl w:val="0"/>
          <w:numId w:val="31"/>
        </w:numPr>
        <w:rPr>
          <w:color w:val="000000" w:themeColor="text1"/>
        </w:rPr>
      </w:pPr>
      <w:r w:rsidRPr="00F83B6E">
        <w:rPr>
          <w:color w:val="000000" w:themeColor="text1"/>
        </w:rPr>
        <w:t xml:space="preserve">Applied research needs to be contextualised and requires </w:t>
      </w:r>
      <w:r w:rsidR="00A32222" w:rsidRPr="00F83B6E">
        <w:rPr>
          <w:color w:val="000000" w:themeColor="text1"/>
        </w:rPr>
        <w:t xml:space="preserve">specific skills </w:t>
      </w:r>
      <w:r w:rsidR="002900E9" w:rsidRPr="00F83B6E">
        <w:rPr>
          <w:color w:val="000000" w:themeColor="text1"/>
        </w:rPr>
        <w:t>and</w:t>
      </w:r>
      <w:r w:rsidR="00A32222" w:rsidRPr="00F83B6E">
        <w:rPr>
          <w:color w:val="000000" w:themeColor="text1"/>
        </w:rPr>
        <w:t xml:space="preserve"> </w:t>
      </w:r>
      <w:r w:rsidRPr="00F83B6E">
        <w:rPr>
          <w:color w:val="000000" w:themeColor="text1"/>
        </w:rPr>
        <w:t xml:space="preserve">clear </w:t>
      </w:r>
      <w:r w:rsidR="00A32222" w:rsidRPr="00F83B6E">
        <w:rPr>
          <w:color w:val="000000" w:themeColor="text1"/>
        </w:rPr>
        <w:t xml:space="preserve">expectations </w:t>
      </w:r>
      <w:r w:rsidRPr="00F83B6E">
        <w:rPr>
          <w:color w:val="000000" w:themeColor="text1"/>
        </w:rPr>
        <w:t xml:space="preserve">from the outset. </w:t>
      </w:r>
      <w:r w:rsidR="004471D5" w:rsidRPr="00F83B6E">
        <w:rPr>
          <w:color w:val="000000" w:themeColor="text1"/>
        </w:rPr>
        <w:t>J-PAL SEA experience highlights the need to develop relevant and realistic questions and methods; KSI experience</w:t>
      </w:r>
      <w:r w:rsidR="00F77605" w:rsidRPr="00F83B6E">
        <w:rPr>
          <w:color w:val="000000" w:themeColor="text1"/>
        </w:rPr>
        <w:t xml:space="preserve"> reinforces </w:t>
      </w:r>
      <w:r w:rsidR="004471D5" w:rsidRPr="00F83B6E">
        <w:rPr>
          <w:color w:val="000000" w:themeColor="text1"/>
        </w:rPr>
        <w:t xml:space="preserve">the need to offer </w:t>
      </w:r>
      <w:r w:rsidR="00F77605" w:rsidRPr="00F83B6E">
        <w:rPr>
          <w:color w:val="000000" w:themeColor="text1"/>
        </w:rPr>
        <w:t xml:space="preserve">specific gender equality and disability inclusion related </w:t>
      </w:r>
      <w:r w:rsidR="004471D5" w:rsidRPr="00F83B6E">
        <w:rPr>
          <w:color w:val="000000" w:themeColor="text1"/>
        </w:rPr>
        <w:t xml:space="preserve">technical support to integrate GEDSI in </w:t>
      </w:r>
      <w:r w:rsidR="00F77605" w:rsidRPr="00F83B6E">
        <w:rPr>
          <w:color w:val="000000" w:themeColor="text1"/>
        </w:rPr>
        <w:t>project intentions and methodologies</w:t>
      </w:r>
      <w:r w:rsidR="004471D5" w:rsidRPr="00F83B6E">
        <w:rPr>
          <w:color w:val="000000" w:themeColor="text1"/>
        </w:rPr>
        <w:t>; and AIC-PAIR’s experience</w:t>
      </w:r>
      <w:r w:rsidR="00F77605" w:rsidRPr="00F83B6E">
        <w:rPr>
          <w:color w:val="000000" w:themeColor="text1"/>
        </w:rPr>
        <w:t xml:space="preserve"> shows </w:t>
      </w:r>
      <w:r w:rsidR="004471D5" w:rsidRPr="00F83B6E">
        <w:rPr>
          <w:color w:val="000000" w:themeColor="text1"/>
        </w:rPr>
        <w:t>the need to support the generation and interpretation of operational research findings.</w:t>
      </w:r>
      <w:r w:rsidR="004471D5" w:rsidRPr="00F83B6E">
        <w:rPr>
          <w:color w:val="000000" w:themeColor="text1"/>
          <w:vertAlign w:val="superscript"/>
        </w:rPr>
        <w:footnoteReference w:id="19"/>
      </w:r>
      <w:r w:rsidR="004471D5" w:rsidRPr="00F83B6E">
        <w:rPr>
          <w:color w:val="000000" w:themeColor="text1"/>
        </w:rPr>
        <w:t xml:space="preserve"> The variable quality of Indonesia’s research institutions remains a challenge and the need for capacity development is ongoing.</w:t>
      </w:r>
      <w:r w:rsidR="004471D5" w:rsidRPr="00F83B6E">
        <w:rPr>
          <w:rStyle w:val="FootnoteReference"/>
          <w:color w:val="000000" w:themeColor="text1"/>
        </w:rPr>
        <w:footnoteReference w:id="20"/>
      </w:r>
      <w:r w:rsidR="004471D5" w:rsidRPr="00F83B6E">
        <w:rPr>
          <w:color w:val="000000" w:themeColor="text1"/>
        </w:rPr>
        <w:t xml:space="preserve"> </w:t>
      </w:r>
      <w:r w:rsidR="008F41E7" w:rsidRPr="00F83B6E">
        <w:rPr>
          <w:color w:val="000000" w:themeColor="text1"/>
        </w:rPr>
        <w:t>As suggested in the ISR report, a</w:t>
      </w:r>
      <w:r w:rsidR="004471D5" w:rsidRPr="00F83B6E">
        <w:rPr>
          <w:color w:val="000000" w:themeColor="text1"/>
        </w:rPr>
        <w:t>ctive support for hands-on, on-the-job learning through mentoring and accompaniment techniques, while actively managing and addressing quality related risks, is an effective approach to organisational capacity development.</w:t>
      </w:r>
      <w:r w:rsidR="002900E9" w:rsidRPr="00F83B6E">
        <w:rPr>
          <w:color w:val="000000" w:themeColor="text1"/>
        </w:rPr>
        <w:t xml:space="preserve"> KPP </w:t>
      </w:r>
      <w:r w:rsidR="00F77605" w:rsidRPr="00F83B6E">
        <w:rPr>
          <w:color w:val="000000" w:themeColor="text1"/>
        </w:rPr>
        <w:t xml:space="preserve">will </w:t>
      </w:r>
      <w:r w:rsidR="002900E9" w:rsidRPr="00F83B6E">
        <w:rPr>
          <w:color w:val="000000" w:themeColor="text1"/>
        </w:rPr>
        <w:t>provide technical assistance (in addition to funding) to selected knowledge production organisations to ensure their research project follows a knowledge</w:t>
      </w:r>
      <w:r w:rsidR="00F47E47" w:rsidRPr="00F83B6E">
        <w:rPr>
          <w:color w:val="000000" w:themeColor="text1"/>
        </w:rPr>
        <w:t>-</w:t>
      </w:r>
      <w:r w:rsidR="002900E9" w:rsidRPr="00F83B6E">
        <w:rPr>
          <w:color w:val="000000" w:themeColor="text1"/>
        </w:rPr>
        <w:t>to</w:t>
      </w:r>
      <w:r w:rsidR="00F47E47" w:rsidRPr="00F83B6E">
        <w:rPr>
          <w:color w:val="000000" w:themeColor="text1"/>
        </w:rPr>
        <w:t>-</w:t>
      </w:r>
      <w:r w:rsidR="002900E9" w:rsidRPr="00F83B6E">
        <w:rPr>
          <w:color w:val="000000" w:themeColor="text1"/>
        </w:rPr>
        <w:t>policy and/or knowledge</w:t>
      </w:r>
      <w:r w:rsidR="00F47E47" w:rsidRPr="00F83B6E">
        <w:rPr>
          <w:color w:val="000000" w:themeColor="text1"/>
        </w:rPr>
        <w:t>-</w:t>
      </w:r>
      <w:r w:rsidR="002900E9" w:rsidRPr="00F83B6E">
        <w:rPr>
          <w:color w:val="000000" w:themeColor="text1"/>
        </w:rPr>
        <w:t>to</w:t>
      </w:r>
      <w:r w:rsidR="00F47E47" w:rsidRPr="00F83B6E">
        <w:rPr>
          <w:color w:val="000000" w:themeColor="text1"/>
        </w:rPr>
        <w:t>-</w:t>
      </w:r>
      <w:r w:rsidR="002900E9" w:rsidRPr="00F83B6E">
        <w:rPr>
          <w:color w:val="000000" w:themeColor="text1"/>
        </w:rPr>
        <w:t xml:space="preserve">innovation </w:t>
      </w:r>
      <w:r w:rsidR="00964CC5" w:rsidRPr="00F83B6E">
        <w:rPr>
          <w:color w:val="000000" w:themeColor="text1"/>
        </w:rPr>
        <w:t>pathway and</w:t>
      </w:r>
      <w:r w:rsidR="002900E9" w:rsidRPr="00F83B6E">
        <w:rPr>
          <w:color w:val="000000" w:themeColor="text1"/>
        </w:rPr>
        <w:t xml:space="preserve"> integrate</w:t>
      </w:r>
      <w:r w:rsidR="007F4900" w:rsidRPr="00F83B6E">
        <w:rPr>
          <w:color w:val="000000" w:themeColor="text1"/>
        </w:rPr>
        <w:t xml:space="preserve"> each of the</w:t>
      </w:r>
      <w:r w:rsidR="002900E9" w:rsidRPr="00F83B6E">
        <w:rPr>
          <w:color w:val="000000" w:themeColor="text1"/>
        </w:rPr>
        <w:t xml:space="preserve"> GEDSI dimensions</w:t>
      </w:r>
      <w:r w:rsidR="007F4900" w:rsidRPr="00F83B6E">
        <w:rPr>
          <w:color w:val="000000" w:themeColor="text1"/>
        </w:rPr>
        <w:t xml:space="preserve"> (gender equality, disability inclusion, social inclusion)</w:t>
      </w:r>
      <w:r w:rsidR="002900E9" w:rsidRPr="00F83B6E">
        <w:rPr>
          <w:color w:val="000000" w:themeColor="text1"/>
        </w:rPr>
        <w:t xml:space="preserve"> appropriately.</w:t>
      </w:r>
      <w:r w:rsidR="006748F2" w:rsidRPr="00F83B6E">
        <w:rPr>
          <w:color w:val="000000" w:themeColor="text1"/>
        </w:rPr>
        <w:t xml:space="preserve"> The KPP will provide technical assistance to selected knowledge production organisations and partnership lead organisations will also work together to build mutual capacity among members and with stakeholders/beneficiaries.</w:t>
      </w:r>
    </w:p>
    <w:p w14:paraId="109F8394" w14:textId="64D128B9" w:rsidR="008E6438" w:rsidRPr="00F83B6E" w:rsidRDefault="0007295C" w:rsidP="00B91543">
      <w:pPr>
        <w:pStyle w:val="BodyText"/>
        <w:numPr>
          <w:ilvl w:val="0"/>
          <w:numId w:val="31"/>
        </w:numPr>
        <w:rPr>
          <w:color w:val="000000" w:themeColor="text1"/>
        </w:rPr>
      </w:pPr>
      <w:r w:rsidRPr="00F83B6E">
        <w:rPr>
          <w:color w:val="000000" w:themeColor="text1"/>
        </w:rPr>
        <w:t xml:space="preserve">Knowledge on complex socio-economic challenges can be hard to </w:t>
      </w:r>
      <w:r w:rsidR="00C519ED" w:rsidRPr="00F83B6E">
        <w:rPr>
          <w:color w:val="000000" w:themeColor="text1"/>
        </w:rPr>
        <w:t xml:space="preserve">fund and </w:t>
      </w:r>
      <w:r w:rsidRPr="00F83B6E">
        <w:rPr>
          <w:color w:val="000000" w:themeColor="text1"/>
        </w:rPr>
        <w:t>sell. The financial sustainability of many knowledge partnerships and institutions that have received donor funding for many years - such as</w:t>
      </w:r>
      <w:r w:rsidR="008907D5" w:rsidRPr="00F83B6E">
        <w:rPr>
          <w:color w:val="000000" w:themeColor="text1"/>
        </w:rPr>
        <w:t xml:space="preserve"> </w:t>
      </w:r>
      <w:r w:rsidRPr="00F83B6E">
        <w:rPr>
          <w:color w:val="000000" w:themeColor="text1"/>
        </w:rPr>
        <w:t xml:space="preserve">AIC and the </w:t>
      </w:r>
      <w:r w:rsidR="00BA4263" w:rsidRPr="00F83B6E">
        <w:rPr>
          <w:color w:val="000000" w:themeColor="text1"/>
        </w:rPr>
        <w:t>Indonesia Project</w:t>
      </w:r>
      <w:r w:rsidRPr="00F83B6E">
        <w:rPr>
          <w:color w:val="000000" w:themeColor="text1"/>
        </w:rPr>
        <w:t xml:space="preserve"> - remains uncertain.</w:t>
      </w:r>
      <w:r w:rsidR="00316A62" w:rsidRPr="00F83B6E">
        <w:rPr>
          <w:color w:val="000000" w:themeColor="text1"/>
        </w:rPr>
        <w:t xml:space="preserve"> Similarly, </w:t>
      </w:r>
      <w:r w:rsidR="007E11E8" w:rsidRPr="00F83B6E">
        <w:rPr>
          <w:color w:val="000000" w:themeColor="text1"/>
        </w:rPr>
        <w:t>even</w:t>
      </w:r>
      <w:r w:rsidR="0060191D" w:rsidRPr="00F83B6E">
        <w:rPr>
          <w:color w:val="000000" w:themeColor="text1"/>
        </w:rPr>
        <w:t xml:space="preserve"> as quasi-international bodies</w:t>
      </w:r>
      <w:r w:rsidRPr="00F83B6E">
        <w:rPr>
          <w:color w:val="000000" w:themeColor="text1"/>
        </w:rPr>
        <w:t>,</w:t>
      </w:r>
      <w:r w:rsidR="0060191D" w:rsidRPr="00F83B6E">
        <w:rPr>
          <w:color w:val="000000" w:themeColor="text1"/>
        </w:rPr>
        <w:t xml:space="preserve"> </w:t>
      </w:r>
      <w:r w:rsidRPr="00F83B6E">
        <w:rPr>
          <w:color w:val="000000" w:themeColor="text1"/>
        </w:rPr>
        <w:t xml:space="preserve">J-PAL and Pulse Lab </w:t>
      </w:r>
      <w:r w:rsidR="0060191D" w:rsidRPr="00F83B6E">
        <w:rPr>
          <w:color w:val="000000" w:themeColor="text1"/>
        </w:rPr>
        <w:t xml:space="preserve">are not financially independent. </w:t>
      </w:r>
      <w:r w:rsidR="00F47E47" w:rsidRPr="00F83B6E">
        <w:rPr>
          <w:color w:val="000000" w:themeColor="text1"/>
        </w:rPr>
        <w:t xml:space="preserve">With this in mind, KPP </w:t>
      </w:r>
      <w:r w:rsidR="00F77605" w:rsidRPr="00F83B6E">
        <w:rPr>
          <w:color w:val="000000" w:themeColor="text1"/>
        </w:rPr>
        <w:t>will</w:t>
      </w:r>
      <w:r w:rsidR="00F47E47" w:rsidRPr="00F83B6E">
        <w:rPr>
          <w:color w:val="000000" w:themeColor="text1"/>
        </w:rPr>
        <w:t xml:space="preserve"> support knowledge partnerships and their member </w:t>
      </w:r>
      <w:r w:rsidR="00F47E47" w:rsidRPr="00F83B6E">
        <w:rPr>
          <w:color w:val="000000" w:themeColor="text1"/>
        </w:rPr>
        <w:lastRenderedPageBreak/>
        <w:t xml:space="preserve">organisations to explore different funding sources and to become more competitive in accessing Indonesian, Australian and international research funding schemes, while encouraging </w:t>
      </w:r>
      <w:r w:rsidR="002900E9" w:rsidRPr="00F83B6E">
        <w:rPr>
          <w:color w:val="000000" w:themeColor="text1"/>
        </w:rPr>
        <w:t>and adopting realistic expectations on their financial sustainability.</w:t>
      </w:r>
    </w:p>
    <w:p w14:paraId="3E92A58D" w14:textId="179890C0" w:rsidR="00950348" w:rsidRPr="00F83B6E" w:rsidRDefault="00C519ED" w:rsidP="00B91543">
      <w:pPr>
        <w:pStyle w:val="BodyText"/>
        <w:rPr>
          <w:color w:val="000000" w:themeColor="text1"/>
        </w:rPr>
      </w:pPr>
      <w:r w:rsidRPr="00F83B6E">
        <w:rPr>
          <w:color w:val="000000" w:themeColor="text1"/>
        </w:rPr>
        <w:t>A</w:t>
      </w:r>
      <w:r w:rsidR="003A3BDF" w:rsidRPr="00F83B6E">
        <w:rPr>
          <w:color w:val="000000" w:themeColor="text1"/>
        </w:rPr>
        <w:t xml:space="preserve"> successful investment in the Indonesian knowledge and innovation sector will reflect the maturity of the Indonesia – Australia bilateral relationship and the desire to move </w:t>
      </w:r>
      <w:r w:rsidR="000F0AAC" w:rsidRPr="00F83B6E">
        <w:rPr>
          <w:color w:val="000000" w:themeColor="text1"/>
        </w:rPr>
        <w:t xml:space="preserve">towards </w:t>
      </w:r>
      <w:r w:rsidR="00FB3A94" w:rsidRPr="00F83B6E">
        <w:rPr>
          <w:color w:val="000000" w:themeColor="text1"/>
        </w:rPr>
        <w:t xml:space="preserve">a development approach </w:t>
      </w:r>
      <w:r w:rsidR="000F0AAC" w:rsidRPr="00F83B6E">
        <w:rPr>
          <w:color w:val="000000" w:themeColor="text1"/>
        </w:rPr>
        <w:t xml:space="preserve">that deepens and broadens cooperation across all facets of </w:t>
      </w:r>
      <w:r w:rsidR="00FB3A94" w:rsidRPr="00F83B6E">
        <w:rPr>
          <w:color w:val="000000" w:themeColor="text1"/>
        </w:rPr>
        <w:t>our</w:t>
      </w:r>
      <w:r w:rsidR="000F0AAC" w:rsidRPr="00F83B6E">
        <w:rPr>
          <w:color w:val="000000" w:themeColor="text1"/>
        </w:rPr>
        <w:t xml:space="preserve"> partnership</w:t>
      </w:r>
      <w:r w:rsidR="003A3BDF" w:rsidRPr="00F83B6E">
        <w:rPr>
          <w:color w:val="000000" w:themeColor="text1"/>
        </w:rPr>
        <w:t xml:space="preserve">. It will contribute to Indonesia’s current economic transition from a resource-based to a knowledge-based economy through the </w:t>
      </w:r>
      <w:r w:rsidR="00395D7D" w:rsidRPr="00F83B6E">
        <w:rPr>
          <w:color w:val="000000" w:themeColor="text1"/>
        </w:rPr>
        <w:t>support</w:t>
      </w:r>
      <w:r w:rsidR="003A3BDF" w:rsidRPr="00F83B6E">
        <w:rPr>
          <w:color w:val="000000" w:themeColor="text1"/>
        </w:rPr>
        <w:t xml:space="preserve"> of social science and technology</w:t>
      </w:r>
      <w:r w:rsidR="000F0AAC" w:rsidRPr="00F83B6E">
        <w:rPr>
          <w:color w:val="000000" w:themeColor="text1"/>
        </w:rPr>
        <w:t>-</w:t>
      </w:r>
      <w:r w:rsidR="003A3BDF" w:rsidRPr="00F83B6E">
        <w:rPr>
          <w:color w:val="000000" w:themeColor="text1"/>
        </w:rPr>
        <w:t xml:space="preserve">focused research relevant to both countries, produced in a collaborative manner. </w:t>
      </w:r>
      <w:r w:rsidR="005A407C" w:rsidRPr="00F83B6E">
        <w:rPr>
          <w:color w:val="000000" w:themeColor="text1"/>
        </w:rPr>
        <w:t xml:space="preserve">It will support collaboration between civil society, private sector and government stakeholders, and provide an opportunity for meaningful dialogue on </w:t>
      </w:r>
      <w:r w:rsidR="00F47E47" w:rsidRPr="00F83B6E">
        <w:rPr>
          <w:color w:val="000000" w:themeColor="text1"/>
        </w:rPr>
        <w:t>complex</w:t>
      </w:r>
      <w:r w:rsidR="005A407C" w:rsidRPr="00F83B6E">
        <w:rPr>
          <w:color w:val="000000" w:themeColor="text1"/>
        </w:rPr>
        <w:t xml:space="preserve"> </w:t>
      </w:r>
      <w:r w:rsidR="00F47E47" w:rsidRPr="00F83B6E">
        <w:rPr>
          <w:color w:val="000000" w:themeColor="text1"/>
        </w:rPr>
        <w:t>problems</w:t>
      </w:r>
      <w:r w:rsidR="000F0AAC" w:rsidRPr="00F83B6E">
        <w:rPr>
          <w:color w:val="000000" w:themeColor="text1"/>
        </w:rPr>
        <w:t xml:space="preserve"> of mutual interest</w:t>
      </w:r>
      <w:r w:rsidR="005A407C" w:rsidRPr="00F83B6E">
        <w:rPr>
          <w:color w:val="000000" w:themeColor="text1"/>
        </w:rPr>
        <w:t xml:space="preserve">. </w:t>
      </w:r>
      <w:r w:rsidR="000F0AAC" w:rsidRPr="00F83B6E">
        <w:rPr>
          <w:color w:val="000000" w:themeColor="text1"/>
        </w:rPr>
        <w:t xml:space="preserve">Within the context of persisting </w:t>
      </w:r>
      <w:r w:rsidR="008B142F" w:rsidRPr="00F83B6E">
        <w:rPr>
          <w:color w:val="000000" w:themeColor="text1"/>
        </w:rPr>
        <w:t>system</w:t>
      </w:r>
      <w:r w:rsidR="00395D7D" w:rsidRPr="00F83B6E">
        <w:rPr>
          <w:color w:val="000000" w:themeColor="text1"/>
        </w:rPr>
        <w:t>ic</w:t>
      </w:r>
      <w:r w:rsidR="008B142F" w:rsidRPr="00F83B6E">
        <w:rPr>
          <w:color w:val="000000" w:themeColor="text1"/>
        </w:rPr>
        <w:t xml:space="preserve"> challenges</w:t>
      </w:r>
      <w:r w:rsidR="000F0AAC" w:rsidRPr="00F83B6E">
        <w:rPr>
          <w:color w:val="000000" w:themeColor="text1"/>
        </w:rPr>
        <w:t>,</w:t>
      </w:r>
      <w:r w:rsidR="008B142F" w:rsidRPr="00F83B6E">
        <w:rPr>
          <w:color w:val="000000" w:themeColor="text1"/>
        </w:rPr>
        <w:t xml:space="preserve"> </w:t>
      </w:r>
      <w:r w:rsidR="003A3BDF" w:rsidRPr="00F83B6E">
        <w:rPr>
          <w:color w:val="000000" w:themeColor="text1"/>
        </w:rPr>
        <w:t xml:space="preserve">DFAT </w:t>
      </w:r>
      <w:r w:rsidR="008B142F" w:rsidRPr="00F83B6E">
        <w:rPr>
          <w:color w:val="000000" w:themeColor="text1"/>
        </w:rPr>
        <w:t xml:space="preserve">future investment </w:t>
      </w:r>
      <w:r w:rsidR="00F92F2E" w:rsidRPr="00F83B6E">
        <w:rPr>
          <w:color w:val="000000" w:themeColor="text1"/>
        </w:rPr>
        <w:t xml:space="preserve">will </w:t>
      </w:r>
      <w:r w:rsidR="005A407C" w:rsidRPr="00F83B6E">
        <w:rPr>
          <w:color w:val="000000" w:themeColor="text1"/>
        </w:rPr>
        <w:t>engage purposefully</w:t>
      </w:r>
      <w:r w:rsidR="00E87912" w:rsidRPr="00F83B6E">
        <w:rPr>
          <w:color w:val="000000" w:themeColor="text1"/>
        </w:rPr>
        <w:t xml:space="preserve">, catalytically </w:t>
      </w:r>
      <w:r w:rsidR="005A407C" w:rsidRPr="00F83B6E">
        <w:rPr>
          <w:color w:val="000000" w:themeColor="text1"/>
        </w:rPr>
        <w:t>and strategically</w:t>
      </w:r>
      <w:r w:rsidR="00E43071" w:rsidRPr="00F83B6E">
        <w:rPr>
          <w:color w:val="000000" w:themeColor="text1"/>
        </w:rPr>
        <w:t>,</w:t>
      </w:r>
      <w:r w:rsidR="005A407C" w:rsidRPr="00F83B6E">
        <w:rPr>
          <w:color w:val="000000" w:themeColor="text1"/>
        </w:rPr>
        <w:t xml:space="preserve"> </w:t>
      </w:r>
      <w:r w:rsidR="00F92F2E" w:rsidRPr="00F83B6E">
        <w:rPr>
          <w:color w:val="000000" w:themeColor="text1"/>
        </w:rPr>
        <w:t xml:space="preserve">and </w:t>
      </w:r>
      <w:r w:rsidR="008B142F" w:rsidRPr="00F83B6E">
        <w:rPr>
          <w:color w:val="000000" w:themeColor="text1"/>
        </w:rPr>
        <w:t xml:space="preserve">take an informed and targeted approach to addressing </w:t>
      </w:r>
      <w:r w:rsidR="00E43071" w:rsidRPr="00F83B6E">
        <w:rPr>
          <w:color w:val="000000" w:themeColor="text1"/>
        </w:rPr>
        <w:t>s</w:t>
      </w:r>
      <w:r w:rsidR="00C7205D" w:rsidRPr="00F83B6E">
        <w:rPr>
          <w:color w:val="000000" w:themeColor="text1"/>
        </w:rPr>
        <w:t>ystemic</w:t>
      </w:r>
      <w:r w:rsidR="00E43071" w:rsidRPr="00F83B6E">
        <w:rPr>
          <w:color w:val="000000" w:themeColor="text1"/>
        </w:rPr>
        <w:t xml:space="preserve"> </w:t>
      </w:r>
      <w:r w:rsidR="00C7205D" w:rsidRPr="00F83B6E">
        <w:rPr>
          <w:color w:val="000000" w:themeColor="text1"/>
        </w:rPr>
        <w:t>issue</w:t>
      </w:r>
      <w:r w:rsidR="00E43071" w:rsidRPr="00F83B6E">
        <w:rPr>
          <w:color w:val="000000" w:themeColor="text1"/>
        </w:rPr>
        <w:t>s</w:t>
      </w:r>
      <w:r w:rsidR="00C7205D" w:rsidRPr="00F83B6E">
        <w:rPr>
          <w:color w:val="000000" w:themeColor="text1"/>
        </w:rPr>
        <w:t xml:space="preserve"> </w:t>
      </w:r>
      <w:r w:rsidR="00F92F2E" w:rsidRPr="00F83B6E">
        <w:rPr>
          <w:color w:val="000000" w:themeColor="text1"/>
        </w:rPr>
        <w:t>and</w:t>
      </w:r>
      <w:r w:rsidR="00F47E47" w:rsidRPr="00F83B6E">
        <w:rPr>
          <w:color w:val="000000" w:themeColor="text1"/>
        </w:rPr>
        <w:t xml:space="preserve"> enabl</w:t>
      </w:r>
      <w:r w:rsidR="00F92F2E" w:rsidRPr="00F83B6E">
        <w:rPr>
          <w:color w:val="000000" w:themeColor="text1"/>
        </w:rPr>
        <w:t>ing</w:t>
      </w:r>
      <w:r w:rsidR="00F47E47" w:rsidRPr="00F83B6E">
        <w:rPr>
          <w:color w:val="000000" w:themeColor="text1"/>
        </w:rPr>
        <w:t xml:space="preserve"> research partnerships </w:t>
      </w:r>
      <w:r w:rsidR="00FC31DA" w:rsidRPr="00F83B6E">
        <w:rPr>
          <w:color w:val="000000" w:themeColor="text1"/>
        </w:rPr>
        <w:t>that</w:t>
      </w:r>
      <w:r w:rsidR="00F47E47" w:rsidRPr="00F83B6E">
        <w:rPr>
          <w:color w:val="000000" w:themeColor="text1"/>
        </w:rPr>
        <w:t xml:space="preserve"> generate innovative </w:t>
      </w:r>
      <w:r w:rsidR="000F0AAC" w:rsidRPr="00F83B6E">
        <w:rPr>
          <w:color w:val="000000" w:themeColor="text1"/>
        </w:rPr>
        <w:t xml:space="preserve">policy and technology </w:t>
      </w:r>
      <w:r w:rsidR="00F47E47" w:rsidRPr="00F83B6E">
        <w:rPr>
          <w:color w:val="000000" w:themeColor="text1"/>
        </w:rPr>
        <w:t>solutions for inclusive and sustainable development</w:t>
      </w:r>
      <w:r w:rsidR="00E43071" w:rsidRPr="00F83B6E">
        <w:rPr>
          <w:color w:val="000000" w:themeColor="text1"/>
        </w:rPr>
        <w:t xml:space="preserve">. </w:t>
      </w:r>
    </w:p>
    <w:p w14:paraId="49430239" w14:textId="0685DFB9" w:rsidR="002D4474" w:rsidRPr="00F83B6E" w:rsidRDefault="00115CDB" w:rsidP="00F27241">
      <w:pPr>
        <w:pStyle w:val="Heading2"/>
        <w:rPr>
          <w:color w:val="000000" w:themeColor="text1"/>
        </w:rPr>
      </w:pPr>
      <w:bookmarkStart w:id="7" w:name="_Toc146528280"/>
      <w:r w:rsidRPr="00F83B6E">
        <w:rPr>
          <w:color w:val="000000" w:themeColor="text1"/>
        </w:rPr>
        <w:t xml:space="preserve">Strategic Intent: </w:t>
      </w:r>
      <w:r w:rsidR="002D4474" w:rsidRPr="00F83B6E">
        <w:rPr>
          <w:color w:val="000000" w:themeColor="text1"/>
        </w:rPr>
        <w:t xml:space="preserve">Alignment with </w:t>
      </w:r>
      <w:r w:rsidR="007E11E8" w:rsidRPr="00F83B6E">
        <w:rPr>
          <w:color w:val="000000" w:themeColor="text1"/>
        </w:rPr>
        <w:t>DFAT’s policy objectives</w:t>
      </w:r>
      <w:bookmarkEnd w:id="7"/>
    </w:p>
    <w:p w14:paraId="04D308A8" w14:textId="77777777" w:rsidR="00E36537" w:rsidRPr="00F83B6E" w:rsidRDefault="00E36537" w:rsidP="00E36537">
      <w:pPr>
        <w:pStyle w:val="BodyText"/>
        <w:rPr>
          <w:color w:val="000000" w:themeColor="text1"/>
        </w:rPr>
      </w:pPr>
      <w:r w:rsidRPr="00F83B6E">
        <w:rPr>
          <w:color w:val="000000" w:themeColor="text1"/>
        </w:rPr>
        <w:t xml:space="preserve">Australia and Indonesia are close neighbours and friends, with a long history of supporting each other, and a commitment to working together to build a stable, prosperous and resilient region. Building on long-standing relationships across </w:t>
      </w:r>
      <w:proofErr w:type="spellStart"/>
      <w:r w:rsidRPr="00F83B6E">
        <w:rPr>
          <w:color w:val="000000" w:themeColor="text1"/>
        </w:rPr>
        <w:t>GoI</w:t>
      </w:r>
      <w:proofErr w:type="spellEnd"/>
      <w:r w:rsidRPr="00F83B6E">
        <w:rPr>
          <w:color w:val="000000" w:themeColor="text1"/>
        </w:rPr>
        <w:t>, Australia aspires to be a strategic partner for Indonesia, supporting recovery from the COVID-19 pandemic and responding to social and economic development needs. Australia has a global reputation for excellence in science and research, and long-term strategic interests and investments in the Indonesian knowledge and innovation sector. As Indonesia maps it path out of the COVID-19 pandemic and towards economic transformation, collaboration on knowledge and innovation offers great potential for both countries. Capitalising on equality gains in education achieved in recent decades, such collaboration can support Indonesia’s economic transformation in a way that is inclusive and equitable, ensuring disadvantaged groups do not lose out in the new economy due to under-representation in relevant fields.</w:t>
      </w:r>
    </w:p>
    <w:p w14:paraId="32ACA33F" w14:textId="5DEED856" w:rsidR="00C519ED" w:rsidRPr="00F83B6E" w:rsidRDefault="002F4D39" w:rsidP="00B91543">
      <w:pPr>
        <w:pStyle w:val="BodyText"/>
        <w:rPr>
          <w:color w:val="000000" w:themeColor="text1"/>
        </w:rPr>
      </w:pPr>
      <w:r w:rsidRPr="00F83B6E">
        <w:rPr>
          <w:color w:val="000000" w:themeColor="text1"/>
        </w:rPr>
        <w:t>The Indonesia-Australia Comprehensive Strategic Partnership (CSP), agreed in 2018</w:t>
      </w:r>
      <w:r w:rsidR="00B87772" w:rsidRPr="00F83B6E">
        <w:rPr>
          <w:color w:val="000000" w:themeColor="text1"/>
        </w:rPr>
        <w:t>,</w:t>
      </w:r>
      <w:r w:rsidRPr="00F83B6E">
        <w:rPr>
          <w:color w:val="000000" w:themeColor="text1"/>
        </w:rPr>
        <w:t xml:space="preserve"> </w:t>
      </w:r>
      <w:r w:rsidR="004D3191" w:rsidRPr="00F83B6E">
        <w:rPr>
          <w:color w:val="000000" w:themeColor="text1"/>
        </w:rPr>
        <w:t>elevates the bilateral relationship and provides a robust policy framework to deepen existing cooperation and support new initiatives.</w:t>
      </w:r>
      <w:r w:rsidR="004D3191" w:rsidRPr="00F83B6E">
        <w:rPr>
          <w:rStyle w:val="FootnoteReference"/>
          <w:color w:val="000000" w:themeColor="text1"/>
        </w:rPr>
        <w:footnoteReference w:id="21"/>
      </w:r>
      <w:r w:rsidR="008907D5" w:rsidRPr="00F83B6E">
        <w:rPr>
          <w:rStyle w:val="FootnoteReference"/>
          <w:color w:val="000000" w:themeColor="text1"/>
        </w:rPr>
        <w:t xml:space="preserve"> </w:t>
      </w:r>
      <w:r w:rsidR="004D3191" w:rsidRPr="00F83B6E">
        <w:rPr>
          <w:color w:val="000000" w:themeColor="text1"/>
        </w:rPr>
        <w:t xml:space="preserve">It </w:t>
      </w:r>
      <w:r w:rsidRPr="00F83B6E">
        <w:rPr>
          <w:color w:val="000000" w:themeColor="text1"/>
        </w:rPr>
        <w:t>aims to foster deeper and broader cooperation across five priority pillars</w:t>
      </w:r>
      <w:r w:rsidR="004D3191" w:rsidRPr="00F83B6E">
        <w:rPr>
          <w:color w:val="000000" w:themeColor="text1"/>
        </w:rPr>
        <w:t xml:space="preserve">, two of which are </w:t>
      </w:r>
      <w:r w:rsidR="00C03BBA" w:rsidRPr="00F83B6E">
        <w:rPr>
          <w:color w:val="000000" w:themeColor="text1"/>
        </w:rPr>
        <w:t xml:space="preserve">directly </w:t>
      </w:r>
      <w:r w:rsidR="004D3191" w:rsidRPr="00F83B6E">
        <w:rPr>
          <w:color w:val="000000" w:themeColor="text1"/>
        </w:rPr>
        <w:t>relevant to KPP intent</w:t>
      </w:r>
      <w:r w:rsidR="00C03BBA" w:rsidRPr="00F83B6E">
        <w:rPr>
          <w:color w:val="000000" w:themeColor="text1"/>
        </w:rPr>
        <w:t>: (</w:t>
      </w:r>
      <w:proofErr w:type="spellStart"/>
      <w:r w:rsidR="00C03BBA" w:rsidRPr="00F83B6E">
        <w:rPr>
          <w:color w:val="000000" w:themeColor="text1"/>
        </w:rPr>
        <w:t>i</w:t>
      </w:r>
      <w:proofErr w:type="spellEnd"/>
      <w:r w:rsidR="00C03BBA" w:rsidRPr="00F83B6E">
        <w:rPr>
          <w:color w:val="000000" w:themeColor="text1"/>
        </w:rPr>
        <w:t>) Enhancing economic and development partnership; and ii) Connecting people.</w:t>
      </w:r>
      <w:r w:rsidR="00C03BBA" w:rsidRPr="00F83B6E">
        <w:rPr>
          <w:rStyle w:val="FootnoteReference"/>
          <w:color w:val="000000" w:themeColor="text1"/>
        </w:rPr>
        <w:footnoteReference w:id="22"/>
      </w:r>
      <w:r w:rsidR="00C03BBA" w:rsidRPr="00F83B6E">
        <w:rPr>
          <w:color w:val="000000" w:themeColor="text1"/>
        </w:rPr>
        <w:t xml:space="preserve"> </w:t>
      </w:r>
      <w:r w:rsidR="004D3191" w:rsidRPr="00F83B6E">
        <w:rPr>
          <w:color w:val="000000" w:themeColor="text1"/>
        </w:rPr>
        <w:t>The CSP action plan outlines</w:t>
      </w:r>
      <w:r w:rsidR="00C03BBA" w:rsidRPr="00F83B6E">
        <w:rPr>
          <w:color w:val="000000" w:themeColor="text1"/>
        </w:rPr>
        <w:t xml:space="preserve"> areas for cooperation in the knowledge and innovation sector, including working together to use evidence-based policies to accelerate poverty reduction and </w:t>
      </w:r>
      <w:r w:rsidR="007E11E8" w:rsidRPr="00F83B6E">
        <w:rPr>
          <w:color w:val="000000" w:themeColor="text1"/>
        </w:rPr>
        <w:t xml:space="preserve">tackle </w:t>
      </w:r>
      <w:r w:rsidR="00C03BBA" w:rsidRPr="00F83B6E">
        <w:rPr>
          <w:color w:val="000000" w:themeColor="text1"/>
        </w:rPr>
        <w:t xml:space="preserve">inequality in Indonesia; exploring cooperation in technology, digital economy and industry; strengthening research partnerships and promoting academic collaboration; and, encouraging joint research among scholars and academics at universities, research centres and the private sector. </w:t>
      </w:r>
    </w:p>
    <w:p w14:paraId="6DC1271C" w14:textId="5FCC10C8" w:rsidR="00C03BBA" w:rsidRPr="00F83B6E" w:rsidRDefault="00DD4179" w:rsidP="00B91543">
      <w:pPr>
        <w:pStyle w:val="BodyText"/>
        <w:rPr>
          <w:color w:val="000000" w:themeColor="text1"/>
        </w:rPr>
      </w:pPr>
      <w:r w:rsidRPr="00F83B6E">
        <w:rPr>
          <w:color w:val="000000" w:themeColor="text1"/>
        </w:rPr>
        <w:t xml:space="preserve">The intent of KPP is </w:t>
      </w:r>
      <w:r w:rsidR="004D3191" w:rsidRPr="00F83B6E">
        <w:rPr>
          <w:color w:val="000000" w:themeColor="text1"/>
        </w:rPr>
        <w:t xml:space="preserve">also </w:t>
      </w:r>
      <w:r w:rsidRPr="00F83B6E">
        <w:rPr>
          <w:color w:val="000000" w:themeColor="text1"/>
        </w:rPr>
        <w:t xml:space="preserve">aligned with the </w:t>
      </w:r>
      <w:r w:rsidR="00C03BBA" w:rsidRPr="00F83B6E">
        <w:rPr>
          <w:color w:val="000000" w:themeColor="text1"/>
        </w:rPr>
        <w:t>Indonesia Australia Comprehensive Economic Partnership Agreement (IA-CEPA)</w:t>
      </w:r>
      <w:r w:rsidRPr="00F83B6E">
        <w:rPr>
          <w:color w:val="000000" w:themeColor="text1"/>
        </w:rPr>
        <w:t xml:space="preserve">, signed in 2019, </w:t>
      </w:r>
      <w:r w:rsidR="004D3191" w:rsidRPr="00F83B6E">
        <w:rPr>
          <w:color w:val="000000" w:themeColor="text1"/>
        </w:rPr>
        <w:t>that</w:t>
      </w:r>
      <w:r w:rsidRPr="00F83B6E">
        <w:rPr>
          <w:color w:val="000000" w:themeColor="text1"/>
        </w:rPr>
        <w:t xml:space="preserve"> signall</w:t>
      </w:r>
      <w:r w:rsidR="004D3191" w:rsidRPr="00F83B6E">
        <w:rPr>
          <w:color w:val="000000" w:themeColor="text1"/>
        </w:rPr>
        <w:t>ed</w:t>
      </w:r>
      <w:r w:rsidR="00C03BBA" w:rsidRPr="00F83B6E">
        <w:rPr>
          <w:color w:val="000000" w:themeColor="text1"/>
        </w:rPr>
        <w:t xml:space="preserve"> an important inflection in the bilateral relationship towards a more equal and mutual partnership for development and prosperity. It opens access to markets and opportunities for partnership between the two countries in many economic sectors, including research and education.</w:t>
      </w:r>
    </w:p>
    <w:p w14:paraId="6C03642C" w14:textId="456F8F26" w:rsidR="001530B0" w:rsidRPr="00F83B6E" w:rsidRDefault="001530B0" w:rsidP="00B91543">
      <w:pPr>
        <w:pStyle w:val="BodyText"/>
        <w:rPr>
          <w:color w:val="000000" w:themeColor="text1"/>
        </w:rPr>
      </w:pPr>
      <w:r w:rsidRPr="00F83B6E">
        <w:rPr>
          <w:color w:val="000000" w:themeColor="text1"/>
        </w:rPr>
        <w:t xml:space="preserve">The </w:t>
      </w:r>
      <w:r w:rsidR="00CB2D6B" w:rsidRPr="00F83B6E">
        <w:rPr>
          <w:color w:val="000000" w:themeColor="text1"/>
        </w:rPr>
        <w:t xml:space="preserve">DFAT </w:t>
      </w:r>
      <w:r w:rsidRPr="00F83B6E">
        <w:rPr>
          <w:color w:val="000000" w:themeColor="text1"/>
        </w:rPr>
        <w:t xml:space="preserve">Partnerships for Recovery </w:t>
      </w:r>
      <w:r w:rsidR="006361B3" w:rsidRPr="00F83B6E">
        <w:rPr>
          <w:color w:val="000000" w:themeColor="text1"/>
        </w:rPr>
        <w:t>P</w:t>
      </w:r>
      <w:r w:rsidRPr="00F83B6E">
        <w:rPr>
          <w:color w:val="000000" w:themeColor="text1"/>
        </w:rPr>
        <w:t xml:space="preserve">olicy </w:t>
      </w:r>
      <w:r w:rsidR="004D3191" w:rsidRPr="00F83B6E">
        <w:rPr>
          <w:color w:val="000000" w:themeColor="text1"/>
        </w:rPr>
        <w:t xml:space="preserve">(2020) </w:t>
      </w:r>
      <w:r w:rsidRPr="00F83B6E">
        <w:rPr>
          <w:color w:val="000000" w:themeColor="text1"/>
        </w:rPr>
        <w:t xml:space="preserve">outlines Australia’s </w:t>
      </w:r>
      <w:r w:rsidR="004D3191" w:rsidRPr="00F83B6E">
        <w:rPr>
          <w:color w:val="000000" w:themeColor="text1"/>
        </w:rPr>
        <w:t xml:space="preserve">global </w:t>
      </w:r>
      <w:r w:rsidRPr="00F83B6E">
        <w:rPr>
          <w:color w:val="000000" w:themeColor="text1"/>
        </w:rPr>
        <w:t>objectives</w:t>
      </w:r>
      <w:r w:rsidR="00BA4263" w:rsidRPr="00F83B6E">
        <w:rPr>
          <w:color w:val="000000" w:themeColor="text1"/>
        </w:rPr>
        <w:t xml:space="preserve"> to address the impacts of the COVID-19 pandemic</w:t>
      </w:r>
      <w:r w:rsidRPr="00F83B6E">
        <w:rPr>
          <w:color w:val="000000" w:themeColor="text1"/>
        </w:rPr>
        <w:t xml:space="preserve"> in health security, social stability and economic recovery, with a focus on vulnerable groups, </w:t>
      </w:r>
      <w:r w:rsidRPr="00F83B6E">
        <w:rPr>
          <w:color w:val="000000" w:themeColor="text1"/>
        </w:rPr>
        <w:lastRenderedPageBreak/>
        <w:t xml:space="preserve">including women and people with a disability. The policy indicates that </w:t>
      </w:r>
      <w:r w:rsidR="004D3191" w:rsidRPr="00F83B6E">
        <w:rPr>
          <w:color w:val="000000" w:themeColor="text1"/>
        </w:rPr>
        <w:t>s</w:t>
      </w:r>
      <w:r w:rsidRPr="00F83B6E">
        <w:rPr>
          <w:color w:val="000000" w:themeColor="text1"/>
        </w:rPr>
        <w:t xml:space="preserve">upport for joint research and knowledge exchange, and strengthening the enabling environment for research and innovation, can play a valuable role across these objectives. </w:t>
      </w:r>
      <w:r w:rsidR="00E43071" w:rsidRPr="00F83B6E">
        <w:rPr>
          <w:color w:val="000000" w:themeColor="text1"/>
        </w:rPr>
        <w:t>T</w:t>
      </w:r>
      <w:r w:rsidRPr="00F83B6E">
        <w:rPr>
          <w:color w:val="000000" w:themeColor="text1"/>
        </w:rPr>
        <w:t xml:space="preserve">he Australia-Indonesia COVID-19 Development Response Plan </w:t>
      </w:r>
      <w:r w:rsidR="004D3191" w:rsidRPr="00F83B6E">
        <w:rPr>
          <w:color w:val="000000" w:themeColor="text1"/>
        </w:rPr>
        <w:t xml:space="preserve">2020-2022 </w:t>
      </w:r>
      <w:r w:rsidRPr="00F83B6E">
        <w:rPr>
          <w:color w:val="000000" w:themeColor="text1"/>
        </w:rPr>
        <w:t>(CDRP</w:t>
      </w:r>
      <w:r w:rsidR="004D3191" w:rsidRPr="00F83B6E">
        <w:rPr>
          <w:color w:val="000000" w:themeColor="text1"/>
        </w:rPr>
        <w:t>, 2020</w:t>
      </w:r>
      <w:r w:rsidRPr="00F83B6E">
        <w:rPr>
          <w:color w:val="000000" w:themeColor="text1"/>
        </w:rPr>
        <w:t>)</w:t>
      </w:r>
      <w:r w:rsidR="00FC31DA" w:rsidRPr="00F83B6E">
        <w:rPr>
          <w:color w:val="000000" w:themeColor="text1"/>
        </w:rPr>
        <w:t>, which outlines the Indonesia-specific response to the Partnerships for Recovery Policy,</w:t>
      </w:r>
      <w:r w:rsidRPr="00F83B6E">
        <w:rPr>
          <w:color w:val="000000" w:themeColor="text1"/>
        </w:rPr>
        <w:t xml:space="preserve"> states that </w:t>
      </w:r>
      <w:r w:rsidR="00040AE9" w:rsidRPr="00F83B6E">
        <w:rPr>
          <w:color w:val="000000" w:themeColor="text1"/>
        </w:rPr>
        <w:t>Australia</w:t>
      </w:r>
      <w:r w:rsidRPr="00F83B6E">
        <w:rPr>
          <w:color w:val="000000" w:themeColor="text1"/>
        </w:rPr>
        <w:t xml:space="preserve"> will support Indonesia to generate evidence to inform policy and programming decisions, including through joint research and knowledge exchange and by strengthening the enabling environment for research and development, and innovation. The CDRP makes a particular mention of the need to understand the impacts on vulnerable groups through better research and data, and through investments in science and technology to help Indonesian and Australian institutions to share ideas and innovations aimed at improving the lives of vulnerable populations. While it is anticipated that the majority of program implementation will occur after the CDRP </w:t>
      </w:r>
      <w:r w:rsidR="00D67FD1" w:rsidRPr="00F83B6E">
        <w:rPr>
          <w:color w:val="000000" w:themeColor="text1"/>
        </w:rPr>
        <w:t>period of implementation</w:t>
      </w:r>
      <w:r w:rsidRPr="00F83B6E">
        <w:rPr>
          <w:color w:val="000000" w:themeColor="text1"/>
        </w:rPr>
        <w:t>, a</w:t>
      </w:r>
      <w:r w:rsidR="00BA0333" w:rsidRPr="00F83B6E">
        <w:rPr>
          <w:color w:val="000000" w:themeColor="text1"/>
        </w:rPr>
        <w:t xml:space="preserve">n ongoing </w:t>
      </w:r>
      <w:r w:rsidRPr="00F83B6E">
        <w:rPr>
          <w:color w:val="000000" w:themeColor="text1"/>
        </w:rPr>
        <w:t xml:space="preserve">focus on </w:t>
      </w:r>
      <w:r w:rsidR="00BA0333" w:rsidRPr="00F83B6E">
        <w:rPr>
          <w:color w:val="000000" w:themeColor="text1"/>
        </w:rPr>
        <w:t xml:space="preserve">the Indonesia </w:t>
      </w:r>
      <w:r w:rsidRPr="00F83B6E">
        <w:rPr>
          <w:color w:val="000000" w:themeColor="text1"/>
        </w:rPr>
        <w:t>knowledg</w:t>
      </w:r>
      <w:r w:rsidR="00BA0333" w:rsidRPr="00F83B6E">
        <w:rPr>
          <w:color w:val="000000" w:themeColor="text1"/>
        </w:rPr>
        <w:t>e</w:t>
      </w:r>
      <w:r w:rsidRPr="00F83B6E">
        <w:rPr>
          <w:color w:val="000000" w:themeColor="text1"/>
        </w:rPr>
        <w:t xml:space="preserve"> and innovation</w:t>
      </w:r>
      <w:r w:rsidR="00BA0333" w:rsidRPr="00F83B6E">
        <w:rPr>
          <w:color w:val="000000" w:themeColor="text1"/>
        </w:rPr>
        <w:t xml:space="preserve"> sector</w:t>
      </w:r>
      <w:r w:rsidR="00FC31DA" w:rsidRPr="00F83B6E">
        <w:rPr>
          <w:color w:val="000000" w:themeColor="text1"/>
        </w:rPr>
        <w:t xml:space="preserve"> is likely to remain</w:t>
      </w:r>
      <w:r w:rsidRPr="00F83B6E">
        <w:rPr>
          <w:color w:val="000000" w:themeColor="text1"/>
        </w:rPr>
        <w:t xml:space="preserve"> releva</w:t>
      </w:r>
      <w:r w:rsidR="00FC31DA" w:rsidRPr="00F83B6E">
        <w:rPr>
          <w:color w:val="000000" w:themeColor="text1"/>
        </w:rPr>
        <w:t>nt</w:t>
      </w:r>
      <w:r w:rsidRPr="00F83B6E">
        <w:rPr>
          <w:color w:val="000000" w:themeColor="text1"/>
        </w:rPr>
        <w:t xml:space="preserve"> to both Australia and Indonesia and </w:t>
      </w:r>
      <w:r w:rsidR="00CB2D6B" w:rsidRPr="00F83B6E">
        <w:rPr>
          <w:color w:val="000000" w:themeColor="text1"/>
        </w:rPr>
        <w:t xml:space="preserve">the </w:t>
      </w:r>
      <w:r w:rsidRPr="00F83B6E">
        <w:rPr>
          <w:color w:val="000000" w:themeColor="text1"/>
        </w:rPr>
        <w:t xml:space="preserve">desire to further capitalise on established achievements in these fields. </w:t>
      </w:r>
      <w:r w:rsidR="00C317D8" w:rsidRPr="00F83B6E">
        <w:rPr>
          <w:color w:val="000000" w:themeColor="text1"/>
        </w:rPr>
        <w:t>The KPP’s flexible design provides great potential to contribute to new and emerging development priorities including</w:t>
      </w:r>
      <w:r w:rsidR="00CB2D6B" w:rsidRPr="00F83B6E">
        <w:rPr>
          <w:color w:val="000000" w:themeColor="text1"/>
        </w:rPr>
        <w:t xml:space="preserve"> ongoing recovery efforts, particularly economic recovery, and </w:t>
      </w:r>
      <w:r w:rsidR="00C317D8" w:rsidRPr="00F83B6E">
        <w:rPr>
          <w:color w:val="000000" w:themeColor="text1"/>
        </w:rPr>
        <w:t xml:space="preserve">will maintain </w:t>
      </w:r>
      <w:r w:rsidR="00734423" w:rsidRPr="00F83B6E">
        <w:rPr>
          <w:color w:val="000000" w:themeColor="text1"/>
        </w:rPr>
        <w:t>a</w:t>
      </w:r>
      <w:r w:rsidR="00CB2D6B" w:rsidRPr="00F83B6E">
        <w:rPr>
          <w:color w:val="000000" w:themeColor="text1"/>
        </w:rPr>
        <w:t xml:space="preserve"> focus on women, people with disabilities, and vulnerable groups.</w:t>
      </w:r>
    </w:p>
    <w:p w14:paraId="4859938E" w14:textId="77777777" w:rsidR="00C16C74" w:rsidRPr="00F83B6E" w:rsidRDefault="00C16C74" w:rsidP="00F27241">
      <w:pPr>
        <w:pStyle w:val="Heading2"/>
        <w:rPr>
          <w:color w:val="000000" w:themeColor="text1"/>
        </w:rPr>
      </w:pPr>
      <w:bookmarkStart w:id="8" w:name="_Toc146528281"/>
      <w:r w:rsidRPr="00F83B6E">
        <w:rPr>
          <w:color w:val="000000" w:themeColor="text1"/>
        </w:rPr>
        <w:t>Rationale for Australian engagement</w:t>
      </w:r>
      <w:bookmarkEnd w:id="8"/>
    </w:p>
    <w:p w14:paraId="287481FE" w14:textId="73188C8A" w:rsidR="00950348" w:rsidRPr="00F83B6E" w:rsidRDefault="00950348" w:rsidP="00B91543">
      <w:pPr>
        <w:pStyle w:val="BodyText"/>
        <w:rPr>
          <w:color w:val="000000" w:themeColor="text1"/>
        </w:rPr>
      </w:pPr>
      <w:r w:rsidRPr="00F83B6E">
        <w:rPr>
          <w:color w:val="000000" w:themeColor="text1"/>
        </w:rPr>
        <w:t xml:space="preserve">Prevailing inequalities and exclusion, combined with pressing needs to move to a cleaner, greener economy while ensuring no one is left behind create an opportunity for Australia to continue investing in the Indonesia’s knowledge and innovation sector. Previous experiences in the sector (such as KSI) have indeed enabled DFAT to develop valuable relationships with </w:t>
      </w:r>
      <w:r w:rsidR="00E43071" w:rsidRPr="00F83B6E">
        <w:rPr>
          <w:color w:val="000000" w:themeColor="text1"/>
        </w:rPr>
        <w:t xml:space="preserve">relevant </w:t>
      </w:r>
      <w:r w:rsidRPr="00F83B6E">
        <w:rPr>
          <w:color w:val="000000" w:themeColor="text1"/>
        </w:rPr>
        <w:t xml:space="preserve">Indonesian </w:t>
      </w:r>
      <w:r w:rsidR="00E43071" w:rsidRPr="00F83B6E">
        <w:rPr>
          <w:color w:val="000000" w:themeColor="text1"/>
        </w:rPr>
        <w:t xml:space="preserve">public, academic, and civil society </w:t>
      </w:r>
      <w:r w:rsidRPr="00F83B6E">
        <w:rPr>
          <w:color w:val="000000" w:themeColor="text1"/>
        </w:rPr>
        <w:t xml:space="preserve">policy research institutions. It has also enabled DFAT to develop an understanding of the enabling environment for evidence-informed public policy development, which provides a good base to explore future, more targeted support. </w:t>
      </w:r>
    </w:p>
    <w:p w14:paraId="172E747E" w14:textId="4A6C6319" w:rsidR="003A3BDF" w:rsidRPr="00F83B6E" w:rsidRDefault="00C16C74" w:rsidP="00B91543">
      <w:pPr>
        <w:pStyle w:val="BodyText"/>
        <w:rPr>
          <w:color w:val="000000" w:themeColor="text1"/>
        </w:rPr>
      </w:pPr>
      <w:r w:rsidRPr="00F83B6E">
        <w:rPr>
          <w:color w:val="000000" w:themeColor="text1"/>
        </w:rPr>
        <w:t>Building on previous experiences and existing expertise</w:t>
      </w:r>
      <w:r w:rsidR="00950348" w:rsidRPr="00F83B6E">
        <w:rPr>
          <w:color w:val="000000" w:themeColor="text1"/>
        </w:rPr>
        <w:t xml:space="preserve"> </w:t>
      </w:r>
      <w:r w:rsidRPr="00F83B6E">
        <w:rPr>
          <w:color w:val="000000" w:themeColor="text1"/>
        </w:rPr>
        <w:t xml:space="preserve">and relationships, </w:t>
      </w:r>
      <w:r w:rsidR="00D81A33" w:rsidRPr="00F83B6E">
        <w:rPr>
          <w:color w:val="000000" w:themeColor="text1"/>
        </w:rPr>
        <w:t>KPP</w:t>
      </w:r>
      <w:r w:rsidRPr="00F83B6E">
        <w:rPr>
          <w:color w:val="000000" w:themeColor="text1"/>
        </w:rPr>
        <w:t xml:space="preserve"> will be Australia’s flagship knowledge program in Indonesia. It </w:t>
      </w:r>
      <w:r w:rsidR="003A3BDF" w:rsidRPr="00F83B6E">
        <w:rPr>
          <w:color w:val="000000" w:themeColor="text1"/>
        </w:rPr>
        <w:t xml:space="preserve">will </w:t>
      </w:r>
      <w:r w:rsidR="00E43071" w:rsidRPr="00F83B6E">
        <w:rPr>
          <w:color w:val="000000" w:themeColor="text1"/>
        </w:rPr>
        <w:t xml:space="preserve">support </w:t>
      </w:r>
      <w:r w:rsidR="00950348" w:rsidRPr="00F83B6E">
        <w:rPr>
          <w:color w:val="000000" w:themeColor="text1"/>
        </w:rPr>
        <w:t>the development of knowledge that is relevant to both countries and that contributes to Indonesia’s economic transition from a resource-based to a knowledge-based economy.</w:t>
      </w:r>
      <w:r w:rsidR="003A3BDF" w:rsidRPr="00F83B6E">
        <w:rPr>
          <w:color w:val="000000" w:themeColor="text1"/>
        </w:rPr>
        <w:t xml:space="preserve"> </w:t>
      </w:r>
      <w:r w:rsidR="00E43071" w:rsidRPr="00F83B6E">
        <w:rPr>
          <w:color w:val="000000" w:themeColor="text1"/>
        </w:rPr>
        <w:t xml:space="preserve">It will support the development of partnerships between Australian and Indonesian organisations, </w:t>
      </w:r>
      <w:r w:rsidR="00FC31DA" w:rsidRPr="00F83B6E">
        <w:rPr>
          <w:color w:val="000000" w:themeColor="text1"/>
        </w:rPr>
        <w:t xml:space="preserve">and the </w:t>
      </w:r>
      <w:r w:rsidR="00E43071" w:rsidRPr="00F83B6E">
        <w:rPr>
          <w:color w:val="000000" w:themeColor="text1"/>
        </w:rPr>
        <w:t>potential</w:t>
      </w:r>
      <w:r w:rsidR="00FC31DA" w:rsidRPr="00F83B6E">
        <w:rPr>
          <w:color w:val="000000" w:themeColor="text1"/>
        </w:rPr>
        <w:t xml:space="preserve"> to</w:t>
      </w:r>
      <w:r w:rsidR="00E43071" w:rsidRPr="00F83B6E">
        <w:rPr>
          <w:color w:val="000000" w:themeColor="text1"/>
        </w:rPr>
        <w:t xml:space="preserve"> draw in other global actors, </w:t>
      </w:r>
      <w:r w:rsidR="003A3BDF" w:rsidRPr="00F83B6E">
        <w:rPr>
          <w:color w:val="000000" w:themeColor="text1"/>
        </w:rPr>
        <w:t>to carry out</w:t>
      </w:r>
      <w:r w:rsidR="004736A5" w:rsidRPr="00F83B6E">
        <w:rPr>
          <w:color w:val="000000" w:themeColor="text1"/>
        </w:rPr>
        <w:t xml:space="preserve"> </w:t>
      </w:r>
      <w:r w:rsidR="003A3BDF" w:rsidRPr="00F83B6E">
        <w:rPr>
          <w:color w:val="000000" w:themeColor="text1"/>
        </w:rPr>
        <w:t>and disseminate high-quality</w:t>
      </w:r>
      <w:r w:rsidR="00E43071" w:rsidRPr="00F83B6E">
        <w:rPr>
          <w:color w:val="000000" w:themeColor="text1"/>
        </w:rPr>
        <w:t xml:space="preserve">, </w:t>
      </w:r>
      <w:r w:rsidR="003A3BDF" w:rsidRPr="00F83B6E">
        <w:rPr>
          <w:color w:val="000000" w:themeColor="text1"/>
        </w:rPr>
        <w:t xml:space="preserve">multidisciplinary applied research on complex socio-economic </w:t>
      </w:r>
      <w:r w:rsidR="00950348" w:rsidRPr="00F83B6E">
        <w:rPr>
          <w:color w:val="000000" w:themeColor="text1"/>
        </w:rPr>
        <w:t>problem</w:t>
      </w:r>
      <w:r w:rsidR="003A3BDF" w:rsidRPr="00F83B6E">
        <w:rPr>
          <w:color w:val="000000" w:themeColor="text1"/>
        </w:rPr>
        <w:t>s that reflect priorities of mutual interest</w:t>
      </w:r>
      <w:r w:rsidR="00E43071" w:rsidRPr="00F83B6E">
        <w:rPr>
          <w:color w:val="000000" w:themeColor="text1"/>
        </w:rPr>
        <w:t>.</w:t>
      </w:r>
      <w:r w:rsidR="003A3BDF" w:rsidRPr="00F83B6E">
        <w:rPr>
          <w:color w:val="000000" w:themeColor="text1"/>
        </w:rPr>
        <w:t xml:space="preserve"> </w:t>
      </w:r>
      <w:r w:rsidR="00E43071" w:rsidRPr="00F83B6E">
        <w:rPr>
          <w:color w:val="000000" w:themeColor="text1"/>
        </w:rPr>
        <w:t>These partnerships will acknowledge the diverse and complementary strengths of the partners and operate in a collaborative manner</w:t>
      </w:r>
      <w:r w:rsidR="00427EB3" w:rsidRPr="00F83B6E">
        <w:rPr>
          <w:color w:val="000000" w:themeColor="text1"/>
        </w:rPr>
        <w:t xml:space="preserve"> to investigate the technical/policy/private</w:t>
      </w:r>
      <w:r w:rsidR="009201C7" w:rsidRPr="00F83B6E">
        <w:rPr>
          <w:color w:val="000000" w:themeColor="text1"/>
        </w:rPr>
        <w:t xml:space="preserve"> </w:t>
      </w:r>
      <w:r w:rsidR="00427EB3" w:rsidRPr="00F83B6E">
        <w:rPr>
          <w:color w:val="000000" w:themeColor="text1"/>
        </w:rPr>
        <w:t xml:space="preserve">sector/socio-cultural/geo-political and geo-strategic aspects of </w:t>
      </w:r>
      <w:r w:rsidR="0085423A" w:rsidRPr="00F83B6E">
        <w:rPr>
          <w:color w:val="000000" w:themeColor="text1"/>
        </w:rPr>
        <w:t>selected</w:t>
      </w:r>
      <w:r w:rsidR="00427EB3" w:rsidRPr="00F83B6E">
        <w:rPr>
          <w:color w:val="000000" w:themeColor="text1"/>
        </w:rPr>
        <w:t xml:space="preserve"> development issues</w:t>
      </w:r>
      <w:r w:rsidR="00E43071" w:rsidRPr="00F83B6E">
        <w:rPr>
          <w:color w:val="000000" w:themeColor="text1"/>
        </w:rPr>
        <w:t xml:space="preserve">. </w:t>
      </w:r>
      <w:r w:rsidR="00960F43" w:rsidRPr="00F83B6E">
        <w:rPr>
          <w:color w:val="000000" w:themeColor="text1"/>
        </w:rPr>
        <w:t xml:space="preserve">The research themes will be agreed jointly between Australia and Indonesia, taking into account mutual priorities, relevant cooperation agreements and the evolving bilateral relationship’s context and needs. The research themes will reflect Indonesia’s long- and medium-term development priorities such as those outlined in the </w:t>
      </w:r>
      <w:proofErr w:type="spellStart"/>
      <w:r w:rsidR="00960F43" w:rsidRPr="00F83B6E">
        <w:rPr>
          <w:color w:val="000000" w:themeColor="text1"/>
        </w:rPr>
        <w:t>GoI</w:t>
      </w:r>
      <w:proofErr w:type="spellEnd"/>
      <w:r w:rsidR="00960F43" w:rsidRPr="00F83B6E">
        <w:rPr>
          <w:color w:val="000000" w:themeColor="text1"/>
        </w:rPr>
        <w:t xml:space="preserve"> economic transformation agenda and the Blueprint for the knowledge and innovation ecosystem. </w:t>
      </w:r>
      <w:r w:rsidR="00DE09ED" w:rsidRPr="00F83B6E">
        <w:rPr>
          <w:rStyle w:val="FootnoteReference"/>
          <w:color w:val="000000" w:themeColor="text1"/>
        </w:rPr>
        <w:footnoteReference w:id="23"/>
      </w:r>
      <w:r w:rsidR="0066287B" w:rsidRPr="00F83B6E">
        <w:rPr>
          <w:color w:val="000000" w:themeColor="text1"/>
        </w:rPr>
        <w:t xml:space="preserve"> </w:t>
      </w:r>
      <w:r w:rsidR="00B369A5" w:rsidRPr="00F83B6E">
        <w:rPr>
          <w:color w:val="000000" w:themeColor="text1"/>
        </w:rPr>
        <w:t>A</w:t>
      </w:r>
      <w:r w:rsidR="004D6B98" w:rsidRPr="00F83B6E">
        <w:rPr>
          <w:color w:val="000000" w:themeColor="text1"/>
        </w:rPr>
        <w:t xml:space="preserve">s described in section </w:t>
      </w:r>
      <w:r w:rsidR="00F04E19" w:rsidRPr="00F83B6E">
        <w:rPr>
          <w:color w:val="000000" w:themeColor="text1"/>
        </w:rPr>
        <w:t>C</w:t>
      </w:r>
      <w:r w:rsidR="004D6B98" w:rsidRPr="00F83B6E">
        <w:rPr>
          <w:color w:val="000000" w:themeColor="text1"/>
        </w:rPr>
        <w:t xml:space="preserve">, </w:t>
      </w:r>
      <w:r w:rsidR="0066287B" w:rsidRPr="00F83B6E">
        <w:rPr>
          <w:color w:val="000000" w:themeColor="text1"/>
        </w:rPr>
        <w:t>the Program Steering Committee</w:t>
      </w:r>
      <w:r w:rsidR="00427EB3" w:rsidRPr="00F83B6E">
        <w:rPr>
          <w:color w:val="000000" w:themeColor="text1"/>
        </w:rPr>
        <w:t xml:space="preserve"> will be responsible for the agenda setting</w:t>
      </w:r>
      <w:r w:rsidR="0098248C" w:rsidRPr="00F83B6E">
        <w:rPr>
          <w:color w:val="000000" w:themeColor="text1"/>
        </w:rPr>
        <w:t xml:space="preserve">, </w:t>
      </w:r>
      <w:r w:rsidR="0066287B" w:rsidRPr="00F83B6E">
        <w:rPr>
          <w:color w:val="000000" w:themeColor="text1"/>
        </w:rPr>
        <w:t xml:space="preserve">based on </w:t>
      </w:r>
      <w:r w:rsidR="0098248C" w:rsidRPr="00F83B6E">
        <w:rPr>
          <w:color w:val="000000" w:themeColor="text1"/>
        </w:rPr>
        <w:t xml:space="preserve">relevant </w:t>
      </w:r>
      <w:r w:rsidR="0066287B" w:rsidRPr="00F83B6E">
        <w:rPr>
          <w:color w:val="000000" w:themeColor="text1"/>
        </w:rPr>
        <w:t>analysis and suggestions from the KPP implementation team</w:t>
      </w:r>
      <w:r w:rsidR="00402C96" w:rsidRPr="00F83B6E">
        <w:rPr>
          <w:color w:val="000000" w:themeColor="text1"/>
        </w:rPr>
        <w:t>.</w:t>
      </w:r>
      <w:r w:rsidR="008C6BA1" w:rsidRPr="00F83B6E">
        <w:rPr>
          <w:rStyle w:val="FootnoteReference"/>
          <w:color w:val="000000" w:themeColor="text1"/>
        </w:rPr>
        <w:footnoteReference w:id="24"/>
      </w:r>
      <w:r w:rsidR="00402C96" w:rsidRPr="00F83B6E">
        <w:rPr>
          <w:color w:val="000000" w:themeColor="text1"/>
        </w:rPr>
        <w:t xml:space="preserve"> </w:t>
      </w:r>
    </w:p>
    <w:p w14:paraId="2D001292" w14:textId="009C1DB9" w:rsidR="0029460E" w:rsidRPr="00F83B6E" w:rsidRDefault="00A04291" w:rsidP="00B91543">
      <w:pPr>
        <w:pStyle w:val="BodyText"/>
        <w:rPr>
          <w:color w:val="000000" w:themeColor="text1"/>
        </w:rPr>
      </w:pPr>
      <w:r w:rsidRPr="00F83B6E">
        <w:rPr>
          <w:color w:val="000000" w:themeColor="text1"/>
        </w:rPr>
        <w:t xml:space="preserve">While ‘sustainable’ development is readily accepted and promoted by </w:t>
      </w:r>
      <w:proofErr w:type="spellStart"/>
      <w:r w:rsidRPr="00F83B6E">
        <w:rPr>
          <w:color w:val="000000" w:themeColor="text1"/>
        </w:rPr>
        <w:t>GoI</w:t>
      </w:r>
      <w:proofErr w:type="spellEnd"/>
      <w:r w:rsidRPr="00F83B6E">
        <w:rPr>
          <w:color w:val="000000" w:themeColor="text1"/>
        </w:rPr>
        <w:t xml:space="preserve"> stakeholders, the concept of inclusive and equitable development appears less consistently understood or conceptually applied. The tendency is to </w:t>
      </w:r>
      <w:r w:rsidRPr="00F83B6E">
        <w:rPr>
          <w:color w:val="000000" w:themeColor="text1"/>
        </w:rPr>
        <w:lastRenderedPageBreak/>
        <w:t xml:space="preserve">consider inequality and exclusion in terms of regional poverty and resource profiles, rather than of people. </w:t>
      </w:r>
      <w:r w:rsidR="000E1458" w:rsidRPr="00F83B6E">
        <w:rPr>
          <w:color w:val="000000" w:themeColor="text1"/>
        </w:rPr>
        <w:t xml:space="preserve">Central to the </w:t>
      </w:r>
      <w:r w:rsidRPr="00F83B6E">
        <w:rPr>
          <w:color w:val="000000" w:themeColor="text1"/>
        </w:rPr>
        <w:t xml:space="preserve">investment </w:t>
      </w:r>
      <w:r w:rsidR="000E1458" w:rsidRPr="00F83B6E">
        <w:rPr>
          <w:color w:val="000000" w:themeColor="text1"/>
        </w:rPr>
        <w:t xml:space="preserve">value-add and reflecting </w:t>
      </w:r>
      <w:r w:rsidRPr="00F83B6E">
        <w:rPr>
          <w:color w:val="000000" w:themeColor="text1"/>
        </w:rPr>
        <w:t>its</w:t>
      </w:r>
      <w:r w:rsidR="000E1458" w:rsidRPr="00F83B6E">
        <w:rPr>
          <w:color w:val="000000" w:themeColor="text1"/>
        </w:rPr>
        <w:t xml:space="preserve"> source of funding (from </w:t>
      </w:r>
      <w:proofErr w:type="spellStart"/>
      <w:r w:rsidR="000E1458" w:rsidRPr="00F83B6E">
        <w:rPr>
          <w:color w:val="000000" w:themeColor="text1"/>
        </w:rPr>
        <w:t>GoA</w:t>
      </w:r>
      <w:proofErr w:type="spellEnd"/>
      <w:r w:rsidR="000E1458" w:rsidRPr="00F83B6E">
        <w:rPr>
          <w:color w:val="000000" w:themeColor="text1"/>
        </w:rPr>
        <w:t xml:space="preserve"> development cooperation budget rather than a commercial enterprise), KPP will raise the profile</w:t>
      </w:r>
      <w:r w:rsidR="006B0D93" w:rsidRPr="00F83B6E">
        <w:rPr>
          <w:color w:val="000000" w:themeColor="text1"/>
        </w:rPr>
        <w:t xml:space="preserve"> of</w:t>
      </w:r>
      <w:r w:rsidR="000E1458" w:rsidRPr="00F83B6E">
        <w:rPr>
          <w:color w:val="000000" w:themeColor="text1"/>
        </w:rPr>
        <w:t xml:space="preserve"> GEDSI</w:t>
      </w:r>
      <w:r w:rsidRPr="00F83B6E">
        <w:rPr>
          <w:color w:val="000000" w:themeColor="text1"/>
        </w:rPr>
        <w:t>-</w:t>
      </w:r>
      <w:r w:rsidR="0029460E" w:rsidRPr="00F83B6E">
        <w:rPr>
          <w:color w:val="000000" w:themeColor="text1"/>
        </w:rPr>
        <w:t xml:space="preserve"> </w:t>
      </w:r>
      <w:r w:rsidRPr="00F83B6E">
        <w:rPr>
          <w:color w:val="000000" w:themeColor="text1"/>
        </w:rPr>
        <w:t xml:space="preserve">responsive knowledge and issues </w:t>
      </w:r>
      <w:r w:rsidR="000E1458" w:rsidRPr="00F83B6E">
        <w:rPr>
          <w:color w:val="000000" w:themeColor="text1"/>
        </w:rPr>
        <w:t xml:space="preserve">as critical and valuable </w:t>
      </w:r>
      <w:r w:rsidRPr="00F83B6E">
        <w:rPr>
          <w:color w:val="000000" w:themeColor="text1"/>
        </w:rPr>
        <w:t>to</w:t>
      </w:r>
      <w:r w:rsidR="000E1458" w:rsidRPr="00F83B6E">
        <w:rPr>
          <w:color w:val="000000" w:themeColor="text1"/>
        </w:rPr>
        <w:t xml:space="preserve"> Indonesia’s economic transformation</w:t>
      </w:r>
      <w:r w:rsidR="006B0D93" w:rsidRPr="00F83B6E">
        <w:rPr>
          <w:color w:val="000000" w:themeColor="text1"/>
        </w:rPr>
        <w:t xml:space="preserve">, </w:t>
      </w:r>
      <w:r w:rsidR="000E1458" w:rsidRPr="00F83B6E">
        <w:rPr>
          <w:color w:val="000000" w:themeColor="text1"/>
        </w:rPr>
        <w:t xml:space="preserve">rather than </w:t>
      </w:r>
      <w:r w:rsidR="00060B29" w:rsidRPr="00F83B6E">
        <w:rPr>
          <w:color w:val="000000" w:themeColor="text1"/>
        </w:rPr>
        <w:t xml:space="preserve">as </w:t>
      </w:r>
      <w:r w:rsidR="000E1458" w:rsidRPr="00F83B6E">
        <w:rPr>
          <w:color w:val="000000" w:themeColor="text1"/>
        </w:rPr>
        <w:t>special interests on the side</w:t>
      </w:r>
      <w:r w:rsidR="006B0D93" w:rsidRPr="00F83B6E">
        <w:rPr>
          <w:color w:val="000000" w:themeColor="text1"/>
        </w:rPr>
        <w:t>,</w:t>
      </w:r>
      <w:r w:rsidR="000E1458" w:rsidRPr="00F83B6E">
        <w:rPr>
          <w:color w:val="000000" w:themeColor="text1"/>
        </w:rPr>
        <w:t xml:space="preserve"> and will fund the production of knowledge that respond to gaps in equality and inclusion. </w:t>
      </w:r>
      <w:r w:rsidR="0029460E" w:rsidRPr="00F83B6E">
        <w:rPr>
          <w:color w:val="000000" w:themeColor="text1"/>
        </w:rPr>
        <w:t>Similarly, the program will encourage diversity in research teams and topics and the inclusion of indigenous expertise and knowledge</w:t>
      </w:r>
      <w:r w:rsidR="00E43071" w:rsidRPr="00F83B6E">
        <w:rPr>
          <w:color w:val="000000" w:themeColor="text1"/>
        </w:rPr>
        <w:t xml:space="preserve"> in its activities</w:t>
      </w:r>
      <w:r w:rsidR="0029460E" w:rsidRPr="00F83B6E">
        <w:rPr>
          <w:color w:val="000000" w:themeColor="text1"/>
        </w:rPr>
        <w:t>.</w:t>
      </w:r>
      <w:r w:rsidR="00FC31DA" w:rsidRPr="00F83B6E">
        <w:rPr>
          <w:rStyle w:val="FootnoteReference"/>
          <w:color w:val="000000" w:themeColor="text1"/>
        </w:rPr>
        <w:footnoteReference w:id="25"/>
      </w:r>
      <w:r w:rsidR="0066287B" w:rsidRPr="00F83B6E">
        <w:rPr>
          <w:color w:val="000000" w:themeColor="text1"/>
        </w:rPr>
        <w:t xml:space="preserve"> </w:t>
      </w:r>
    </w:p>
    <w:p w14:paraId="3232BD0B" w14:textId="5468B8F2" w:rsidR="00E43071" w:rsidRPr="00F83B6E" w:rsidRDefault="000E1458" w:rsidP="00B91543">
      <w:pPr>
        <w:pStyle w:val="BodyText"/>
        <w:rPr>
          <w:color w:val="000000" w:themeColor="text1"/>
        </w:rPr>
      </w:pPr>
      <w:r w:rsidRPr="00F83B6E">
        <w:rPr>
          <w:color w:val="000000" w:themeColor="text1"/>
        </w:rPr>
        <w:t xml:space="preserve">The knowledge produced will aim </w:t>
      </w:r>
      <w:r w:rsidR="00060B29" w:rsidRPr="00F83B6E">
        <w:rPr>
          <w:color w:val="000000" w:themeColor="text1"/>
        </w:rPr>
        <w:t xml:space="preserve">to </w:t>
      </w:r>
      <w:r w:rsidR="00836E02" w:rsidRPr="00F83B6E">
        <w:rPr>
          <w:color w:val="000000" w:themeColor="text1"/>
        </w:rPr>
        <w:t xml:space="preserve">generate relevant </w:t>
      </w:r>
      <w:r w:rsidRPr="00F83B6E">
        <w:rPr>
          <w:color w:val="000000" w:themeColor="text1"/>
        </w:rPr>
        <w:t>polic</w:t>
      </w:r>
      <w:r w:rsidR="00836E02" w:rsidRPr="00F83B6E">
        <w:rPr>
          <w:color w:val="000000" w:themeColor="text1"/>
        </w:rPr>
        <w:t>y</w:t>
      </w:r>
      <w:r w:rsidRPr="00F83B6E">
        <w:rPr>
          <w:color w:val="000000" w:themeColor="text1"/>
        </w:rPr>
        <w:t xml:space="preserve"> and technolo</w:t>
      </w:r>
      <w:r w:rsidR="00836E02" w:rsidRPr="00F83B6E">
        <w:rPr>
          <w:color w:val="000000" w:themeColor="text1"/>
        </w:rPr>
        <w:t>gy solutions in a synergistic manner,</w:t>
      </w:r>
      <w:r w:rsidRPr="00F83B6E">
        <w:rPr>
          <w:color w:val="000000" w:themeColor="text1"/>
        </w:rPr>
        <w:t xml:space="preserve"> </w:t>
      </w:r>
      <w:r w:rsidR="00836E02" w:rsidRPr="00F83B6E">
        <w:rPr>
          <w:color w:val="000000" w:themeColor="text1"/>
        </w:rPr>
        <w:t>and to complement and inform the support provided</w:t>
      </w:r>
      <w:r w:rsidRPr="00F83B6E">
        <w:rPr>
          <w:color w:val="000000" w:themeColor="text1"/>
        </w:rPr>
        <w:t xml:space="preserve"> by other </w:t>
      </w:r>
      <w:proofErr w:type="spellStart"/>
      <w:r w:rsidRPr="00F83B6E">
        <w:rPr>
          <w:color w:val="000000" w:themeColor="text1"/>
        </w:rPr>
        <w:t>GoA</w:t>
      </w:r>
      <w:proofErr w:type="spellEnd"/>
      <w:r w:rsidRPr="00F83B6E">
        <w:rPr>
          <w:color w:val="000000" w:themeColor="text1"/>
        </w:rPr>
        <w:t xml:space="preserve">-funded initiatives in Indonesia, </w:t>
      </w:r>
      <w:r w:rsidR="00000A09" w:rsidRPr="00F83B6E">
        <w:rPr>
          <w:color w:val="000000" w:themeColor="text1"/>
        </w:rPr>
        <w:t>that are by nature aligned with mutual interests and cooperation agreements. A</w:t>
      </w:r>
      <w:r w:rsidRPr="00F83B6E">
        <w:rPr>
          <w:color w:val="000000" w:themeColor="text1"/>
        </w:rPr>
        <w:t>s such</w:t>
      </w:r>
      <w:r w:rsidR="00836E02" w:rsidRPr="00F83B6E">
        <w:rPr>
          <w:color w:val="000000" w:themeColor="text1"/>
        </w:rPr>
        <w:t>,</w:t>
      </w:r>
      <w:r w:rsidRPr="00F83B6E">
        <w:rPr>
          <w:color w:val="000000" w:themeColor="text1"/>
        </w:rPr>
        <w:t xml:space="preserve"> </w:t>
      </w:r>
      <w:r w:rsidR="00A04291" w:rsidRPr="00F83B6E">
        <w:rPr>
          <w:color w:val="000000" w:themeColor="text1"/>
        </w:rPr>
        <w:t xml:space="preserve">the program will </w:t>
      </w:r>
      <w:r w:rsidR="00000A09" w:rsidRPr="00F83B6E">
        <w:rPr>
          <w:color w:val="000000" w:themeColor="text1"/>
        </w:rPr>
        <w:t xml:space="preserve">contribute </w:t>
      </w:r>
      <w:r w:rsidR="00A04291" w:rsidRPr="00F83B6E">
        <w:rPr>
          <w:color w:val="000000" w:themeColor="text1"/>
        </w:rPr>
        <w:t>to</w:t>
      </w:r>
      <w:r w:rsidRPr="00F83B6E">
        <w:rPr>
          <w:color w:val="000000" w:themeColor="text1"/>
        </w:rPr>
        <w:t xml:space="preserve"> </w:t>
      </w:r>
      <w:r w:rsidR="00A04291" w:rsidRPr="00F83B6E">
        <w:rPr>
          <w:color w:val="000000" w:themeColor="text1"/>
        </w:rPr>
        <w:t xml:space="preserve">strengthen </w:t>
      </w:r>
      <w:r w:rsidRPr="00F83B6E">
        <w:rPr>
          <w:color w:val="000000" w:themeColor="text1"/>
        </w:rPr>
        <w:t xml:space="preserve">the coherence and impact of Australia’s cooperation investments portfolio in Indonesia. </w:t>
      </w:r>
      <w:r w:rsidR="00E43071" w:rsidRPr="00F83B6E">
        <w:rPr>
          <w:color w:val="000000" w:themeColor="text1"/>
        </w:rPr>
        <w:t xml:space="preserve">It will also continue to support the development of the Indonesian knowledge and innovation sector by providing </w:t>
      </w:r>
      <w:r w:rsidR="00FC31DA" w:rsidRPr="00F83B6E">
        <w:rPr>
          <w:color w:val="000000" w:themeColor="text1"/>
        </w:rPr>
        <w:t xml:space="preserve">targeted </w:t>
      </w:r>
      <w:r w:rsidR="00E87912" w:rsidRPr="00F83B6E">
        <w:rPr>
          <w:color w:val="000000" w:themeColor="text1"/>
        </w:rPr>
        <w:t xml:space="preserve">and catalytic </w:t>
      </w:r>
      <w:r w:rsidR="00FC31DA" w:rsidRPr="00F83B6E">
        <w:rPr>
          <w:color w:val="000000" w:themeColor="text1"/>
        </w:rPr>
        <w:t>assistance to develop organisational capacities and address specific systemic constraints that hinder the development and success of research partnerships between Australia and Indonesia.</w:t>
      </w:r>
    </w:p>
    <w:p w14:paraId="117EB197" w14:textId="63100AAD" w:rsidR="00A32858" w:rsidRPr="00F83B6E" w:rsidRDefault="00A32858" w:rsidP="00F56C17">
      <w:pPr>
        <w:pStyle w:val="Heading1"/>
        <w:spacing w:line="281" w:lineRule="auto"/>
        <w:rPr>
          <w:color w:val="000000" w:themeColor="text1"/>
        </w:rPr>
      </w:pPr>
      <w:bookmarkStart w:id="9" w:name="_Toc146528282"/>
      <w:r w:rsidRPr="00F83B6E">
        <w:rPr>
          <w:color w:val="000000" w:themeColor="text1"/>
        </w:rPr>
        <w:t>Proposed Outcomes and Investment Options</w:t>
      </w:r>
      <w:bookmarkEnd w:id="9"/>
    </w:p>
    <w:p w14:paraId="1B51C9A6" w14:textId="1E379888" w:rsidR="009E0792" w:rsidRPr="00F83B6E" w:rsidRDefault="009E0792" w:rsidP="00F27241">
      <w:pPr>
        <w:pStyle w:val="Heading2"/>
        <w:rPr>
          <w:color w:val="000000" w:themeColor="text1"/>
        </w:rPr>
      </w:pPr>
      <w:bookmarkStart w:id="10" w:name="_Toc146528283"/>
      <w:r w:rsidRPr="00F83B6E">
        <w:rPr>
          <w:color w:val="000000" w:themeColor="text1"/>
        </w:rPr>
        <w:t xml:space="preserve">Program </w:t>
      </w:r>
      <w:r w:rsidR="00655157" w:rsidRPr="00F83B6E">
        <w:rPr>
          <w:color w:val="000000" w:themeColor="text1"/>
        </w:rPr>
        <w:t>l</w:t>
      </w:r>
      <w:r w:rsidRPr="00F83B6E">
        <w:rPr>
          <w:color w:val="000000" w:themeColor="text1"/>
        </w:rPr>
        <w:t>ogic</w:t>
      </w:r>
      <w:bookmarkEnd w:id="10"/>
    </w:p>
    <w:p w14:paraId="67C4BE95" w14:textId="18134F54" w:rsidR="00685C0F" w:rsidRPr="00F83B6E" w:rsidRDefault="00A96C63" w:rsidP="00B91543">
      <w:pPr>
        <w:pStyle w:val="BodyText"/>
        <w:rPr>
          <w:color w:val="000000" w:themeColor="text1"/>
        </w:rPr>
      </w:pPr>
      <w:r w:rsidRPr="00F83B6E">
        <w:rPr>
          <w:color w:val="000000" w:themeColor="text1"/>
        </w:rPr>
        <w:t xml:space="preserve">The KPP </w:t>
      </w:r>
      <w:r w:rsidR="00DD4179" w:rsidRPr="00F83B6E">
        <w:rPr>
          <w:color w:val="000000" w:themeColor="text1"/>
        </w:rPr>
        <w:t>program l</w:t>
      </w:r>
      <w:r w:rsidRPr="00F83B6E">
        <w:rPr>
          <w:color w:val="000000" w:themeColor="text1"/>
        </w:rPr>
        <w:t>ogic</w:t>
      </w:r>
      <w:r w:rsidR="00A04291" w:rsidRPr="00F83B6E">
        <w:rPr>
          <w:color w:val="000000" w:themeColor="text1"/>
        </w:rPr>
        <w:t xml:space="preserve"> diagram</w:t>
      </w:r>
      <w:r w:rsidRPr="00F83B6E">
        <w:rPr>
          <w:color w:val="000000" w:themeColor="text1"/>
        </w:rPr>
        <w:t xml:space="preserve"> is </w:t>
      </w:r>
      <w:r w:rsidR="009E0792" w:rsidRPr="00F83B6E">
        <w:rPr>
          <w:color w:val="000000" w:themeColor="text1"/>
        </w:rPr>
        <w:t xml:space="preserve">presented in </w:t>
      </w:r>
      <w:r w:rsidR="00DD4179" w:rsidRPr="00F83B6E">
        <w:rPr>
          <w:color w:val="000000" w:themeColor="text1"/>
          <w:highlight w:val="yellow"/>
        </w:rPr>
        <w:fldChar w:fldCharType="begin"/>
      </w:r>
      <w:r w:rsidR="00DD4179" w:rsidRPr="00F83B6E">
        <w:rPr>
          <w:color w:val="000000" w:themeColor="text1"/>
        </w:rPr>
        <w:instrText xml:space="preserve"> REF _Ref101559337 \h </w:instrText>
      </w:r>
      <w:r w:rsidR="00A04291" w:rsidRPr="00F83B6E">
        <w:rPr>
          <w:color w:val="000000" w:themeColor="text1"/>
          <w:highlight w:val="yellow"/>
        </w:rPr>
        <w:instrText xml:space="preserve"> \* MERGEFORMAT </w:instrText>
      </w:r>
      <w:r w:rsidR="00DD4179" w:rsidRPr="00F83B6E">
        <w:rPr>
          <w:color w:val="000000" w:themeColor="text1"/>
          <w:highlight w:val="yellow"/>
        </w:rPr>
      </w:r>
      <w:r w:rsidR="00DD4179" w:rsidRPr="00F83B6E">
        <w:rPr>
          <w:color w:val="000000" w:themeColor="text1"/>
          <w:highlight w:val="yellow"/>
        </w:rPr>
        <w:fldChar w:fldCharType="separate"/>
      </w:r>
      <w:r w:rsidR="00A578DF" w:rsidRPr="00F83B6E">
        <w:rPr>
          <w:color w:val="000000" w:themeColor="text1"/>
        </w:rPr>
        <w:t xml:space="preserve">Figure </w:t>
      </w:r>
      <w:r w:rsidR="00A578DF">
        <w:rPr>
          <w:noProof/>
          <w:color w:val="000000" w:themeColor="text1"/>
        </w:rPr>
        <w:t>1</w:t>
      </w:r>
      <w:r w:rsidR="00DD4179" w:rsidRPr="00F83B6E">
        <w:rPr>
          <w:color w:val="000000" w:themeColor="text1"/>
          <w:highlight w:val="yellow"/>
        </w:rPr>
        <w:fldChar w:fldCharType="end"/>
      </w:r>
      <w:r w:rsidR="00685C0F" w:rsidRPr="00F83B6E">
        <w:rPr>
          <w:color w:val="000000" w:themeColor="text1"/>
        </w:rPr>
        <w:t xml:space="preserve"> and includes:</w:t>
      </w:r>
    </w:p>
    <w:p w14:paraId="623253D3" w14:textId="0A7FA313" w:rsidR="00685C0F" w:rsidRPr="00F83B6E" w:rsidRDefault="00C00B6B" w:rsidP="00E6202D">
      <w:pPr>
        <w:pStyle w:val="Bullet1"/>
        <w:rPr>
          <w:color w:val="000000" w:themeColor="text1"/>
        </w:rPr>
      </w:pPr>
      <w:r w:rsidRPr="00F83B6E">
        <w:rPr>
          <w:color w:val="000000" w:themeColor="text1"/>
        </w:rPr>
        <w:t>A</w:t>
      </w:r>
      <w:r w:rsidR="00685C0F" w:rsidRPr="00F83B6E">
        <w:rPr>
          <w:color w:val="000000" w:themeColor="text1"/>
        </w:rPr>
        <w:t xml:space="preserve"> goal that contextualises KPP in </w:t>
      </w:r>
      <w:r w:rsidR="00A04291" w:rsidRPr="00F83B6E">
        <w:rPr>
          <w:color w:val="000000" w:themeColor="text1"/>
        </w:rPr>
        <w:t xml:space="preserve">the </w:t>
      </w:r>
      <w:r w:rsidR="00685C0F" w:rsidRPr="00F83B6E">
        <w:rPr>
          <w:color w:val="000000" w:themeColor="text1"/>
        </w:rPr>
        <w:t xml:space="preserve">wider </w:t>
      </w:r>
      <w:r w:rsidR="00A04291" w:rsidRPr="00F83B6E">
        <w:rPr>
          <w:color w:val="000000" w:themeColor="text1"/>
        </w:rPr>
        <w:t xml:space="preserve">Indonesia - Australia </w:t>
      </w:r>
      <w:r w:rsidR="00685C0F" w:rsidRPr="00F83B6E">
        <w:rPr>
          <w:color w:val="000000" w:themeColor="text1"/>
        </w:rPr>
        <w:t>bilateral cooperation policy framework</w:t>
      </w:r>
    </w:p>
    <w:p w14:paraId="785490AE" w14:textId="58250EBB" w:rsidR="00685C0F" w:rsidRPr="00F83B6E" w:rsidRDefault="00C00B6B" w:rsidP="00E6202D">
      <w:pPr>
        <w:pStyle w:val="Bullet1"/>
        <w:rPr>
          <w:color w:val="000000" w:themeColor="text1"/>
        </w:rPr>
      </w:pPr>
      <w:r w:rsidRPr="00F83B6E">
        <w:rPr>
          <w:color w:val="000000" w:themeColor="text1"/>
        </w:rPr>
        <w:t>A</w:t>
      </w:r>
      <w:r w:rsidR="00685C0F" w:rsidRPr="00F83B6E">
        <w:rPr>
          <w:color w:val="000000" w:themeColor="text1"/>
        </w:rPr>
        <w:t xml:space="preserve"> purpose that articulates KPP strategic aspiration vis-</w:t>
      </w:r>
      <w:r w:rsidR="00630562" w:rsidRPr="00F83B6E">
        <w:rPr>
          <w:color w:val="000000" w:themeColor="text1"/>
        </w:rPr>
        <w:t>à</w:t>
      </w:r>
      <w:r w:rsidR="00685C0F" w:rsidRPr="00F83B6E">
        <w:rPr>
          <w:color w:val="000000" w:themeColor="text1"/>
        </w:rPr>
        <w:t>-vis the goal</w:t>
      </w:r>
    </w:p>
    <w:p w14:paraId="5F3F6AC1" w14:textId="20B3134C" w:rsidR="00685C0F" w:rsidRPr="00F83B6E" w:rsidRDefault="00C00B6B" w:rsidP="00E6202D">
      <w:pPr>
        <w:pStyle w:val="Bullet1"/>
        <w:rPr>
          <w:color w:val="000000" w:themeColor="text1"/>
        </w:rPr>
      </w:pPr>
      <w:r w:rsidRPr="00F83B6E">
        <w:rPr>
          <w:color w:val="000000" w:themeColor="text1"/>
        </w:rPr>
        <w:t>T</w:t>
      </w:r>
      <w:r w:rsidR="00685C0F" w:rsidRPr="00F83B6E">
        <w:rPr>
          <w:color w:val="000000" w:themeColor="text1"/>
        </w:rPr>
        <w:t xml:space="preserve">wo </w:t>
      </w:r>
      <w:r w:rsidRPr="00F83B6E">
        <w:rPr>
          <w:color w:val="000000" w:themeColor="text1"/>
        </w:rPr>
        <w:t>e</w:t>
      </w:r>
      <w:r w:rsidR="00685C0F" w:rsidRPr="00F83B6E">
        <w:rPr>
          <w:color w:val="000000" w:themeColor="text1"/>
        </w:rPr>
        <w:t>nd</w:t>
      </w:r>
      <w:r w:rsidRPr="00F83B6E">
        <w:rPr>
          <w:color w:val="000000" w:themeColor="text1"/>
        </w:rPr>
        <w:t>-</w:t>
      </w:r>
      <w:r w:rsidR="00685C0F" w:rsidRPr="00F83B6E">
        <w:rPr>
          <w:color w:val="000000" w:themeColor="text1"/>
        </w:rPr>
        <w:t>of</w:t>
      </w:r>
      <w:r w:rsidRPr="00F83B6E">
        <w:rPr>
          <w:color w:val="000000" w:themeColor="text1"/>
        </w:rPr>
        <w:t>-i</w:t>
      </w:r>
      <w:r w:rsidR="00685C0F" w:rsidRPr="00F83B6E">
        <w:rPr>
          <w:color w:val="000000" w:themeColor="text1"/>
        </w:rPr>
        <w:t xml:space="preserve">nvestment </w:t>
      </w:r>
      <w:r w:rsidRPr="00F83B6E">
        <w:rPr>
          <w:color w:val="000000" w:themeColor="text1"/>
        </w:rPr>
        <w:t>o</w:t>
      </w:r>
      <w:r w:rsidR="00685C0F" w:rsidRPr="00F83B6E">
        <w:rPr>
          <w:color w:val="000000" w:themeColor="text1"/>
        </w:rPr>
        <w:t>utcomes (EOIOs) that translate the dual nature of KPP’s objective</w:t>
      </w:r>
    </w:p>
    <w:p w14:paraId="1EEF5E95" w14:textId="10F80BA6" w:rsidR="00685C0F" w:rsidRPr="00F83B6E" w:rsidRDefault="00C00B6B" w:rsidP="00E6202D">
      <w:pPr>
        <w:pStyle w:val="Bullet1"/>
        <w:rPr>
          <w:color w:val="000000" w:themeColor="text1"/>
        </w:rPr>
      </w:pPr>
      <w:r w:rsidRPr="00F83B6E">
        <w:rPr>
          <w:color w:val="000000" w:themeColor="text1"/>
        </w:rPr>
        <w:t>T</w:t>
      </w:r>
      <w:r w:rsidR="00685C0F" w:rsidRPr="00F83B6E">
        <w:rPr>
          <w:color w:val="000000" w:themeColor="text1"/>
        </w:rPr>
        <w:t xml:space="preserve">hree </w:t>
      </w:r>
      <w:r w:rsidRPr="00F83B6E">
        <w:rPr>
          <w:color w:val="000000" w:themeColor="text1"/>
        </w:rPr>
        <w:t>i</w:t>
      </w:r>
      <w:r w:rsidR="00685C0F" w:rsidRPr="00F83B6E">
        <w:rPr>
          <w:color w:val="000000" w:themeColor="text1"/>
        </w:rPr>
        <w:t xml:space="preserve">ntermediate </w:t>
      </w:r>
      <w:r w:rsidRPr="00F83B6E">
        <w:rPr>
          <w:color w:val="000000" w:themeColor="text1"/>
        </w:rPr>
        <w:t>o</w:t>
      </w:r>
      <w:r w:rsidR="00685C0F" w:rsidRPr="00F83B6E">
        <w:rPr>
          <w:color w:val="000000" w:themeColor="text1"/>
        </w:rPr>
        <w:t>utcomes (IOs) that describe pathways through which KPP contributes to the EOIO</w:t>
      </w:r>
      <w:r w:rsidRPr="00F83B6E">
        <w:rPr>
          <w:color w:val="000000" w:themeColor="text1"/>
        </w:rPr>
        <w:t>s</w:t>
      </w:r>
    </w:p>
    <w:p w14:paraId="600C4641" w14:textId="16E3AC42" w:rsidR="00685C0F" w:rsidRPr="00F83B6E" w:rsidRDefault="00C00B6B" w:rsidP="00E6202D">
      <w:pPr>
        <w:pStyle w:val="Bullet1"/>
        <w:rPr>
          <w:color w:val="000000" w:themeColor="text1"/>
        </w:rPr>
      </w:pPr>
      <w:r w:rsidRPr="00F83B6E">
        <w:rPr>
          <w:color w:val="000000" w:themeColor="text1"/>
        </w:rPr>
        <w:t>F</w:t>
      </w:r>
      <w:r w:rsidR="00685C0F" w:rsidRPr="00F83B6E">
        <w:rPr>
          <w:color w:val="000000" w:themeColor="text1"/>
        </w:rPr>
        <w:t>our service lines that offer a structure for grouping and organising program activities, and help to explain ‘how’ KPP works</w:t>
      </w:r>
      <w:r w:rsidR="00060B29" w:rsidRPr="00F83B6E">
        <w:rPr>
          <w:color w:val="000000" w:themeColor="text1"/>
        </w:rPr>
        <w:t>,</w:t>
      </w:r>
      <w:r w:rsidR="00685C0F" w:rsidRPr="00F83B6E">
        <w:rPr>
          <w:color w:val="000000" w:themeColor="text1"/>
        </w:rPr>
        <w:t xml:space="preserve"> and</w:t>
      </w:r>
    </w:p>
    <w:p w14:paraId="6A9FBF16" w14:textId="02C1DECA" w:rsidR="00685C0F" w:rsidRPr="00F83B6E" w:rsidRDefault="00685C0F" w:rsidP="00E6202D">
      <w:pPr>
        <w:pStyle w:val="Bullet1"/>
        <w:rPr>
          <w:color w:val="000000" w:themeColor="text1"/>
        </w:rPr>
      </w:pPr>
      <w:r w:rsidRPr="00F83B6E">
        <w:rPr>
          <w:color w:val="000000" w:themeColor="text1"/>
        </w:rPr>
        <w:t xml:space="preserve">Five principles that suggest defining characteristics of </w:t>
      </w:r>
      <w:r w:rsidR="00DA6603" w:rsidRPr="00F83B6E">
        <w:rPr>
          <w:color w:val="000000" w:themeColor="text1"/>
        </w:rPr>
        <w:t>KPP</w:t>
      </w:r>
      <w:r w:rsidRPr="00F83B6E">
        <w:rPr>
          <w:color w:val="000000" w:themeColor="text1"/>
        </w:rPr>
        <w:t xml:space="preserve"> and guide for internal implementation and external messaging.</w:t>
      </w:r>
    </w:p>
    <w:p w14:paraId="5FAC085A" w14:textId="6EF24008" w:rsidR="00B52896" w:rsidRPr="00F83B6E" w:rsidRDefault="000A0C1E" w:rsidP="00B91543">
      <w:pPr>
        <w:pStyle w:val="BodyText"/>
        <w:rPr>
          <w:color w:val="000000" w:themeColor="text1"/>
        </w:rPr>
      </w:pPr>
      <w:r w:rsidRPr="00F83B6E">
        <w:rPr>
          <w:color w:val="000000" w:themeColor="text1"/>
        </w:rPr>
        <w:t>As per DFAT standards, b</w:t>
      </w:r>
      <w:r w:rsidR="00B52896" w:rsidRPr="00F83B6E">
        <w:rPr>
          <w:color w:val="000000" w:themeColor="text1"/>
        </w:rPr>
        <w:t>oth</w:t>
      </w:r>
      <w:r w:rsidR="00A04291" w:rsidRPr="00F83B6E">
        <w:rPr>
          <w:color w:val="000000" w:themeColor="text1"/>
        </w:rPr>
        <w:t xml:space="preserve"> the</w:t>
      </w:r>
      <w:r w:rsidR="00DA6603" w:rsidRPr="00F83B6E">
        <w:rPr>
          <w:color w:val="000000" w:themeColor="text1"/>
        </w:rPr>
        <w:t xml:space="preserve"> </w:t>
      </w:r>
      <w:r w:rsidR="00B52896" w:rsidRPr="00F83B6E">
        <w:rPr>
          <w:color w:val="000000" w:themeColor="text1"/>
        </w:rPr>
        <w:t xml:space="preserve">goal and purpose represent the sphere of </w:t>
      </w:r>
      <w:r w:rsidR="00DA6603" w:rsidRPr="00F83B6E">
        <w:rPr>
          <w:color w:val="000000" w:themeColor="text1"/>
        </w:rPr>
        <w:t>KPP</w:t>
      </w:r>
      <w:r w:rsidRPr="00F83B6E">
        <w:rPr>
          <w:color w:val="000000" w:themeColor="text1"/>
        </w:rPr>
        <w:t>’s</w:t>
      </w:r>
      <w:r w:rsidR="00B52896" w:rsidRPr="00F83B6E">
        <w:rPr>
          <w:color w:val="000000" w:themeColor="text1"/>
        </w:rPr>
        <w:t xml:space="preserve"> interest</w:t>
      </w:r>
      <w:r w:rsidR="002142A3" w:rsidRPr="00F83B6E">
        <w:rPr>
          <w:color w:val="000000" w:themeColor="text1"/>
        </w:rPr>
        <w:t>,</w:t>
      </w:r>
      <w:r w:rsidRPr="00F83B6E">
        <w:rPr>
          <w:color w:val="000000" w:themeColor="text1"/>
        </w:rPr>
        <w:t xml:space="preserve"> </w:t>
      </w:r>
      <w:r w:rsidR="00B52896" w:rsidRPr="00F83B6E">
        <w:rPr>
          <w:color w:val="000000" w:themeColor="text1"/>
        </w:rPr>
        <w:t>the suggested EOIO</w:t>
      </w:r>
      <w:r w:rsidR="004F0B7B" w:rsidRPr="00F83B6E">
        <w:rPr>
          <w:color w:val="000000" w:themeColor="text1"/>
        </w:rPr>
        <w:t>s</w:t>
      </w:r>
      <w:r w:rsidR="00B52896" w:rsidRPr="00F83B6E">
        <w:rPr>
          <w:color w:val="000000" w:themeColor="text1"/>
        </w:rPr>
        <w:t xml:space="preserve"> and IOs are within the sphere of </w:t>
      </w:r>
      <w:r w:rsidR="00060B29" w:rsidRPr="00F83B6E">
        <w:rPr>
          <w:color w:val="000000" w:themeColor="text1"/>
        </w:rPr>
        <w:t xml:space="preserve">KPP’s </w:t>
      </w:r>
      <w:r w:rsidR="00B52896" w:rsidRPr="00F83B6E">
        <w:rPr>
          <w:color w:val="000000" w:themeColor="text1"/>
        </w:rPr>
        <w:t>influence and accountability</w:t>
      </w:r>
      <w:r w:rsidR="002142A3" w:rsidRPr="00F83B6E">
        <w:rPr>
          <w:color w:val="000000" w:themeColor="text1"/>
        </w:rPr>
        <w:t>,</w:t>
      </w:r>
      <w:r w:rsidRPr="00F83B6E">
        <w:rPr>
          <w:color w:val="000000" w:themeColor="text1"/>
        </w:rPr>
        <w:t xml:space="preserve"> and</w:t>
      </w:r>
      <w:r w:rsidR="00B52896" w:rsidRPr="00F83B6E">
        <w:rPr>
          <w:color w:val="000000" w:themeColor="text1"/>
        </w:rPr>
        <w:t xml:space="preserve"> </w:t>
      </w:r>
      <w:r w:rsidRPr="00F83B6E">
        <w:rPr>
          <w:color w:val="000000" w:themeColor="text1"/>
        </w:rPr>
        <w:t>t</w:t>
      </w:r>
      <w:r w:rsidR="00B52896" w:rsidRPr="00F83B6E">
        <w:rPr>
          <w:color w:val="000000" w:themeColor="text1"/>
        </w:rPr>
        <w:t xml:space="preserve">he services lines are firmly within the sphere of </w:t>
      </w:r>
      <w:r w:rsidR="00060B29" w:rsidRPr="00F83B6E">
        <w:rPr>
          <w:color w:val="000000" w:themeColor="text1"/>
        </w:rPr>
        <w:t xml:space="preserve">KPP’s </w:t>
      </w:r>
      <w:r w:rsidR="00B52896" w:rsidRPr="00F83B6E">
        <w:rPr>
          <w:color w:val="000000" w:themeColor="text1"/>
        </w:rPr>
        <w:t>control.</w:t>
      </w:r>
      <w:r w:rsidR="00D27B43" w:rsidRPr="00F83B6E">
        <w:rPr>
          <w:rStyle w:val="FootnoteReference"/>
          <w:color w:val="000000" w:themeColor="text1"/>
        </w:rPr>
        <w:footnoteReference w:id="26"/>
      </w:r>
      <w:r w:rsidR="00D27B43" w:rsidRPr="00F83B6E">
        <w:rPr>
          <w:color w:val="000000" w:themeColor="text1"/>
        </w:rPr>
        <w:t xml:space="preserve"> </w:t>
      </w:r>
    </w:p>
    <w:p w14:paraId="29CCB498" w14:textId="38059B14" w:rsidR="009E0792" w:rsidRPr="00F83B6E" w:rsidRDefault="00685C0F" w:rsidP="00907F0B">
      <w:pPr>
        <w:pStyle w:val="BodyText"/>
        <w:rPr>
          <w:color w:val="000000" w:themeColor="text1"/>
        </w:rPr>
      </w:pPr>
      <w:r w:rsidRPr="00F83B6E">
        <w:rPr>
          <w:color w:val="000000" w:themeColor="text1"/>
        </w:rPr>
        <w:t xml:space="preserve">This </w:t>
      </w:r>
      <w:r w:rsidR="00DA6603" w:rsidRPr="00F83B6E">
        <w:rPr>
          <w:color w:val="000000" w:themeColor="text1"/>
        </w:rPr>
        <w:t>p</w:t>
      </w:r>
      <w:r w:rsidRPr="00F83B6E">
        <w:rPr>
          <w:color w:val="000000" w:themeColor="text1"/>
        </w:rPr>
        <w:t xml:space="preserve">rogram </w:t>
      </w:r>
      <w:r w:rsidR="00DA6603" w:rsidRPr="00F83B6E">
        <w:rPr>
          <w:color w:val="000000" w:themeColor="text1"/>
        </w:rPr>
        <w:t>l</w:t>
      </w:r>
      <w:r w:rsidRPr="00F83B6E">
        <w:rPr>
          <w:color w:val="000000" w:themeColor="text1"/>
        </w:rPr>
        <w:t>ogic</w:t>
      </w:r>
      <w:r w:rsidR="009E0792" w:rsidRPr="00F83B6E">
        <w:rPr>
          <w:color w:val="000000" w:themeColor="text1"/>
        </w:rPr>
        <w:t xml:space="preserve"> will be </w:t>
      </w:r>
      <w:r w:rsidR="001D305D" w:rsidRPr="00F83B6E">
        <w:rPr>
          <w:color w:val="000000" w:themeColor="text1"/>
        </w:rPr>
        <w:t xml:space="preserve">socialised and </w:t>
      </w:r>
      <w:r w:rsidR="0099127E" w:rsidRPr="00F83B6E">
        <w:rPr>
          <w:color w:val="000000" w:themeColor="text1"/>
        </w:rPr>
        <w:t>discuss</w:t>
      </w:r>
      <w:r w:rsidR="001D305D" w:rsidRPr="00F83B6E">
        <w:rPr>
          <w:color w:val="000000" w:themeColor="text1"/>
        </w:rPr>
        <w:t xml:space="preserve">ed with key Indonesian and Australian stakeholders in the early stage of program implementation (inception phase) to test key assumptions and ensure a shared understanding of KPP objectives among partners. </w:t>
      </w:r>
      <w:r w:rsidR="0099127E" w:rsidRPr="00F83B6E">
        <w:rPr>
          <w:color w:val="000000" w:themeColor="text1"/>
        </w:rPr>
        <w:t xml:space="preserve">It will then be </w:t>
      </w:r>
      <w:r w:rsidR="009E0792" w:rsidRPr="00F83B6E">
        <w:rPr>
          <w:color w:val="000000" w:themeColor="text1"/>
        </w:rPr>
        <w:t>reviewed</w:t>
      </w:r>
      <w:r w:rsidR="00DA6603" w:rsidRPr="00F83B6E">
        <w:rPr>
          <w:color w:val="000000" w:themeColor="text1"/>
        </w:rPr>
        <w:t xml:space="preserve"> at least mid-way through KPP and</w:t>
      </w:r>
      <w:r w:rsidRPr="00F83B6E">
        <w:rPr>
          <w:color w:val="000000" w:themeColor="text1"/>
        </w:rPr>
        <w:t xml:space="preserve"> </w:t>
      </w:r>
      <w:r w:rsidR="00DA6603" w:rsidRPr="00F83B6E">
        <w:rPr>
          <w:color w:val="000000" w:themeColor="text1"/>
        </w:rPr>
        <w:t xml:space="preserve">otherwise as needed, </w:t>
      </w:r>
      <w:r w:rsidRPr="00F83B6E">
        <w:rPr>
          <w:color w:val="000000" w:themeColor="text1"/>
        </w:rPr>
        <w:t xml:space="preserve">to ensure the </w:t>
      </w:r>
      <w:r w:rsidR="00DA6603" w:rsidRPr="00F83B6E">
        <w:rPr>
          <w:color w:val="000000" w:themeColor="text1"/>
        </w:rPr>
        <w:t>structure</w:t>
      </w:r>
      <w:r w:rsidRPr="00F83B6E">
        <w:rPr>
          <w:color w:val="000000" w:themeColor="text1"/>
        </w:rPr>
        <w:t xml:space="preserve"> remains fit for purpose </w:t>
      </w:r>
      <w:r w:rsidR="00B52896" w:rsidRPr="00F83B6E">
        <w:rPr>
          <w:color w:val="000000" w:themeColor="text1"/>
        </w:rPr>
        <w:t>and</w:t>
      </w:r>
      <w:r w:rsidRPr="00F83B6E">
        <w:rPr>
          <w:color w:val="000000" w:themeColor="text1"/>
        </w:rPr>
        <w:t xml:space="preserve"> relevant to the bilateral cooperation</w:t>
      </w:r>
      <w:r w:rsidR="000A0C1E" w:rsidRPr="00F83B6E">
        <w:rPr>
          <w:color w:val="000000" w:themeColor="text1"/>
        </w:rPr>
        <w:t xml:space="preserve"> interest</w:t>
      </w:r>
      <w:r w:rsidR="00DA6603" w:rsidRPr="00F83B6E">
        <w:rPr>
          <w:color w:val="000000" w:themeColor="text1"/>
        </w:rPr>
        <w:t>. A</w:t>
      </w:r>
      <w:r w:rsidR="009E0792" w:rsidRPr="00F83B6E">
        <w:rPr>
          <w:color w:val="000000" w:themeColor="text1"/>
        </w:rPr>
        <w:t xml:space="preserve">ny significant revisions </w:t>
      </w:r>
      <w:r w:rsidR="00DA6603" w:rsidRPr="00F83B6E">
        <w:rPr>
          <w:color w:val="000000" w:themeColor="text1"/>
        </w:rPr>
        <w:t>will</w:t>
      </w:r>
      <w:r w:rsidR="009E0792" w:rsidRPr="00F83B6E">
        <w:rPr>
          <w:color w:val="000000" w:themeColor="text1"/>
        </w:rPr>
        <w:t xml:space="preserve"> be approved by the </w:t>
      </w:r>
      <w:r w:rsidR="009322C2" w:rsidRPr="00F83B6E">
        <w:rPr>
          <w:color w:val="000000" w:themeColor="text1"/>
        </w:rPr>
        <w:t>Program Steering Committee</w:t>
      </w:r>
      <w:r w:rsidR="009E0792" w:rsidRPr="00F83B6E">
        <w:rPr>
          <w:color w:val="000000" w:themeColor="text1"/>
        </w:rPr>
        <w:t>.</w:t>
      </w:r>
    </w:p>
    <w:p w14:paraId="591DB4DF" w14:textId="77777777" w:rsidR="00B04FB1" w:rsidRPr="00F83B6E" w:rsidRDefault="00B04FB1" w:rsidP="00A96C63">
      <w:pPr>
        <w:tabs>
          <w:tab w:val="left" w:pos="284"/>
        </w:tabs>
        <w:suppressAutoHyphens w:val="0"/>
        <w:spacing w:line="280" w:lineRule="exact"/>
        <w:rPr>
          <w:color w:val="000000" w:themeColor="text1"/>
          <w:szCs w:val="20"/>
          <w:lang w:val="en-AU"/>
        </w:rPr>
        <w:sectPr w:rsidR="00B04FB1" w:rsidRPr="00F83B6E" w:rsidSect="002870F3">
          <w:headerReference w:type="default" r:id="rId10"/>
          <w:footerReference w:type="default" r:id="rId11"/>
          <w:headerReference w:type="first" r:id="rId12"/>
          <w:footerReference w:type="first" r:id="rId13"/>
          <w:pgSz w:w="11906" w:h="16838" w:code="9"/>
          <w:pgMar w:top="1418" w:right="851" w:bottom="1418" w:left="851" w:header="425" w:footer="493" w:gutter="567"/>
          <w:cols w:space="397"/>
          <w:titlePg/>
          <w:docGrid w:linePitch="360"/>
        </w:sectPr>
      </w:pPr>
    </w:p>
    <w:p w14:paraId="327224C4" w14:textId="67E84ED0" w:rsidR="00000A09" w:rsidRPr="00F83B6E" w:rsidRDefault="003A29D8" w:rsidP="00000A09">
      <w:pPr>
        <w:pStyle w:val="Caption"/>
        <w:rPr>
          <w:color w:val="000000" w:themeColor="text1"/>
          <w:lang w:val="en-AU"/>
        </w:rPr>
      </w:pPr>
      <w:bookmarkStart w:id="11" w:name="_Ref101559337"/>
      <w:r w:rsidRPr="00F83B6E">
        <w:rPr>
          <w:color w:val="000000" w:themeColor="text1"/>
          <w:lang w:val="en-AU"/>
        </w:rPr>
        <w:lastRenderedPageBreak/>
        <w:t xml:space="preserve">Figure </w:t>
      </w:r>
      <w:r w:rsidRPr="00F83B6E">
        <w:rPr>
          <w:color w:val="000000" w:themeColor="text1"/>
          <w:lang w:val="en-AU"/>
        </w:rPr>
        <w:fldChar w:fldCharType="begin"/>
      </w:r>
      <w:r w:rsidRPr="00F83B6E">
        <w:rPr>
          <w:color w:val="000000" w:themeColor="text1"/>
          <w:lang w:val="en-AU"/>
        </w:rPr>
        <w:instrText xml:space="preserve"> SEQ Figure \* ARABIC </w:instrText>
      </w:r>
      <w:r w:rsidRPr="00F83B6E">
        <w:rPr>
          <w:color w:val="000000" w:themeColor="text1"/>
          <w:lang w:val="en-AU"/>
        </w:rPr>
        <w:fldChar w:fldCharType="separate"/>
      </w:r>
      <w:r w:rsidR="00A578DF">
        <w:rPr>
          <w:noProof/>
          <w:color w:val="000000" w:themeColor="text1"/>
          <w:lang w:val="en-AU"/>
        </w:rPr>
        <w:t>1</w:t>
      </w:r>
      <w:r w:rsidRPr="00F83B6E">
        <w:rPr>
          <w:color w:val="000000" w:themeColor="text1"/>
          <w:lang w:val="en-AU"/>
        </w:rPr>
        <w:fldChar w:fldCharType="end"/>
      </w:r>
      <w:bookmarkEnd w:id="11"/>
      <w:r w:rsidRPr="00F83B6E">
        <w:rPr>
          <w:color w:val="000000" w:themeColor="text1"/>
          <w:lang w:val="en-AU"/>
        </w:rPr>
        <w:tab/>
        <w:t>Program logic</w:t>
      </w:r>
    </w:p>
    <w:p w14:paraId="0B9A3A84" w14:textId="72C776BC" w:rsidR="00B04FB1" w:rsidRPr="00F83B6E" w:rsidRDefault="00B129D2" w:rsidP="003A29D8">
      <w:pPr>
        <w:tabs>
          <w:tab w:val="left" w:pos="284"/>
        </w:tabs>
        <w:spacing w:after="120"/>
        <w:ind w:left="-426" w:hanging="2"/>
        <w:jc w:val="center"/>
        <w:rPr>
          <w:b/>
          <w:i/>
          <w:color w:val="000000" w:themeColor="text1"/>
          <w:sz w:val="21"/>
          <w:szCs w:val="21"/>
          <w:lang w:val="en-AU"/>
        </w:rPr>
      </w:pPr>
      <w:r w:rsidRPr="00F83B6E">
        <w:rPr>
          <w:noProof/>
          <w:color w:val="000000" w:themeColor="text1"/>
        </w:rPr>
        <w:drawing>
          <wp:inline distT="0" distB="0" distL="0" distR="0" wp14:anchorId="69230387" wp14:editId="4EBC0133">
            <wp:extent cx="8863330" cy="5033645"/>
            <wp:effectExtent l="0" t="0" r="0" b="0"/>
            <wp:docPr id="1" name="Picture 1" descr="This is a chart which shows KPP program logic. The chart listed the KPP goal, purpose, end of investment outcomes, intermediate outcomes, service lines, and principles in brief sentences. Explanation about each component are available in the following secti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chart which shows KPP program logic. The chart listed the KPP goal, purpose, end of investment outcomes, intermediate outcomes, service lines, and principles in brief sentences. Explanation about each component are available in the following section. ">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63330" cy="5033645"/>
                    </a:xfrm>
                    <a:prstGeom prst="rect">
                      <a:avLst/>
                    </a:prstGeom>
                    <a:noFill/>
                    <a:ln>
                      <a:noFill/>
                    </a:ln>
                  </pic:spPr>
                </pic:pic>
              </a:graphicData>
            </a:graphic>
          </wp:inline>
        </w:drawing>
      </w:r>
    </w:p>
    <w:p w14:paraId="0AAC37A2" w14:textId="3B4CF65F" w:rsidR="00B04FB1" w:rsidRPr="00F83B6E" w:rsidRDefault="00B04FB1" w:rsidP="00A96C63">
      <w:pPr>
        <w:tabs>
          <w:tab w:val="left" w:pos="284"/>
        </w:tabs>
        <w:suppressAutoHyphens w:val="0"/>
        <w:spacing w:line="280" w:lineRule="exact"/>
        <w:rPr>
          <w:color w:val="000000" w:themeColor="text1"/>
          <w:lang w:val="en-AU"/>
        </w:rPr>
        <w:sectPr w:rsidR="00B04FB1" w:rsidRPr="00F83B6E" w:rsidSect="00EB21FF">
          <w:headerReference w:type="first" r:id="rId15"/>
          <w:pgSz w:w="16838" w:h="11906" w:orient="landscape" w:code="9"/>
          <w:pgMar w:top="1304" w:right="1418" w:bottom="1304" w:left="1418" w:header="425" w:footer="493" w:gutter="567"/>
          <w:cols w:space="397"/>
          <w:titlePg/>
          <w:docGrid w:linePitch="360"/>
        </w:sectPr>
      </w:pPr>
    </w:p>
    <w:p w14:paraId="31E7EF8B" w14:textId="77777777" w:rsidR="00756512" w:rsidRPr="00F83B6E" w:rsidRDefault="00756512" w:rsidP="00B91543">
      <w:pPr>
        <w:pStyle w:val="Heading3"/>
        <w:rPr>
          <w:color w:val="000000" w:themeColor="text1"/>
        </w:rPr>
      </w:pPr>
      <w:r w:rsidRPr="00F83B6E">
        <w:rPr>
          <w:color w:val="000000" w:themeColor="text1"/>
        </w:rPr>
        <w:lastRenderedPageBreak/>
        <w:t>Goal and purpose</w:t>
      </w:r>
    </w:p>
    <w:p w14:paraId="29DD720D" w14:textId="2A9C6E07" w:rsidR="00756512" w:rsidRPr="00F83B6E" w:rsidRDefault="00756512" w:rsidP="00B91543">
      <w:pPr>
        <w:pStyle w:val="BodyText"/>
        <w:rPr>
          <w:color w:val="000000" w:themeColor="text1"/>
        </w:rPr>
      </w:pPr>
      <w:r w:rsidRPr="00F83B6E">
        <w:rPr>
          <w:color w:val="000000" w:themeColor="text1"/>
        </w:rPr>
        <w:t xml:space="preserve">The overarching goal of KPP is: </w:t>
      </w:r>
      <w:r w:rsidR="0067609B" w:rsidRPr="00F83B6E">
        <w:rPr>
          <w:color w:val="000000" w:themeColor="text1"/>
        </w:rPr>
        <w:t>‘</w:t>
      </w:r>
      <w:r w:rsidRPr="00F83B6E">
        <w:rPr>
          <w:color w:val="000000" w:themeColor="text1"/>
        </w:rPr>
        <w:t>An enduring relationship between Indonesia and Australia that advances mutual interest and supports Indonesia’s inclusive and sustainable development.</w:t>
      </w:r>
      <w:r w:rsidR="0067609B" w:rsidRPr="00F83B6E">
        <w:rPr>
          <w:color w:val="000000" w:themeColor="text1"/>
        </w:rPr>
        <w:t>’</w:t>
      </w:r>
    </w:p>
    <w:p w14:paraId="2F6D2C4C" w14:textId="69602A22" w:rsidR="00756512" w:rsidRPr="00F83B6E" w:rsidRDefault="00756512" w:rsidP="00B91543">
      <w:pPr>
        <w:pStyle w:val="BodyText"/>
        <w:rPr>
          <w:color w:val="000000" w:themeColor="text1"/>
        </w:rPr>
      </w:pPr>
      <w:r w:rsidRPr="00F83B6E">
        <w:rPr>
          <w:color w:val="000000" w:themeColor="text1"/>
        </w:rPr>
        <w:t xml:space="preserve">This goal reflects the nature of KPP as an ODA-funded program </w:t>
      </w:r>
      <w:r w:rsidR="00FC31DA" w:rsidRPr="00F83B6E">
        <w:rPr>
          <w:color w:val="000000" w:themeColor="text1"/>
        </w:rPr>
        <w:t xml:space="preserve">that supports Indonesia’s development in areas of mutual interest while </w:t>
      </w:r>
      <w:r w:rsidRPr="00F83B6E">
        <w:rPr>
          <w:color w:val="000000" w:themeColor="text1"/>
        </w:rPr>
        <w:t xml:space="preserve">strengthening the Australia-Indonesia relationship. In line with strategic bilateral commitments and </w:t>
      </w:r>
      <w:proofErr w:type="spellStart"/>
      <w:r w:rsidRPr="00F83B6E">
        <w:rPr>
          <w:color w:val="000000" w:themeColor="text1"/>
        </w:rPr>
        <w:t>GoI</w:t>
      </w:r>
      <w:proofErr w:type="spellEnd"/>
      <w:r w:rsidRPr="00F83B6E">
        <w:rPr>
          <w:color w:val="000000" w:themeColor="text1"/>
        </w:rPr>
        <w:t xml:space="preserve"> vision</w:t>
      </w:r>
      <w:r w:rsidR="0067609B" w:rsidRPr="00F83B6E">
        <w:rPr>
          <w:color w:val="000000" w:themeColor="text1"/>
        </w:rPr>
        <w:t xml:space="preserve">, </w:t>
      </w:r>
      <w:r w:rsidRPr="00F83B6E">
        <w:rPr>
          <w:color w:val="000000" w:themeColor="text1"/>
        </w:rPr>
        <w:t>it defines the desired direction of Indonesia’s development as being more inclusive and sustainable</w:t>
      </w:r>
      <w:r w:rsidR="00FC31DA" w:rsidRPr="00F83B6E">
        <w:rPr>
          <w:color w:val="000000" w:themeColor="text1"/>
        </w:rPr>
        <w:t xml:space="preserve"> and linked to the economic and social </w:t>
      </w:r>
      <w:r w:rsidR="008B7E5F" w:rsidRPr="00F83B6E">
        <w:rPr>
          <w:color w:val="000000" w:themeColor="text1"/>
        </w:rPr>
        <w:t>prosperity</w:t>
      </w:r>
      <w:r w:rsidR="00FC31DA" w:rsidRPr="00F83B6E">
        <w:rPr>
          <w:color w:val="000000" w:themeColor="text1"/>
        </w:rPr>
        <w:t xml:space="preserve"> of the region</w:t>
      </w:r>
      <w:r w:rsidRPr="00F83B6E">
        <w:rPr>
          <w:color w:val="000000" w:themeColor="text1"/>
        </w:rPr>
        <w:t>.</w:t>
      </w:r>
    </w:p>
    <w:p w14:paraId="2793EDDB" w14:textId="77777777" w:rsidR="00A8490C" w:rsidRPr="00F83B6E" w:rsidRDefault="00000A09" w:rsidP="009E1AE8">
      <w:pPr>
        <w:pStyle w:val="BodyText"/>
        <w:rPr>
          <w:color w:val="000000" w:themeColor="text1"/>
        </w:rPr>
      </w:pPr>
      <w:r w:rsidRPr="00F83B6E">
        <w:rPr>
          <w:color w:val="000000" w:themeColor="text1"/>
        </w:rPr>
        <w:t>The program</w:t>
      </w:r>
      <w:r w:rsidR="00756512" w:rsidRPr="00F83B6E">
        <w:rPr>
          <w:color w:val="000000" w:themeColor="text1"/>
        </w:rPr>
        <w:t xml:space="preserve"> purpose</w:t>
      </w:r>
      <w:r w:rsidRPr="00F83B6E">
        <w:rPr>
          <w:color w:val="000000" w:themeColor="text1"/>
        </w:rPr>
        <w:t xml:space="preserve"> is: ‘</w:t>
      </w:r>
      <w:r w:rsidR="00756512" w:rsidRPr="00F83B6E">
        <w:rPr>
          <w:color w:val="000000" w:themeColor="text1"/>
        </w:rPr>
        <w:t>Increased use of knowledge-based solutions for inclusive and sustainable policies and technologies</w:t>
      </w:r>
      <w:r w:rsidRPr="00F83B6E">
        <w:rPr>
          <w:color w:val="000000" w:themeColor="text1"/>
        </w:rPr>
        <w:t xml:space="preserve">’. </w:t>
      </w:r>
    </w:p>
    <w:p w14:paraId="399F6094" w14:textId="5914BFBB" w:rsidR="008A3469" w:rsidRPr="00F83B6E" w:rsidRDefault="00A8490C" w:rsidP="009E1AE8">
      <w:pPr>
        <w:pStyle w:val="BodyText"/>
        <w:rPr>
          <w:color w:val="000000" w:themeColor="text1"/>
        </w:rPr>
      </w:pPr>
      <w:r w:rsidRPr="00F83B6E">
        <w:rPr>
          <w:color w:val="000000" w:themeColor="text1"/>
        </w:rPr>
        <w:t>This purpose</w:t>
      </w:r>
      <w:r w:rsidR="00000A09" w:rsidRPr="00F83B6E">
        <w:rPr>
          <w:color w:val="000000" w:themeColor="text1"/>
        </w:rPr>
        <w:t xml:space="preserve"> </w:t>
      </w:r>
      <w:r w:rsidR="00756512" w:rsidRPr="00F83B6E">
        <w:rPr>
          <w:color w:val="000000" w:themeColor="text1"/>
        </w:rPr>
        <w:t xml:space="preserve">positions KPP as a vehicle to produce knowledge </w:t>
      </w:r>
      <w:r w:rsidR="00EB4F87" w:rsidRPr="00F83B6E">
        <w:rPr>
          <w:color w:val="000000" w:themeColor="text1"/>
        </w:rPr>
        <w:t>on</w:t>
      </w:r>
      <w:r w:rsidR="00756512" w:rsidRPr="00F83B6E">
        <w:rPr>
          <w:color w:val="000000" w:themeColor="text1"/>
        </w:rPr>
        <w:t xml:space="preserve"> complex </w:t>
      </w:r>
      <w:r w:rsidR="00000A09" w:rsidRPr="00F83B6E">
        <w:rPr>
          <w:color w:val="000000" w:themeColor="text1"/>
        </w:rPr>
        <w:t xml:space="preserve">socio-economic </w:t>
      </w:r>
      <w:r w:rsidR="002142A3" w:rsidRPr="00F83B6E">
        <w:rPr>
          <w:color w:val="000000" w:themeColor="text1"/>
        </w:rPr>
        <w:t>problem</w:t>
      </w:r>
      <w:r w:rsidR="00756512" w:rsidRPr="00F83B6E">
        <w:rPr>
          <w:color w:val="000000" w:themeColor="text1"/>
        </w:rPr>
        <w:t>s</w:t>
      </w:r>
      <w:r w:rsidR="0067609B" w:rsidRPr="00F83B6E">
        <w:rPr>
          <w:color w:val="000000" w:themeColor="text1"/>
        </w:rPr>
        <w:t xml:space="preserve">, </w:t>
      </w:r>
      <w:r w:rsidR="00756512" w:rsidRPr="00F83B6E">
        <w:rPr>
          <w:color w:val="000000" w:themeColor="text1"/>
        </w:rPr>
        <w:t xml:space="preserve">where effective solutions </w:t>
      </w:r>
      <w:r w:rsidR="00000A09" w:rsidRPr="00F83B6E">
        <w:rPr>
          <w:color w:val="000000" w:themeColor="text1"/>
        </w:rPr>
        <w:t>are</w:t>
      </w:r>
      <w:r w:rsidR="00756512" w:rsidRPr="00F83B6E">
        <w:rPr>
          <w:color w:val="000000" w:themeColor="text1"/>
        </w:rPr>
        <w:t xml:space="preserve"> often beyond </w:t>
      </w:r>
      <w:r w:rsidR="008208E6" w:rsidRPr="00F83B6E">
        <w:rPr>
          <w:color w:val="000000" w:themeColor="text1"/>
        </w:rPr>
        <w:t xml:space="preserve">a </w:t>
      </w:r>
      <w:r w:rsidR="00756512" w:rsidRPr="00F83B6E">
        <w:rPr>
          <w:color w:val="000000" w:themeColor="text1"/>
        </w:rPr>
        <w:t xml:space="preserve">unique sector or category of stakeholders. Knowledge produced though KPP will </w:t>
      </w:r>
      <w:r w:rsidR="00000A09" w:rsidRPr="00F83B6E">
        <w:rPr>
          <w:color w:val="000000" w:themeColor="text1"/>
        </w:rPr>
        <w:t xml:space="preserve">feed into current </w:t>
      </w:r>
      <w:proofErr w:type="spellStart"/>
      <w:r w:rsidR="00000A09" w:rsidRPr="00F83B6E">
        <w:rPr>
          <w:color w:val="000000" w:themeColor="text1"/>
        </w:rPr>
        <w:t>GoA</w:t>
      </w:r>
      <w:proofErr w:type="spellEnd"/>
      <w:r w:rsidR="00000A09" w:rsidRPr="00F83B6E">
        <w:rPr>
          <w:color w:val="000000" w:themeColor="text1"/>
        </w:rPr>
        <w:t xml:space="preserve"> supported initiatives in Indonesia and</w:t>
      </w:r>
      <w:r w:rsidR="00402C96" w:rsidRPr="00F83B6E">
        <w:rPr>
          <w:color w:val="000000" w:themeColor="text1"/>
        </w:rPr>
        <w:t xml:space="preserve"> /or will reflect new emerging agenda</w:t>
      </w:r>
      <w:r w:rsidR="008A3469" w:rsidRPr="00F83B6E">
        <w:rPr>
          <w:color w:val="000000" w:themeColor="text1"/>
        </w:rPr>
        <w:t xml:space="preserve">s </w:t>
      </w:r>
      <w:r w:rsidR="00402C96" w:rsidRPr="00F83B6E">
        <w:rPr>
          <w:color w:val="000000" w:themeColor="text1"/>
        </w:rPr>
        <w:t xml:space="preserve">/ priorities that become relevant for the bilateral </w:t>
      </w:r>
      <w:r w:rsidR="008B7E5F" w:rsidRPr="00F83B6E">
        <w:rPr>
          <w:color w:val="000000" w:themeColor="text1"/>
        </w:rPr>
        <w:t>cooperation</w:t>
      </w:r>
      <w:r w:rsidR="00402C96" w:rsidRPr="00F83B6E">
        <w:rPr>
          <w:color w:val="000000" w:themeColor="text1"/>
        </w:rPr>
        <w:t xml:space="preserve"> in the years to come. It will </w:t>
      </w:r>
      <w:r w:rsidR="00756512" w:rsidRPr="00F83B6E">
        <w:rPr>
          <w:color w:val="000000" w:themeColor="text1"/>
        </w:rPr>
        <w:t xml:space="preserve">support both the knowledge to policy cycle </w:t>
      </w:r>
      <w:r w:rsidR="008208E6" w:rsidRPr="00F83B6E">
        <w:rPr>
          <w:color w:val="000000" w:themeColor="text1"/>
        </w:rPr>
        <w:t>(</w:t>
      </w:r>
      <w:r w:rsidR="00756512" w:rsidRPr="00F83B6E">
        <w:rPr>
          <w:color w:val="000000" w:themeColor="text1"/>
        </w:rPr>
        <w:t>K2P</w:t>
      </w:r>
      <w:r w:rsidR="008208E6" w:rsidRPr="00F83B6E">
        <w:rPr>
          <w:color w:val="000000" w:themeColor="text1"/>
        </w:rPr>
        <w:t>)</w:t>
      </w:r>
      <w:r w:rsidR="00756512" w:rsidRPr="00F83B6E">
        <w:rPr>
          <w:color w:val="000000" w:themeColor="text1"/>
        </w:rPr>
        <w:t xml:space="preserve"> and </w:t>
      </w:r>
      <w:r w:rsidR="0067609B" w:rsidRPr="00F83B6E">
        <w:rPr>
          <w:color w:val="000000" w:themeColor="text1"/>
        </w:rPr>
        <w:t>the</w:t>
      </w:r>
      <w:r w:rsidR="00756512" w:rsidRPr="00F83B6E">
        <w:rPr>
          <w:color w:val="000000" w:themeColor="text1"/>
        </w:rPr>
        <w:t xml:space="preserve"> knowledge to innovation cycle </w:t>
      </w:r>
      <w:r w:rsidR="008208E6" w:rsidRPr="00F83B6E">
        <w:rPr>
          <w:color w:val="000000" w:themeColor="text1"/>
        </w:rPr>
        <w:t>(</w:t>
      </w:r>
      <w:r w:rsidR="00756512" w:rsidRPr="00F83B6E">
        <w:rPr>
          <w:color w:val="000000" w:themeColor="text1"/>
        </w:rPr>
        <w:t>K2I</w:t>
      </w:r>
      <w:r w:rsidR="008208E6" w:rsidRPr="00F83B6E">
        <w:rPr>
          <w:color w:val="000000" w:themeColor="text1"/>
        </w:rPr>
        <w:t>)</w:t>
      </w:r>
      <w:r w:rsidR="00000A09" w:rsidRPr="00F83B6E">
        <w:rPr>
          <w:color w:val="000000" w:themeColor="text1"/>
        </w:rPr>
        <w:t>, in a complementary and synergistic way</w:t>
      </w:r>
      <w:r w:rsidR="0067609B" w:rsidRPr="00F83B6E">
        <w:rPr>
          <w:color w:val="000000" w:themeColor="text1"/>
        </w:rPr>
        <w:t xml:space="preserve">. </w:t>
      </w:r>
      <w:r w:rsidR="008A3469" w:rsidRPr="00F83B6E">
        <w:rPr>
          <w:color w:val="000000" w:themeColor="text1"/>
        </w:rPr>
        <w:t>Innovation is defined as ‘</w:t>
      </w:r>
      <w:r w:rsidR="008A3469" w:rsidRPr="00F83B6E">
        <w:rPr>
          <w:i/>
          <w:iCs/>
          <w:color w:val="000000" w:themeColor="text1"/>
        </w:rPr>
        <w:t>the application of a new approach that creates a positive impact that is significantly greater than can be realised through current practice</w:t>
      </w:r>
      <w:r w:rsidR="008A3469" w:rsidRPr="00F83B6E">
        <w:rPr>
          <w:color w:val="000000" w:themeColor="text1"/>
        </w:rPr>
        <w:t>’, and technology is defined as the application of knowledge, whether scientific or related to techniques, skills, methods, or processes</w:t>
      </w:r>
      <w:r w:rsidR="001C015A" w:rsidRPr="00F83B6E">
        <w:rPr>
          <w:color w:val="000000" w:themeColor="text1"/>
        </w:rPr>
        <w:t>,</w:t>
      </w:r>
      <w:r w:rsidR="008A3469" w:rsidRPr="00F83B6E">
        <w:rPr>
          <w:color w:val="000000" w:themeColor="text1"/>
        </w:rPr>
        <w:t xml:space="preserve"> to create a positive impact.</w:t>
      </w:r>
      <w:r w:rsidR="008A3469" w:rsidRPr="00F83B6E">
        <w:rPr>
          <w:rStyle w:val="FootnoteReference"/>
          <w:color w:val="000000" w:themeColor="text1"/>
        </w:rPr>
        <w:footnoteReference w:id="27"/>
      </w:r>
      <w:r w:rsidR="009B40BD" w:rsidRPr="00F83B6E">
        <w:rPr>
          <w:color w:val="000000" w:themeColor="text1"/>
        </w:rPr>
        <w:t xml:space="preserve"> </w:t>
      </w:r>
    </w:p>
    <w:p w14:paraId="359E08EB" w14:textId="77777777" w:rsidR="00756512" w:rsidRPr="00F83B6E" w:rsidRDefault="00756512" w:rsidP="00B91543">
      <w:pPr>
        <w:pStyle w:val="Heading3"/>
        <w:rPr>
          <w:color w:val="000000" w:themeColor="text1"/>
          <w:lang w:eastAsia="en-AU"/>
        </w:rPr>
      </w:pPr>
      <w:r w:rsidRPr="00F83B6E">
        <w:rPr>
          <w:color w:val="000000" w:themeColor="text1"/>
          <w:lang w:eastAsia="en-AU"/>
        </w:rPr>
        <w:t xml:space="preserve">Outcomes </w:t>
      </w:r>
    </w:p>
    <w:p w14:paraId="0AC8E0A3" w14:textId="4F81501C" w:rsidR="00756512" w:rsidRPr="00F83B6E" w:rsidRDefault="00756512" w:rsidP="00B91543">
      <w:pPr>
        <w:pStyle w:val="BodyText"/>
        <w:rPr>
          <w:color w:val="000000" w:themeColor="text1"/>
        </w:rPr>
      </w:pPr>
      <w:r w:rsidRPr="00F83B6E">
        <w:rPr>
          <w:color w:val="000000" w:themeColor="text1"/>
        </w:rPr>
        <w:t xml:space="preserve">To contribute to the purpose, KPP includes two </w:t>
      </w:r>
      <w:r w:rsidR="00060B29" w:rsidRPr="00F83B6E">
        <w:rPr>
          <w:color w:val="000000" w:themeColor="text1"/>
        </w:rPr>
        <w:t xml:space="preserve">end </w:t>
      </w:r>
      <w:r w:rsidRPr="00F83B6E">
        <w:rPr>
          <w:color w:val="000000" w:themeColor="text1"/>
        </w:rPr>
        <w:t xml:space="preserve">of </w:t>
      </w:r>
      <w:r w:rsidR="00060B29" w:rsidRPr="00F83B6E">
        <w:rPr>
          <w:color w:val="000000" w:themeColor="text1"/>
        </w:rPr>
        <w:t>i</w:t>
      </w:r>
      <w:r w:rsidRPr="00F83B6E">
        <w:rPr>
          <w:color w:val="000000" w:themeColor="text1"/>
        </w:rPr>
        <w:t xml:space="preserve">nvestment </w:t>
      </w:r>
      <w:r w:rsidR="00060B29" w:rsidRPr="00F83B6E">
        <w:rPr>
          <w:color w:val="000000" w:themeColor="text1"/>
        </w:rPr>
        <w:t>o</w:t>
      </w:r>
      <w:r w:rsidRPr="00F83B6E">
        <w:rPr>
          <w:color w:val="000000" w:themeColor="text1"/>
        </w:rPr>
        <w:t>utcomes (EOIOs) that are expected to be achieved by the end of the five years of implementation</w:t>
      </w:r>
      <w:r w:rsidR="002142A3" w:rsidRPr="00F83B6E">
        <w:rPr>
          <w:color w:val="000000" w:themeColor="text1"/>
        </w:rPr>
        <w:t>.</w:t>
      </w:r>
    </w:p>
    <w:p w14:paraId="575E88B5" w14:textId="77777777" w:rsidR="00756512" w:rsidRPr="00F83B6E" w:rsidRDefault="00756512" w:rsidP="00B91543">
      <w:pPr>
        <w:pStyle w:val="BodyTextitalics"/>
        <w:rPr>
          <w:color w:val="000000" w:themeColor="text1"/>
        </w:rPr>
      </w:pPr>
      <w:r w:rsidRPr="00F83B6E">
        <w:rPr>
          <w:color w:val="000000" w:themeColor="text1"/>
        </w:rPr>
        <w:t>EOIO 1 - Australian and Indonesian organisations have increased collaboration and mutual understanding through knowledge partnerships</w:t>
      </w:r>
    </w:p>
    <w:p w14:paraId="504494CA" w14:textId="5C385ACA" w:rsidR="00F27241" w:rsidRPr="00F83B6E" w:rsidRDefault="00756512" w:rsidP="00B91543">
      <w:pPr>
        <w:pStyle w:val="BodyText"/>
        <w:rPr>
          <w:color w:val="000000" w:themeColor="text1"/>
        </w:rPr>
      </w:pPr>
      <w:r w:rsidRPr="00F83B6E">
        <w:rPr>
          <w:color w:val="000000" w:themeColor="text1"/>
        </w:rPr>
        <w:t>This outcome reflects the program’s</w:t>
      </w:r>
      <w:r w:rsidR="00C16C74" w:rsidRPr="00F83B6E">
        <w:rPr>
          <w:color w:val="000000" w:themeColor="text1"/>
        </w:rPr>
        <w:t xml:space="preserve"> </w:t>
      </w:r>
      <w:r w:rsidRPr="00F83B6E">
        <w:rPr>
          <w:color w:val="000000" w:themeColor="text1"/>
        </w:rPr>
        <w:t xml:space="preserve">objective of strengthening </w:t>
      </w:r>
      <w:r w:rsidR="00422865" w:rsidRPr="00F83B6E">
        <w:rPr>
          <w:color w:val="000000" w:themeColor="text1"/>
        </w:rPr>
        <w:t xml:space="preserve">ties between Australian and Indonesian research organisations in a way that allows both countries to tackle development challenges together. It is relevant to Australia as it seeks to collaborate with Indonesia </w:t>
      </w:r>
      <w:r w:rsidR="00FB3A94" w:rsidRPr="00F83B6E">
        <w:rPr>
          <w:color w:val="000000" w:themeColor="text1"/>
        </w:rPr>
        <w:t xml:space="preserve">bilaterally and </w:t>
      </w:r>
      <w:r w:rsidR="00422865" w:rsidRPr="00F83B6E">
        <w:rPr>
          <w:color w:val="000000" w:themeColor="text1"/>
        </w:rPr>
        <w:t xml:space="preserve">as a </w:t>
      </w:r>
      <w:r w:rsidR="00FB3A94" w:rsidRPr="00F83B6E">
        <w:rPr>
          <w:color w:val="000000" w:themeColor="text1"/>
        </w:rPr>
        <w:t>counterpart</w:t>
      </w:r>
      <w:r w:rsidR="00422865" w:rsidRPr="00F83B6E">
        <w:rPr>
          <w:color w:val="000000" w:themeColor="text1"/>
        </w:rPr>
        <w:t xml:space="preserve"> in region</w:t>
      </w:r>
      <w:r w:rsidR="00FB3A94" w:rsidRPr="00F83B6E">
        <w:rPr>
          <w:color w:val="000000" w:themeColor="text1"/>
        </w:rPr>
        <w:t>al and global development</w:t>
      </w:r>
      <w:r w:rsidR="00422865" w:rsidRPr="00F83B6E">
        <w:rPr>
          <w:color w:val="000000" w:themeColor="text1"/>
        </w:rPr>
        <w:t>.</w:t>
      </w:r>
      <w:r w:rsidRPr="00F83B6E">
        <w:rPr>
          <w:color w:val="000000" w:themeColor="text1"/>
        </w:rPr>
        <w:t xml:space="preserve"> It s</w:t>
      </w:r>
      <w:r w:rsidR="00396F2A" w:rsidRPr="00F83B6E">
        <w:rPr>
          <w:color w:val="000000" w:themeColor="text1"/>
        </w:rPr>
        <w:t>uggests</w:t>
      </w:r>
      <w:r w:rsidRPr="00F83B6E">
        <w:rPr>
          <w:color w:val="000000" w:themeColor="text1"/>
        </w:rPr>
        <w:t xml:space="preserve"> improvement in relationship through increased collaboration and understanding between organisations that either participated in KPP-funded partnerships or are associated with the production and dissemination of KPP supported knowledge. </w:t>
      </w:r>
      <w:r w:rsidR="00422865" w:rsidRPr="00F83B6E">
        <w:rPr>
          <w:color w:val="000000" w:themeColor="text1"/>
        </w:rPr>
        <w:t>These organisations are likely to play a role in public debates and policy-making circles in Indonesia, and KPP supported partnerships will help increasing their visibility and voice.</w:t>
      </w:r>
    </w:p>
    <w:p w14:paraId="44878726" w14:textId="77777777" w:rsidR="00756512" w:rsidRPr="00F83B6E" w:rsidRDefault="00756512" w:rsidP="00B91543">
      <w:pPr>
        <w:pStyle w:val="BodyTextitalics"/>
        <w:rPr>
          <w:color w:val="000000" w:themeColor="text1"/>
        </w:rPr>
      </w:pPr>
      <w:r w:rsidRPr="00F83B6E">
        <w:rPr>
          <w:color w:val="000000" w:themeColor="text1"/>
        </w:rPr>
        <w:t xml:space="preserve">EOIO 2 - Innovative solutions for inclusive and sustainable policies and technologies are generated by knowledge partnerships </w:t>
      </w:r>
    </w:p>
    <w:p w14:paraId="1E588CC1" w14:textId="1F51E99F" w:rsidR="00756512" w:rsidRPr="00F83B6E" w:rsidRDefault="00756512" w:rsidP="00B91543">
      <w:pPr>
        <w:pStyle w:val="BodyText"/>
        <w:rPr>
          <w:color w:val="000000" w:themeColor="text1"/>
        </w:rPr>
      </w:pPr>
      <w:r w:rsidRPr="00F83B6E">
        <w:rPr>
          <w:color w:val="000000" w:themeColor="text1"/>
        </w:rPr>
        <w:t xml:space="preserve">This outcome sets the program’s focus and accountability on the generation of knowledge-based solutions for policies and technologies that contribute directly to more inclusive and sustainable development. It </w:t>
      </w:r>
      <w:r w:rsidR="00264B5C" w:rsidRPr="00F83B6E">
        <w:rPr>
          <w:color w:val="000000" w:themeColor="text1"/>
        </w:rPr>
        <w:t xml:space="preserve">requires </w:t>
      </w:r>
      <w:r w:rsidRPr="00F83B6E">
        <w:rPr>
          <w:color w:val="000000" w:themeColor="text1"/>
        </w:rPr>
        <w:t xml:space="preserve">knowledge generated </w:t>
      </w:r>
      <w:r w:rsidR="00264B5C" w:rsidRPr="00F83B6E">
        <w:rPr>
          <w:color w:val="000000" w:themeColor="text1"/>
        </w:rPr>
        <w:t xml:space="preserve">to be </w:t>
      </w:r>
      <w:r w:rsidRPr="00F83B6E">
        <w:rPr>
          <w:color w:val="000000" w:themeColor="text1"/>
        </w:rPr>
        <w:t xml:space="preserve">relevant and usable for developing policies and technologies, for instance through </w:t>
      </w:r>
      <w:r w:rsidR="00422865" w:rsidRPr="00F83B6E">
        <w:rPr>
          <w:color w:val="000000" w:themeColor="text1"/>
        </w:rPr>
        <w:t xml:space="preserve">responding to Indonesia’s economic transformation agenda, </w:t>
      </w:r>
      <w:r w:rsidRPr="00F83B6E">
        <w:rPr>
          <w:color w:val="000000" w:themeColor="text1"/>
        </w:rPr>
        <w:t>feeding into other DFAT-funded programs processes and outcomes</w:t>
      </w:r>
      <w:r w:rsidR="00422865" w:rsidRPr="00F83B6E">
        <w:rPr>
          <w:color w:val="000000" w:themeColor="text1"/>
        </w:rPr>
        <w:t xml:space="preserve"> and/</w:t>
      </w:r>
      <w:r w:rsidR="00264B5C" w:rsidRPr="00F83B6E">
        <w:rPr>
          <w:color w:val="000000" w:themeColor="text1"/>
        </w:rPr>
        <w:t>o</w:t>
      </w:r>
      <w:r w:rsidR="00422865" w:rsidRPr="00F83B6E">
        <w:rPr>
          <w:color w:val="000000" w:themeColor="text1"/>
        </w:rPr>
        <w:t>r linking in to private and public sector funding streams.</w:t>
      </w:r>
    </w:p>
    <w:p w14:paraId="461C9AAF" w14:textId="3E750CE5" w:rsidR="00756512" w:rsidRPr="00F83B6E" w:rsidRDefault="00756512" w:rsidP="00B91543">
      <w:pPr>
        <w:pStyle w:val="BodyText"/>
        <w:rPr>
          <w:color w:val="000000" w:themeColor="text1"/>
        </w:rPr>
      </w:pPr>
      <w:r w:rsidRPr="00F83B6E">
        <w:rPr>
          <w:color w:val="000000" w:themeColor="text1"/>
        </w:rPr>
        <w:lastRenderedPageBreak/>
        <w:t xml:space="preserve">Importantly, these two EOIOs emphasise the role of knowledge partnerships in strengthening relationship between Indonesia and Australia and in generating policy and technology solutions to complex development problems. Knowledge partnerships in the context of KPP </w:t>
      </w:r>
      <w:r w:rsidR="00264B5C" w:rsidRPr="00F83B6E">
        <w:rPr>
          <w:color w:val="000000" w:themeColor="text1"/>
        </w:rPr>
        <w:t xml:space="preserve">combine </w:t>
      </w:r>
      <w:r w:rsidRPr="00F83B6E">
        <w:rPr>
          <w:color w:val="000000" w:themeColor="text1"/>
        </w:rPr>
        <w:t xml:space="preserve">a minimum of two organisations (one Australian and one Indonesian) that demonstrate suitable interest and capacities to produce relevant knowledge-based solutions </w:t>
      </w:r>
      <w:r w:rsidR="00CB2B3B" w:rsidRPr="00F83B6E">
        <w:rPr>
          <w:color w:val="000000" w:themeColor="text1"/>
        </w:rPr>
        <w:t>on agreed</w:t>
      </w:r>
      <w:r w:rsidRPr="00F83B6E">
        <w:rPr>
          <w:color w:val="000000" w:themeColor="text1"/>
        </w:rPr>
        <w:t xml:space="preserve"> priorities. Section </w:t>
      </w:r>
      <w:r w:rsidR="00F04E19" w:rsidRPr="00F83B6E">
        <w:rPr>
          <w:color w:val="000000" w:themeColor="text1"/>
        </w:rPr>
        <w:t>B2</w:t>
      </w:r>
      <w:r w:rsidRPr="00F83B6E">
        <w:rPr>
          <w:color w:val="000000" w:themeColor="text1"/>
        </w:rPr>
        <w:t xml:space="preserve"> provides more details about requirements and criteria of suitable knowledge partnerships.</w:t>
      </w:r>
    </w:p>
    <w:p w14:paraId="52670BDB" w14:textId="7E6438F1" w:rsidR="00756512" w:rsidRPr="00F83B6E" w:rsidRDefault="00756512" w:rsidP="00B91543">
      <w:pPr>
        <w:pStyle w:val="BodyText"/>
        <w:rPr>
          <w:color w:val="000000" w:themeColor="text1"/>
        </w:rPr>
      </w:pPr>
      <w:r w:rsidRPr="00F83B6E">
        <w:rPr>
          <w:color w:val="000000" w:themeColor="text1"/>
        </w:rPr>
        <w:t xml:space="preserve">KPP will contribute to the EOIOs through the achievement of three interconnected and mutually reinforcing intermediate outcomes (IOs), targeting respectively 1) </w:t>
      </w:r>
      <w:r w:rsidR="00A6739A" w:rsidRPr="00F83B6E">
        <w:rPr>
          <w:color w:val="000000" w:themeColor="text1"/>
        </w:rPr>
        <w:t xml:space="preserve">the </w:t>
      </w:r>
      <w:r w:rsidRPr="00F83B6E">
        <w:rPr>
          <w:color w:val="000000" w:themeColor="text1"/>
        </w:rPr>
        <w:t>organisational partnerships, 2) the partners</w:t>
      </w:r>
      <w:r w:rsidR="002142A3" w:rsidRPr="00F83B6E">
        <w:rPr>
          <w:color w:val="000000" w:themeColor="text1"/>
        </w:rPr>
        <w:t>’ capacities</w:t>
      </w:r>
      <w:r w:rsidRPr="00F83B6E">
        <w:rPr>
          <w:color w:val="000000" w:themeColor="text1"/>
        </w:rPr>
        <w:t>, and 3) the Indonesian knowledge and innovation ecosystem</w:t>
      </w:r>
      <w:r w:rsidR="002142A3" w:rsidRPr="00F83B6E">
        <w:rPr>
          <w:color w:val="000000" w:themeColor="text1"/>
        </w:rPr>
        <w:t>.</w:t>
      </w:r>
    </w:p>
    <w:p w14:paraId="563EBA0E" w14:textId="77777777" w:rsidR="00756512" w:rsidRPr="00F83B6E" w:rsidRDefault="00756512" w:rsidP="00B91543">
      <w:pPr>
        <w:pStyle w:val="BodyTextitalics"/>
        <w:rPr>
          <w:color w:val="000000" w:themeColor="text1"/>
        </w:rPr>
      </w:pPr>
      <w:r w:rsidRPr="00F83B6E">
        <w:rPr>
          <w:color w:val="000000" w:themeColor="text1"/>
        </w:rPr>
        <w:t>IO1 - Participating Australian and Indonesian organisations have developed and strengthened knowledge partnerships around areas of mutual interests.</w:t>
      </w:r>
    </w:p>
    <w:p w14:paraId="3F74A1B3" w14:textId="2413F791" w:rsidR="00756512" w:rsidRPr="00F83B6E" w:rsidRDefault="00756512" w:rsidP="00B91543">
      <w:pPr>
        <w:pStyle w:val="BodyText"/>
        <w:rPr>
          <w:color w:val="000000" w:themeColor="text1"/>
        </w:rPr>
      </w:pPr>
      <w:r w:rsidRPr="00F83B6E">
        <w:rPr>
          <w:color w:val="000000" w:themeColor="text1"/>
        </w:rPr>
        <w:t>This IO places the emphasis on the development and strengthening of organisational partnerships. This is arguably the defining core characteristic of KPP,</w:t>
      </w:r>
      <w:r w:rsidR="002142A3" w:rsidRPr="00F83B6E">
        <w:rPr>
          <w:color w:val="000000" w:themeColor="text1"/>
        </w:rPr>
        <w:t xml:space="preserve"> and one</w:t>
      </w:r>
      <w:r w:rsidRPr="00F83B6E">
        <w:rPr>
          <w:color w:val="000000" w:themeColor="text1"/>
        </w:rPr>
        <w:t xml:space="preserve"> that differentiates it from other </w:t>
      </w:r>
      <w:proofErr w:type="spellStart"/>
      <w:r w:rsidRPr="00F83B6E">
        <w:rPr>
          <w:color w:val="000000" w:themeColor="text1"/>
        </w:rPr>
        <w:t>GoA</w:t>
      </w:r>
      <w:proofErr w:type="spellEnd"/>
      <w:r w:rsidRPr="00F83B6E">
        <w:rPr>
          <w:color w:val="000000" w:themeColor="text1"/>
        </w:rPr>
        <w:t>-funded investments in Indonesia. These partnerships will bring together suitable organisations from both countries to genuinely collaborate on knowledge production projects around pre-defined themes of mutual interest.</w:t>
      </w:r>
    </w:p>
    <w:p w14:paraId="2D0D355E" w14:textId="6BF767CC" w:rsidR="001C4BCD" w:rsidRPr="00F83B6E" w:rsidRDefault="001C4BCD" w:rsidP="00B91543">
      <w:pPr>
        <w:pStyle w:val="BodyText"/>
        <w:rPr>
          <w:color w:val="000000" w:themeColor="text1"/>
        </w:rPr>
      </w:pPr>
      <w:r w:rsidRPr="00F83B6E">
        <w:rPr>
          <w:color w:val="000000" w:themeColor="text1"/>
        </w:rPr>
        <w:t xml:space="preserve">Outputs linked to this </w:t>
      </w:r>
      <w:r w:rsidR="00820162" w:rsidRPr="00F83B6E">
        <w:rPr>
          <w:color w:val="000000" w:themeColor="text1"/>
        </w:rPr>
        <w:t>outcome are expected to include:</w:t>
      </w:r>
    </w:p>
    <w:p w14:paraId="526ACEE1" w14:textId="4CFDB247" w:rsidR="0025777F" w:rsidRPr="00F83B6E" w:rsidRDefault="0025777F" w:rsidP="0025777F">
      <w:pPr>
        <w:pStyle w:val="Bullet1"/>
        <w:rPr>
          <w:color w:val="000000" w:themeColor="text1"/>
        </w:rPr>
      </w:pPr>
      <w:r w:rsidRPr="00F83B6E">
        <w:rPr>
          <w:color w:val="000000" w:themeColor="text1"/>
        </w:rPr>
        <w:t>Establishment of grants mechanisms and processes, including events to reach out to potential stakeholders and promote KPP grants (e.g. KPP launch, ideation conferences)</w:t>
      </w:r>
    </w:p>
    <w:p w14:paraId="00E357CD" w14:textId="4E6A4C17" w:rsidR="0025777F" w:rsidRPr="00F83B6E" w:rsidRDefault="0025777F" w:rsidP="00B941EC">
      <w:pPr>
        <w:pStyle w:val="Bullet1"/>
        <w:rPr>
          <w:color w:val="000000" w:themeColor="text1"/>
        </w:rPr>
      </w:pPr>
      <w:r w:rsidRPr="00F83B6E">
        <w:rPr>
          <w:color w:val="000000" w:themeColor="text1"/>
        </w:rPr>
        <w:t>C</w:t>
      </w:r>
      <w:r w:rsidR="00820162" w:rsidRPr="00F83B6E">
        <w:rPr>
          <w:color w:val="000000" w:themeColor="text1"/>
        </w:rPr>
        <w:t>ompletion of grant rounds</w:t>
      </w:r>
      <w:r w:rsidRPr="00F83B6E">
        <w:rPr>
          <w:color w:val="000000" w:themeColor="text1"/>
        </w:rPr>
        <w:t>, including signing of grants agreements with selected partnerships</w:t>
      </w:r>
      <w:r w:rsidR="00190F53" w:rsidRPr="00F83B6E">
        <w:rPr>
          <w:color w:val="000000" w:themeColor="text1"/>
        </w:rPr>
        <w:t xml:space="preserve"> </w:t>
      </w:r>
    </w:p>
    <w:p w14:paraId="0BB3FEBE" w14:textId="4522941C" w:rsidR="009C0262" w:rsidRPr="00F83B6E" w:rsidRDefault="009C0262" w:rsidP="00B941EC">
      <w:pPr>
        <w:pStyle w:val="Bullet1"/>
        <w:rPr>
          <w:color w:val="000000" w:themeColor="text1"/>
        </w:rPr>
      </w:pPr>
      <w:r w:rsidRPr="00F83B6E">
        <w:rPr>
          <w:color w:val="000000" w:themeColor="text1"/>
        </w:rPr>
        <w:t xml:space="preserve">Establishment of new and/or expansion of existing knowledge </w:t>
      </w:r>
      <w:r w:rsidR="00190F53" w:rsidRPr="00F83B6E">
        <w:rPr>
          <w:color w:val="000000" w:themeColor="text1"/>
        </w:rPr>
        <w:t>partnerships</w:t>
      </w:r>
      <w:r w:rsidR="0025777F" w:rsidRPr="00F83B6E">
        <w:rPr>
          <w:color w:val="000000" w:themeColor="text1"/>
        </w:rPr>
        <w:t xml:space="preserve"> between Australian and Indonesian organisations</w:t>
      </w:r>
    </w:p>
    <w:p w14:paraId="1148EB7D" w14:textId="581AAB22" w:rsidR="009C0262" w:rsidRPr="00F83B6E" w:rsidRDefault="009C0262" w:rsidP="009C0262">
      <w:pPr>
        <w:pStyle w:val="Bullet1"/>
        <w:rPr>
          <w:color w:val="000000" w:themeColor="text1"/>
        </w:rPr>
      </w:pPr>
      <w:r w:rsidRPr="00F83B6E">
        <w:rPr>
          <w:color w:val="000000" w:themeColor="text1"/>
        </w:rPr>
        <w:t>P</w:t>
      </w:r>
      <w:r w:rsidR="00DE09ED" w:rsidRPr="00F83B6E">
        <w:rPr>
          <w:color w:val="000000" w:themeColor="text1"/>
        </w:rPr>
        <w:t>artnership</w:t>
      </w:r>
      <w:r w:rsidR="00F0400A" w:rsidRPr="00F83B6E">
        <w:rPr>
          <w:color w:val="000000" w:themeColor="text1"/>
        </w:rPr>
        <w:t xml:space="preserve"> agreements reflecting mutual interest and strengths</w:t>
      </w:r>
      <w:r w:rsidR="0025777F" w:rsidRPr="00F83B6E">
        <w:rPr>
          <w:color w:val="000000" w:themeColor="text1"/>
        </w:rPr>
        <w:t xml:space="preserve"> and fostering end-user engagement and links to O</w:t>
      </w:r>
      <w:r w:rsidR="00964CC5" w:rsidRPr="00F83B6E">
        <w:rPr>
          <w:color w:val="000000" w:themeColor="text1"/>
        </w:rPr>
        <w:t xml:space="preserve">rganisations of </w:t>
      </w:r>
      <w:r w:rsidR="0025777F" w:rsidRPr="00F83B6E">
        <w:rPr>
          <w:color w:val="000000" w:themeColor="text1"/>
        </w:rPr>
        <w:t>P</w:t>
      </w:r>
      <w:r w:rsidR="00964CC5" w:rsidRPr="00F83B6E">
        <w:rPr>
          <w:color w:val="000000" w:themeColor="text1"/>
        </w:rPr>
        <w:t xml:space="preserve">eople with a </w:t>
      </w:r>
      <w:r w:rsidR="0025777F" w:rsidRPr="00F83B6E">
        <w:rPr>
          <w:color w:val="000000" w:themeColor="text1"/>
        </w:rPr>
        <w:t>D</w:t>
      </w:r>
      <w:r w:rsidR="00964CC5" w:rsidRPr="00F83B6E">
        <w:rPr>
          <w:color w:val="000000" w:themeColor="text1"/>
        </w:rPr>
        <w:t>isability (OPD)</w:t>
      </w:r>
      <w:r w:rsidR="0025777F" w:rsidRPr="00F83B6E">
        <w:rPr>
          <w:color w:val="000000" w:themeColor="text1"/>
        </w:rPr>
        <w:t xml:space="preserve"> and gender / women’s rights focused organisations</w:t>
      </w:r>
    </w:p>
    <w:p w14:paraId="01D83647" w14:textId="0FF2C9F5" w:rsidR="009C0262" w:rsidRPr="00F83B6E" w:rsidRDefault="009C0262" w:rsidP="009C0262">
      <w:pPr>
        <w:pStyle w:val="Bullet1"/>
        <w:rPr>
          <w:color w:val="000000" w:themeColor="text1"/>
        </w:rPr>
      </w:pPr>
      <w:r w:rsidRPr="00F83B6E">
        <w:rPr>
          <w:color w:val="000000" w:themeColor="text1"/>
        </w:rPr>
        <w:t xml:space="preserve">Partnerships health checks </w:t>
      </w:r>
    </w:p>
    <w:p w14:paraId="0C103AF6" w14:textId="31A4EB1B" w:rsidR="00F0400A" w:rsidRPr="00F83B6E" w:rsidRDefault="009C0262" w:rsidP="009C0262">
      <w:pPr>
        <w:pStyle w:val="Bullet1"/>
        <w:rPr>
          <w:color w:val="000000" w:themeColor="text1"/>
        </w:rPr>
      </w:pPr>
      <w:r w:rsidRPr="00F83B6E">
        <w:rPr>
          <w:color w:val="000000" w:themeColor="text1"/>
        </w:rPr>
        <w:t xml:space="preserve">Completion of research projects and production of usable knowledge products in a way that maximise uptake </w:t>
      </w:r>
    </w:p>
    <w:p w14:paraId="786C181B" w14:textId="77777777" w:rsidR="00756512" w:rsidRPr="00F83B6E" w:rsidRDefault="00756512" w:rsidP="00B91543">
      <w:pPr>
        <w:pStyle w:val="BodyTextitalics"/>
        <w:rPr>
          <w:color w:val="000000" w:themeColor="text1"/>
        </w:rPr>
      </w:pPr>
      <w:r w:rsidRPr="00F83B6E">
        <w:rPr>
          <w:color w:val="000000" w:themeColor="text1"/>
        </w:rPr>
        <w:t>IO2 - Supported partnerships have increased capacities to generate and disseminate GEDSI-responsive knowledge for inclusive and sustainable policies and technologies</w:t>
      </w:r>
    </w:p>
    <w:p w14:paraId="65E5B9F8" w14:textId="2F8B0421" w:rsidR="00756512" w:rsidRPr="00F83B6E" w:rsidRDefault="00756512" w:rsidP="00B91543">
      <w:pPr>
        <w:pStyle w:val="BodyText"/>
        <w:rPr>
          <w:color w:val="000000" w:themeColor="text1"/>
        </w:rPr>
      </w:pPr>
      <w:r w:rsidRPr="00F83B6E">
        <w:rPr>
          <w:color w:val="000000" w:themeColor="text1"/>
        </w:rPr>
        <w:t xml:space="preserve">This IO entails KPP providing support to develop technical and organisational capacities of partners participating in KPP supported partnerships. </w:t>
      </w:r>
      <w:r w:rsidR="0043722D" w:rsidRPr="00F83B6E">
        <w:rPr>
          <w:color w:val="000000" w:themeColor="text1"/>
        </w:rPr>
        <w:t>C</w:t>
      </w:r>
      <w:r w:rsidRPr="00F83B6E">
        <w:rPr>
          <w:color w:val="000000" w:themeColor="text1"/>
        </w:rPr>
        <w:t xml:space="preserve">apacities </w:t>
      </w:r>
      <w:r w:rsidR="0043722D" w:rsidRPr="00F83B6E">
        <w:rPr>
          <w:color w:val="000000" w:themeColor="text1"/>
        </w:rPr>
        <w:t>will be developed through learning by doing approach but also through workshops, training sessions, monitoring missions, and/or technical assistance provided by the Platform Hub that</w:t>
      </w:r>
      <w:r w:rsidR="0025777F" w:rsidRPr="00F83B6E">
        <w:rPr>
          <w:color w:val="000000" w:themeColor="text1"/>
        </w:rPr>
        <w:t xml:space="preserve"> </w:t>
      </w:r>
      <w:r w:rsidRPr="00F83B6E">
        <w:rPr>
          <w:color w:val="000000" w:themeColor="text1"/>
        </w:rPr>
        <w:t>will be tailored to each partnership objectives and activities.</w:t>
      </w:r>
      <w:r w:rsidR="007F4900" w:rsidRPr="00F83B6E">
        <w:rPr>
          <w:color w:val="000000" w:themeColor="text1"/>
        </w:rPr>
        <w:t xml:space="preserve"> Partnerships will be supported to analyse and respond to the three components of GEDSI - gender equality, disability inclusion, social inclusion separately, as well as </w:t>
      </w:r>
      <w:proofErr w:type="spellStart"/>
      <w:r w:rsidR="007F4900" w:rsidRPr="00F83B6E">
        <w:rPr>
          <w:color w:val="000000" w:themeColor="text1"/>
        </w:rPr>
        <w:t>intersectionally</w:t>
      </w:r>
      <w:proofErr w:type="spellEnd"/>
      <w:r w:rsidR="007F4900" w:rsidRPr="00F83B6E">
        <w:rPr>
          <w:color w:val="000000" w:themeColor="text1"/>
        </w:rPr>
        <w:t>.</w:t>
      </w:r>
    </w:p>
    <w:p w14:paraId="31E92969" w14:textId="77777777" w:rsidR="00A8490C" w:rsidRPr="00F83B6E" w:rsidRDefault="00A8490C" w:rsidP="00F0400A">
      <w:pPr>
        <w:pStyle w:val="BodyText"/>
        <w:rPr>
          <w:color w:val="000000" w:themeColor="text1"/>
        </w:rPr>
      </w:pPr>
    </w:p>
    <w:p w14:paraId="51931228" w14:textId="1EA16D41" w:rsidR="00F0400A" w:rsidRPr="00F83B6E" w:rsidRDefault="00F0400A" w:rsidP="00F0400A">
      <w:pPr>
        <w:pStyle w:val="BodyText"/>
        <w:rPr>
          <w:color w:val="000000" w:themeColor="text1"/>
        </w:rPr>
      </w:pPr>
      <w:r w:rsidRPr="00F83B6E">
        <w:rPr>
          <w:color w:val="000000" w:themeColor="text1"/>
        </w:rPr>
        <w:t>Outputs linked to this outcome are expected to include:</w:t>
      </w:r>
    </w:p>
    <w:p w14:paraId="6A34A980" w14:textId="3A6D7D45" w:rsidR="0005150C" w:rsidRPr="00F83B6E" w:rsidRDefault="0005150C" w:rsidP="0005150C">
      <w:pPr>
        <w:pStyle w:val="Bullet1"/>
        <w:rPr>
          <w:color w:val="000000" w:themeColor="text1"/>
        </w:rPr>
      </w:pPr>
      <w:r w:rsidRPr="00F83B6E">
        <w:rPr>
          <w:color w:val="000000" w:themeColor="text1"/>
        </w:rPr>
        <w:t>Clinics, mentoring, or training on for instance proposal development, GEDSI, MEL, strategic planning</w:t>
      </w:r>
      <w:r w:rsidR="0025777F" w:rsidRPr="00F83B6E">
        <w:rPr>
          <w:color w:val="000000" w:themeColor="text1"/>
        </w:rPr>
        <w:t xml:space="preserve">, </w:t>
      </w:r>
      <w:r w:rsidR="009C0262" w:rsidRPr="00F83B6E">
        <w:rPr>
          <w:color w:val="000000" w:themeColor="text1"/>
        </w:rPr>
        <w:t xml:space="preserve">communication, </w:t>
      </w:r>
      <w:r w:rsidR="0025777F" w:rsidRPr="00F83B6E">
        <w:rPr>
          <w:color w:val="000000" w:themeColor="text1"/>
        </w:rPr>
        <w:t>financial management, risks and controls</w:t>
      </w:r>
    </w:p>
    <w:p w14:paraId="6D947AE8" w14:textId="02590DCF" w:rsidR="00F0400A" w:rsidRPr="00F83B6E" w:rsidRDefault="00FF4152" w:rsidP="00B941EC">
      <w:pPr>
        <w:pStyle w:val="Bullet1"/>
        <w:rPr>
          <w:color w:val="000000" w:themeColor="text1"/>
        </w:rPr>
      </w:pPr>
      <w:r w:rsidRPr="00F83B6E">
        <w:rPr>
          <w:color w:val="000000" w:themeColor="text1"/>
        </w:rPr>
        <w:t xml:space="preserve">GEDSI technical review and recommendations for partnership </w:t>
      </w:r>
      <w:r w:rsidR="0005150C" w:rsidRPr="00F83B6E">
        <w:rPr>
          <w:color w:val="000000" w:themeColor="text1"/>
        </w:rPr>
        <w:t>products</w:t>
      </w:r>
    </w:p>
    <w:p w14:paraId="6FEBBDD4" w14:textId="00CBB7F2" w:rsidR="00FF4152" w:rsidRPr="00F83B6E" w:rsidRDefault="00FF4152" w:rsidP="00B941EC">
      <w:pPr>
        <w:pStyle w:val="Bullet1"/>
        <w:rPr>
          <w:color w:val="000000" w:themeColor="text1"/>
        </w:rPr>
      </w:pPr>
      <w:r w:rsidRPr="00F83B6E">
        <w:rPr>
          <w:color w:val="000000" w:themeColor="text1"/>
        </w:rPr>
        <w:lastRenderedPageBreak/>
        <w:t>Knowledge dissemination events and products</w:t>
      </w:r>
      <w:r w:rsidR="009C0262" w:rsidRPr="00F83B6E">
        <w:rPr>
          <w:color w:val="000000" w:themeColor="text1"/>
        </w:rPr>
        <w:t xml:space="preserve"> (</w:t>
      </w:r>
      <w:r w:rsidRPr="00F83B6E">
        <w:rPr>
          <w:color w:val="000000" w:themeColor="text1"/>
        </w:rPr>
        <w:t>online</w:t>
      </w:r>
      <w:r w:rsidR="009C0262" w:rsidRPr="00F83B6E">
        <w:rPr>
          <w:color w:val="000000" w:themeColor="text1"/>
        </w:rPr>
        <w:t xml:space="preserve"> and</w:t>
      </w:r>
      <w:r w:rsidR="00622442" w:rsidRPr="00F83B6E">
        <w:rPr>
          <w:color w:val="000000" w:themeColor="text1"/>
        </w:rPr>
        <w:t xml:space="preserve"> in person</w:t>
      </w:r>
      <w:r w:rsidR="009C0262" w:rsidRPr="00F83B6E">
        <w:rPr>
          <w:color w:val="000000" w:themeColor="text1"/>
        </w:rPr>
        <w:t>)</w:t>
      </w:r>
      <w:r w:rsidR="00622442" w:rsidRPr="00F83B6E">
        <w:rPr>
          <w:color w:val="000000" w:themeColor="text1"/>
        </w:rPr>
        <w:t>, publi</w:t>
      </w:r>
      <w:r w:rsidR="009C0262" w:rsidRPr="00F83B6E">
        <w:rPr>
          <w:color w:val="000000" w:themeColor="text1"/>
        </w:rPr>
        <w:t>cation and</w:t>
      </w:r>
      <w:r w:rsidR="00622442" w:rsidRPr="00F83B6E">
        <w:rPr>
          <w:color w:val="000000" w:themeColor="text1"/>
        </w:rPr>
        <w:t xml:space="preserve"> social media posts, direct advocacy</w:t>
      </w:r>
      <w:r w:rsidR="009C0262" w:rsidRPr="00F83B6E">
        <w:rPr>
          <w:color w:val="000000" w:themeColor="text1"/>
        </w:rPr>
        <w:t xml:space="preserve"> (</w:t>
      </w:r>
      <w:r w:rsidR="00622442" w:rsidRPr="00F83B6E">
        <w:rPr>
          <w:color w:val="000000" w:themeColor="text1"/>
        </w:rPr>
        <w:t>formal and informal</w:t>
      </w:r>
      <w:r w:rsidR="009C0262" w:rsidRPr="00F83B6E">
        <w:rPr>
          <w:color w:val="000000" w:themeColor="text1"/>
        </w:rPr>
        <w:t>)</w:t>
      </w:r>
    </w:p>
    <w:p w14:paraId="78C74F51" w14:textId="4088DA31" w:rsidR="009C0262" w:rsidRPr="00F83B6E" w:rsidRDefault="009C0262" w:rsidP="00B941EC">
      <w:pPr>
        <w:pStyle w:val="Bullet1"/>
        <w:rPr>
          <w:color w:val="000000" w:themeColor="text1"/>
        </w:rPr>
      </w:pPr>
      <w:r w:rsidRPr="00F83B6E">
        <w:rPr>
          <w:color w:val="000000" w:themeColor="text1"/>
        </w:rPr>
        <w:t xml:space="preserve">Networking and coalition building events </w:t>
      </w:r>
    </w:p>
    <w:p w14:paraId="391C4A2B" w14:textId="021A3C3E" w:rsidR="00756512" w:rsidRPr="00F83B6E" w:rsidRDefault="00756512" w:rsidP="00B91543">
      <w:pPr>
        <w:pStyle w:val="BodyTextitalics"/>
        <w:rPr>
          <w:color w:val="000000" w:themeColor="text1"/>
        </w:rPr>
      </w:pPr>
      <w:r w:rsidRPr="00F83B6E">
        <w:rPr>
          <w:color w:val="000000" w:themeColor="text1"/>
        </w:rPr>
        <w:t xml:space="preserve">IO3 - The Indonesian knowledge and innovation enabling environment is better able to promote and facilitate international knowledge partnerships </w:t>
      </w:r>
    </w:p>
    <w:p w14:paraId="0D561CC1" w14:textId="4BC0A6C8" w:rsidR="00756512" w:rsidRPr="00F83B6E" w:rsidRDefault="00756512" w:rsidP="00B91543">
      <w:pPr>
        <w:pStyle w:val="BodyText"/>
        <w:rPr>
          <w:color w:val="000000" w:themeColor="text1"/>
        </w:rPr>
      </w:pPr>
      <w:r w:rsidRPr="00F83B6E">
        <w:rPr>
          <w:color w:val="000000" w:themeColor="text1"/>
        </w:rPr>
        <w:t>This IO involves KPP strengthening the Indonesian knowledge and innovation sector by supporting the resolution of eco-systemic constraints</w:t>
      </w:r>
      <w:r w:rsidR="00E87912" w:rsidRPr="00F83B6E">
        <w:rPr>
          <w:color w:val="000000" w:themeColor="text1"/>
        </w:rPr>
        <w:t xml:space="preserve"> in a catalytic manner</w:t>
      </w:r>
      <w:r w:rsidRPr="00F83B6E">
        <w:rPr>
          <w:color w:val="000000" w:themeColor="text1"/>
        </w:rPr>
        <w:t xml:space="preserve">. KPP will </w:t>
      </w:r>
      <w:r w:rsidR="00482386" w:rsidRPr="00F83B6E">
        <w:rPr>
          <w:color w:val="000000" w:themeColor="text1"/>
        </w:rPr>
        <w:t>provide targeted technical assistance and</w:t>
      </w:r>
      <w:r w:rsidR="0043722D" w:rsidRPr="00F83B6E">
        <w:rPr>
          <w:color w:val="000000" w:themeColor="text1"/>
        </w:rPr>
        <w:t>/or other forms of</w:t>
      </w:r>
      <w:r w:rsidR="00482386" w:rsidRPr="00F83B6E">
        <w:rPr>
          <w:color w:val="000000" w:themeColor="text1"/>
        </w:rPr>
        <w:t xml:space="preserve"> </w:t>
      </w:r>
      <w:r w:rsidR="00A6739A" w:rsidRPr="00F83B6E">
        <w:rPr>
          <w:color w:val="000000" w:themeColor="text1"/>
        </w:rPr>
        <w:t>tailor</w:t>
      </w:r>
      <w:r w:rsidR="0043722D" w:rsidRPr="00F83B6E">
        <w:rPr>
          <w:color w:val="000000" w:themeColor="text1"/>
        </w:rPr>
        <w:t>ed</w:t>
      </w:r>
      <w:r w:rsidR="00A6739A" w:rsidRPr="00F83B6E">
        <w:rPr>
          <w:color w:val="000000" w:themeColor="text1"/>
        </w:rPr>
        <w:t xml:space="preserve"> </w:t>
      </w:r>
      <w:r w:rsidRPr="00F83B6E">
        <w:rPr>
          <w:color w:val="000000" w:themeColor="text1"/>
        </w:rPr>
        <w:t>support</w:t>
      </w:r>
      <w:r w:rsidR="0043722D" w:rsidRPr="00F83B6E">
        <w:rPr>
          <w:color w:val="000000" w:themeColor="text1"/>
        </w:rPr>
        <w:t xml:space="preserve"> (e.g. training sessions, analytical studies, visits)</w:t>
      </w:r>
      <w:r w:rsidRPr="00F83B6E">
        <w:rPr>
          <w:color w:val="000000" w:themeColor="text1"/>
        </w:rPr>
        <w:t xml:space="preserve"> to </w:t>
      </w:r>
      <w:r w:rsidR="0043722D" w:rsidRPr="00F83B6E">
        <w:rPr>
          <w:color w:val="000000" w:themeColor="text1"/>
        </w:rPr>
        <w:t xml:space="preserve">unblock </w:t>
      </w:r>
      <w:r w:rsidRPr="00F83B6E">
        <w:rPr>
          <w:color w:val="000000" w:themeColor="text1"/>
        </w:rPr>
        <w:t xml:space="preserve">specific </w:t>
      </w:r>
      <w:r w:rsidR="00C7205D" w:rsidRPr="00F83B6E">
        <w:rPr>
          <w:color w:val="000000" w:themeColor="text1"/>
        </w:rPr>
        <w:t>issue</w:t>
      </w:r>
      <w:r w:rsidRPr="00F83B6E">
        <w:rPr>
          <w:color w:val="000000" w:themeColor="text1"/>
        </w:rPr>
        <w:t>s that constraint the health and achievements of KPP supported partnerships (</w:t>
      </w:r>
      <w:r w:rsidR="00060B29" w:rsidRPr="00F83B6E">
        <w:rPr>
          <w:color w:val="000000" w:themeColor="text1"/>
        </w:rPr>
        <w:t>for example</w:t>
      </w:r>
      <w:r w:rsidRPr="00F83B6E">
        <w:rPr>
          <w:color w:val="000000" w:themeColor="text1"/>
        </w:rPr>
        <w:t xml:space="preserve"> the access to suitable permit</w:t>
      </w:r>
      <w:r w:rsidR="00060B29" w:rsidRPr="00F83B6E">
        <w:rPr>
          <w:color w:val="000000" w:themeColor="text1"/>
        </w:rPr>
        <w:t>s</w:t>
      </w:r>
      <w:r w:rsidRPr="00F83B6E">
        <w:rPr>
          <w:color w:val="000000" w:themeColor="text1"/>
        </w:rPr>
        <w:t xml:space="preserve"> for foreign researchers in Indonesia).</w:t>
      </w:r>
    </w:p>
    <w:p w14:paraId="76D4E894" w14:textId="19E2CAFD" w:rsidR="0005150C" w:rsidRPr="00F83B6E" w:rsidRDefault="00622442" w:rsidP="00622442">
      <w:pPr>
        <w:pStyle w:val="BodyText"/>
        <w:rPr>
          <w:color w:val="000000" w:themeColor="text1"/>
        </w:rPr>
      </w:pPr>
      <w:r w:rsidRPr="00F83B6E">
        <w:rPr>
          <w:color w:val="000000" w:themeColor="text1"/>
        </w:rPr>
        <w:t xml:space="preserve">Outputs linked to this outcome will </w:t>
      </w:r>
      <w:r w:rsidR="002232B2" w:rsidRPr="00F83B6E">
        <w:rPr>
          <w:color w:val="000000" w:themeColor="text1"/>
        </w:rPr>
        <w:t>depend on</w:t>
      </w:r>
      <w:r w:rsidRPr="00F83B6E">
        <w:rPr>
          <w:color w:val="000000" w:themeColor="text1"/>
        </w:rPr>
        <w:t xml:space="preserve"> priorities and pressure points that are identified in the early stages of </w:t>
      </w:r>
      <w:r w:rsidR="002232B2" w:rsidRPr="00F83B6E">
        <w:rPr>
          <w:color w:val="000000" w:themeColor="text1"/>
        </w:rPr>
        <w:t>KPP</w:t>
      </w:r>
      <w:r w:rsidR="0005150C" w:rsidRPr="00F83B6E">
        <w:rPr>
          <w:color w:val="000000" w:themeColor="text1"/>
        </w:rPr>
        <w:t xml:space="preserve"> (e.g. policy on foreign researchers, protocols related to GEDSI-sensitive research)</w:t>
      </w:r>
      <w:r w:rsidR="002232B2" w:rsidRPr="00F83B6E">
        <w:rPr>
          <w:color w:val="000000" w:themeColor="text1"/>
        </w:rPr>
        <w:t xml:space="preserve"> </w:t>
      </w:r>
      <w:r w:rsidR="0005150C" w:rsidRPr="00F83B6E">
        <w:rPr>
          <w:color w:val="000000" w:themeColor="text1"/>
        </w:rPr>
        <w:t>and</w:t>
      </w:r>
      <w:r w:rsidRPr="00F83B6E">
        <w:rPr>
          <w:color w:val="000000" w:themeColor="text1"/>
        </w:rPr>
        <w:t xml:space="preserve"> may include</w:t>
      </w:r>
      <w:r w:rsidR="0005150C" w:rsidRPr="00F83B6E">
        <w:rPr>
          <w:color w:val="000000" w:themeColor="text1"/>
        </w:rPr>
        <w:t xml:space="preserve">: </w:t>
      </w:r>
    </w:p>
    <w:p w14:paraId="436744DC" w14:textId="503E2186" w:rsidR="0005150C" w:rsidRPr="00F83B6E" w:rsidRDefault="0005150C" w:rsidP="001B7A01">
      <w:pPr>
        <w:pStyle w:val="Bullet1"/>
        <w:rPr>
          <w:color w:val="000000" w:themeColor="text1"/>
        </w:rPr>
      </w:pPr>
      <w:r w:rsidRPr="00F83B6E">
        <w:rPr>
          <w:color w:val="000000" w:themeColor="text1"/>
        </w:rPr>
        <w:t>P</w:t>
      </w:r>
      <w:r w:rsidR="002232B2" w:rsidRPr="00F83B6E">
        <w:rPr>
          <w:color w:val="000000" w:themeColor="text1"/>
        </w:rPr>
        <w:t>olicy briefs</w:t>
      </w:r>
      <w:r w:rsidR="009C0262" w:rsidRPr="00F83B6E">
        <w:rPr>
          <w:color w:val="000000" w:themeColor="text1"/>
        </w:rPr>
        <w:t>, synthesis</w:t>
      </w:r>
      <w:r w:rsidR="0043722D" w:rsidRPr="00F83B6E">
        <w:rPr>
          <w:color w:val="000000" w:themeColor="text1"/>
        </w:rPr>
        <w:t xml:space="preserve"> and analytical studies</w:t>
      </w:r>
    </w:p>
    <w:p w14:paraId="2C2346C4" w14:textId="05877C89" w:rsidR="0005150C" w:rsidRPr="00F83B6E" w:rsidRDefault="0005150C" w:rsidP="00025E2C">
      <w:pPr>
        <w:pStyle w:val="Bullet1"/>
        <w:rPr>
          <w:color w:val="000000" w:themeColor="text1"/>
        </w:rPr>
      </w:pPr>
      <w:r w:rsidRPr="00F83B6E">
        <w:rPr>
          <w:color w:val="000000" w:themeColor="text1"/>
        </w:rPr>
        <w:t>A</w:t>
      </w:r>
      <w:r w:rsidR="002232B2" w:rsidRPr="00F83B6E">
        <w:rPr>
          <w:color w:val="000000" w:themeColor="text1"/>
        </w:rPr>
        <w:t xml:space="preserve">dvocacy activities </w:t>
      </w:r>
    </w:p>
    <w:p w14:paraId="11233591" w14:textId="43C56D03" w:rsidR="0043722D" w:rsidRPr="00F83B6E" w:rsidRDefault="0043722D" w:rsidP="001B7A01">
      <w:pPr>
        <w:pStyle w:val="Bullet1"/>
        <w:rPr>
          <w:color w:val="000000" w:themeColor="text1"/>
        </w:rPr>
      </w:pPr>
      <w:r w:rsidRPr="00F83B6E">
        <w:rPr>
          <w:color w:val="000000" w:themeColor="text1"/>
        </w:rPr>
        <w:t>Embedded technical assistance</w:t>
      </w:r>
    </w:p>
    <w:p w14:paraId="63F105F6" w14:textId="156AD165" w:rsidR="00622442" w:rsidRPr="00F83B6E" w:rsidRDefault="0043722D" w:rsidP="001B7A01">
      <w:pPr>
        <w:pStyle w:val="Bullet1"/>
        <w:rPr>
          <w:color w:val="000000" w:themeColor="text1"/>
        </w:rPr>
      </w:pPr>
      <w:r w:rsidRPr="00F83B6E">
        <w:rPr>
          <w:color w:val="000000" w:themeColor="text1"/>
        </w:rPr>
        <w:t xml:space="preserve">Linkages, visits and/or twinning arrangements with relevant </w:t>
      </w:r>
      <w:proofErr w:type="spellStart"/>
      <w:r w:rsidRPr="00F83B6E">
        <w:rPr>
          <w:color w:val="000000" w:themeColor="text1"/>
        </w:rPr>
        <w:t>GoA</w:t>
      </w:r>
      <w:proofErr w:type="spellEnd"/>
      <w:r w:rsidRPr="00F83B6E">
        <w:rPr>
          <w:color w:val="000000" w:themeColor="text1"/>
        </w:rPr>
        <w:t xml:space="preserve"> research institutions and schemes</w:t>
      </w:r>
    </w:p>
    <w:p w14:paraId="3B99D661" w14:textId="7C12C664" w:rsidR="00756512" w:rsidRPr="00F83B6E" w:rsidRDefault="00756512" w:rsidP="00B91543">
      <w:pPr>
        <w:pStyle w:val="Heading3"/>
        <w:rPr>
          <w:color w:val="000000" w:themeColor="text1"/>
          <w:lang w:eastAsia="en-AU"/>
        </w:rPr>
      </w:pPr>
      <w:r w:rsidRPr="00F83B6E">
        <w:rPr>
          <w:color w:val="000000" w:themeColor="text1"/>
          <w:lang w:eastAsia="en-AU"/>
        </w:rPr>
        <w:t xml:space="preserve">Service </w:t>
      </w:r>
      <w:r w:rsidR="004A09B5" w:rsidRPr="00F83B6E">
        <w:rPr>
          <w:color w:val="000000" w:themeColor="text1"/>
          <w:lang w:eastAsia="en-AU"/>
        </w:rPr>
        <w:t>l</w:t>
      </w:r>
      <w:r w:rsidRPr="00F83B6E">
        <w:rPr>
          <w:color w:val="000000" w:themeColor="text1"/>
          <w:lang w:eastAsia="en-AU"/>
        </w:rPr>
        <w:t>ines</w:t>
      </w:r>
    </w:p>
    <w:p w14:paraId="17C21EE8" w14:textId="32E1061A" w:rsidR="00756512" w:rsidRPr="00F83B6E" w:rsidRDefault="00756512" w:rsidP="00B91543">
      <w:pPr>
        <w:pStyle w:val="BodyText"/>
        <w:rPr>
          <w:color w:val="000000" w:themeColor="text1"/>
        </w:rPr>
      </w:pPr>
      <w:r w:rsidRPr="00F83B6E">
        <w:rPr>
          <w:color w:val="000000" w:themeColor="text1"/>
        </w:rPr>
        <w:t xml:space="preserve">KPP will be operated from a </w:t>
      </w:r>
      <w:r w:rsidR="00170A62" w:rsidRPr="00F83B6E">
        <w:rPr>
          <w:color w:val="000000" w:themeColor="text1"/>
        </w:rPr>
        <w:t>Platform</w:t>
      </w:r>
      <w:r w:rsidRPr="00F83B6E">
        <w:rPr>
          <w:color w:val="000000" w:themeColor="text1"/>
        </w:rPr>
        <w:t xml:space="preserve"> </w:t>
      </w:r>
      <w:r w:rsidR="00170A62" w:rsidRPr="00F83B6E">
        <w:rPr>
          <w:color w:val="000000" w:themeColor="text1"/>
        </w:rPr>
        <w:t>Hub</w:t>
      </w:r>
      <w:r w:rsidRPr="00F83B6E">
        <w:rPr>
          <w:color w:val="000000" w:themeColor="text1"/>
        </w:rPr>
        <w:t xml:space="preserve"> that will offer a range of services that contribute in different ways to the outcomes described above. KPP service lines are categories of activities, not outputs. They are mutually reinforcing and will be most effective when used in combination. </w:t>
      </w:r>
      <w:r w:rsidR="00B80F3F" w:rsidRPr="00F83B6E">
        <w:rPr>
          <w:color w:val="000000" w:themeColor="text1"/>
        </w:rPr>
        <w:t>As</w:t>
      </w:r>
      <w:r w:rsidRPr="00F83B6E">
        <w:rPr>
          <w:color w:val="000000" w:themeColor="text1"/>
        </w:rPr>
        <w:t xml:space="preserve"> KPP aspires to be more than a </w:t>
      </w:r>
      <w:r w:rsidR="00264B5C" w:rsidRPr="00F83B6E">
        <w:rPr>
          <w:color w:val="000000" w:themeColor="text1"/>
        </w:rPr>
        <w:t>grant mechanism</w:t>
      </w:r>
      <w:r w:rsidRPr="00F83B6E">
        <w:rPr>
          <w:color w:val="000000" w:themeColor="text1"/>
        </w:rPr>
        <w:t xml:space="preserve">, the Platform Hub will endeavour to cross-fertilise partnerships and to complement individual partnerships’ efforts to generate and disseminate their own knowledge. As illustrated in Figure </w:t>
      </w:r>
      <w:r w:rsidR="00561301" w:rsidRPr="00F83B6E">
        <w:rPr>
          <w:color w:val="000000" w:themeColor="text1"/>
        </w:rPr>
        <w:t>2</w:t>
      </w:r>
      <w:r w:rsidRPr="00F83B6E">
        <w:rPr>
          <w:color w:val="000000" w:themeColor="text1"/>
        </w:rPr>
        <w:t xml:space="preserve">, in addition to funding and managing grants, the Platform Hub may support partnerships to: </w:t>
      </w:r>
    </w:p>
    <w:p w14:paraId="0D2871B1" w14:textId="215131F7" w:rsidR="00756512" w:rsidRPr="00F83B6E" w:rsidRDefault="00756512" w:rsidP="009E1AE8">
      <w:pPr>
        <w:pStyle w:val="Bullet1"/>
        <w:rPr>
          <w:color w:val="000000" w:themeColor="text1"/>
        </w:rPr>
      </w:pPr>
      <w:r w:rsidRPr="00F83B6E">
        <w:rPr>
          <w:color w:val="000000" w:themeColor="text1"/>
        </w:rPr>
        <w:t>Link potential partners in Australia and Indonesia</w:t>
      </w:r>
    </w:p>
    <w:p w14:paraId="639E4ABF" w14:textId="798F30CB" w:rsidR="00756512" w:rsidRPr="00F83B6E" w:rsidRDefault="00756512" w:rsidP="009E1AE8">
      <w:pPr>
        <w:pStyle w:val="Bullet1"/>
        <w:rPr>
          <w:color w:val="000000" w:themeColor="text1"/>
        </w:rPr>
      </w:pPr>
      <w:r w:rsidRPr="00F83B6E">
        <w:rPr>
          <w:color w:val="000000" w:themeColor="text1"/>
        </w:rPr>
        <w:t>Develop and strengthen partnership arrangements</w:t>
      </w:r>
    </w:p>
    <w:p w14:paraId="4AA66B1C" w14:textId="069A0D9D" w:rsidR="00756512" w:rsidRPr="00F83B6E" w:rsidRDefault="00756512" w:rsidP="009E1AE8">
      <w:pPr>
        <w:pStyle w:val="Bullet1"/>
        <w:rPr>
          <w:color w:val="000000" w:themeColor="text1"/>
        </w:rPr>
      </w:pPr>
      <w:r w:rsidRPr="00F83B6E">
        <w:rPr>
          <w:color w:val="000000" w:themeColor="text1"/>
        </w:rPr>
        <w:t>Refine methodologies and ensure adequate focus on GEDSI issues in proposals and during implementation</w:t>
      </w:r>
      <w:r w:rsidR="00625BCA" w:rsidRPr="00F83B6E">
        <w:rPr>
          <w:color w:val="000000" w:themeColor="text1"/>
        </w:rPr>
        <w:t xml:space="preserve">, including identifying clear equality and inclusion strategies in both the topic and in relation to implementation. </w:t>
      </w:r>
    </w:p>
    <w:p w14:paraId="6D67F653" w14:textId="63D2D8C4" w:rsidR="00756512" w:rsidRPr="00F83B6E" w:rsidRDefault="00756512" w:rsidP="009E1AE8">
      <w:pPr>
        <w:pStyle w:val="Bullet1"/>
        <w:rPr>
          <w:color w:val="000000" w:themeColor="text1"/>
        </w:rPr>
      </w:pPr>
      <w:r w:rsidRPr="00F83B6E">
        <w:rPr>
          <w:color w:val="000000" w:themeColor="text1"/>
        </w:rPr>
        <w:t xml:space="preserve">Facilitate engagement with relevant stakeholders and knowledge users such as </w:t>
      </w:r>
      <w:r w:rsidR="002142A3" w:rsidRPr="00F83B6E">
        <w:rPr>
          <w:color w:val="000000" w:themeColor="text1"/>
        </w:rPr>
        <w:t xml:space="preserve">Organisations of people with </w:t>
      </w:r>
      <w:r w:rsidR="00964CC5" w:rsidRPr="00F83B6E">
        <w:rPr>
          <w:color w:val="000000" w:themeColor="text1"/>
        </w:rPr>
        <w:t xml:space="preserve">a </w:t>
      </w:r>
      <w:r w:rsidR="002142A3" w:rsidRPr="00F83B6E">
        <w:rPr>
          <w:color w:val="000000" w:themeColor="text1"/>
        </w:rPr>
        <w:t>disabilit</w:t>
      </w:r>
      <w:r w:rsidR="00964CC5" w:rsidRPr="00F83B6E">
        <w:rPr>
          <w:color w:val="000000" w:themeColor="text1"/>
        </w:rPr>
        <w:t>y</w:t>
      </w:r>
      <w:r w:rsidR="002142A3" w:rsidRPr="00F83B6E">
        <w:rPr>
          <w:color w:val="000000" w:themeColor="text1"/>
        </w:rPr>
        <w:t xml:space="preserve"> (</w:t>
      </w:r>
      <w:r w:rsidRPr="00F83B6E">
        <w:rPr>
          <w:color w:val="000000" w:themeColor="text1"/>
        </w:rPr>
        <w:t>OPD</w:t>
      </w:r>
      <w:r w:rsidR="002142A3" w:rsidRPr="00F83B6E">
        <w:rPr>
          <w:color w:val="000000" w:themeColor="text1"/>
        </w:rPr>
        <w:t>)</w:t>
      </w:r>
      <w:r w:rsidRPr="00F83B6E">
        <w:rPr>
          <w:color w:val="000000" w:themeColor="text1"/>
        </w:rPr>
        <w:t xml:space="preserve">, </w:t>
      </w:r>
      <w:r w:rsidR="001D5158" w:rsidRPr="00F83B6E">
        <w:rPr>
          <w:color w:val="000000" w:themeColor="text1"/>
        </w:rPr>
        <w:t xml:space="preserve">gender / women’s rights focused organisations, </w:t>
      </w:r>
      <w:proofErr w:type="spellStart"/>
      <w:r w:rsidRPr="00F83B6E">
        <w:rPr>
          <w:color w:val="000000" w:themeColor="text1"/>
        </w:rPr>
        <w:t>GoA</w:t>
      </w:r>
      <w:proofErr w:type="spellEnd"/>
      <w:r w:rsidRPr="00F83B6E">
        <w:rPr>
          <w:color w:val="000000" w:themeColor="text1"/>
        </w:rPr>
        <w:t xml:space="preserve"> initiatives in Indonesia, and the private sector</w:t>
      </w:r>
    </w:p>
    <w:p w14:paraId="4861B03C" w14:textId="26E935E0" w:rsidR="00756512" w:rsidRPr="00F83B6E" w:rsidRDefault="00756512" w:rsidP="009E1AE8">
      <w:pPr>
        <w:pStyle w:val="Bullet1"/>
        <w:rPr>
          <w:color w:val="000000" w:themeColor="text1"/>
        </w:rPr>
      </w:pPr>
      <w:r w:rsidRPr="00F83B6E">
        <w:rPr>
          <w:color w:val="000000" w:themeColor="text1"/>
        </w:rPr>
        <w:t>Increase partners’ understanding of the political economy of their research and knowledge use</w:t>
      </w:r>
    </w:p>
    <w:p w14:paraId="66B2BECB" w14:textId="3B8D7707" w:rsidR="00756512" w:rsidRPr="00F83B6E" w:rsidRDefault="00756512" w:rsidP="009E1AE8">
      <w:pPr>
        <w:pStyle w:val="Bullet1"/>
        <w:rPr>
          <w:color w:val="000000" w:themeColor="text1"/>
        </w:rPr>
      </w:pPr>
      <w:r w:rsidRPr="00F83B6E">
        <w:rPr>
          <w:color w:val="000000" w:themeColor="text1"/>
        </w:rPr>
        <w:t>Address strategic and/or pressing systemic roadblocks</w:t>
      </w:r>
      <w:r w:rsidR="00E43E11" w:rsidRPr="00F83B6E">
        <w:rPr>
          <w:color w:val="000000" w:themeColor="text1"/>
        </w:rPr>
        <w:t>,</w:t>
      </w:r>
      <w:r w:rsidRPr="00F83B6E">
        <w:rPr>
          <w:color w:val="000000" w:themeColor="text1"/>
        </w:rPr>
        <w:t xml:space="preserve"> and </w:t>
      </w:r>
    </w:p>
    <w:p w14:paraId="724E5925" w14:textId="2FAE9A62" w:rsidR="00756512" w:rsidRPr="00F83B6E" w:rsidRDefault="00756512" w:rsidP="009E1AE8">
      <w:pPr>
        <w:pStyle w:val="Bullet1"/>
        <w:rPr>
          <w:color w:val="000000" w:themeColor="text1"/>
        </w:rPr>
      </w:pPr>
      <w:r w:rsidRPr="00F83B6E">
        <w:rPr>
          <w:color w:val="000000" w:themeColor="text1"/>
        </w:rPr>
        <w:t>Strengthen knowledge dissemination and public communication.</w:t>
      </w:r>
    </w:p>
    <w:p w14:paraId="63F8868F" w14:textId="77777777" w:rsidR="003A411D" w:rsidRPr="00F83B6E" w:rsidRDefault="003A411D" w:rsidP="000867C9">
      <w:pPr>
        <w:pStyle w:val="Caption"/>
        <w:rPr>
          <w:color w:val="000000" w:themeColor="text1"/>
        </w:rPr>
      </w:pPr>
    </w:p>
    <w:p w14:paraId="02F57881" w14:textId="77777777" w:rsidR="003A411D" w:rsidRPr="00F83B6E" w:rsidRDefault="003A411D" w:rsidP="000867C9">
      <w:pPr>
        <w:pStyle w:val="Caption"/>
        <w:rPr>
          <w:color w:val="000000" w:themeColor="text1"/>
        </w:rPr>
      </w:pPr>
    </w:p>
    <w:p w14:paraId="202556A9" w14:textId="77777777" w:rsidR="006B69FC" w:rsidRPr="00F83B6E" w:rsidRDefault="006B69FC" w:rsidP="006B69FC">
      <w:pPr>
        <w:rPr>
          <w:color w:val="000000" w:themeColor="text1"/>
        </w:rPr>
      </w:pPr>
    </w:p>
    <w:p w14:paraId="614501AD" w14:textId="1135D569" w:rsidR="000867C9" w:rsidRPr="00F83B6E" w:rsidRDefault="000867C9" w:rsidP="000867C9">
      <w:pPr>
        <w:pStyle w:val="Caption"/>
        <w:rPr>
          <w:color w:val="000000" w:themeColor="text1"/>
        </w:rPr>
      </w:pPr>
      <w:r w:rsidRPr="00F83B6E">
        <w:rPr>
          <w:color w:val="000000" w:themeColor="text1"/>
        </w:rPr>
        <w:lastRenderedPageBreak/>
        <w:t xml:space="preserve">Figure </w:t>
      </w:r>
      <w:r w:rsidRPr="00F83B6E">
        <w:rPr>
          <w:color w:val="000000" w:themeColor="text1"/>
        </w:rPr>
        <w:fldChar w:fldCharType="begin"/>
      </w:r>
      <w:r w:rsidRPr="00F83B6E">
        <w:rPr>
          <w:color w:val="000000" w:themeColor="text1"/>
        </w:rPr>
        <w:instrText xml:space="preserve"> SEQ Figure \* ARABIC </w:instrText>
      </w:r>
      <w:r w:rsidRPr="00F83B6E">
        <w:rPr>
          <w:color w:val="000000" w:themeColor="text1"/>
        </w:rPr>
        <w:fldChar w:fldCharType="separate"/>
      </w:r>
      <w:r w:rsidR="00A578DF">
        <w:rPr>
          <w:noProof/>
          <w:color w:val="000000" w:themeColor="text1"/>
        </w:rPr>
        <w:t>2</w:t>
      </w:r>
      <w:r w:rsidRPr="00F83B6E">
        <w:rPr>
          <w:color w:val="000000" w:themeColor="text1"/>
        </w:rPr>
        <w:fldChar w:fldCharType="end"/>
      </w:r>
      <w:r w:rsidRPr="00F83B6E">
        <w:rPr>
          <w:color w:val="000000" w:themeColor="text1"/>
        </w:rPr>
        <w:tab/>
      </w:r>
      <w:r w:rsidR="00960F43" w:rsidRPr="00F83B6E">
        <w:rPr>
          <w:color w:val="000000" w:themeColor="text1"/>
        </w:rPr>
        <w:t xml:space="preserve">Example </w:t>
      </w:r>
      <w:r w:rsidRPr="00F83B6E">
        <w:rPr>
          <w:color w:val="000000" w:themeColor="text1"/>
        </w:rPr>
        <w:t xml:space="preserve">Services </w:t>
      </w:r>
      <w:r w:rsidR="00960F43" w:rsidRPr="00F83B6E">
        <w:rPr>
          <w:color w:val="000000" w:themeColor="text1"/>
        </w:rPr>
        <w:t xml:space="preserve">to be </w:t>
      </w:r>
      <w:r w:rsidRPr="00F83B6E">
        <w:rPr>
          <w:color w:val="000000" w:themeColor="text1"/>
        </w:rPr>
        <w:t>provided by the Platform Hub</w:t>
      </w:r>
    </w:p>
    <w:tbl>
      <w:tblPr>
        <w:tblStyle w:val="TableGrid1"/>
        <w:tblW w:w="5000" w:type="pct"/>
        <w:tblLook w:val="0420" w:firstRow="1" w:lastRow="0" w:firstColumn="0" w:lastColumn="0" w:noHBand="0" w:noVBand="1"/>
        <w:tblCaption w:val="Figure 2"/>
        <w:tblDescription w:val="Example of Services to be Provided by the Platform Hub"/>
      </w:tblPr>
      <w:tblGrid>
        <w:gridCol w:w="1582"/>
        <w:gridCol w:w="2950"/>
        <w:gridCol w:w="2193"/>
        <w:gridCol w:w="2902"/>
      </w:tblGrid>
      <w:tr w:rsidR="00F83B6E" w:rsidRPr="00F83B6E" w14:paraId="4C1CFD38" w14:textId="77777777" w:rsidTr="006B69FC">
        <w:trPr>
          <w:tblHeader/>
        </w:trPr>
        <w:tc>
          <w:tcPr>
            <w:tcW w:w="822" w:type="pct"/>
            <w:hideMark/>
          </w:tcPr>
          <w:p w14:paraId="2DCE81EF" w14:textId="77777777" w:rsidR="00756512" w:rsidRPr="00F83B6E" w:rsidRDefault="00756512" w:rsidP="00CC1856">
            <w:pPr>
              <w:pStyle w:val="TableHeaderRow"/>
              <w:spacing w:before="40" w:afterLines="20" w:after="48"/>
              <w:jc w:val="center"/>
              <w:rPr>
                <w:b w:val="0"/>
                <w:bCs/>
                <w:color w:val="000000" w:themeColor="text1"/>
                <w:lang w:val="en-AU"/>
              </w:rPr>
            </w:pPr>
            <w:r w:rsidRPr="00F83B6E">
              <w:rPr>
                <w:color w:val="000000" w:themeColor="text1"/>
                <w:lang w:val="en-AU"/>
              </w:rPr>
              <w:t>Services</w:t>
            </w:r>
          </w:p>
        </w:tc>
        <w:tc>
          <w:tcPr>
            <w:tcW w:w="1532" w:type="pct"/>
            <w:hideMark/>
          </w:tcPr>
          <w:p w14:paraId="665B7A19" w14:textId="77777777" w:rsidR="00756512" w:rsidRPr="00F83B6E" w:rsidRDefault="00756512" w:rsidP="00CC1856">
            <w:pPr>
              <w:pStyle w:val="TableHeaderRow"/>
              <w:spacing w:before="40" w:afterLines="20" w:after="48"/>
              <w:jc w:val="center"/>
              <w:rPr>
                <w:b w:val="0"/>
                <w:bCs/>
                <w:color w:val="000000" w:themeColor="text1"/>
                <w:lang w:val="en-AU"/>
              </w:rPr>
            </w:pPr>
            <w:r w:rsidRPr="00F83B6E">
              <w:rPr>
                <w:color w:val="000000" w:themeColor="text1"/>
                <w:lang w:val="en-AU"/>
              </w:rPr>
              <w:t>Rationale</w:t>
            </w:r>
          </w:p>
        </w:tc>
        <w:tc>
          <w:tcPr>
            <w:tcW w:w="1139" w:type="pct"/>
            <w:hideMark/>
          </w:tcPr>
          <w:p w14:paraId="5E680DD6" w14:textId="77777777" w:rsidR="00756512" w:rsidRPr="00F83B6E" w:rsidRDefault="00756512" w:rsidP="00CC1856">
            <w:pPr>
              <w:pStyle w:val="TableHeaderRow"/>
              <w:spacing w:before="40" w:afterLines="20" w:after="48"/>
              <w:jc w:val="center"/>
              <w:rPr>
                <w:b w:val="0"/>
                <w:bCs/>
                <w:color w:val="000000" w:themeColor="text1"/>
                <w:lang w:val="en-AU"/>
              </w:rPr>
            </w:pPr>
            <w:r w:rsidRPr="00F83B6E">
              <w:rPr>
                <w:color w:val="000000" w:themeColor="text1"/>
                <w:lang w:val="en-AU"/>
              </w:rPr>
              <w:t>Beneficiaries</w:t>
            </w:r>
          </w:p>
        </w:tc>
        <w:tc>
          <w:tcPr>
            <w:tcW w:w="1507" w:type="pct"/>
            <w:hideMark/>
          </w:tcPr>
          <w:p w14:paraId="58E7B524" w14:textId="3E589A89" w:rsidR="00756512" w:rsidRPr="00F83B6E" w:rsidRDefault="00756512" w:rsidP="00CC1856">
            <w:pPr>
              <w:pStyle w:val="TableHeaderRow"/>
              <w:spacing w:before="40" w:afterLines="20" w:after="48"/>
              <w:jc w:val="center"/>
              <w:rPr>
                <w:b w:val="0"/>
                <w:bCs/>
                <w:color w:val="000000" w:themeColor="text1"/>
                <w:lang w:val="en-AU"/>
              </w:rPr>
            </w:pPr>
            <w:r w:rsidRPr="00F83B6E">
              <w:rPr>
                <w:color w:val="000000" w:themeColor="text1"/>
                <w:lang w:val="en-AU"/>
              </w:rPr>
              <w:t xml:space="preserve">Examples of </w:t>
            </w:r>
            <w:r w:rsidR="00C00B6B" w:rsidRPr="00F83B6E">
              <w:rPr>
                <w:color w:val="000000" w:themeColor="text1"/>
                <w:lang w:val="en-AU"/>
              </w:rPr>
              <w:t>a</w:t>
            </w:r>
            <w:r w:rsidRPr="00F83B6E">
              <w:rPr>
                <w:color w:val="000000" w:themeColor="text1"/>
                <w:lang w:val="en-AU"/>
              </w:rPr>
              <w:t>ctivities</w:t>
            </w:r>
          </w:p>
        </w:tc>
      </w:tr>
      <w:tr w:rsidR="00F83B6E" w:rsidRPr="00F83B6E" w14:paraId="03DFA937" w14:textId="77777777" w:rsidTr="006B69FC">
        <w:tc>
          <w:tcPr>
            <w:tcW w:w="822" w:type="pct"/>
            <w:hideMark/>
          </w:tcPr>
          <w:p w14:paraId="0F2B30B4" w14:textId="77777777" w:rsidR="00756512" w:rsidRPr="00F83B6E" w:rsidRDefault="00756512" w:rsidP="00CC1856">
            <w:pPr>
              <w:pStyle w:val="TableText"/>
              <w:spacing w:before="40" w:afterLines="20" w:after="48" w:line="240" w:lineRule="auto"/>
              <w:rPr>
                <w:color w:val="000000" w:themeColor="text1"/>
                <w:lang w:val="en-AU"/>
              </w:rPr>
            </w:pPr>
            <w:r w:rsidRPr="00F83B6E">
              <w:rPr>
                <w:color w:val="000000" w:themeColor="text1"/>
                <w:lang w:val="en-AU"/>
              </w:rPr>
              <w:t>Collaborative research grants</w:t>
            </w:r>
          </w:p>
        </w:tc>
        <w:tc>
          <w:tcPr>
            <w:tcW w:w="1532" w:type="pct"/>
            <w:hideMark/>
          </w:tcPr>
          <w:p w14:paraId="06F81753" w14:textId="7857A3DE"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 xml:space="preserve">Funding of </w:t>
            </w:r>
            <w:r w:rsidR="00F142F1" w:rsidRPr="00F83B6E">
              <w:rPr>
                <w:color w:val="000000" w:themeColor="text1"/>
                <w:lang w:val="en-AU"/>
              </w:rPr>
              <w:t>selected</w:t>
            </w:r>
            <w:r w:rsidRPr="00F83B6E">
              <w:rPr>
                <w:color w:val="000000" w:themeColor="text1"/>
                <w:lang w:val="en-AU"/>
              </w:rPr>
              <w:t xml:space="preserve"> knowledge partnerships</w:t>
            </w:r>
          </w:p>
        </w:tc>
        <w:tc>
          <w:tcPr>
            <w:tcW w:w="1139" w:type="pct"/>
            <w:hideMark/>
          </w:tcPr>
          <w:p w14:paraId="76A38BE3"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Partners</w:t>
            </w:r>
          </w:p>
        </w:tc>
        <w:tc>
          <w:tcPr>
            <w:tcW w:w="1507" w:type="pct"/>
            <w:hideMark/>
          </w:tcPr>
          <w:p w14:paraId="7B3A8144"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Partnership brokering</w:t>
            </w:r>
          </w:p>
          <w:p w14:paraId="0E7E0D02"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Grant scheme</w:t>
            </w:r>
          </w:p>
          <w:p w14:paraId="14C5D095"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Partnership health-checks</w:t>
            </w:r>
          </w:p>
        </w:tc>
      </w:tr>
      <w:tr w:rsidR="00F83B6E" w:rsidRPr="00F83B6E" w14:paraId="7D6F8F60" w14:textId="77777777" w:rsidTr="006B69FC">
        <w:tc>
          <w:tcPr>
            <w:tcW w:w="822" w:type="pct"/>
            <w:hideMark/>
          </w:tcPr>
          <w:p w14:paraId="366B6897" w14:textId="77777777" w:rsidR="00756512" w:rsidRPr="00F83B6E" w:rsidRDefault="00756512" w:rsidP="00CC1856">
            <w:pPr>
              <w:pStyle w:val="TableText"/>
              <w:spacing w:before="40" w:afterLines="20" w:after="48" w:line="240" w:lineRule="auto"/>
              <w:rPr>
                <w:color w:val="000000" w:themeColor="text1"/>
                <w:lang w:val="en-AU"/>
              </w:rPr>
            </w:pPr>
            <w:r w:rsidRPr="00F83B6E">
              <w:rPr>
                <w:color w:val="000000" w:themeColor="text1"/>
                <w:lang w:val="en-AU"/>
              </w:rPr>
              <w:t>Technical assistance</w:t>
            </w:r>
          </w:p>
        </w:tc>
        <w:tc>
          <w:tcPr>
            <w:tcW w:w="1532" w:type="pct"/>
            <w:hideMark/>
          </w:tcPr>
          <w:p w14:paraId="519838E1" w14:textId="69E21266"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Supporting targeted reforms of the Indonesian knowledge</w:t>
            </w:r>
            <w:r w:rsidR="00B80F3F" w:rsidRPr="00F83B6E">
              <w:rPr>
                <w:color w:val="000000" w:themeColor="text1"/>
                <w:lang w:val="en-AU"/>
              </w:rPr>
              <w:t xml:space="preserve"> and innovation </w:t>
            </w:r>
            <w:r w:rsidRPr="00F83B6E">
              <w:rPr>
                <w:color w:val="000000" w:themeColor="text1"/>
                <w:lang w:val="en-AU"/>
              </w:rPr>
              <w:t xml:space="preserve">sector </w:t>
            </w:r>
          </w:p>
          <w:p w14:paraId="57CAE947" w14:textId="6AEF6BF6"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Developing capacities of selected partners and partnerships, including in GEDSI responsive knowledge</w:t>
            </w:r>
            <w:r w:rsidR="00541939" w:rsidRPr="00F83B6E">
              <w:rPr>
                <w:color w:val="000000" w:themeColor="text1"/>
                <w:lang w:val="en-AU"/>
              </w:rPr>
              <w:t xml:space="preserve"> and equality and inclusion strategies in knowledge development and dissemination</w:t>
            </w:r>
          </w:p>
        </w:tc>
        <w:tc>
          <w:tcPr>
            <w:tcW w:w="1139" w:type="pct"/>
            <w:hideMark/>
          </w:tcPr>
          <w:p w14:paraId="1E6424F5" w14:textId="6C8DE608"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 xml:space="preserve">Partners </w:t>
            </w:r>
            <w:r w:rsidR="002109FD" w:rsidRPr="00F83B6E">
              <w:rPr>
                <w:color w:val="000000" w:themeColor="text1"/>
                <w:lang w:val="en-AU"/>
              </w:rPr>
              <w:t>(including prospective ones)</w:t>
            </w:r>
          </w:p>
          <w:p w14:paraId="02EA8E85"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Indonesian knowledge sector stakeholders</w:t>
            </w:r>
          </w:p>
        </w:tc>
        <w:tc>
          <w:tcPr>
            <w:tcW w:w="1507" w:type="pct"/>
            <w:hideMark/>
          </w:tcPr>
          <w:p w14:paraId="7B6A2AAD"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Training workshops (GEDSI, MEL, proposal development, social media)</w:t>
            </w:r>
          </w:p>
          <w:p w14:paraId="32F42F0E"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Analytical and case studies</w:t>
            </w:r>
          </w:p>
          <w:p w14:paraId="5CBDEE65"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Deployment of STA</w:t>
            </w:r>
          </w:p>
        </w:tc>
      </w:tr>
      <w:tr w:rsidR="00F83B6E" w:rsidRPr="00F83B6E" w14:paraId="2768A031" w14:textId="77777777" w:rsidTr="006B69FC">
        <w:tc>
          <w:tcPr>
            <w:tcW w:w="822" w:type="pct"/>
            <w:hideMark/>
          </w:tcPr>
          <w:p w14:paraId="3BDC4B4A" w14:textId="77777777" w:rsidR="00756512" w:rsidRPr="00F83B6E" w:rsidRDefault="00756512" w:rsidP="00CC1856">
            <w:pPr>
              <w:pStyle w:val="TableText"/>
              <w:spacing w:before="40" w:afterLines="20" w:after="48" w:line="240" w:lineRule="auto"/>
              <w:rPr>
                <w:color w:val="000000" w:themeColor="text1"/>
                <w:lang w:val="en-AU"/>
              </w:rPr>
            </w:pPr>
            <w:r w:rsidRPr="00F83B6E">
              <w:rPr>
                <w:color w:val="000000" w:themeColor="text1"/>
                <w:lang w:val="en-AU"/>
              </w:rPr>
              <w:t>Knowledge dissemination</w:t>
            </w:r>
          </w:p>
        </w:tc>
        <w:tc>
          <w:tcPr>
            <w:tcW w:w="1532" w:type="pct"/>
            <w:hideMark/>
          </w:tcPr>
          <w:p w14:paraId="0D4121A4"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Ensuring knowledge generated across KPP is timely and effectively disseminated to potential knowledge users</w:t>
            </w:r>
          </w:p>
          <w:p w14:paraId="16B43632" w14:textId="425D224D" w:rsidR="00756512" w:rsidRPr="00F83B6E" w:rsidRDefault="00F142F1"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B</w:t>
            </w:r>
            <w:r w:rsidR="00756512" w:rsidRPr="00F83B6E">
              <w:rPr>
                <w:color w:val="000000" w:themeColor="text1"/>
                <w:lang w:val="en-AU"/>
              </w:rPr>
              <w:t>uild demand for GEDSI responsive knowledge</w:t>
            </w:r>
          </w:p>
        </w:tc>
        <w:tc>
          <w:tcPr>
            <w:tcW w:w="1139" w:type="pct"/>
            <w:hideMark/>
          </w:tcPr>
          <w:p w14:paraId="1A8FD6B0"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Partners</w:t>
            </w:r>
          </w:p>
          <w:p w14:paraId="1B2BCC19"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DFAT programs</w:t>
            </w:r>
          </w:p>
          <w:p w14:paraId="7A418A5C"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Policy makers</w:t>
            </w:r>
          </w:p>
          <w:p w14:paraId="3F65DCDD" w14:textId="2AD2C6EC" w:rsidR="00756512" w:rsidRPr="00F83B6E" w:rsidRDefault="007E673D"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CSOs</w:t>
            </w:r>
          </w:p>
          <w:p w14:paraId="41D6E46D" w14:textId="39A3A94E"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Technology developers</w:t>
            </w:r>
            <w:r w:rsidR="00F142F1" w:rsidRPr="00F83B6E">
              <w:rPr>
                <w:color w:val="000000" w:themeColor="text1"/>
                <w:lang w:val="en-AU"/>
              </w:rPr>
              <w:t xml:space="preserve"> and implementers</w:t>
            </w:r>
          </w:p>
        </w:tc>
        <w:tc>
          <w:tcPr>
            <w:tcW w:w="1507" w:type="pct"/>
            <w:hideMark/>
          </w:tcPr>
          <w:p w14:paraId="6C05F0C7"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Event organisation (workshop, conference, webinars, etc.)</w:t>
            </w:r>
          </w:p>
          <w:p w14:paraId="3AF2F190"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Synthesis and Policy Briefs</w:t>
            </w:r>
          </w:p>
          <w:p w14:paraId="1529F11D"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Website development</w:t>
            </w:r>
          </w:p>
          <w:p w14:paraId="0513AA2C"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Social media campaign</w:t>
            </w:r>
          </w:p>
          <w:p w14:paraId="5E741C25"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Media engagement</w:t>
            </w:r>
          </w:p>
        </w:tc>
      </w:tr>
      <w:tr w:rsidR="00F83B6E" w:rsidRPr="00F83B6E" w14:paraId="264A0CEA" w14:textId="77777777" w:rsidTr="006B69FC">
        <w:tc>
          <w:tcPr>
            <w:tcW w:w="822" w:type="pct"/>
            <w:hideMark/>
          </w:tcPr>
          <w:p w14:paraId="73D64F17" w14:textId="77777777" w:rsidR="00756512" w:rsidRPr="00F83B6E" w:rsidRDefault="00756512" w:rsidP="00CC1856">
            <w:pPr>
              <w:pStyle w:val="TableText"/>
              <w:spacing w:before="40" w:afterLines="20" w:after="48" w:line="240" w:lineRule="auto"/>
              <w:rPr>
                <w:color w:val="000000" w:themeColor="text1"/>
                <w:lang w:val="en-AU"/>
              </w:rPr>
            </w:pPr>
            <w:r w:rsidRPr="00F83B6E">
              <w:rPr>
                <w:color w:val="000000" w:themeColor="text1"/>
                <w:lang w:val="en-AU"/>
              </w:rPr>
              <w:t>Networking and coalition building</w:t>
            </w:r>
          </w:p>
        </w:tc>
        <w:tc>
          <w:tcPr>
            <w:tcW w:w="1532" w:type="pct"/>
            <w:hideMark/>
          </w:tcPr>
          <w:p w14:paraId="7FA516A5"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Promoting the services and solutions of KPP partners to external stakeholders who share similar interests</w:t>
            </w:r>
          </w:p>
        </w:tc>
        <w:tc>
          <w:tcPr>
            <w:tcW w:w="1139" w:type="pct"/>
            <w:hideMark/>
          </w:tcPr>
          <w:p w14:paraId="7B62AA5B"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Partners</w:t>
            </w:r>
          </w:p>
          <w:p w14:paraId="132E4CFD"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DFAT programs</w:t>
            </w:r>
          </w:p>
          <w:p w14:paraId="724C36FC"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Media</w:t>
            </w:r>
          </w:p>
          <w:p w14:paraId="70E660C6" w14:textId="187C7596" w:rsidR="00756512" w:rsidRPr="00F83B6E" w:rsidRDefault="007E673D"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CSOs</w:t>
            </w:r>
            <w:r w:rsidR="001D5158" w:rsidRPr="00F83B6E">
              <w:rPr>
                <w:color w:val="000000" w:themeColor="text1"/>
                <w:lang w:val="en-AU"/>
              </w:rPr>
              <w:t>, including OPD and gender / women’s rights focused organisations</w:t>
            </w:r>
          </w:p>
          <w:p w14:paraId="511B7641"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Private sector organisations</w:t>
            </w:r>
          </w:p>
        </w:tc>
        <w:tc>
          <w:tcPr>
            <w:tcW w:w="1507" w:type="pct"/>
            <w:hideMark/>
          </w:tcPr>
          <w:p w14:paraId="25946BDD"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Event organisation (workshop, conference, webinars, etc.)</w:t>
            </w:r>
          </w:p>
          <w:p w14:paraId="49FAC55E"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Knowledge exchanges</w:t>
            </w:r>
          </w:p>
          <w:p w14:paraId="347276F3" w14:textId="77777777" w:rsidR="00756512" w:rsidRPr="00F83B6E" w:rsidRDefault="00756512" w:rsidP="00CC1856">
            <w:pPr>
              <w:pStyle w:val="TableText"/>
              <w:numPr>
                <w:ilvl w:val="0"/>
                <w:numId w:val="25"/>
              </w:numPr>
              <w:spacing w:before="40" w:afterLines="20" w:after="48" w:line="240" w:lineRule="auto"/>
              <w:ind w:left="127" w:hanging="127"/>
              <w:rPr>
                <w:color w:val="000000" w:themeColor="text1"/>
                <w:lang w:val="en-AU"/>
              </w:rPr>
            </w:pPr>
            <w:r w:rsidRPr="00F83B6E">
              <w:rPr>
                <w:color w:val="000000" w:themeColor="text1"/>
                <w:lang w:val="en-AU"/>
              </w:rPr>
              <w:t>Media engagement</w:t>
            </w:r>
          </w:p>
        </w:tc>
      </w:tr>
    </w:tbl>
    <w:p w14:paraId="01DE2F2C" w14:textId="432EA97C" w:rsidR="00756512" w:rsidRPr="00F83B6E" w:rsidRDefault="00561301" w:rsidP="00B91543">
      <w:pPr>
        <w:pStyle w:val="BodyText"/>
        <w:rPr>
          <w:color w:val="000000" w:themeColor="text1"/>
        </w:rPr>
      </w:pPr>
      <w:r w:rsidRPr="00F83B6E">
        <w:rPr>
          <w:color w:val="000000" w:themeColor="text1"/>
        </w:rPr>
        <w:t>Import</w:t>
      </w:r>
      <w:r w:rsidR="00756512" w:rsidRPr="00F83B6E">
        <w:rPr>
          <w:color w:val="000000" w:themeColor="text1"/>
        </w:rPr>
        <w:t>a</w:t>
      </w:r>
      <w:r w:rsidRPr="00F83B6E">
        <w:rPr>
          <w:color w:val="000000" w:themeColor="text1"/>
        </w:rPr>
        <w:t>nt</w:t>
      </w:r>
      <w:r w:rsidR="00756512" w:rsidRPr="00F83B6E">
        <w:rPr>
          <w:color w:val="000000" w:themeColor="text1"/>
        </w:rPr>
        <w:t>ly, the services offered by the Platform Hub will be provided in addition to – and not instead of – partnerships’ own activities and services. Partnerships supported by KPP are indeed expected to form and operate collaborative processes, conduct research to generate knowledge, disseminate research products and knowledge, and engage and liaise with relevant stakeholders and potential knowledge users throughout the research process (including at the start to ensure proposed solutions are calibrate</w:t>
      </w:r>
      <w:r w:rsidR="00F142F1" w:rsidRPr="00F83B6E">
        <w:rPr>
          <w:color w:val="000000" w:themeColor="text1"/>
        </w:rPr>
        <w:t>d</w:t>
      </w:r>
      <w:r w:rsidR="00756512" w:rsidRPr="00F83B6E">
        <w:rPr>
          <w:color w:val="000000" w:themeColor="text1"/>
        </w:rPr>
        <w:t xml:space="preserve"> to potential use). </w:t>
      </w:r>
    </w:p>
    <w:p w14:paraId="43C46D5F" w14:textId="77777777" w:rsidR="00756512" w:rsidRPr="00F83B6E" w:rsidRDefault="00756512" w:rsidP="00B91543">
      <w:pPr>
        <w:pStyle w:val="Heading3"/>
        <w:rPr>
          <w:color w:val="000000" w:themeColor="text1"/>
          <w:lang w:eastAsia="en-AU"/>
        </w:rPr>
      </w:pPr>
      <w:r w:rsidRPr="00F83B6E">
        <w:rPr>
          <w:color w:val="000000" w:themeColor="text1"/>
          <w:lang w:eastAsia="en-AU"/>
        </w:rPr>
        <w:t>Principles</w:t>
      </w:r>
    </w:p>
    <w:p w14:paraId="1DF4E974" w14:textId="7DB3EA22" w:rsidR="00240697" w:rsidRPr="00F83B6E" w:rsidRDefault="00756512" w:rsidP="00B91543">
      <w:pPr>
        <w:pStyle w:val="BodyText"/>
        <w:rPr>
          <w:color w:val="000000" w:themeColor="text1"/>
        </w:rPr>
      </w:pPr>
      <w:r w:rsidRPr="00F83B6E">
        <w:rPr>
          <w:color w:val="000000" w:themeColor="text1"/>
        </w:rPr>
        <w:t>In addition to its objectives and service offerings, KPP include</w:t>
      </w:r>
      <w:r w:rsidR="00E43E11" w:rsidRPr="00F83B6E">
        <w:rPr>
          <w:color w:val="000000" w:themeColor="text1"/>
        </w:rPr>
        <w:t>s</w:t>
      </w:r>
      <w:r w:rsidRPr="00F83B6E">
        <w:rPr>
          <w:color w:val="000000" w:themeColor="text1"/>
        </w:rPr>
        <w:t xml:space="preserve"> a set of principles </w:t>
      </w:r>
      <w:r w:rsidR="00D34742" w:rsidRPr="00F83B6E">
        <w:rPr>
          <w:color w:val="000000" w:themeColor="text1"/>
        </w:rPr>
        <w:t>t</w:t>
      </w:r>
      <w:r w:rsidR="00F142F1" w:rsidRPr="00F83B6E">
        <w:rPr>
          <w:color w:val="000000" w:themeColor="text1"/>
        </w:rPr>
        <w:t>hat</w:t>
      </w:r>
      <w:r w:rsidR="00D34742" w:rsidRPr="00F83B6E">
        <w:rPr>
          <w:color w:val="000000" w:themeColor="text1"/>
        </w:rPr>
        <w:t xml:space="preserve"> guide</w:t>
      </w:r>
      <w:r w:rsidRPr="00F83B6E">
        <w:rPr>
          <w:color w:val="000000" w:themeColor="text1"/>
        </w:rPr>
        <w:t xml:space="preserve"> </w:t>
      </w:r>
      <w:r w:rsidR="00D34742" w:rsidRPr="00F83B6E">
        <w:rPr>
          <w:color w:val="000000" w:themeColor="text1"/>
        </w:rPr>
        <w:t xml:space="preserve">how it will </w:t>
      </w:r>
      <w:r w:rsidRPr="00F83B6E">
        <w:rPr>
          <w:color w:val="000000" w:themeColor="text1"/>
        </w:rPr>
        <w:t>operate, as well as what it seeks to project externally.</w:t>
      </w:r>
      <w:r w:rsidR="00C16C74" w:rsidRPr="00F83B6E">
        <w:rPr>
          <w:color w:val="000000" w:themeColor="text1"/>
        </w:rPr>
        <w:t xml:space="preserve"> </w:t>
      </w:r>
      <w:r w:rsidRPr="00F83B6E">
        <w:rPr>
          <w:color w:val="000000" w:themeColor="text1"/>
        </w:rPr>
        <w:t xml:space="preserve">These principles provide core, stable elements of identity that should remain valid irrespective of changes in objectives. They are a key part of communicating KPP’s value to external stakeholders and intend to drive decisions and behaviours within </w:t>
      </w:r>
      <w:r w:rsidR="00E43E11" w:rsidRPr="00F83B6E">
        <w:rPr>
          <w:color w:val="000000" w:themeColor="text1"/>
        </w:rPr>
        <w:t xml:space="preserve">the </w:t>
      </w:r>
      <w:r w:rsidR="00630562" w:rsidRPr="00F83B6E">
        <w:rPr>
          <w:color w:val="000000" w:themeColor="text1"/>
        </w:rPr>
        <w:t xml:space="preserve">Platform </w:t>
      </w:r>
      <w:r w:rsidRPr="00F83B6E">
        <w:rPr>
          <w:color w:val="000000" w:themeColor="text1"/>
        </w:rPr>
        <w:t>Hub team, governance mechanism</w:t>
      </w:r>
      <w:r w:rsidR="0065356B" w:rsidRPr="00F83B6E">
        <w:rPr>
          <w:color w:val="000000" w:themeColor="text1"/>
        </w:rPr>
        <w:t xml:space="preserve">s </w:t>
      </w:r>
      <w:r w:rsidRPr="00F83B6E">
        <w:rPr>
          <w:color w:val="000000" w:themeColor="text1"/>
        </w:rPr>
        <w:t xml:space="preserve">and partnerships themselves. </w:t>
      </w:r>
      <w:r w:rsidR="00F142F1" w:rsidRPr="00F83B6E">
        <w:rPr>
          <w:color w:val="000000" w:themeColor="text1"/>
        </w:rPr>
        <w:t>T</w:t>
      </w:r>
      <w:r w:rsidRPr="00F83B6E">
        <w:rPr>
          <w:color w:val="000000" w:themeColor="text1"/>
        </w:rPr>
        <w:t xml:space="preserve">hese principles </w:t>
      </w:r>
      <w:r w:rsidR="0065356B" w:rsidRPr="00F83B6E">
        <w:rPr>
          <w:color w:val="000000" w:themeColor="text1"/>
        </w:rPr>
        <w:t>will</w:t>
      </w:r>
      <w:r w:rsidRPr="00F83B6E">
        <w:rPr>
          <w:color w:val="000000" w:themeColor="text1"/>
        </w:rPr>
        <w:t xml:space="preserve"> be reflected in the agenda setting and prioritisation of research themes, the partnerships proposals and selection processes, and the MEL processes and products.</w:t>
      </w:r>
    </w:p>
    <w:p w14:paraId="05863CC5" w14:textId="71FD500D" w:rsidR="00756512" w:rsidRPr="00F83B6E" w:rsidRDefault="00756512" w:rsidP="001B7A01">
      <w:pPr>
        <w:pStyle w:val="BodyText"/>
        <w:keepNext/>
        <w:rPr>
          <w:color w:val="000000" w:themeColor="text1"/>
        </w:rPr>
      </w:pPr>
      <w:r w:rsidRPr="00F83B6E">
        <w:rPr>
          <w:color w:val="000000" w:themeColor="text1"/>
        </w:rPr>
        <w:lastRenderedPageBreak/>
        <w:t>The five proposed principles are:</w:t>
      </w:r>
    </w:p>
    <w:p w14:paraId="09D6148E" w14:textId="77777777" w:rsidR="00756512" w:rsidRPr="00F83B6E" w:rsidRDefault="00756512" w:rsidP="00561301">
      <w:pPr>
        <w:pStyle w:val="ListNumber"/>
        <w:spacing w:line="281" w:lineRule="auto"/>
        <w:jc w:val="both"/>
        <w:rPr>
          <w:color w:val="000000" w:themeColor="text1"/>
          <w:lang w:val="en-AU"/>
        </w:rPr>
      </w:pPr>
      <w:r w:rsidRPr="00F83B6E">
        <w:rPr>
          <w:i/>
          <w:iCs/>
          <w:color w:val="000000" w:themeColor="text1"/>
          <w:lang w:val="en-AU"/>
        </w:rPr>
        <w:t>Mutual interest and application</w:t>
      </w:r>
      <w:r w:rsidRPr="00F83B6E">
        <w:rPr>
          <w:color w:val="000000" w:themeColor="text1"/>
          <w:lang w:val="en-AU"/>
        </w:rPr>
        <w:t>: KPP funds activities that are of mutual interest to both countries and respond to Australia-Indonesia development cooperation partnership priorities.</w:t>
      </w:r>
    </w:p>
    <w:p w14:paraId="74DF4DE5" w14:textId="77777777" w:rsidR="00756512" w:rsidRPr="00F83B6E" w:rsidRDefault="00756512" w:rsidP="00561301">
      <w:pPr>
        <w:pStyle w:val="ListNumber"/>
        <w:spacing w:line="281" w:lineRule="auto"/>
        <w:jc w:val="both"/>
        <w:rPr>
          <w:color w:val="000000" w:themeColor="text1"/>
          <w:lang w:val="en-AU"/>
        </w:rPr>
      </w:pPr>
      <w:r w:rsidRPr="00F83B6E">
        <w:rPr>
          <w:i/>
          <w:iCs/>
          <w:color w:val="000000" w:themeColor="text1"/>
          <w:lang w:val="en-AU"/>
        </w:rPr>
        <w:t>Transparency and accountability</w:t>
      </w:r>
      <w:r w:rsidRPr="00F83B6E">
        <w:rPr>
          <w:color w:val="000000" w:themeColor="text1"/>
          <w:lang w:val="en-AU"/>
        </w:rPr>
        <w:t xml:space="preserve">: KPP attracts and selects partnerships that have the requisite capacity and potential to contribute to desired program outcomes. KKP ensures availability of relevant, credible, timely information as the basis for decisions regarding KPP strategy and implementation. </w:t>
      </w:r>
    </w:p>
    <w:p w14:paraId="35BC40E1" w14:textId="7A2A209F" w:rsidR="00756512" w:rsidRPr="00F83B6E" w:rsidRDefault="00756512" w:rsidP="00561301">
      <w:pPr>
        <w:pStyle w:val="ListNumber"/>
        <w:spacing w:line="281" w:lineRule="auto"/>
        <w:jc w:val="both"/>
        <w:rPr>
          <w:color w:val="000000" w:themeColor="text1"/>
          <w:lang w:val="en-AU"/>
        </w:rPr>
      </w:pPr>
      <w:r w:rsidRPr="00F83B6E">
        <w:rPr>
          <w:i/>
          <w:iCs/>
          <w:color w:val="000000" w:themeColor="text1"/>
          <w:lang w:val="en-AU"/>
        </w:rPr>
        <w:t>GEDSI responsive</w:t>
      </w:r>
      <w:r w:rsidRPr="00F83B6E">
        <w:rPr>
          <w:color w:val="000000" w:themeColor="text1"/>
          <w:lang w:val="en-AU"/>
        </w:rPr>
        <w:t xml:space="preserve">: KPP supports activities that explicitly identify and propose </w:t>
      </w:r>
      <w:r w:rsidR="0090797A" w:rsidRPr="00F83B6E">
        <w:rPr>
          <w:color w:val="000000" w:themeColor="text1"/>
          <w:lang w:val="en-AU"/>
        </w:rPr>
        <w:t>knowledge-based</w:t>
      </w:r>
      <w:r w:rsidRPr="00F83B6E">
        <w:rPr>
          <w:color w:val="000000" w:themeColor="text1"/>
          <w:lang w:val="en-AU"/>
        </w:rPr>
        <w:t xml:space="preserve"> solutions to critical issues experienced by different genders, people with a disability and others who may traditionally experience discrimination or exclusion. KPP supports partnerships that include diverse leadership and participants.</w:t>
      </w:r>
    </w:p>
    <w:p w14:paraId="1211C6CA" w14:textId="537489AE" w:rsidR="00756512" w:rsidRPr="00F83B6E" w:rsidRDefault="00756512" w:rsidP="00C7205D">
      <w:pPr>
        <w:pStyle w:val="ListNumber"/>
        <w:spacing w:line="281" w:lineRule="auto"/>
        <w:jc w:val="both"/>
        <w:rPr>
          <w:color w:val="000000" w:themeColor="text1"/>
          <w:lang w:val="en-AU"/>
        </w:rPr>
      </w:pPr>
      <w:r w:rsidRPr="00F83B6E">
        <w:rPr>
          <w:i/>
          <w:iCs/>
          <w:color w:val="000000" w:themeColor="text1"/>
          <w:lang w:val="en-AU"/>
        </w:rPr>
        <w:t>Problem- and solution- driven</w:t>
      </w:r>
      <w:r w:rsidRPr="00F83B6E">
        <w:rPr>
          <w:color w:val="000000" w:themeColor="text1"/>
          <w:lang w:val="en-AU"/>
        </w:rPr>
        <w:t>:</w:t>
      </w:r>
      <w:r w:rsidR="00C16C74" w:rsidRPr="00F83B6E">
        <w:rPr>
          <w:color w:val="000000" w:themeColor="text1"/>
          <w:lang w:val="en-AU"/>
        </w:rPr>
        <w:t xml:space="preserve"> </w:t>
      </w:r>
      <w:r w:rsidRPr="00F83B6E">
        <w:rPr>
          <w:color w:val="000000" w:themeColor="text1"/>
          <w:lang w:val="en-AU"/>
        </w:rPr>
        <w:t>KPP supports partnerships that address complex development problems and find suitable K2P and K2I solutions for policies and technologies based on the research undertaken.</w:t>
      </w:r>
      <w:r w:rsidR="00F142F1" w:rsidRPr="00F83B6E">
        <w:rPr>
          <w:color w:val="000000" w:themeColor="text1"/>
          <w:lang w:val="en-AU"/>
        </w:rPr>
        <w:t xml:space="preserve"> KPP supports the resolution of targeted issues and problems within the Indonesian knowledge and innovation sector.</w:t>
      </w:r>
    </w:p>
    <w:p w14:paraId="3EDF86DF" w14:textId="51405077" w:rsidR="00920CB8" w:rsidRPr="00F83B6E" w:rsidRDefault="00756512" w:rsidP="00C7205D">
      <w:pPr>
        <w:pStyle w:val="ListNumber"/>
        <w:spacing w:line="281" w:lineRule="auto"/>
        <w:jc w:val="both"/>
        <w:rPr>
          <w:color w:val="000000" w:themeColor="text1"/>
          <w:lang w:val="en-AU"/>
        </w:rPr>
      </w:pPr>
      <w:r w:rsidRPr="00F83B6E">
        <w:rPr>
          <w:i/>
          <w:iCs/>
          <w:color w:val="000000" w:themeColor="text1"/>
          <w:lang w:val="en-AU"/>
        </w:rPr>
        <w:t>Collaborative and fit-for-purpose</w:t>
      </w:r>
      <w:r w:rsidRPr="00F83B6E">
        <w:rPr>
          <w:color w:val="000000" w:themeColor="text1"/>
          <w:lang w:val="en-AU"/>
        </w:rPr>
        <w:t xml:space="preserve">: KPP supports partnerships that build, strengthen, and maintain genuine and equitable collaboration between Australian and Indonesian organisations, </w:t>
      </w:r>
      <w:r w:rsidR="00667650" w:rsidRPr="00F83B6E">
        <w:rPr>
          <w:color w:val="000000" w:themeColor="text1"/>
          <w:lang w:val="en-AU"/>
        </w:rPr>
        <w:t xml:space="preserve">that work with knowledge </w:t>
      </w:r>
      <w:r w:rsidR="00667650" w:rsidRPr="00F83B6E">
        <w:rPr>
          <w:rFonts w:cstheme="minorHAnsi"/>
          <w:color w:val="000000" w:themeColor="text1"/>
          <w:szCs w:val="20"/>
          <w:lang w:val="en-AU"/>
        </w:rPr>
        <w:t>users and beneficiaries early on to help identify and refine the knowledge so that it is usable,</w:t>
      </w:r>
      <w:r w:rsidR="00667650" w:rsidRPr="00F83B6E">
        <w:rPr>
          <w:color w:val="000000" w:themeColor="text1"/>
          <w:lang w:val="en-AU"/>
        </w:rPr>
        <w:t xml:space="preserve"> </w:t>
      </w:r>
      <w:r w:rsidRPr="00F83B6E">
        <w:rPr>
          <w:color w:val="000000" w:themeColor="text1"/>
          <w:lang w:val="en-AU"/>
        </w:rPr>
        <w:t>and that demonstrates suitable expertise and experience to undertake the suggested research.</w:t>
      </w:r>
    </w:p>
    <w:p w14:paraId="7F6CE4C3" w14:textId="5A92F561" w:rsidR="00E12D3D" w:rsidRPr="00F83B6E" w:rsidRDefault="00E12D3D" w:rsidP="00F27241">
      <w:pPr>
        <w:pStyle w:val="Heading2"/>
        <w:rPr>
          <w:color w:val="000000" w:themeColor="text1"/>
        </w:rPr>
      </w:pPr>
      <w:bookmarkStart w:id="12" w:name="_Toc146528284"/>
      <w:r w:rsidRPr="00F83B6E">
        <w:rPr>
          <w:color w:val="000000" w:themeColor="text1"/>
        </w:rPr>
        <w:t xml:space="preserve">Partnership </w:t>
      </w:r>
      <w:r w:rsidR="00E74DD1" w:rsidRPr="00F83B6E">
        <w:rPr>
          <w:color w:val="000000" w:themeColor="text1"/>
        </w:rPr>
        <w:t>g</w:t>
      </w:r>
      <w:r w:rsidRPr="00F83B6E">
        <w:rPr>
          <w:color w:val="000000" w:themeColor="text1"/>
        </w:rPr>
        <w:t>rants</w:t>
      </w:r>
      <w:bookmarkEnd w:id="12"/>
    </w:p>
    <w:p w14:paraId="580F1C4E" w14:textId="32FF5035" w:rsidR="008B7E5F" w:rsidRPr="00F83B6E" w:rsidRDefault="0065356B" w:rsidP="00907F0B">
      <w:pPr>
        <w:pStyle w:val="BodyText"/>
        <w:rPr>
          <w:color w:val="000000" w:themeColor="text1"/>
        </w:rPr>
      </w:pPr>
      <w:r w:rsidRPr="00F83B6E">
        <w:rPr>
          <w:color w:val="000000" w:themeColor="text1"/>
        </w:rPr>
        <w:t xml:space="preserve">As </w:t>
      </w:r>
      <w:r w:rsidR="00147CA5" w:rsidRPr="00F83B6E">
        <w:rPr>
          <w:color w:val="000000" w:themeColor="text1"/>
        </w:rPr>
        <w:t>a</w:t>
      </w:r>
      <w:r w:rsidRPr="00F83B6E">
        <w:rPr>
          <w:color w:val="000000" w:themeColor="text1"/>
        </w:rPr>
        <w:t xml:space="preserve"> </w:t>
      </w:r>
      <w:r w:rsidR="005579BB" w:rsidRPr="00F83B6E">
        <w:rPr>
          <w:color w:val="000000" w:themeColor="text1"/>
        </w:rPr>
        <w:t xml:space="preserve">signature offering, </w:t>
      </w:r>
      <w:r w:rsidR="00147CA5" w:rsidRPr="00F83B6E">
        <w:rPr>
          <w:color w:val="000000" w:themeColor="text1"/>
        </w:rPr>
        <w:t>KPP grants scheme will support research partnerships that will undertake collaborative research projects.</w:t>
      </w:r>
      <w:r w:rsidR="004736A5" w:rsidRPr="00F83B6E">
        <w:rPr>
          <w:color w:val="000000" w:themeColor="text1"/>
        </w:rPr>
        <w:t xml:space="preserve"> </w:t>
      </w:r>
      <w:r w:rsidR="005579BB" w:rsidRPr="00F83B6E">
        <w:rPr>
          <w:color w:val="000000" w:themeColor="text1"/>
        </w:rPr>
        <w:t>C</w:t>
      </w:r>
      <w:r w:rsidR="00E12D3D" w:rsidRPr="00F83B6E">
        <w:rPr>
          <w:color w:val="000000" w:themeColor="text1"/>
        </w:rPr>
        <w:t>ompetitive grants will be offered under three categories, each entailing different funding envelope, target beneficiaries and research types</w:t>
      </w:r>
      <w:r w:rsidR="005579BB" w:rsidRPr="00F83B6E">
        <w:rPr>
          <w:color w:val="000000" w:themeColor="text1"/>
        </w:rPr>
        <w:t xml:space="preserve"> (see Figure 3)</w:t>
      </w:r>
      <w:r w:rsidR="00E12D3D" w:rsidRPr="00F83B6E">
        <w:rPr>
          <w:color w:val="000000" w:themeColor="text1"/>
        </w:rPr>
        <w:t>:</w:t>
      </w:r>
    </w:p>
    <w:p w14:paraId="4A5DB45D" w14:textId="13EB70A3" w:rsidR="00E12D3D" w:rsidRPr="00F83B6E" w:rsidRDefault="00E12D3D" w:rsidP="00E6202D">
      <w:pPr>
        <w:pStyle w:val="Bullet1"/>
        <w:rPr>
          <w:color w:val="000000" w:themeColor="text1"/>
        </w:rPr>
      </w:pPr>
      <w:proofErr w:type="spellStart"/>
      <w:r w:rsidRPr="00F83B6E">
        <w:rPr>
          <w:i/>
          <w:iCs/>
          <w:color w:val="000000" w:themeColor="text1"/>
        </w:rPr>
        <w:t>Bertunas</w:t>
      </w:r>
      <w:proofErr w:type="spellEnd"/>
      <w:r w:rsidRPr="00F83B6E">
        <w:rPr>
          <w:color w:val="000000" w:themeColor="text1"/>
        </w:rPr>
        <w:t xml:space="preserve"> </w:t>
      </w:r>
      <w:r w:rsidR="00F142F1" w:rsidRPr="00F83B6E">
        <w:rPr>
          <w:color w:val="000000" w:themeColor="text1"/>
        </w:rPr>
        <w:t xml:space="preserve">(or </w:t>
      </w:r>
      <w:r w:rsidR="005E3E72" w:rsidRPr="00F83B6E">
        <w:rPr>
          <w:color w:val="000000" w:themeColor="text1"/>
        </w:rPr>
        <w:t>s</w:t>
      </w:r>
      <w:r w:rsidRPr="00F83B6E">
        <w:rPr>
          <w:color w:val="000000" w:themeColor="text1"/>
        </w:rPr>
        <w:t>eeding</w:t>
      </w:r>
      <w:r w:rsidR="00F142F1" w:rsidRPr="00F83B6E">
        <w:rPr>
          <w:color w:val="000000" w:themeColor="text1"/>
        </w:rPr>
        <w:t>)</w:t>
      </w:r>
      <w:r w:rsidRPr="00F83B6E">
        <w:rPr>
          <w:color w:val="000000" w:themeColor="text1"/>
        </w:rPr>
        <w:t xml:space="preserve"> grant</w:t>
      </w:r>
      <w:r w:rsidR="005E3E72" w:rsidRPr="00F83B6E">
        <w:rPr>
          <w:color w:val="000000" w:themeColor="text1"/>
        </w:rPr>
        <w:t xml:space="preserve">s </w:t>
      </w:r>
      <w:r w:rsidRPr="00F83B6E">
        <w:rPr>
          <w:color w:val="000000" w:themeColor="text1"/>
        </w:rPr>
        <w:t xml:space="preserve">will fund new and/or emerging partnerships between Australian and Indonesian knowledge organisations to conduct exploratory research and just-in-time studies. </w:t>
      </w:r>
    </w:p>
    <w:p w14:paraId="07DD3472" w14:textId="7AFF9082" w:rsidR="00E12D3D" w:rsidRPr="00F83B6E" w:rsidRDefault="00E12D3D" w:rsidP="00E6202D">
      <w:pPr>
        <w:pStyle w:val="Bullet1"/>
        <w:rPr>
          <w:color w:val="000000" w:themeColor="text1"/>
        </w:rPr>
      </w:pPr>
      <w:proofErr w:type="spellStart"/>
      <w:r w:rsidRPr="00F83B6E">
        <w:rPr>
          <w:i/>
          <w:iCs/>
          <w:color w:val="000000" w:themeColor="text1"/>
        </w:rPr>
        <w:t>Bertumbuh</w:t>
      </w:r>
      <w:proofErr w:type="spellEnd"/>
      <w:r w:rsidRPr="00F83B6E">
        <w:rPr>
          <w:color w:val="000000" w:themeColor="text1"/>
        </w:rPr>
        <w:t xml:space="preserve"> </w:t>
      </w:r>
      <w:r w:rsidR="005E3E72" w:rsidRPr="00F83B6E">
        <w:rPr>
          <w:color w:val="000000" w:themeColor="text1"/>
        </w:rPr>
        <w:t>(</w:t>
      </w:r>
      <w:r w:rsidR="00F142F1" w:rsidRPr="00F83B6E">
        <w:rPr>
          <w:color w:val="000000" w:themeColor="text1"/>
        </w:rPr>
        <w:t xml:space="preserve">or </w:t>
      </w:r>
      <w:r w:rsidR="005E3E72" w:rsidRPr="00F83B6E">
        <w:rPr>
          <w:color w:val="000000" w:themeColor="text1"/>
        </w:rPr>
        <w:t>g</w:t>
      </w:r>
      <w:r w:rsidRPr="00F83B6E">
        <w:rPr>
          <w:color w:val="000000" w:themeColor="text1"/>
        </w:rPr>
        <w:t>rowing</w:t>
      </w:r>
      <w:r w:rsidR="005E3E72" w:rsidRPr="00F83B6E">
        <w:rPr>
          <w:color w:val="000000" w:themeColor="text1"/>
        </w:rPr>
        <w:t>)</w:t>
      </w:r>
      <w:r w:rsidRPr="00F83B6E">
        <w:rPr>
          <w:color w:val="000000" w:themeColor="text1"/>
        </w:rPr>
        <w:t xml:space="preserve"> grant</w:t>
      </w:r>
      <w:r w:rsidR="005E3E72" w:rsidRPr="00F83B6E">
        <w:rPr>
          <w:color w:val="000000" w:themeColor="text1"/>
        </w:rPr>
        <w:t xml:space="preserve">s </w:t>
      </w:r>
      <w:r w:rsidRPr="00F83B6E">
        <w:rPr>
          <w:color w:val="000000" w:themeColor="text1"/>
        </w:rPr>
        <w:t xml:space="preserve">will fund existing and tested partnerships to develop proof of concepts (including recontextualization of existing concepts), prototypes and research that build on previous initiatives and findings. </w:t>
      </w:r>
    </w:p>
    <w:p w14:paraId="592CBA7F" w14:textId="77777777" w:rsidR="00BB0E4C" w:rsidRPr="00F83B6E" w:rsidRDefault="00E12D3D" w:rsidP="00B9167C">
      <w:pPr>
        <w:pStyle w:val="Bullet1"/>
        <w:rPr>
          <w:color w:val="000000" w:themeColor="text1"/>
        </w:rPr>
      </w:pPr>
      <w:proofErr w:type="spellStart"/>
      <w:r w:rsidRPr="00F83B6E">
        <w:rPr>
          <w:i/>
          <w:iCs/>
          <w:color w:val="000000" w:themeColor="text1"/>
        </w:rPr>
        <w:t>Berbuah</w:t>
      </w:r>
      <w:proofErr w:type="spellEnd"/>
      <w:r w:rsidRPr="00F83B6E">
        <w:rPr>
          <w:color w:val="000000" w:themeColor="text1"/>
        </w:rPr>
        <w:t xml:space="preserve"> </w:t>
      </w:r>
      <w:r w:rsidR="005E3E72" w:rsidRPr="00F83B6E">
        <w:rPr>
          <w:color w:val="000000" w:themeColor="text1"/>
        </w:rPr>
        <w:t>(</w:t>
      </w:r>
      <w:r w:rsidR="00F142F1" w:rsidRPr="00F83B6E">
        <w:rPr>
          <w:color w:val="000000" w:themeColor="text1"/>
        </w:rPr>
        <w:t>or flourishing</w:t>
      </w:r>
      <w:r w:rsidR="005E3E72" w:rsidRPr="00F83B6E">
        <w:rPr>
          <w:color w:val="000000" w:themeColor="text1"/>
        </w:rPr>
        <w:t>)</w:t>
      </w:r>
      <w:r w:rsidRPr="00F83B6E">
        <w:rPr>
          <w:color w:val="000000" w:themeColor="text1"/>
        </w:rPr>
        <w:t xml:space="preserve"> grant</w:t>
      </w:r>
      <w:r w:rsidR="005E3E72" w:rsidRPr="00F83B6E">
        <w:rPr>
          <w:color w:val="000000" w:themeColor="text1"/>
        </w:rPr>
        <w:t>s</w:t>
      </w:r>
      <w:r w:rsidRPr="00F83B6E">
        <w:rPr>
          <w:color w:val="000000" w:themeColor="text1"/>
        </w:rPr>
        <w:t xml:space="preserve"> will fund well established and mature partnerships that demonstrate a commitment to high research standards and an interest and ability to produce knowledge</w:t>
      </w:r>
      <w:r w:rsidR="00C16C74" w:rsidRPr="00F83B6E">
        <w:rPr>
          <w:color w:val="000000" w:themeColor="text1"/>
        </w:rPr>
        <w:t xml:space="preserve"> </w:t>
      </w:r>
      <w:r w:rsidRPr="00F83B6E">
        <w:rPr>
          <w:color w:val="000000" w:themeColor="text1"/>
        </w:rPr>
        <w:t xml:space="preserve">that seeks to transform a sector or create technological advancement, and with potential for wide-spread application. </w:t>
      </w:r>
    </w:p>
    <w:p w14:paraId="2DC040D3" w14:textId="45553C3C" w:rsidR="000867C9" w:rsidRPr="00F83B6E" w:rsidRDefault="000867C9" w:rsidP="003A411D">
      <w:pPr>
        <w:pStyle w:val="Bullet1"/>
        <w:numPr>
          <w:ilvl w:val="0"/>
          <w:numId w:val="0"/>
        </w:numPr>
        <w:jc w:val="left"/>
        <w:rPr>
          <w:b/>
          <w:bCs/>
          <w:color w:val="000000" w:themeColor="text1"/>
        </w:rPr>
      </w:pPr>
      <w:r w:rsidRPr="00F83B6E">
        <w:rPr>
          <w:b/>
          <w:bCs/>
          <w:color w:val="000000" w:themeColor="text1"/>
        </w:rPr>
        <w:t xml:space="preserve">Figure </w:t>
      </w:r>
      <w:r w:rsidR="00595284" w:rsidRPr="00F83B6E">
        <w:rPr>
          <w:b/>
          <w:bCs/>
          <w:color w:val="000000" w:themeColor="text1"/>
        </w:rPr>
        <w:fldChar w:fldCharType="begin"/>
      </w:r>
      <w:r w:rsidR="00595284" w:rsidRPr="00F83B6E">
        <w:rPr>
          <w:b/>
          <w:bCs/>
          <w:color w:val="000000" w:themeColor="text1"/>
        </w:rPr>
        <w:instrText xml:space="preserve"> SEQ Figure \* ARABIC </w:instrText>
      </w:r>
      <w:r w:rsidR="00595284" w:rsidRPr="00F83B6E">
        <w:rPr>
          <w:b/>
          <w:bCs/>
          <w:color w:val="000000" w:themeColor="text1"/>
        </w:rPr>
        <w:fldChar w:fldCharType="separate"/>
      </w:r>
      <w:r w:rsidR="00A578DF">
        <w:rPr>
          <w:b/>
          <w:bCs/>
          <w:noProof/>
          <w:color w:val="000000" w:themeColor="text1"/>
        </w:rPr>
        <w:t>3</w:t>
      </w:r>
      <w:r w:rsidR="00595284" w:rsidRPr="00F83B6E">
        <w:rPr>
          <w:b/>
          <w:bCs/>
          <w:noProof/>
          <w:color w:val="000000" w:themeColor="text1"/>
        </w:rPr>
        <w:fldChar w:fldCharType="end"/>
      </w:r>
      <w:r w:rsidRPr="00F83B6E">
        <w:rPr>
          <w:b/>
          <w:bCs/>
          <w:color w:val="000000" w:themeColor="text1"/>
        </w:rPr>
        <w:tab/>
        <w:t>KPP grant categories</w:t>
      </w:r>
    </w:p>
    <w:tbl>
      <w:tblPr>
        <w:tblStyle w:val="TableGrid1"/>
        <w:tblW w:w="5000" w:type="pct"/>
        <w:tblLook w:val="0620" w:firstRow="1" w:lastRow="0" w:firstColumn="0" w:lastColumn="0" w:noHBand="1" w:noVBand="1"/>
        <w:tblCaption w:val="Figure 3"/>
        <w:tblDescription w:val="KPP Grant categories"/>
      </w:tblPr>
      <w:tblGrid>
        <w:gridCol w:w="1555"/>
        <w:gridCol w:w="2690"/>
        <w:gridCol w:w="2690"/>
        <w:gridCol w:w="2692"/>
      </w:tblGrid>
      <w:tr w:rsidR="00F83B6E" w:rsidRPr="00F83B6E" w14:paraId="14CBA518" w14:textId="77777777" w:rsidTr="006B69FC">
        <w:trPr>
          <w:trHeight w:val="397"/>
          <w:tblHeader/>
        </w:trPr>
        <w:tc>
          <w:tcPr>
            <w:tcW w:w="808" w:type="pct"/>
          </w:tcPr>
          <w:p w14:paraId="1446E99E" w14:textId="77777777" w:rsidR="005579BB" w:rsidRPr="00F83B6E" w:rsidRDefault="005579BB" w:rsidP="00AC5534">
            <w:pPr>
              <w:pStyle w:val="TableHeaderRow"/>
              <w:jc w:val="center"/>
              <w:rPr>
                <w:b w:val="0"/>
                <w:bCs/>
                <w:color w:val="000000" w:themeColor="text1"/>
                <w:lang w:val="en-AU"/>
              </w:rPr>
            </w:pPr>
            <w:r w:rsidRPr="00F83B6E">
              <w:rPr>
                <w:color w:val="000000" w:themeColor="text1"/>
                <w:lang w:val="en-AU"/>
              </w:rPr>
              <w:t>Grant types</w:t>
            </w:r>
          </w:p>
        </w:tc>
        <w:tc>
          <w:tcPr>
            <w:tcW w:w="1397" w:type="pct"/>
          </w:tcPr>
          <w:p w14:paraId="7F7D21E5" w14:textId="77777777" w:rsidR="005579BB" w:rsidRPr="00F83B6E" w:rsidRDefault="005579BB" w:rsidP="00AC5534">
            <w:pPr>
              <w:pStyle w:val="TableHeaderRow"/>
              <w:jc w:val="center"/>
              <w:rPr>
                <w:b w:val="0"/>
                <w:bCs/>
                <w:i/>
                <w:iCs/>
                <w:color w:val="000000" w:themeColor="text1"/>
                <w:lang w:val="en-AU"/>
              </w:rPr>
            </w:pPr>
            <w:proofErr w:type="spellStart"/>
            <w:r w:rsidRPr="00F83B6E">
              <w:rPr>
                <w:i/>
                <w:iCs/>
                <w:color w:val="000000" w:themeColor="text1"/>
                <w:lang w:val="en-AU"/>
              </w:rPr>
              <w:t>Bertunas</w:t>
            </w:r>
            <w:proofErr w:type="spellEnd"/>
          </w:p>
          <w:p w14:paraId="7E8A43AD" w14:textId="6B7DCA81" w:rsidR="005579BB" w:rsidRPr="00F83B6E" w:rsidRDefault="005579BB" w:rsidP="00AC5534">
            <w:pPr>
              <w:pStyle w:val="TableHeaderRow"/>
              <w:jc w:val="center"/>
              <w:rPr>
                <w:b w:val="0"/>
                <w:bCs/>
                <w:color w:val="000000" w:themeColor="text1"/>
                <w:lang w:val="en-AU"/>
              </w:rPr>
            </w:pPr>
            <w:r w:rsidRPr="00F83B6E">
              <w:rPr>
                <w:color w:val="000000" w:themeColor="text1"/>
                <w:lang w:val="en-AU"/>
              </w:rPr>
              <w:t>(</w:t>
            </w:r>
            <w:r w:rsidR="00AC5534" w:rsidRPr="00F83B6E">
              <w:rPr>
                <w:color w:val="000000" w:themeColor="text1"/>
                <w:lang w:val="en-AU"/>
              </w:rPr>
              <w:t>s</w:t>
            </w:r>
            <w:r w:rsidRPr="00F83B6E">
              <w:rPr>
                <w:color w:val="000000" w:themeColor="text1"/>
                <w:lang w:val="en-AU"/>
              </w:rPr>
              <w:t>eeding)</w:t>
            </w:r>
          </w:p>
        </w:tc>
        <w:tc>
          <w:tcPr>
            <w:tcW w:w="1397" w:type="pct"/>
          </w:tcPr>
          <w:p w14:paraId="19533CDC" w14:textId="77777777" w:rsidR="005579BB" w:rsidRPr="00F83B6E" w:rsidRDefault="005579BB" w:rsidP="00AC5534">
            <w:pPr>
              <w:pStyle w:val="TableHeaderRow"/>
              <w:jc w:val="center"/>
              <w:rPr>
                <w:b w:val="0"/>
                <w:bCs/>
                <w:i/>
                <w:iCs/>
                <w:color w:val="000000" w:themeColor="text1"/>
                <w:lang w:val="en-AU"/>
              </w:rPr>
            </w:pPr>
            <w:proofErr w:type="spellStart"/>
            <w:r w:rsidRPr="00F83B6E">
              <w:rPr>
                <w:i/>
                <w:iCs/>
                <w:color w:val="000000" w:themeColor="text1"/>
                <w:lang w:val="en-AU"/>
              </w:rPr>
              <w:t>Bertumbuh</w:t>
            </w:r>
            <w:proofErr w:type="spellEnd"/>
          </w:p>
          <w:p w14:paraId="295284E3" w14:textId="382D28B8" w:rsidR="005579BB" w:rsidRPr="00F83B6E" w:rsidRDefault="005579BB" w:rsidP="00AC5534">
            <w:pPr>
              <w:pStyle w:val="TableHeaderRow"/>
              <w:jc w:val="center"/>
              <w:rPr>
                <w:b w:val="0"/>
                <w:bCs/>
                <w:color w:val="000000" w:themeColor="text1"/>
                <w:lang w:val="en-AU"/>
              </w:rPr>
            </w:pPr>
            <w:r w:rsidRPr="00F83B6E">
              <w:rPr>
                <w:color w:val="000000" w:themeColor="text1"/>
                <w:lang w:val="en-AU"/>
              </w:rPr>
              <w:t>(</w:t>
            </w:r>
            <w:r w:rsidR="00AC5534" w:rsidRPr="00F83B6E">
              <w:rPr>
                <w:color w:val="000000" w:themeColor="text1"/>
                <w:lang w:val="en-AU"/>
              </w:rPr>
              <w:t>g</w:t>
            </w:r>
            <w:r w:rsidRPr="00F83B6E">
              <w:rPr>
                <w:color w:val="000000" w:themeColor="text1"/>
                <w:lang w:val="en-AU"/>
              </w:rPr>
              <w:t>rowing)</w:t>
            </w:r>
          </w:p>
        </w:tc>
        <w:tc>
          <w:tcPr>
            <w:tcW w:w="1398" w:type="pct"/>
          </w:tcPr>
          <w:p w14:paraId="5DC0BE72" w14:textId="77777777" w:rsidR="005579BB" w:rsidRPr="00F83B6E" w:rsidRDefault="005579BB" w:rsidP="00AC5534">
            <w:pPr>
              <w:pStyle w:val="TableHeaderRow"/>
              <w:jc w:val="center"/>
              <w:rPr>
                <w:b w:val="0"/>
                <w:bCs/>
                <w:i/>
                <w:iCs/>
                <w:color w:val="000000" w:themeColor="text1"/>
                <w:lang w:val="en-AU"/>
              </w:rPr>
            </w:pPr>
            <w:proofErr w:type="spellStart"/>
            <w:r w:rsidRPr="00F83B6E">
              <w:rPr>
                <w:i/>
                <w:iCs/>
                <w:color w:val="000000" w:themeColor="text1"/>
                <w:lang w:val="en-AU"/>
              </w:rPr>
              <w:t>Berbuah</w:t>
            </w:r>
            <w:proofErr w:type="spellEnd"/>
          </w:p>
          <w:p w14:paraId="46570E47" w14:textId="2B637968" w:rsidR="005579BB" w:rsidRPr="00F83B6E" w:rsidRDefault="005579BB" w:rsidP="00AC5534">
            <w:pPr>
              <w:pStyle w:val="TableHeaderRow"/>
              <w:jc w:val="center"/>
              <w:rPr>
                <w:b w:val="0"/>
                <w:bCs/>
                <w:color w:val="000000" w:themeColor="text1"/>
                <w:lang w:val="en-AU"/>
              </w:rPr>
            </w:pPr>
            <w:r w:rsidRPr="00F83B6E">
              <w:rPr>
                <w:color w:val="000000" w:themeColor="text1"/>
                <w:lang w:val="en-AU"/>
              </w:rPr>
              <w:t>(</w:t>
            </w:r>
            <w:r w:rsidR="00C7205D" w:rsidRPr="00F83B6E">
              <w:rPr>
                <w:color w:val="000000" w:themeColor="text1"/>
                <w:lang w:val="en-AU"/>
              </w:rPr>
              <w:t>flourishing</w:t>
            </w:r>
            <w:r w:rsidRPr="00F83B6E">
              <w:rPr>
                <w:color w:val="000000" w:themeColor="text1"/>
                <w:lang w:val="en-AU"/>
              </w:rPr>
              <w:t>)</w:t>
            </w:r>
          </w:p>
        </w:tc>
      </w:tr>
      <w:tr w:rsidR="00F83B6E" w:rsidRPr="00F83B6E" w14:paraId="203C3C2B" w14:textId="77777777" w:rsidTr="006B69FC">
        <w:trPr>
          <w:trHeight w:val="397"/>
        </w:trPr>
        <w:tc>
          <w:tcPr>
            <w:tcW w:w="808" w:type="pct"/>
          </w:tcPr>
          <w:p w14:paraId="49FB93C6" w14:textId="6F9D97CF" w:rsidR="006F1A73" w:rsidRPr="00F83B6E" w:rsidRDefault="006F1A73" w:rsidP="00AC5534">
            <w:pPr>
              <w:pStyle w:val="TableText"/>
              <w:ind w:left="90"/>
              <w:rPr>
                <w:color w:val="000000" w:themeColor="text1"/>
                <w:lang w:val="en-AU"/>
              </w:rPr>
            </w:pPr>
            <w:r w:rsidRPr="00F83B6E">
              <w:rPr>
                <w:color w:val="000000" w:themeColor="text1"/>
                <w:lang w:val="en-AU"/>
              </w:rPr>
              <w:t>Purpose</w:t>
            </w:r>
          </w:p>
        </w:tc>
        <w:tc>
          <w:tcPr>
            <w:tcW w:w="1397" w:type="pct"/>
          </w:tcPr>
          <w:p w14:paraId="0729AE90" w14:textId="0172C4A6" w:rsidR="006F1A73" w:rsidRPr="00F83B6E" w:rsidRDefault="006F1A73" w:rsidP="006F1A73">
            <w:pPr>
              <w:pStyle w:val="TableText"/>
              <w:ind w:left="90"/>
              <w:rPr>
                <w:color w:val="000000" w:themeColor="text1"/>
                <w:lang w:val="en-AU"/>
              </w:rPr>
            </w:pPr>
            <w:r w:rsidRPr="00F83B6E">
              <w:rPr>
                <w:color w:val="000000" w:themeColor="text1"/>
                <w:lang w:val="en-AU"/>
              </w:rPr>
              <w:t>Supporting new and emerging partnerships to form and develop appropriate organisational structure and research capacities</w:t>
            </w:r>
          </w:p>
          <w:p w14:paraId="5360EFFD" w14:textId="651A74F2" w:rsidR="006F1A73" w:rsidRPr="00F83B6E" w:rsidRDefault="006F1A73" w:rsidP="006F1A73">
            <w:pPr>
              <w:pStyle w:val="TableText"/>
              <w:ind w:left="90"/>
              <w:rPr>
                <w:color w:val="000000" w:themeColor="text1"/>
                <w:lang w:val="en-AU"/>
              </w:rPr>
            </w:pPr>
            <w:r w:rsidRPr="00F83B6E">
              <w:rPr>
                <w:color w:val="000000" w:themeColor="text1"/>
                <w:lang w:val="en-AU"/>
              </w:rPr>
              <w:t>(Introduction stage)</w:t>
            </w:r>
          </w:p>
        </w:tc>
        <w:tc>
          <w:tcPr>
            <w:tcW w:w="1397" w:type="pct"/>
          </w:tcPr>
          <w:p w14:paraId="73428C72" w14:textId="78B4525B" w:rsidR="006F1A73" w:rsidRPr="00F83B6E" w:rsidRDefault="006F1A73" w:rsidP="00AC5534">
            <w:pPr>
              <w:pStyle w:val="TableText"/>
              <w:ind w:left="90"/>
              <w:rPr>
                <w:color w:val="000000" w:themeColor="text1"/>
                <w:lang w:val="en-AU"/>
              </w:rPr>
            </w:pPr>
            <w:r w:rsidRPr="00F83B6E">
              <w:rPr>
                <w:color w:val="000000" w:themeColor="text1"/>
                <w:lang w:val="en-AU"/>
              </w:rPr>
              <w:t>Supporting existing partnership to strengthen their collaborative processes and capacity to produce quality research on relevant topics</w:t>
            </w:r>
          </w:p>
          <w:p w14:paraId="48E3ADAD" w14:textId="5B12F5F6" w:rsidR="006F1A73" w:rsidRPr="00F83B6E" w:rsidRDefault="006F1A73" w:rsidP="00AC5534">
            <w:pPr>
              <w:pStyle w:val="TableText"/>
              <w:ind w:left="90"/>
              <w:rPr>
                <w:color w:val="000000" w:themeColor="text1"/>
                <w:lang w:val="en-AU"/>
              </w:rPr>
            </w:pPr>
            <w:r w:rsidRPr="00F83B6E">
              <w:rPr>
                <w:color w:val="000000" w:themeColor="text1"/>
                <w:lang w:val="en-AU"/>
              </w:rPr>
              <w:t>(Commitment stage)</w:t>
            </w:r>
          </w:p>
        </w:tc>
        <w:tc>
          <w:tcPr>
            <w:tcW w:w="1398" w:type="pct"/>
          </w:tcPr>
          <w:p w14:paraId="046CE93E" w14:textId="0BD41F7E" w:rsidR="006F1A73" w:rsidRPr="00F83B6E" w:rsidRDefault="006F1A73" w:rsidP="006F1A73">
            <w:pPr>
              <w:pStyle w:val="TableText"/>
              <w:ind w:left="90"/>
              <w:rPr>
                <w:color w:val="000000" w:themeColor="text1"/>
                <w:lang w:val="en-AU"/>
              </w:rPr>
            </w:pPr>
            <w:r w:rsidRPr="00F83B6E">
              <w:rPr>
                <w:color w:val="000000" w:themeColor="text1"/>
                <w:lang w:val="en-AU"/>
              </w:rPr>
              <w:t>Supporting well established and mature partnerships to produce high-quality research on relevant topics and strengthen their capacities to liaise with knowledge users</w:t>
            </w:r>
          </w:p>
          <w:p w14:paraId="618AADD9" w14:textId="610116F0" w:rsidR="006F1A73" w:rsidRPr="00F83B6E" w:rsidRDefault="006F1A73" w:rsidP="00AC5534">
            <w:pPr>
              <w:pStyle w:val="TableText"/>
              <w:ind w:left="90"/>
              <w:rPr>
                <w:color w:val="000000" w:themeColor="text1"/>
                <w:lang w:val="en-AU"/>
              </w:rPr>
            </w:pPr>
            <w:r w:rsidRPr="00F83B6E">
              <w:rPr>
                <w:color w:val="000000" w:themeColor="text1"/>
                <w:lang w:val="en-AU"/>
              </w:rPr>
              <w:t>(Achievement stage)</w:t>
            </w:r>
          </w:p>
        </w:tc>
      </w:tr>
      <w:tr w:rsidR="00F83B6E" w:rsidRPr="00F83B6E" w14:paraId="4350E5DA" w14:textId="77777777" w:rsidTr="006B69FC">
        <w:trPr>
          <w:trHeight w:val="397"/>
        </w:trPr>
        <w:tc>
          <w:tcPr>
            <w:tcW w:w="808" w:type="pct"/>
          </w:tcPr>
          <w:p w14:paraId="6FC0435D" w14:textId="2B3D37FD" w:rsidR="008B7E5F" w:rsidRPr="00F83B6E" w:rsidRDefault="008B7E5F" w:rsidP="008B7E5F">
            <w:pPr>
              <w:pStyle w:val="TableText"/>
              <w:ind w:left="90"/>
              <w:rPr>
                <w:color w:val="000000" w:themeColor="text1"/>
                <w:lang w:val="en-AU"/>
              </w:rPr>
            </w:pPr>
            <w:r w:rsidRPr="00F83B6E">
              <w:rPr>
                <w:color w:val="000000" w:themeColor="text1"/>
                <w:lang w:val="en-AU"/>
              </w:rPr>
              <w:t>Research types</w:t>
            </w:r>
          </w:p>
        </w:tc>
        <w:tc>
          <w:tcPr>
            <w:tcW w:w="1397" w:type="pct"/>
          </w:tcPr>
          <w:p w14:paraId="6699B981" w14:textId="77777777" w:rsidR="008B7E5F" w:rsidRPr="00F83B6E" w:rsidRDefault="008B7E5F" w:rsidP="008B7E5F">
            <w:pPr>
              <w:pStyle w:val="TableText"/>
              <w:ind w:left="90"/>
              <w:rPr>
                <w:color w:val="000000" w:themeColor="text1"/>
                <w:lang w:val="en-AU"/>
              </w:rPr>
            </w:pPr>
            <w:r w:rsidRPr="00F83B6E">
              <w:rPr>
                <w:color w:val="000000" w:themeColor="text1"/>
                <w:lang w:val="en-AU"/>
              </w:rPr>
              <w:t>Exploratory research, agenda setting, ‘just-in-time’ studies, early concept development</w:t>
            </w:r>
          </w:p>
          <w:p w14:paraId="3DE53741" w14:textId="326E667A" w:rsidR="008B7E5F" w:rsidRPr="00F83B6E" w:rsidRDefault="008B7E5F" w:rsidP="008B7E5F">
            <w:pPr>
              <w:pStyle w:val="TableText"/>
              <w:ind w:left="90"/>
              <w:rPr>
                <w:color w:val="000000" w:themeColor="text1"/>
                <w:lang w:val="en-AU"/>
              </w:rPr>
            </w:pPr>
            <w:r w:rsidRPr="00F83B6E">
              <w:rPr>
                <w:color w:val="000000" w:themeColor="text1"/>
                <w:lang w:val="en-AU"/>
              </w:rPr>
              <w:t xml:space="preserve">May be commissioned to raise visibility of GEDSI in </w:t>
            </w:r>
            <w:r w:rsidRPr="00F83B6E">
              <w:rPr>
                <w:color w:val="000000" w:themeColor="text1"/>
                <w:lang w:val="en-AU"/>
              </w:rPr>
              <w:lastRenderedPageBreak/>
              <w:t>agenda setting or to inform potential areas of GEDSI responsive knowledge production</w:t>
            </w:r>
          </w:p>
        </w:tc>
        <w:tc>
          <w:tcPr>
            <w:tcW w:w="1397" w:type="pct"/>
          </w:tcPr>
          <w:p w14:paraId="1D8584D1" w14:textId="505E1D47" w:rsidR="008B7E5F" w:rsidRPr="00F83B6E" w:rsidRDefault="008B7E5F" w:rsidP="008B7E5F">
            <w:pPr>
              <w:pStyle w:val="TableText"/>
              <w:ind w:left="90"/>
              <w:rPr>
                <w:color w:val="000000" w:themeColor="text1"/>
                <w:lang w:val="en-AU"/>
              </w:rPr>
            </w:pPr>
            <w:r w:rsidRPr="00F83B6E">
              <w:rPr>
                <w:color w:val="000000" w:themeColor="text1"/>
                <w:lang w:val="en-AU"/>
              </w:rPr>
              <w:lastRenderedPageBreak/>
              <w:t>Proof of concept, prototype, recontextualization of existing concepts, building on previous research findings or data</w:t>
            </w:r>
          </w:p>
        </w:tc>
        <w:tc>
          <w:tcPr>
            <w:tcW w:w="1398" w:type="pct"/>
          </w:tcPr>
          <w:p w14:paraId="2645155A" w14:textId="45960728" w:rsidR="008B7E5F" w:rsidRPr="00F83B6E" w:rsidRDefault="008B7E5F" w:rsidP="008B7E5F">
            <w:pPr>
              <w:pStyle w:val="TableText"/>
              <w:ind w:left="90"/>
              <w:rPr>
                <w:color w:val="000000" w:themeColor="text1"/>
                <w:lang w:val="en-AU"/>
              </w:rPr>
            </w:pPr>
            <w:r w:rsidRPr="00F83B6E">
              <w:rPr>
                <w:color w:val="000000" w:themeColor="text1"/>
                <w:lang w:val="en-AU"/>
              </w:rPr>
              <w:t xml:space="preserve">Transforming a sector or technological advancement, with potential for wide application and clear </w:t>
            </w:r>
            <w:r w:rsidRPr="00F83B6E">
              <w:rPr>
                <w:color w:val="000000" w:themeColor="text1"/>
                <w:lang w:val="en-AU"/>
              </w:rPr>
              <w:lastRenderedPageBreak/>
              <w:t>relevance to both Indonesia and Australia</w:t>
            </w:r>
          </w:p>
        </w:tc>
      </w:tr>
    </w:tbl>
    <w:p w14:paraId="4C0C0651" w14:textId="0DADB12F" w:rsidR="003E02A4" w:rsidRPr="00F83B6E" w:rsidRDefault="003E02A4" w:rsidP="00B91543">
      <w:pPr>
        <w:pStyle w:val="BodyText"/>
        <w:rPr>
          <w:color w:val="000000" w:themeColor="text1"/>
        </w:rPr>
      </w:pPr>
      <w:r w:rsidRPr="00F83B6E">
        <w:rPr>
          <w:color w:val="000000" w:themeColor="text1"/>
        </w:rPr>
        <w:lastRenderedPageBreak/>
        <w:t>The</w:t>
      </w:r>
      <w:r w:rsidR="00722E23" w:rsidRPr="00F83B6E">
        <w:rPr>
          <w:color w:val="000000" w:themeColor="text1"/>
        </w:rPr>
        <w:t>se</w:t>
      </w:r>
      <w:r w:rsidRPr="00F83B6E">
        <w:rPr>
          <w:color w:val="000000" w:themeColor="text1"/>
        </w:rPr>
        <w:t xml:space="preserve"> different types of grants provide </w:t>
      </w:r>
      <w:r w:rsidR="00FD3D08" w:rsidRPr="00F83B6E">
        <w:rPr>
          <w:color w:val="000000" w:themeColor="text1"/>
        </w:rPr>
        <w:t xml:space="preserve">KPP with </w:t>
      </w:r>
      <w:r w:rsidRPr="00F83B6E">
        <w:rPr>
          <w:color w:val="000000" w:themeColor="text1"/>
        </w:rPr>
        <w:t xml:space="preserve">a flexible </w:t>
      </w:r>
      <w:r w:rsidR="00BD20A3" w:rsidRPr="00F83B6E">
        <w:rPr>
          <w:color w:val="000000" w:themeColor="text1"/>
        </w:rPr>
        <w:t>mechanism</w:t>
      </w:r>
      <w:r w:rsidRPr="00F83B6E">
        <w:rPr>
          <w:color w:val="000000" w:themeColor="text1"/>
        </w:rPr>
        <w:t xml:space="preserve"> to</w:t>
      </w:r>
      <w:r w:rsidR="00BD20A3" w:rsidRPr="00F83B6E">
        <w:rPr>
          <w:color w:val="000000" w:themeColor="text1"/>
        </w:rPr>
        <w:t xml:space="preserve"> pursue and</w:t>
      </w:r>
      <w:r w:rsidRPr="00F83B6E">
        <w:rPr>
          <w:color w:val="000000" w:themeColor="text1"/>
        </w:rPr>
        <w:t xml:space="preserve"> achieve different </w:t>
      </w:r>
      <w:r w:rsidR="00BD20A3" w:rsidRPr="00F83B6E">
        <w:rPr>
          <w:color w:val="000000" w:themeColor="text1"/>
        </w:rPr>
        <w:t>outcome</w:t>
      </w:r>
      <w:r w:rsidRPr="00F83B6E">
        <w:rPr>
          <w:color w:val="000000" w:themeColor="text1"/>
        </w:rPr>
        <w:t>s</w:t>
      </w:r>
      <w:r w:rsidR="00722E23" w:rsidRPr="00F83B6E">
        <w:rPr>
          <w:color w:val="000000" w:themeColor="text1"/>
        </w:rPr>
        <w:t>,</w:t>
      </w:r>
      <w:r w:rsidR="006F1A73" w:rsidRPr="00F83B6E">
        <w:rPr>
          <w:color w:val="000000" w:themeColor="text1"/>
        </w:rPr>
        <w:t xml:space="preserve"> and</w:t>
      </w:r>
      <w:r w:rsidR="00BD20A3" w:rsidRPr="00F83B6E">
        <w:rPr>
          <w:color w:val="000000" w:themeColor="text1"/>
        </w:rPr>
        <w:t xml:space="preserve"> </w:t>
      </w:r>
      <w:r w:rsidR="006F1A73" w:rsidRPr="00F83B6E">
        <w:rPr>
          <w:color w:val="000000" w:themeColor="text1"/>
        </w:rPr>
        <w:t>t</w:t>
      </w:r>
      <w:r w:rsidRPr="00F83B6E">
        <w:rPr>
          <w:color w:val="000000" w:themeColor="text1"/>
        </w:rPr>
        <w:t xml:space="preserve">he partnerships each type will fund will have different support needs. </w:t>
      </w:r>
      <w:proofErr w:type="spellStart"/>
      <w:r w:rsidRPr="00F83B6E">
        <w:rPr>
          <w:i/>
          <w:iCs/>
          <w:color w:val="000000" w:themeColor="text1"/>
        </w:rPr>
        <w:t>Bertunas</w:t>
      </w:r>
      <w:proofErr w:type="spellEnd"/>
      <w:r w:rsidRPr="00F83B6E">
        <w:rPr>
          <w:color w:val="000000" w:themeColor="text1"/>
        </w:rPr>
        <w:t xml:space="preserve"> grants will </w:t>
      </w:r>
      <w:r w:rsidR="00BD20A3" w:rsidRPr="00F83B6E">
        <w:rPr>
          <w:color w:val="000000" w:themeColor="text1"/>
        </w:rPr>
        <w:t>target</w:t>
      </w:r>
      <w:r w:rsidRPr="00F83B6E">
        <w:rPr>
          <w:color w:val="000000" w:themeColor="text1"/>
        </w:rPr>
        <w:t xml:space="preserve"> primarily</w:t>
      </w:r>
      <w:r w:rsidR="00BD20A3" w:rsidRPr="00F83B6E">
        <w:rPr>
          <w:color w:val="000000" w:themeColor="text1"/>
        </w:rPr>
        <w:t xml:space="preserve"> the formation of</w:t>
      </w:r>
      <w:r w:rsidRPr="00F83B6E">
        <w:rPr>
          <w:color w:val="000000" w:themeColor="text1"/>
        </w:rPr>
        <w:t xml:space="preserve"> partnerships rather than produc</w:t>
      </w:r>
      <w:r w:rsidR="00BD20A3" w:rsidRPr="00F83B6E">
        <w:rPr>
          <w:color w:val="000000" w:themeColor="text1"/>
        </w:rPr>
        <w:t>tion of</w:t>
      </w:r>
      <w:r w:rsidRPr="00F83B6E">
        <w:rPr>
          <w:color w:val="000000" w:themeColor="text1"/>
        </w:rPr>
        <w:t xml:space="preserve"> </w:t>
      </w:r>
      <w:r w:rsidR="0054782F" w:rsidRPr="00F83B6E">
        <w:rPr>
          <w:color w:val="000000" w:themeColor="text1"/>
        </w:rPr>
        <w:t xml:space="preserve">vast amount of </w:t>
      </w:r>
      <w:r w:rsidR="00BD20A3" w:rsidRPr="00F83B6E">
        <w:rPr>
          <w:color w:val="000000" w:themeColor="text1"/>
        </w:rPr>
        <w:t>knowledge</w:t>
      </w:r>
      <w:r w:rsidR="0054782F" w:rsidRPr="00F83B6E">
        <w:rPr>
          <w:color w:val="000000" w:themeColor="text1"/>
        </w:rPr>
        <w:t xml:space="preserve">, while </w:t>
      </w:r>
      <w:proofErr w:type="spellStart"/>
      <w:r w:rsidR="0054782F" w:rsidRPr="00F83B6E">
        <w:rPr>
          <w:i/>
          <w:iCs/>
          <w:color w:val="000000" w:themeColor="text1"/>
        </w:rPr>
        <w:t>Berbuah</w:t>
      </w:r>
      <w:proofErr w:type="spellEnd"/>
      <w:r w:rsidR="0054782F" w:rsidRPr="00F83B6E">
        <w:rPr>
          <w:color w:val="000000" w:themeColor="text1"/>
        </w:rPr>
        <w:t xml:space="preserve"> grants </w:t>
      </w:r>
      <w:r w:rsidRPr="00F83B6E">
        <w:rPr>
          <w:color w:val="000000" w:themeColor="text1"/>
        </w:rPr>
        <w:t>will be the opposite.</w:t>
      </w:r>
      <w:r w:rsidR="00722E23" w:rsidRPr="00F83B6E">
        <w:rPr>
          <w:color w:val="000000" w:themeColor="text1"/>
        </w:rPr>
        <w:t xml:space="preserve"> All grants</w:t>
      </w:r>
      <w:r w:rsidR="008B7E5F" w:rsidRPr="00F83B6E">
        <w:rPr>
          <w:color w:val="000000" w:themeColor="text1"/>
        </w:rPr>
        <w:t xml:space="preserve"> </w:t>
      </w:r>
      <w:r w:rsidR="008168B6" w:rsidRPr="00F83B6E">
        <w:rPr>
          <w:color w:val="000000" w:themeColor="text1"/>
        </w:rPr>
        <w:t xml:space="preserve">- </w:t>
      </w:r>
      <w:r w:rsidR="00722E23" w:rsidRPr="00F83B6E">
        <w:rPr>
          <w:color w:val="000000" w:themeColor="text1"/>
        </w:rPr>
        <w:t>whether</w:t>
      </w:r>
      <w:r w:rsidR="004A0982" w:rsidRPr="00F83B6E">
        <w:rPr>
          <w:color w:val="000000" w:themeColor="text1"/>
        </w:rPr>
        <w:t xml:space="preserve"> </w:t>
      </w:r>
      <w:r w:rsidR="00722E23" w:rsidRPr="00F83B6E">
        <w:rPr>
          <w:color w:val="000000" w:themeColor="text1"/>
        </w:rPr>
        <w:t>fund</w:t>
      </w:r>
      <w:r w:rsidR="004A0982" w:rsidRPr="00F83B6E">
        <w:rPr>
          <w:color w:val="000000" w:themeColor="text1"/>
        </w:rPr>
        <w:t>ing</w:t>
      </w:r>
      <w:r w:rsidR="00722E23" w:rsidRPr="00F83B6E">
        <w:rPr>
          <w:color w:val="000000" w:themeColor="text1"/>
        </w:rPr>
        <w:t xml:space="preserve"> government-to-government partnership, private-public partnerships, or involving any other combination of partners - will be awarded based on a competitive selection process.</w:t>
      </w:r>
    </w:p>
    <w:p w14:paraId="357BBB8F" w14:textId="77777777" w:rsidR="002D648B" w:rsidRPr="00F83B6E" w:rsidRDefault="00E43E11" w:rsidP="00B91543">
      <w:pPr>
        <w:pStyle w:val="BodyText"/>
        <w:rPr>
          <w:color w:val="000000" w:themeColor="text1"/>
        </w:rPr>
      </w:pPr>
      <w:r w:rsidRPr="00F83B6E">
        <w:rPr>
          <w:color w:val="000000" w:themeColor="text1"/>
        </w:rPr>
        <w:t>T</w:t>
      </w:r>
      <w:r w:rsidR="006F2BE3" w:rsidRPr="00F83B6E">
        <w:rPr>
          <w:color w:val="000000" w:themeColor="text1"/>
        </w:rPr>
        <w:t xml:space="preserve">o be eligible for the grants, interested partnerships will need to first demonstrate they meet the minimum requirements described in Figure </w:t>
      </w:r>
      <w:r w:rsidR="005579BB" w:rsidRPr="00F83B6E">
        <w:rPr>
          <w:color w:val="000000" w:themeColor="text1"/>
        </w:rPr>
        <w:t>4</w:t>
      </w:r>
      <w:r w:rsidR="006F2BE3" w:rsidRPr="00F83B6E">
        <w:rPr>
          <w:color w:val="000000" w:themeColor="text1"/>
        </w:rPr>
        <w:t>, including with regards to partnership composition, due diligence criteria, diversity and inclusion, partnership track record, and co-funding responsibilities. The latter two are differentiated based on grant types. The</w:t>
      </w:r>
      <w:r w:rsidR="005579BB" w:rsidRPr="00F83B6E">
        <w:rPr>
          <w:color w:val="000000" w:themeColor="text1"/>
        </w:rPr>
        <w:t xml:space="preserve"> eligibility</w:t>
      </w:r>
      <w:r w:rsidR="006F2BE3" w:rsidRPr="00F83B6E">
        <w:rPr>
          <w:color w:val="000000" w:themeColor="text1"/>
        </w:rPr>
        <w:t xml:space="preserve"> requirements reflect KPP principles as well as DFAT’s fiduciary standards – they will be reviewed and updated as necessary during the program inception period. They are minimum requirements and that means any organisation which is eligible for a </w:t>
      </w:r>
      <w:proofErr w:type="spellStart"/>
      <w:r w:rsidR="006F2BE3" w:rsidRPr="00F83B6E">
        <w:rPr>
          <w:i/>
          <w:iCs/>
          <w:color w:val="000000" w:themeColor="text1"/>
        </w:rPr>
        <w:t>Berbuah</w:t>
      </w:r>
      <w:proofErr w:type="spellEnd"/>
      <w:r w:rsidR="006F2BE3" w:rsidRPr="00F83B6E">
        <w:rPr>
          <w:color w:val="000000" w:themeColor="text1"/>
        </w:rPr>
        <w:t xml:space="preserve"> or </w:t>
      </w:r>
      <w:proofErr w:type="spellStart"/>
      <w:r w:rsidR="006F2BE3" w:rsidRPr="00F83B6E">
        <w:rPr>
          <w:i/>
          <w:iCs/>
          <w:color w:val="000000" w:themeColor="text1"/>
        </w:rPr>
        <w:t>Bertumbuh</w:t>
      </w:r>
      <w:proofErr w:type="spellEnd"/>
      <w:r w:rsidR="006F2BE3" w:rsidRPr="00F83B6E">
        <w:rPr>
          <w:color w:val="000000" w:themeColor="text1"/>
        </w:rPr>
        <w:t xml:space="preserve"> grant can also apply and receive a </w:t>
      </w:r>
      <w:proofErr w:type="spellStart"/>
      <w:r w:rsidR="006F2BE3" w:rsidRPr="00F83B6E">
        <w:rPr>
          <w:i/>
          <w:iCs/>
          <w:color w:val="000000" w:themeColor="text1"/>
        </w:rPr>
        <w:t>Bertunas</w:t>
      </w:r>
      <w:proofErr w:type="spellEnd"/>
      <w:r w:rsidR="006F2BE3" w:rsidRPr="00F83B6E">
        <w:rPr>
          <w:color w:val="000000" w:themeColor="text1"/>
        </w:rPr>
        <w:t xml:space="preserve"> grant. As such, partnerships can apply for multiple grants. </w:t>
      </w:r>
    </w:p>
    <w:p w14:paraId="1AFDDC07" w14:textId="0B2375C2" w:rsidR="005E3E72" w:rsidRPr="00F83B6E" w:rsidRDefault="00147CA5" w:rsidP="00B91543">
      <w:pPr>
        <w:pStyle w:val="BodyText"/>
        <w:rPr>
          <w:color w:val="000000" w:themeColor="text1"/>
        </w:rPr>
        <w:sectPr w:rsidR="005E3E72" w:rsidRPr="00F83B6E" w:rsidSect="00A1247A">
          <w:pgSz w:w="11906" w:h="16838" w:code="9"/>
          <w:pgMar w:top="1418" w:right="851" w:bottom="1418" w:left="851" w:header="425" w:footer="493" w:gutter="567"/>
          <w:cols w:space="397"/>
          <w:titlePg/>
          <w:docGrid w:linePitch="360"/>
        </w:sectPr>
      </w:pPr>
      <w:r w:rsidRPr="00F83B6E">
        <w:rPr>
          <w:color w:val="000000" w:themeColor="text1"/>
        </w:rPr>
        <w:t xml:space="preserve">A </w:t>
      </w:r>
      <w:r w:rsidR="00376FCE" w:rsidRPr="00F83B6E">
        <w:rPr>
          <w:color w:val="000000" w:themeColor="text1"/>
        </w:rPr>
        <w:t>partnership</w:t>
      </w:r>
      <w:r w:rsidRPr="00F83B6E">
        <w:rPr>
          <w:color w:val="000000" w:themeColor="text1"/>
        </w:rPr>
        <w:t xml:space="preserve"> must include at least one Australian and one Indonesian knowledge organisations as co-leads. </w:t>
      </w:r>
      <w:r w:rsidR="00C7205D" w:rsidRPr="00F83B6E">
        <w:rPr>
          <w:color w:val="000000" w:themeColor="text1"/>
        </w:rPr>
        <w:t>Any type of organisation may be included in the partnership as member, however only the co-leads will be grant recipients.</w:t>
      </w:r>
      <w:r w:rsidR="00317B15" w:rsidRPr="00F83B6E">
        <w:rPr>
          <w:color w:val="000000" w:themeColor="text1"/>
        </w:rPr>
        <w:t xml:space="preserve"> Sub-contracting – i.e. a co-lead grantee providing some of the grant funds on to a partner or sub-contractor - will be permitted and must be clear in proposals and follow DFAT due diligence standa</w:t>
      </w:r>
      <w:r w:rsidR="008168B6" w:rsidRPr="00F83B6E">
        <w:rPr>
          <w:color w:val="000000" w:themeColor="text1"/>
        </w:rPr>
        <w:t>rds</w:t>
      </w:r>
      <w:r w:rsidR="00317B15" w:rsidRPr="00F83B6E">
        <w:rPr>
          <w:color w:val="000000" w:themeColor="text1"/>
        </w:rPr>
        <w:t>.</w:t>
      </w:r>
      <w:r w:rsidR="004736A5" w:rsidRPr="00F83B6E">
        <w:rPr>
          <w:color w:val="000000" w:themeColor="text1"/>
        </w:rPr>
        <w:t xml:space="preserve"> </w:t>
      </w:r>
      <w:r w:rsidR="006F2BE3" w:rsidRPr="00F83B6E">
        <w:rPr>
          <w:color w:val="000000" w:themeColor="text1"/>
        </w:rPr>
        <w:t xml:space="preserve">Organisations who are current recipient of </w:t>
      </w:r>
      <w:r w:rsidR="006B2DE3" w:rsidRPr="00F83B6E">
        <w:rPr>
          <w:color w:val="000000" w:themeColor="text1"/>
        </w:rPr>
        <w:t xml:space="preserve">Australian ODA </w:t>
      </w:r>
      <w:r w:rsidR="006F2BE3" w:rsidRPr="00F83B6E">
        <w:rPr>
          <w:color w:val="000000" w:themeColor="text1"/>
        </w:rPr>
        <w:t>funding (including KPP grant</w:t>
      </w:r>
      <w:r w:rsidR="002C2030" w:rsidRPr="00F83B6E">
        <w:rPr>
          <w:color w:val="000000" w:themeColor="text1"/>
        </w:rPr>
        <w:t>s</w:t>
      </w:r>
      <w:r w:rsidR="006F2BE3" w:rsidRPr="00F83B6E">
        <w:rPr>
          <w:color w:val="000000" w:themeColor="text1"/>
        </w:rPr>
        <w:t>) will need to disclose it and demonstrate how the KPP grant they apply for</w:t>
      </w:r>
      <w:r w:rsidR="00C7205D" w:rsidRPr="00F83B6E">
        <w:rPr>
          <w:color w:val="000000" w:themeColor="text1"/>
        </w:rPr>
        <w:t xml:space="preserve"> </w:t>
      </w:r>
      <w:r w:rsidR="006B2DE3" w:rsidRPr="00F83B6E">
        <w:rPr>
          <w:color w:val="000000" w:themeColor="text1"/>
        </w:rPr>
        <w:t xml:space="preserve">does not duplicate previous </w:t>
      </w:r>
      <w:r w:rsidR="00A8490C" w:rsidRPr="00F83B6E">
        <w:rPr>
          <w:color w:val="000000" w:themeColor="text1"/>
        </w:rPr>
        <w:t xml:space="preserve">Australian </w:t>
      </w:r>
      <w:r w:rsidR="006B2DE3" w:rsidRPr="00F83B6E">
        <w:rPr>
          <w:color w:val="000000" w:themeColor="text1"/>
        </w:rPr>
        <w:t>ODA funding</w:t>
      </w:r>
      <w:r w:rsidR="006F2BE3" w:rsidRPr="00F83B6E">
        <w:rPr>
          <w:color w:val="000000" w:themeColor="text1"/>
        </w:rPr>
        <w:t>.</w:t>
      </w:r>
      <w:r w:rsidR="00C73D3D" w:rsidRPr="00F83B6E">
        <w:rPr>
          <w:color w:val="000000" w:themeColor="text1"/>
        </w:rPr>
        <w:t xml:space="preserve"> There is no prescriptive duration for the grants, other than the research project</w:t>
      </w:r>
      <w:r w:rsidR="00FD3D08" w:rsidRPr="00F83B6E">
        <w:rPr>
          <w:color w:val="000000" w:themeColor="text1"/>
        </w:rPr>
        <w:t>s</w:t>
      </w:r>
      <w:r w:rsidR="00C73D3D" w:rsidRPr="00F83B6E">
        <w:rPr>
          <w:color w:val="000000" w:themeColor="text1"/>
        </w:rPr>
        <w:t xml:space="preserve"> need to be completed within the lifetime of KPP</w:t>
      </w:r>
      <w:r w:rsidR="00EF0E36" w:rsidRPr="00F83B6E">
        <w:rPr>
          <w:color w:val="000000" w:themeColor="text1"/>
        </w:rPr>
        <w:t>.</w:t>
      </w:r>
    </w:p>
    <w:p w14:paraId="3DDB6660" w14:textId="53FA6EE3" w:rsidR="00DE1D6F" w:rsidRPr="00F83B6E" w:rsidRDefault="00DE1D6F" w:rsidP="00BB0E4C">
      <w:pPr>
        <w:pStyle w:val="Caption"/>
        <w:ind w:left="0" w:firstLine="0"/>
        <w:rPr>
          <w:color w:val="000000" w:themeColor="text1"/>
        </w:rPr>
      </w:pPr>
      <w:r w:rsidRPr="00F83B6E">
        <w:rPr>
          <w:color w:val="000000" w:themeColor="text1"/>
        </w:rPr>
        <w:lastRenderedPageBreak/>
        <w:t xml:space="preserve">Figure </w:t>
      </w:r>
      <w:r w:rsidRPr="00F83B6E">
        <w:rPr>
          <w:color w:val="000000" w:themeColor="text1"/>
        </w:rPr>
        <w:fldChar w:fldCharType="begin"/>
      </w:r>
      <w:r w:rsidRPr="00F83B6E">
        <w:rPr>
          <w:color w:val="000000" w:themeColor="text1"/>
        </w:rPr>
        <w:instrText xml:space="preserve"> SEQ Figure \* ARABIC </w:instrText>
      </w:r>
      <w:r w:rsidRPr="00F83B6E">
        <w:rPr>
          <w:color w:val="000000" w:themeColor="text1"/>
        </w:rPr>
        <w:fldChar w:fldCharType="separate"/>
      </w:r>
      <w:r w:rsidR="00A578DF">
        <w:rPr>
          <w:noProof/>
          <w:color w:val="000000" w:themeColor="text1"/>
        </w:rPr>
        <w:t>4</w:t>
      </w:r>
      <w:r w:rsidRPr="00F83B6E">
        <w:rPr>
          <w:color w:val="000000" w:themeColor="text1"/>
        </w:rPr>
        <w:fldChar w:fldCharType="end"/>
      </w:r>
      <w:r w:rsidRPr="00F83B6E">
        <w:rPr>
          <w:color w:val="000000" w:themeColor="text1"/>
          <w:lang w:val="en-AU"/>
        </w:rPr>
        <w:t xml:space="preserve"> </w:t>
      </w:r>
      <w:r w:rsidRPr="00F83B6E">
        <w:rPr>
          <w:color w:val="000000" w:themeColor="text1"/>
          <w:lang w:val="en-AU"/>
        </w:rPr>
        <w:tab/>
        <w:t>Grant eligibility requirements</w:t>
      </w:r>
      <w:r w:rsidR="0090797A" w:rsidRPr="00F83B6E">
        <w:rPr>
          <w:color w:val="000000" w:themeColor="text1"/>
          <w:lang w:val="en-AU"/>
        </w:rPr>
        <w:t xml:space="preserve"> </w:t>
      </w:r>
    </w:p>
    <w:p w14:paraId="70C7142A" w14:textId="4DF072BA" w:rsidR="00B423B3" w:rsidRPr="00F83B6E" w:rsidRDefault="00512A9B" w:rsidP="00B91543">
      <w:pPr>
        <w:pStyle w:val="BodyText"/>
        <w:rPr>
          <w:b/>
          <w:bCs/>
          <w:noProof/>
          <w:color w:val="000000" w:themeColor="text1"/>
        </w:rPr>
      </w:pPr>
      <w:r w:rsidRPr="00F83B6E">
        <w:rPr>
          <w:b/>
          <w:bCs/>
          <w:noProof/>
          <w:color w:val="000000" w:themeColor="text1"/>
        </w:rPr>
        <w:t xml:space="preserve">Requirements for Bertunas (Seeding) Grants </w:t>
      </w:r>
    </w:p>
    <w:tbl>
      <w:tblPr>
        <w:tblStyle w:val="TableGrid"/>
        <w:tblW w:w="13992" w:type="dxa"/>
        <w:tblLook w:val="04A0" w:firstRow="1" w:lastRow="0" w:firstColumn="1" w:lastColumn="0" w:noHBand="0" w:noVBand="1"/>
      </w:tblPr>
      <w:tblGrid>
        <w:gridCol w:w="3397"/>
        <w:gridCol w:w="10595"/>
      </w:tblGrid>
      <w:tr w:rsidR="00F83B6E" w:rsidRPr="00F83B6E" w14:paraId="7C9ED463" w14:textId="77777777" w:rsidTr="00DA13CB">
        <w:trPr>
          <w:tblHeader/>
        </w:trPr>
        <w:tc>
          <w:tcPr>
            <w:tcW w:w="3397" w:type="dxa"/>
          </w:tcPr>
          <w:p w14:paraId="0562DA0E" w14:textId="5896F8C2" w:rsidR="00016AAD" w:rsidRPr="00F83B6E" w:rsidRDefault="00A23C79" w:rsidP="00016AAD">
            <w:pPr>
              <w:pStyle w:val="BodyText"/>
              <w:rPr>
                <w:b/>
                <w:bCs/>
                <w:color w:val="000000" w:themeColor="text1"/>
                <w:sz w:val="20"/>
                <w:szCs w:val="20"/>
              </w:rPr>
            </w:pPr>
            <w:bookmarkStart w:id="13" w:name="_Hlk146610595"/>
            <w:r w:rsidRPr="00F83B6E">
              <w:rPr>
                <w:b/>
                <w:bCs/>
                <w:color w:val="000000" w:themeColor="text1"/>
                <w:sz w:val="20"/>
                <w:szCs w:val="20"/>
              </w:rPr>
              <w:t>Component</w:t>
            </w:r>
          </w:p>
        </w:tc>
        <w:tc>
          <w:tcPr>
            <w:tcW w:w="10595" w:type="dxa"/>
            <w:shd w:val="clear" w:color="auto" w:fill="auto"/>
          </w:tcPr>
          <w:p w14:paraId="3C53F9B1" w14:textId="0AF54243" w:rsidR="00016AAD" w:rsidRPr="00F83B6E" w:rsidRDefault="00A23C79" w:rsidP="00016AAD">
            <w:pPr>
              <w:pStyle w:val="BodyText"/>
              <w:rPr>
                <w:b/>
                <w:bCs/>
                <w:color w:val="000000" w:themeColor="text1"/>
                <w:sz w:val="20"/>
                <w:szCs w:val="20"/>
              </w:rPr>
            </w:pPr>
            <w:r w:rsidRPr="00F83B6E">
              <w:rPr>
                <w:b/>
                <w:bCs/>
                <w:color w:val="000000" w:themeColor="text1"/>
                <w:sz w:val="20"/>
                <w:szCs w:val="20"/>
              </w:rPr>
              <w:t>Requirements</w:t>
            </w:r>
          </w:p>
        </w:tc>
      </w:tr>
      <w:tr w:rsidR="00F83B6E" w:rsidRPr="00F83B6E" w14:paraId="740D6F5B" w14:textId="77777777" w:rsidTr="009A2C9F">
        <w:tc>
          <w:tcPr>
            <w:tcW w:w="3397" w:type="dxa"/>
          </w:tcPr>
          <w:p w14:paraId="2FF04296" w14:textId="3708D20D" w:rsidR="00816FC9" w:rsidRPr="00F83B6E" w:rsidRDefault="00816FC9" w:rsidP="00816FC9">
            <w:pPr>
              <w:pStyle w:val="BodyText"/>
              <w:rPr>
                <w:color w:val="000000" w:themeColor="text1"/>
                <w:sz w:val="20"/>
                <w:szCs w:val="20"/>
              </w:rPr>
            </w:pPr>
            <w:r w:rsidRPr="00F83B6E">
              <w:rPr>
                <w:color w:val="000000" w:themeColor="text1"/>
                <w:sz w:val="20"/>
                <w:szCs w:val="20"/>
              </w:rPr>
              <w:t>Partnership composition</w:t>
            </w:r>
          </w:p>
        </w:tc>
        <w:tc>
          <w:tcPr>
            <w:tcW w:w="10595" w:type="dxa"/>
            <w:shd w:val="clear" w:color="auto" w:fill="auto"/>
          </w:tcPr>
          <w:p w14:paraId="686F0434" w14:textId="77777777" w:rsidR="00816FC9" w:rsidRPr="00F83B6E" w:rsidRDefault="00816FC9" w:rsidP="00816FC9">
            <w:pPr>
              <w:pStyle w:val="TableBullet1"/>
              <w:rPr>
                <w:color w:val="000000" w:themeColor="text1"/>
              </w:rPr>
            </w:pPr>
            <w:r w:rsidRPr="00F83B6E">
              <w:rPr>
                <w:color w:val="000000" w:themeColor="text1"/>
              </w:rPr>
              <w:t>At least 2 co-lead partner organisations (co-leads), including 1 Australian and 1 Indonesian registered in and originates from that country.</w:t>
            </w:r>
          </w:p>
          <w:p w14:paraId="060123AC" w14:textId="77777777" w:rsidR="00816FC9" w:rsidRPr="00F83B6E" w:rsidRDefault="00816FC9" w:rsidP="00816FC9">
            <w:pPr>
              <w:pStyle w:val="TableBullet1"/>
              <w:rPr>
                <w:color w:val="000000" w:themeColor="text1"/>
              </w:rPr>
            </w:pPr>
            <w:r w:rsidRPr="00F83B6E">
              <w:rPr>
                <w:color w:val="000000" w:themeColor="text1"/>
              </w:rPr>
              <w:t>Any type of organisation may be included in the partnership as a member, however only the co-leads will be grant recipients. Co-lead organisations may include social enterprises, non- profit organisations, academic and/or research institutions.</w:t>
            </w:r>
          </w:p>
          <w:p w14:paraId="2F373588" w14:textId="74C23CB9" w:rsidR="00816FC9" w:rsidRPr="00F83B6E" w:rsidRDefault="00816FC9" w:rsidP="00816FC9">
            <w:pPr>
              <w:pStyle w:val="TableBullet1"/>
              <w:numPr>
                <w:ilvl w:val="0"/>
                <w:numId w:val="0"/>
              </w:numPr>
              <w:ind w:left="171"/>
              <w:rPr>
                <w:color w:val="000000" w:themeColor="text1"/>
              </w:rPr>
            </w:pPr>
            <w:r w:rsidRPr="00F83B6E">
              <w:rPr>
                <w:color w:val="000000" w:themeColor="text1"/>
              </w:rPr>
              <w:t>International organisations registered in either country may be involved as co-leads or members, if the abovementioned co-leadership criterion is met.</w:t>
            </w:r>
          </w:p>
        </w:tc>
      </w:tr>
      <w:tr w:rsidR="00F83B6E" w:rsidRPr="00F83B6E" w14:paraId="177C635A" w14:textId="77777777" w:rsidTr="009A2C9F">
        <w:tc>
          <w:tcPr>
            <w:tcW w:w="3397" w:type="dxa"/>
          </w:tcPr>
          <w:p w14:paraId="7446D90A" w14:textId="61EC536F" w:rsidR="00816FC9" w:rsidRPr="00F83B6E" w:rsidRDefault="00816FC9" w:rsidP="00816FC9">
            <w:pPr>
              <w:pStyle w:val="BodyText"/>
              <w:rPr>
                <w:b/>
                <w:bCs/>
                <w:color w:val="000000" w:themeColor="text1"/>
                <w:sz w:val="20"/>
                <w:szCs w:val="20"/>
              </w:rPr>
            </w:pPr>
            <w:r w:rsidRPr="00F83B6E">
              <w:rPr>
                <w:color w:val="000000" w:themeColor="text1"/>
                <w:sz w:val="20"/>
                <w:szCs w:val="20"/>
              </w:rPr>
              <w:t>Due diligence</w:t>
            </w:r>
          </w:p>
        </w:tc>
        <w:tc>
          <w:tcPr>
            <w:tcW w:w="10595" w:type="dxa"/>
            <w:shd w:val="clear" w:color="auto" w:fill="auto"/>
          </w:tcPr>
          <w:p w14:paraId="5D01573B" w14:textId="2F34F9F9" w:rsidR="00816FC9" w:rsidRPr="00F83B6E" w:rsidRDefault="00816FC9" w:rsidP="00816FC9">
            <w:pPr>
              <w:pStyle w:val="BodyText"/>
              <w:rPr>
                <w:b/>
                <w:bCs/>
                <w:color w:val="000000" w:themeColor="text1"/>
                <w:sz w:val="20"/>
                <w:szCs w:val="20"/>
              </w:rPr>
            </w:pPr>
            <w:r w:rsidRPr="00F83B6E">
              <w:rPr>
                <w:color w:val="000000" w:themeColor="text1"/>
                <w:sz w:val="20"/>
                <w:szCs w:val="20"/>
              </w:rPr>
              <w:t xml:space="preserve">All funding recipients required to meet DFAT due diligence and integrity policy requirements, including ensuring that potential recipients: are not included on registers of ineligible firms and organisations, sanctions, or </w:t>
            </w:r>
            <w:r w:rsidRPr="00F83B6E">
              <w:rPr>
                <w:rFonts w:cs="MuseoSans-500"/>
                <w:color w:val="000000" w:themeColor="text1"/>
                <w:sz w:val="20"/>
                <w:szCs w:val="20"/>
                <w:u w:color="0070C0"/>
              </w:rPr>
              <w:t>t</w:t>
            </w:r>
            <w:r w:rsidRPr="00F83B6E">
              <w:rPr>
                <w:color w:val="000000" w:themeColor="text1"/>
                <w:sz w:val="20"/>
                <w:szCs w:val="20"/>
              </w:rPr>
              <w:t xml:space="preserve">errorist organisations; </w:t>
            </w:r>
            <w:r w:rsidRPr="00F83B6E">
              <w:rPr>
                <w:rFonts w:cs="MuseoSans-500"/>
                <w:color w:val="000000" w:themeColor="text1"/>
                <w:sz w:val="20"/>
                <w:szCs w:val="20"/>
                <w:u w:color="0070C0"/>
              </w:rPr>
              <w:t xml:space="preserve">have appropriate financial controls and systems in place including </w:t>
            </w:r>
            <w:r w:rsidRPr="00F83B6E">
              <w:rPr>
                <w:color w:val="000000" w:themeColor="text1"/>
                <w:sz w:val="20"/>
                <w:szCs w:val="20"/>
              </w:rPr>
              <w:t xml:space="preserve">to mitigate and manage the risk of fraud and corruption; have policies, procedures and practices to safeguard children that comply with </w:t>
            </w:r>
            <w:hyperlink r:id="rId16" w:history="1">
              <w:r w:rsidRPr="00F83B6E">
                <w:rPr>
                  <w:rStyle w:val="Hyperlink"/>
                  <w:rFonts w:ascii="Calibri Light" w:hAnsi="Calibri Light"/>
                  <w:color w:val="000000" w:themeColor="text1"/>
                  <w:sz w:val="20"/>
                  <w:szCs w:val="20"/>
                  <w:u w:val="none"/>
                </w:rPr>
                <w:t>DFAT’s Child Protection Policy</w:t>
              </w:r>
            </w:hyperlink>
            <w:r w:rsidRPr="00F83B6E">
              <w:rPr>
                <w:color w:val="000000" w:themeColor="text1"/>
                <w:sz w:val="20"/>
                <w:szCs w:val="20"/>
              </w:rPr>
              <w:t xml:space="preserve">; have policies and procedures which comply with DFATs </w:t>
            </w:r>
            <w:r w:rsidRPr="00F83B6E">
              <w:rPr>
                <w:rFonts w:cs="MuseoSans-500"/>
                <w:color w:val="000000" w:themeColor="text1"/>
                <w:sz w:val="20"/>
                <w:szCs w:val="20"/>
                <w:u w:color="0070C0"/>
              </w:rPr>
              <w:t xml:space="preserve">prevention of sexual exploitation, abuse and harassment </w:t>
            </w:r>
            <w:r w:rsidRPr="00F83B6E">
              <w:rPr>
                <w:color w:val="000000" w:themeColor="text1"/>
                <w:sz w:val="20"/>
                <w:szCs w:val="20"/>
              </w:rPr>
              <w:t>(PSEAH) policy; and meet any other necessary requirements of DFAT’s safeguarding policies that may be relevant to the grant focus.</w:t>
            </w:r>
          </w:p>
        </w:tc>
      </w:tr>
      <w:tr w:rsidR="00F83B6E" w:rsidRPr="00F83B6E" w14:paraId="04B3E76C" w14:textId="77777777" w:rsidTr="009A2C9F">
        <w:tc>
          <w:tcPr>
            <w:tcW w:w="3397" w:type="dxa"/>
          </w:tcPr>
          <w:p w14:paraId="19FC4346" w14:textId="4249BA17" w:rsidR="00816FC9" w:rsidRPr="00F83B6E" w:rsidRDefault="00816FC9" w:rsidP="00816FC9">
            <w:pPr>
              <w:pStyle w:val="BodyText"/>
              <w:rPr>
                <w:b/>
                <w:bCs/>
                <w:color w:val="000000" w:themeColor="text1"/>
                <w:sz w:val="20"/>
                <w:szCs w:val="20"/>
              </w:rPr>
            </w:pPr>
            <w:r w:rsidRPr="00F83B6E">
              <w:rPr>
                <w:color w:val="000000" w:themeColor="text1"/>
                <w:sz w:val="20"/>
                <w:szCs w:val="20"/>
              </w:rPr>
              <w:t>Diversity and inclusion</w:t>
            </w:r>
          </w:p>
        </w:tc>
        <w:tc>
          <w:tcPr>
            <w:tcW w:w="10595" w:type="dxa"/>
            <w:shd w:val="clear" w:color="auto" w:fill="auto"/>
          </w:tcPr>
          <w:p w14:paraId="1E668C6B" w14:textId="77777777" w:rsidR="00816FC9" w:rsidRPr="00F83B6E" w:rsidRDefault="00816FC9" w:rsidP="00816FC9">
            <w:pPr>
              <w:pStyle w:val="TableText"/>
              <w:ind w:left="28" w:right="35"/>
              <w:rPr>
                <w:color w:val="000000" w:themeColor="text1"/>
                <w:lang w:val="en-AU"/>
              </w:rPr>
            </w:pPr>
            <w:r w:rsidRPr="00F83B6E">
              <w:rPr>
                <w:color w:val="000000" w:themeColor="text1"/>
                <w:lang w:val="en-AU"/>
              </w:rPr>
              <w:t>Partnership demonstrates commitment to the principles of diversity and inclusion through:</w:t>
            </w:r>
          </w:p>
          <w:p w14:paraId="63D1ED05" w14:textId="77777777" w:rsidR="00816FC9" w:rsidRPr="00F83B6E" w:rsidRDefault="00816FC9" w:rsidP="00816FC9">
            <w:pPr>
              <w:pStyle w:val="TableBullet1"/>
              <w:rPr>
                <w:color w:val="000000" w:themeColor="text1"/>
              </w:rPr>
            </w:pPr>
            <w:r w:rsidRPr="00F83B6E">
              <w:rPr>
                <w:color w:val="000000" w:themeColor="text1"/>
              </w:rPr>
              <w:t>Reference to D&amp;I in partnership charter/agreement (when existing)</w:t>
            </w:r>
          </w:p>
          <w:p w14:paraId="7DAD8428" w14:textId="462A6783" w:rsidR="00816FC9" w:rsidRPr="00F83B6E" w:rsidRDefault="00816FC9" w:rsidP="00816FC9">
            <w:pPr>
              <w:pStyle w:val="TableBullet1"/>
              <w:rPr>
                <w:color w:val="000000" w:themeColor="text1"/>
              </w:rPr>
            </w:pPr>
            <w:r w:rsidRPr="00F83B6E">
              <w:rPr>
                <w:color w:val="000000" w:themeColor="text1"/>
              </w:rPr>
              <w:t>Diverse composition of lead partners’ board and senior management teams (including representation of women)</w:t>
            </w:r>
          </w:p>
        </w:tc>
      </w:tr>
      <w:tr w:rsidR="00F83B6E" w:rsidRPr="00F83B6E" w14:paraId="72448AA7" w14:textId="77777777" w:rsidTr="00016AAD">
        <w:tc>
          <w:tcPr>
            <w:tcW w:w="3397" w:type="dxa"/>
          </w:tcPr>
          <w:p w14:paraId="04C1DB80" w14:textId="2174EC5C" w:rsidR="00816FC9" w:rsidRPr="00F83B6E" w:rsidRDefault="00816FC9" w:rsidP="00816FC9">
            <w:pPr>
              <w:pStyle w:val="BodyText"/>
              <w:rPr>
                <w:b/>
                <w:bCs/>
                <w:color w:val="000000" w:themeColor="text1"/>
                <w:sz w:val="20"/>
                <w:szCs w:val="20"/>
              </w:rPr>
            </w:pPr>
            <w:r w:rsidRPr="00F83B6E">
              <w:rPr>
                <w:color w:val="000000" w:themeColor="text1"/>
                <w:sz w:val="20"/>
                <w:szCs w:val="20"/>
              </w:rPr>
              <w:t>Partnership history between co-leads</w:t>
            </w:r>
          </w:p>
        </w:tc>
        <w:tc>
          <w:tcPr>
            <w:tcW w:w="10595" w:type="dxa"/>
          </w:tcPr>
          <w:p w14:paraId="1C0E78FF" w14:textId="7BFDA4EF" w:rsidR="00816FC9" w:rsidRPr="00F83B6E" w:rsidRDefault="00816FC9" w:rsidP="00816FC9">
            <w:pPr>
              <w:pStyle w:val="BodyText"/>
              <w:rPr>
                <w:b/>
                <w:bCs/>
                <w:color w:val="000000" w:themeColor="text1"/>
                <w:sz w:val="20"/>
                <w:szCs w:val="20"/>
              </w:rPr>
            </w:pPr>
            <w:r w:rsidRPr="00F83B6E">
              <w:rPr>
                <w:color w:val="000000" w:themeColor="text1"/>
                <w:sz w:val="20"/>
                <w:szCs w:val="20"/>
              </w:rPr>
              <w:t>Evidence of previous engagement between co-leads, for example, in a small project, as members of a larger consortium, or through alumni connections</w:t>
            </w:r>
          </w:p>
        </w:tc>
      </w:tr>
      <w:tr w:rsidR="00816FC9" w:rsidRPr="00F83B6E" w14:paraId="5535C69C" w14:textId="77777777" w:rsidTr="00016AAD">
        <w:tc>
          <w:tcPr>
            <w:tcW w:w="3397" w:type="dxa"/>
          </w:tcPr>
          <w:p w14:paraId="3599D8E7" w14:textId="0B113853" w:rsidR="00816FC9" w:rsidRPr="00F83B6E" w:rsidRDefault="00816FC9" w:rsidP="00816FC9">
            <w:pPr>
              <w:pStyle w:val="BodyText"/>
              <w:rPr>
                <w:color w:val="000000" w:themeColor="text1"/>
                <w:sz w:val="20"/>
                <w:szCs w:val="20"/>
              </w:rPr>
            </w:pPr>
            <w:r w:rsidRPr="00F83B6E">
              <w:rPr>
                <w:color w:val="000000" w:themeColor="text1"/>
                <w:sz w:val="20"/>
                <w:szCs w:val="20"/>
              </w:rPr>
              <w:t>Co-funding</w:t>
            </w:r>
          </w:p>
        </w:tc>
        <w:tc>
          <w:tcPr>
            <w:tcW w:w="10595" w:type="dxa"/>
          </w:tcPr>
          <w:p w14:paraId="6A22D442" w14:textId="32E6553F" w:rsidR="00816FC9" w:rsidRPr="00F83B6E" w:rsidRDefault="00816FC9" w:rsidP="00816FC9">
            <w:pPr>
              <w:pStyle w:val="BodyText"/>
              <w:rPr>
                <w:b/>
                <w:bCs/>
                <w:color w:val="000000" w:themeColor="text1"/>
                <w:sz w:val="20"/>
                <w:szCs w:val="20"/>
              </w:rPr>
            </w:pPr>
            <w:r w:rsidRPr="00F83B6E">
              <w:rPr>
                <w:color w:val="000000" w:themeColor="text1"/>
                <w:sz w:val="20"/>
                <w:szCs w:val="20"/>
              </w:rPr>
              <w:t>N/A</w:t>
            </w:r>
          </w:p>
        </w:tc>
      </w:tr>
      <w:bookmarkEnd w:id="13"/>
    </w:tbl>
    <w:p w14:paraId="49B2D4E9" w14:textId="77777777" w:rsidR="00512A9B" w:rsidRPr="00F83B6E" w:rsidRDefault="00512A9B" w:rsidP="00B91543">
      <w:pPr>
        <w:pStyle w:val="BodyText"/>
        <w:rPr>
          <w:b/>
          <w:bCs/>
          <w:color w:val="000000" w:themeColor="text1"/>
        </w:rPr>
      </w:pPr>
    </w:p>
    <w:p w14:paraId="2724588D" w14:textId="77777777" w:rsidR="00A36E9C" w:rsidRPr="00F83B6E" w:rsidRDefault="00A36E9C" w:rsidP="00B91543">
      <w:pPr>
        <w:pStyle w:val="BodyText"/>
        <w:rPr>
          <w:b/>
          <w:bCs/>
          <w:color w:val="000000" w:themeColor="text1"/>
        </w:rPr>
      </w:pPr>
    </w:p>
    <w:p w14:paraId="3698679C" w14:textId="77777777" w:rsidR="00A36E9C" w:rsidRPr="00F83B6E" w:rsidRDefault="00A36E9C" w:rsidP="00B91543">
      <w:pPr>
        <w:pStyle w:val="BodyText"/>
        <w:rPr>
          <w:b/>
          <w:bCs/>
          <w:color w:val="000000" w:themeColor="text1"/>
        </w:rPr>
      </w:pPr>
    </w:p>
    <w:p w14:paraId="726AB508" w14:textId="3865DB3C" w:rsidR="009A2C9F" w:rsidRPr="00F83B6E" w:rsidRDefault="009A2C9F" w:rsidP="00B91543">
      <w:pPr>
        <w:pStyle w:val="BodyText"/>
        <w:rPr>
          <w:b/>
          <w:bCs/>
          <w:color w:val="000000" w:themeColor="text1"/>
        </w:rPr>
      </w:pPr>
      <w:r w:rsidRPr="00F83B6E">
        <w:rPr>
          <w:b/>
          <w:bCs/>
          <w:color w:val="000000" w:themeColor="text1"/>
        </w:rPr>
        <w:lastRenderedPageBreak/>
        <w:t xml:space="preserve">Requirements for </w:t>
      </w:r>
      <w:proofErr w:type="spellStart"/>
      <w:r w:rsidRPr="00F83B6E">
        <w:rPr>
          <w:b/>
          <w:bCs/>
          <w:color w:val="000000" w:themeColor="text1"/>
        </w:rPr>
        <w:t>Bertumbuh</w:t>
      </w:r>
      <w:proofErr w:type="spellEnd"/>
      <w:r w:rsidRPr="00F83B6E">
        <w:rPr>
          <w:b/>
          <w:bCs/>
          <w:color w:val="000000" w:themeColor="text1"/>
        </w:rPr>
        <w:t xml:space="preserve"> (Growing) Grants </w:t>
      </w:r>
    </w:p>
    <w:tbl>
      <w:tblPr>
        <w:tblStyle w:val="TableGrid"/>
        <w:tblW w:w="13992" w:type="dxa"/>
        <w:tblLook w:val="04A0" w:firstRow="1" w:lastRow="0" w:firstColumn="1" w:lastColumn="0" w:noHBand="0" w:noVBand="1"/>
      </w:tblPr>
      <w:tblGrid>
        <w:gridCol w:w="3397"/>
        <w:gridCol w:w="10595"/>
      </w:tblGrid>
      <w:tr w:rsidR="00F83B6E" w:rsidRPr="00F83B6E" w14:paraId="6161DDC4" w14:textId="77777777" w:rsidTr="00DA13CB">
        <w:trPr>
          <w:tblHeader/>
        </w:trPr>
        <w:tc>
          <w:tcPr>
            <w:tcW w:w="3397" w:type="dxa"/>
          </w:tcPr>
          <w:p w14:paraId="39125923" w14:textId="67F030A6" w:rsidR="00A23C79" w:rsidRPr="00F83B6E" w:rsidRDefault="00A23C79" w:rsidP="00DA13CB">
            <w:pPr>
              <w:pStyle w:val="BodyText"/>
              <w:spacing w:before="0" w:line="240" w:lineRule="auto"/>
              <w:rPr>
                <w:b/>
                <w:bCs/>
                <w:color w:val="000000" w:themeColor="text1"/>
                <w:sz w:val="20"/>
                <w:szCs w:val="20"/>
              </w:rPr>
            </w:pPr>
            <w:r w:rsidRPr="00F83B6E">
              <w:rPr>
                <w:b/>
                <w:bCs/>
                <w:color w:val="000000" w:themeColor="text1"/>
                <w:sz w:val="20"/>
                <w:szCs w:val="20"/>
              </w:rPr>
              <w:t>Component</w:t>
            </w:r>
          </w:p>
        </w:tc>
        <w:tc>
          <w:tcPr>
            <w:tcW w:w="10595" w:type="dxa"/>
            <w:shd w:val="clear" w:color="auto" w:fill="auto"/>
          </w:tcPr>
          <w:p w14:paraId="0FF266E3" w14:textId="6F64392E" w:rsidR="00A23C79" w:rsidRPr="00F83B6E" w:rsidRDefault="00A23C79" w:rsidP="00A23C79">
            <w:pPr>
              <w:pStyle w:val="TableBullet1"/>
              <w:numPr>
                <w:ilvl w:val="0"/>
                <w:numId w:val="0"/>
              </w:numPr>
              <w:spacing w:line="240" w:lineRule="auto"/>
              <w:ind w:left="171" w:hanging="141"/>
              <w:rPr>
                <w:b/>
                <w:bCs/>
                <w:color w:val="000000" w:themeColor="text1"/>
              </w:rPr>
            </w:pPr>
            <w:r w:rsidRPr="00F83B6E">
              <w:rPr>
                <w:b/>
                <w:bCs/>
                <w:color w:val="000000" w:themeColor="text1"/>
              </w:rPr>
              <w:t>Requirements</w:t>
            </w:r>
          </w:p>
        </w:tc>
      </w:tr>
      <w:tr w:rsidR="00F83B6E" w:rsidRPr="00F83B6E" w14:paraId="3008A180" w14:textId="77777777" w:rsidTr="003839B1">
        <w:tc>
          <w:tcPr>
            <w:tcW w:w="3397" w:type="dxa"/>
          </w:tcPr>
          <w:p w14:paraId="066A8EBA" w14:textId="77777777" w:rsidR="00A36E9C" w:rsidRPr="00F83B6E" w:rsidRDefault="00A36E9C" w:rsidP="003839B1">
            <w:pPr>
              <w:pStyle w:val="BodyText"/>
              <w:rPr>
                <w:b/>
                <w:bCs/>
                <w:color w:val="000000" w:themeColor="text1"/>
                <w:sz w:val="20"/>
                <w:szCs w:val="20"/>
              </w:rPr>
            </w:pPr>
            <w:bookmarkStart w:id="14" w:name="_Hlk146610698"/>
            <w:r w:rsidRPr="00F83B6E">
              <w:rPr>
                <w:color w:val="000000" w:themeColor="text1"/>
                <w:sz w:val="20"/>
                <w:szCs w:val="20"/>
              </w:rPr>
              <w:t>Partnership composition</w:t>
            </w:r>
          </w:p>
        </w:tc>
        <w:tc>
          <w:tcPr>
            <w:tcW w:w="10595" w:type="dxa"/>
            <w:shd w:val="clear" w:color="auto" w:fill="auto"/>
          </w:tcPr>
          <w:p w14:paraId="40F21A83" w14:textId="77777777" w:rsidR="00A36E9C" w:rsidRPr="00F83B6E" w:rsidRDefault="00A36E9C" w:rsidP="003839B1">
            <w:pPr>
              <w:pStyle w:val="TableBullet1"/>
              <w:rPr>
                <w:color w:val="000000" w:themeColor="text1"/>
              </w:rPr>
            </w:pPr>
            <w:r w:rsidRPr="00F83B6E">
              <w:rPr>
                <w:color w:val="000000" w:themeColor="text1"/>
              </w:rPr>
              <w:t>At least 2 co-lead partner organisations (co-leads), including 1 Australian and 1 Indonesian registered in and originates from that country.</w:t>
            </w:r>
          </w:p>
          <w:p w14:paraId="256F51AE" w14:textId="77777777" w:rsidR="002B3EAE" w:rsidRPr="00F83B6E" w:rsidRDefault="00A36E9C" w:rsidP="003839B1">
            <w:pPr>
              <w:pStyle w:val="TableBullet1"/>
              <w:rPr>
                <w:color w:val="000000" w:themeColor="text1"/>
              </w:rPr>
            </w:pPr>
            <w:r w:rsidRPr="00F83B6E">
              <w:rPr>
                <w:color w:val="000000" w:themeColor="text1"/>
              </w:rPr>
              <w:t>Any type of organisation may be included in the partnership as a member, however only the co-leads will be grant recipients. Co-lead organisations may include social enterprises, non- profit organisations, academic and/or research institutions.</w:t>
            </w:r>
          </w:p>
          <w:p w14:paraId="66DC6481" w14:textId="019DFFE9" w:rsidR="00A36E9C" w:rsidRPr="00F83B6E" w:rsidRDefault="00A36E9C" w:rsidP="003839B1">
            <w:pPr>
              <w:pStyle w:val="TableBullet1"/>
              <w:rPr>
                <w:color w:val="000000" w:themeColor="text1"/>
              </w:rPr>
            </w:pPr>
            <w:r w:rsidRPr="00F83B6E">
              <w:rPr>
                <w:color w:val="000000" w:themeColor="text1"/>
              </w:rPr>
              <w:t>International organisations registered in either country may be involved as co-leads or members, if the abovementioned co-leadership criterion is met.</w:t>
            </w:r>
          </w:p>
        </w:tc>
      </w:tr>
      <w:tr w:rsidR="00F83B6E" w:rsidRPr="00F83B6E" w14:paraId="62552C73" w14:textId="77777777" w:rsidTr="003839B1">
        <w:tc>
          <w:tcPr>
            <w:tcW w:w="3397" w:type="dxa"/>
          </w:tcPr>
          <w:p w14:paraId="56286FE9" w14:textId="77777777" w:rsidR="00A36E9C" w:rsidRPr="00F83B6E" w:rsidRDefault="00A36E9C" w:rsidP="003839B1">
            <w:pPr>
              <w:pStyle w:val="BodyText"/>
              <w:rPr>
                <w:b/>
                <w:bCs/>
                <w:color w:val="000000" w:themeColor="text1"/>
                <w:sz w:val="20"/>
                <w:szCs w:val="20"/>
              </w:rPr>
            </w:pPr>
            <w:r w:rsidRPr="00F83B6E">
              <w:rPr>
                <w:color w:val="000000" w:themeColor="text1"/>
                <w:sz w:val="20"/>
                <w:szCs w:val="20"/>
              </w:rPr>
              <w:t>Due diligence</w:t>
            </w:r>
          </w:p>
        </w:tc>
        <w:tc>
          <w:tcPr>
            <w:tcW w:w="10595" w:type="dxa"/>
            <w:shd w:val="clear" w:color="auto" w:fill="auto"/>
          </w:tcPr>
          <w:p w14:paraId="685A1143" w14:textId="77777777" w:rsidR="00A36E9C" w:rsidRPr="00F83B6E" w:rsidRDefault="00A36E9C" w:rsidP="003839B1">
            <w:pPr>
              <w:pStyle w:val="BodyText"/>
              <w:rPr>
                <w:b/>
                <w:bCs/>
                <w:color w:val="000000" w:themeColor="text1"/>
                <w:sz w:val="20"/>
                <w:szCs w:val="20"/>
              </w:rPr>
            </w:pPr>
            <w:r w:rsidRPr="00F83B6E">
              <w:rPr>
                <w:color w:val="000000" w:themeColor="text1"/>
                <w:sz w:val="20"/>
                <w:szCs w:val="20"/>
              </w:rPr>
              <w:t xml:space="preserve">All funding recipients required to meet DFAT due diligence and integrity policy requirements, including ensuring that potential recipients: are not included on registers of ineligible firms and organisations, sanctions, or </w:t>
            </w:r>
            <w:r w:rsidRPr="00F83B6E">
              <w:rPr>
                <w:rFonts w:cs="MuseoSans-500"/>
                <w:color w:val="000000" w:themeColor="text1"/>
                <w:sz w:val="20"/>
                <w:szCs w:val="20"/>
                <w:u w:color="0070C0"/>
              </w:rPr>
              <w:t>t</w:t>
            </w:r>
            <w:r w:rsidRPr="00F83B6E">
              <w:rPr>
                <w:color w:val="000000" w:themeColor="text1"/>
                <w:sz w:val="20"/>
                <w:szCs w:val="20"/>
              </w:rPr>
              <w:t xml:space="preserve">errorist organisations; </w:t>
            </w:r>
            <w:r w:rsidRPr="00F83B6E">
              <w:rPr>
                <w:rFonts w:cs="MuseoSans-500"/>
                <w:color w:val="000000" w:themeColor="text1"/>
                <w:sz w:val="20"/>
                <w:szCs w:val="20"/>
                <w:u w:color="0070C0"/>
              </w:rPr>
              <w:t xml:space="preserve">have appropriate financial controls and systems in place including </w:t>
            </w:r>
            <w:r w:rsidRPr="00F83B6E">
              <w:rPr>
                <w:color w:val="000000" w:themeColor="text1"/>
                <w:sz w:val="20"/>
                <w:szCs w:val="20"/>
              </w:rPr>
              <w:t xml:space="preserve">to mitigate and manage the risk of fraud and corruption; have policies, procedures and practices to safeguard children that comply with </w:t>
            </w:r>
            <w:hyperlink r:id="rId17" w:history="1">
              <w:r w:rsidRPr="00F83B6E">
                <w:rPr>
                  <w:rStyle w:val="Hyperlink"/>
                  <w:rFonts w:ascii="Calibri Light" w:hAnsi="Calibri Light"/>
                  <w:color w:val="000000" w:themeColor="text1"/>
                  <w:sz w:val="20"/>
                  <w:szCs w:val="20"/>
                  <w:u w:val="none"/>
                </w:rPr>
                <w:t>DFAT’s Child Protection Policy</w:t>
              </w:r>
            </w:hyperlink>
            <w:r w:rsidRPr="00F83B6E">
              <w:rPr>
                <w:color w:val="000000" w:themeColor="text1"/>
                <w:sz w:val="20"/>
                <w:szCs w:val="20"/>
              </w:rPr>
              <w:t xml:space="preserve">; have policies and procedures which comply with DFATs </w:t>
            </w:r>
            <w:r w:rsidRPr="00F83B6E">
              <w:rPr>
                <w:rFonts w:cs="MuseoSans-500"/>
                <w:color w:val="000000" w:themeColor="text1"/>
                <w:sz w:val="20"/>
                <w:szCs w:val="20"/>
                <w:u w:color="0070C0"/>
              </w:rPr>
              <w:t xml:space="preserve">prevention of sexual exploitation, abuse and harassment </w:t>
            </w:r>
            <w:r w:rsidRPr="00F83B6E">
              <w:rPr>
                <w:color w:val="000000" w:themeColor="text1"/>
                <w:sz w:val="20"/>
                <w:szCs w:val="20"/>
              </w:rPr>
              <w:t>(PSEAH) policy; and meet any other necessary requirements of DFAT’s safeguarding policies that may be relevant to the grant focus.</w:t>
            </w:r>
          </w:p>
        </w:tc>
      </w:tr>
      <w:tr w:rsidR="00F83B6E" w:rsidRPr="00F83B6E" w14:paraId="19AC306E" w14:textId="77777777" w:rsidTr="003839B1">
        <w:tc>
          <w:tcPr>
            <w:tcW w:w="3397" w:type="dxa"/>
          </w:tcPr>
          <w:p w14:paraId="7897344E" w14:textId="77777777" w:rsidR="00A36E9C" w:rsidRPr="00F83B6E" w:rsidRDefault="00A36E9C" w:rsidP="003839B1">
            <w:pPr>
              <w:pStyle w:val="BodyText"/>
              <w:rPr>
                <w:b/>
                <w:bCs/>
                <w:color w:val="000000" w:themeColor="text1"/>
                <w:sz w:val="20"/>
                <w:szCs w:val="20"/>
              </w:rPr>
            </w:pPr>
            <w:r w:rsidRPr="00F83B6E">
              <w:rPr>
                <w:color w:val="000000" w:themeColor="text1"/>
                <w:sz w:val="20"/>
                <w:szCs w:val="20"/>
              </w:rPr>
              <w:t>Diversity and inclusion</w:t>
            </w:r>
          </w:p>
        </w:tc>
        <w:tc>
          <w:tcPr>
            <w:tcW w:w="10595" w:type="dxa"/>
            <w:shd w:val="clear" w:color="auto" w:fill="auto"/>
          </w:tcPr>
          <w:p w14:paraId="5BBE9031" w14:textId="77777777" w:rsidR="00A36E9C" w:rsidRPr="00F83B6E" w:rsidRDefault="00A36E9C" w:rsidP="003839B1">
            <w:pPr>
              <w:pStyle w:val="TableText"/>
              <w:ind w:left="28" w:right="35"/>
              <w:rPr>
                <w:color w:val="000000" w:themeColor="text1"/>
                <w:lang w:val="en-AU"/>
              </w:rPr>
            </w:pPr>
            <w:r w:rsidRPr="00F83B6E">
              <w:rPr>
                <w:color w:val="000000" w:themeColor="text1"/>
                <w:lang w:val="en-AU"/>
              </w:rPr>
              <w:t>Partnership demonstrates commitment to the principles of diversity and inclusion through:</w:t>
            </w:r>
          </w:p>
          <w:p w14:paraId="7CC79742" w14:textId="77777777" w:rsidR="008C6E26" w:rsidRPr="00F83B6E" w:rsidRDefault="00A36E9C" w:rsidP="003839B1">
            <w:pPr>
              <w:pStyle w:val="TableBullet1"/>
              <w:rPr>
                <w:color w:val="000000" w:themeColor="text1"/>
              </w:rPr>
            </w:pPr>
            <w:r w:rsidRPr="00F83B6E">
              <w:rPr>
                <w:color w:val="000000" w:themeColor="text1"/>
              </w:rPr>
              <w:t>Reference to D&amp;I in partnership charter/agreement (when existing)</w:t>
            </w:r>
          </w:p>
          <w:p w14:paraId="1B25F171" w14:textId="590054F1" w:rsidR="00A36E9C" w:rsidRPr="00F83B6E" w:rsidRDefault="00A36E9C" w:rsidP="003839B1">
            <w:pPr>
              <w:pStyle w:val="TableBullet1"/>
              <w:rPr>
                <w:color w:val="000000" w:themeColor="text1"/>
              </w:rPr>
            </w:pPr>
            <w:r w:rsidRPr="00F83B6E">
              <w:rPr>
                <w:color w:val="000000" w:themeColor="text1"/>
              </w:rPr>
              <w:t>Diverse composition of lead partners’ board and senior management teams (including representation of women)</w:t>
            </w:r>
          </w:p>
        </w:tc>
      </w:tr>
      <w:tr w:rsidR="00F83B6E" w:rsidRPr="00F83B6E" w14:paraId="038463C0" w14:textId="77777777" w:rsidTr="003839B1">
        <w:tc>
          <w:tcPr>
            <w:tcW w:w="3397" w:type="dxa"/>
          </w:tcPr>
          <w:p w14:paraId="7DCA9E29" w14:textId="77777777" w:rsidR="00A36E9C" w:rsidRPr="00F83B6E" w:rsidRDefault="00A36E9C" w:rsidP="003839B1">
            <w:pPr>
              <w:pStyle w:val="BodyText"/>
              <w:rPr>
                <w:b/>
                <w:bCs/>
                <w:color w:val="000000" w:themeColor="text1"/>
                <w:sz w:val="20"/>
                <w:szCs w:val="20"/>
              </w:rPr>
            </w:pPr>
            <w:r w:rsidRPr="00F83B6E">
              <w:rPr>
                <w:color w:val="000000" w:themeColor="text1"/>
                <w:sz w:val="20"/>
                <w:szCs w:val="20"/>
              </w:rPr>
              <w:t>Partnership history between co-leads</w:t>
            </w:r>
          </w:p>
        </w:tc>
        <w:tc>
          <w:tcPr>
            <w:tcW w:w="10595" w:type="dxa"/>
          </w:tcPr>
          <w:p w14:paraId="5DD07A2F" w14:textId="77777777" w:rsidR="008C6E26" w:rsidRPr="00F83B6E" w:rsidRDefault="002B3EAE" w:rsidP="008C6E26">
            <w:pPr>
              <w:pStyle w:val="BodyText"/>
              <w:rPr>
                <w:color w:val="000000" w:themeColor="text1"/>
                <w:sz w:val="20"/>
                <w:szCs w:val="20"/>
              </w:rPr>
            </w:pPr>
            <w:r w:rsidRPr="00F83B6E">
              <w:rPr>
                <w:b/>
                <w:bCs/>
                <w:color w:val="000000" w:themeColor="text1"/>
                <w:sz w:val="20"/>
                <w:szCs w:val="20"/>
              </w:rPr>
              <w:t>-</w:t>
            </w:r>
            <w:r w:rsidRPr="00F83B6E">
              <w:rPr>
                <w:b/>
                <w:bCs/>
                <w:color w:val="000000" w:themeColor="text1"/>
                <w:sz w:val="20"/>
                <w:szCs w:val="20"/>
              </w:rPr>
              <w:tab/>
            </w:r>
            <w:r w:rsidRPr="00F83B6E">
              <w:rPr>
                <w:color w:val="000000" w:themeColor="text1"/>
                <w:sz w:val="20"/>
                <w:szCs w:val="20"/>
              </w:rPr>
              <w:t>Partnership between co-leads exists prior to KPP (2022), formalised through an agreement (for example partnership charter or MoU)</w:t>
            </w:r>
          </w:p>
          <w:p w14:paraId="61227F8E" w14:textId="3E9B1063" w:rsidR="00A36E9C" w:rsidRPr="00F83B6E" w:rsidRDefault="002B3EAE" w:rsidP="008C6E26">
            <w:pPr>
              <w:pStyle w:val="BodyText"/>
              <w:rPr>
                <w:b/>
                <w:bCs/>
                <w:color w:val="000000" w:themeColor="text1"/>
                <w:sz w:val="20"/>
                <w:szCs w:val="20"/>
              </w:rPr>
            </w:pPr>
            <w:r w:rsidRPr="00F83B6E">
              <w:rPr>
                <w:color w:val="000000" w:themeColor="text1"/>
                <w:sz w:val="20"/>
                <w:szCs w:val="20"/>
              </w:rPr>
              <w:t>-</w:t>
            </w:r>
            <w:r w:rsidRPr="00F83B6E">
              <w:rPr>
                <w:color w:val="000000" w:themeColor="text1"/>
                <w:sz w:val="20"/>
                <w:szCs w:val="20"/>
              </w:rPr>
              <w:tab/>
              <w:t>Successful completion of at least 1 research project, demonstrating major involvement of two lead partners (even if part of a larger consortium) and managed by at least one of lead partners</w:t>
            </w:r>
          </w:p>
        </w:tc>
      </w:tr>
      <w:tr w:rsidR="00A36E9C" w:rsidRPr="00F83B6E" w14:paraId="21A9AE7D" w14:textId="77777777" w:rsidTr="003839B1">
        <w:tc>
          <w:tcPr>
            <w:tcW w:w="3397" w:type="dxa"/>
          </w:tcPr>
          <w:p w14:paraId="08F36537" w14:textId="77777777" w:rsidR="00A36E9C" w:rsidRPr="00F83B6E" w:rsidRDefault="00A36E9C" w:rsidP="003839B1">
            <w:pPr>
              <w:pStyle w:val="BodyText"/>
              <w:rPr>
                <w:color w:val="000000" w:themeColor="text1"/>
                <w:sz w:val="20"/>
                <w:szCs w:val="20"/>
              </w:rPr>
            </w:pPr>
            <w:r w:rsidRPr="00F83B6E">
              <w:rPr>
                <w:color w:val="000000" w:themeColor="text1"/>
                <w:sz w:val="20"/>
                <w:szCs w:val="20"/>
              </w:rPr>
              <w:t>Co-funding</w:t>
            </w:r>
          </w:p>
        </w:tc>
        <w:tc>
          <w:tcPr>
            <w:tcW w:w="10595" w:type="dxa"/>
          </w:tcPr>
          <w:p w14:paraId="7C7EA5C0" w14:textId="66078208" w:rsidR="00A36E9C" w:rsidRPr="00F83B6E" w:rsidRDefault="008C6E26" w:rsidP="003839B1">
            <w:pPr>
              <w:pStyle w:val="BodyText"/>
              <w:rPr>
                <w:b/>
                <w:bCs/>
                <w:color w:val="000000" w:themeColor="text1"/>
                <w:sz w:val="20"/>
                <w:szCs w:val="20"/>
              </w:rPr>
            </w:pPr>
            <w:r w:rsidRPr="00F83B6E">
              <w:rPr>
                <w:color w:val="000000" w:themeColor="text1"/>
                <w:sz w:val="20"/>
                <w:szCs w:val="20"/>
              </w:rPr>
              <w:t>At least 10 percent of total project cost contributed by partnership</w:t>
            </w:r>
          </w:p>
        </w:tc>
      </w:tr>
      <w:bookmarkEnd w:id="14"/>
    </w:tbl>
    <w:p w14:paraId="3F966FB8" w14:textId="77777777" w:rsidR="008C6E26" w:rsidRPr="00F83B6E" w:rsidRDefault="008C6E26" w:rsidP="00B91543">
      <w:pPr>
        <w:pStyle w:val="BodyText"/>
        <w:rPr>
          <w:b/>
          <w:bCs/>
          <w:color w:val="000000" w:themeColor="text1"/>
        </w:rPr>
      </w:pPr>
    </w:p>
    <w:p w14:paraId="71C9233B" w14:textId="77777777" w:rsidR="00DA13CB" w:rsidRPr="00F83B6E" w:rsidRDefault="00DA13CB" w:rsidP="00B91543">
      <w:pPr>
        <w:pStyle w:val="BodyText"/>
        <w:rPr>
          <w:b/>
          <w:bCs/>
          <w:color w:val="000000" w:themeColor="text1"/>
        </w:rPr>
      </w:pPr>
    </w:p>
    <w:p w14:paraId="1EF080EF" w14:textId="77777777" w:rsidR="00DA13CB" w:rsidRPr="00F83B6E" w:rsidRDefault="00DA13CB" w:rsidP="00B91543">
      <w:pPr>
        <w:pStyle w:val="BodyText"/>
        <w:rPr>
          <w:b/>
          <w:bCs/>
          <w:color w:val="000000" w:themeColor="text1"/>
        </w:rPr>
      </w:pPr>
    </w:p>
    <w:p w14:paraId="767FE956" w14:textId="4C597529" w:rsidR="00A36E9C" w:rsidRPr="00F83B6E" w:rsidRDefault="008C6E26" w:rsidP="00B91543">
      <w:pPr>
        <w:pStyle w:val="BodyText"/>
        <w:rPr>
          <w:b/>
          <w:bCs/>
          <w:color w:val="000000" w:themeColor="text1"/>
        </w:rPr>
      </w:pPr>
      <w:r w:rsidRPr="00F83B6E">
        <w:rPr>
          <w:b/>
          <w:bCs/>
          <w:color w:val="000000" w:themeColor="text1"/>
        </w:rPr>
        <w:lastRenderedPageBreak/>
        <w:t xml:space="preserve">Requirements for </w:t>
      </w:r>
      <w:proofErr w:type="spellStart"/>
      <w:r w:rsidRPr="00F83B6E">
        <w:rPr>
          <w:b/>
          <w:bCs/>
          <w:color w:val="000000" w:themeColor="text1"/>
        </w:rPr>
        <w:t>Berbuah</w:t>
      </w:r>
      <w:proofErr w:type="spellEnd"/>
      <w:r w:rsidRPr="00F83B6E">
        <w:rPr>
          <w:b/>
          <w:bCs/>
          <w:color w:val="000000" w:themeColor="text1"/>
        </w:rPr>
        <w:t xml:space="preserve"> (Flourishing) Grants </w:t>
      </w:r>
    </w:p>
    <w:p w14:paraId="041ED3A1" w14:textId="77777777" w:rsidR="008C6E26" w:rsidRPr="00F83B6E" w:rsidRDefault="008C6E26" w:rsidP="00B91543">
      <w:pPr>
        <w:pStyle w:val="BodyText"/>
        <w:rPr>
          <w:b/>
          <w:bCs/>
          <w:color w:val="000000" w:themeColor="text1"/>
        </w:rPr>
      </w:pPr>
    </w:p>
    <w:tbl>
      <w:tblPr>
        <w:tblStyle w:val="TableGrid"/>
        <w:tblW w:w="13992" w:type="dxa"/>
        <w:tblLook w:val="04A0" w:firstRow="1" w:lastRow="0" w:firstColumn="1" w:lastColumn="0" w:noHBand="0" w:noVBand="1"/>
      </w:tblPr>
      <w:tblGrid>
        <w:gridCol w:w="3397"/>
        <w:gridCol w:w="10595"/>
      </w:tblGrid>
      <w:tr w:rsidR="00F83B6E" w:rsidRPr="00F83B6E" w14:paraId="44EDF8B0" w14:textId="77777777" w:rsidTr="00DA13CB">
        <w:trPr>
          <w:tblHeader/>
        </w:trPr>
        <w:tc>
          <w:tcPr>
            <w:tcW w:w="3397" w:type="dxa"/>
          </w:tcPr>
          <w:p w14:paraId="3FC0C373" w14:textId="4B9A738A" w:rsidR="00A23C79" w:rsidRPr="00F83B6E" w:rsidRDefault="00A23C79" w:rsidP="003839B1">
            <w:pPr>
              <w:pStyle w:val="BodyText"/>
              <w:rPr>
                <w:b/>
                <w:bCs/>
                <w:color w:val="000000" w:themeColor="text1"/>
                <w:sz w:val="20"/>
                <w:szCs w:val="20"/>
              </w:rPr>
            </w:pPr>
            <w:r w:rsidRPr="00F83B6E">
              <w:rPr>
                <w:b/>
                <w:bCs/>
                <w:color w:val="000000" w:themeColor="text1"/>
                <w:sz w:val="20"/>
                <w:szCs w:val="20"/>
              </w:rPr>
              <w:t>Component</w:t>
            </w:r>
          </w:p>
        </w:tc>
        <w:tc>
          <w:tcPr>
            <w:tcW w:w="10595" w:type="dxa"/>
            <w:shd w:val="clear" w:color="auto" w:fill="auto"/>
          </w:tcPr>
          <w:p w14:paraId="6116DB75" w14:textId="2D74A8C5" w:rsidR="00A23C79" w:rsidRPr="00F83B6E" w:rsidRDefault="00A23C79" w:rsidP="00A23C79">
            <w:pPr>
              <w:pStyle w:val="TableBullet1"/>
              <w:numPr>
                <w:ilvl w:val="0"/>
                <w:numId w:val="0"/>
              </w:numPr>
              <w:ind w:left="171" w:hanging="141"/>
              <w:rPr>
                <w:b/>
                <w:bCs/>
                <w:color w:val="000000" w:themeColor="text1"/>
              </w:rPr>
            </w:pPr>
            <w:r w:rsidRPr="00F83B6E">
              <w:rPr>
                <w:b/>
                <w:bCs/>
                <w:color w:val="000000" w:themeColor="text1"/>
              </w:rPr>
              <w:t>Requirements</w:t>
            </w:r>
          </w:p>
        </w:tc>
      </w:tr>
      <w:tr w:rsidR="00F83B6E" w:rsidRPr="00F83B6E" w14:paraId="3C1A8002" w14:textId="77777777" w:rsidTr="003839B1">
        <w:tc>
          <w:tcPr>
            <w:tcW w:w="3397" w:type="dxa"/>
          </w:tcPr>
          <w:p w14:paraId="63A9AC4B" w14:textId="77777777" w:rsidR="008C6E26" w:rsidRPr="00F83B6E" w:rsidRDefault="008C6E26" w:rsidP="003839B1">
            <w:pPr>
              <w:pStyle w:val="BodyText"/>
              <w:rPr>
                <w:b/>
                <w:bCs/>
                <w:color w:val="000000" w:themeColor="text1"/>
                <w:sz w:val="20"/>
                <w:szCs w:val="20"/>
              </w:rPr>
            </w:pPr>
            <w:r w:rsidRPr="00F83B6E">
              <w:rPr>
                <w:color w:val="000000" w:themeColor="text1"/>
                <w:sz w:val="20"/>
                <w:szCs w:val="20"/>
              </w:rPr>
              <w:t>Partnership composition</w:t>
            </w:r>
          </w:p>
        </w:tc>
        <w:tc>
          <w:tcPr>
            <w:tcW w:w="10595" w:type="dxa"/>
            <w:shd w:val="clear" w:color="auto" w:fill="auto"/>
          </w:tcPr>
          <w:p w14:paraId="7F43A0CB" w14:textId="77777777" w:rsidR="008C6E26" w:rsidRPr="00F83B6E" w:rsidRDefault="008C6E26" w:rsidP="003839B1">
            <w:pPr>
              <w:pStyle w:val="TableBullet1"/>
              <w:rPr>
                <w:color w:val="000000" w:themeColor="text1"/>
              </w:rPr>
            </w:pPr>
            <w:r w:rsidRPr="00F83B6E">
              <w:rPr>
                <w:color w:val="000000" w:themeColor="text1"/>
              </w:rPr>
              <w:t>At least 2 co-lead partner organisations (co-leads), including 1 Australian and 1 Indonesian registered in and originates from that country.</w:t>
            </w:r>
          </w:p>
          <w:p w14:paraId="607C8CFF" w14:textId="77777777" w:rsidR="008C6E26" w:rsidRPr="00F83B6E" w:rsidRDefault="008C6E26" w:rsidP="003839B1">
            <w:pPr>
              <w:pStyle w:val="TableBullet1"/>
              <w:rPr>
                <w:color w:val="000000" w:themeColor="text1"/>
              </w:rPr>
            </w:pPr>
            <w:r w:rsidRPr="00F83B6E">
              <w:rPr>
                <w:color w:val="000000" w:themeColor="text1"/>
              </w:rPr>
              <w:t>Any type of organisation may be included in the partnership as a member, however only the co-leads will be grant recipients. Co-lead organisations may include social enterprises, non- profit organisations, academic and/or research institutions.</w:t>
            </w:r>
          </w:p>
          <w:p w14:paraId="2539F937" w14:textId="77777777" w:rsidR="008C6E26" w:rsidRPr="00F83B6E" w:rsidRDefault="008C6E26" w:rsidP="003839B1">
            <w:pPr>
              <w:pStyle w:val="TableBullet1"/>
              <w:rPr>
                <w:color w:val="000000" w:themeColor="text1"/>
              </w:rPr>
            </w:pPr>
            <w:r w:rsidRPr="00F83B6E">
              <w:rPr>
                <w:color w:val="000000" w:themeColor="text1"/>
              </w:rPr>
              <w:t>International organisations registered in either country may be involved as co-leads or members, if the abovementioned co-leadership criterion is met.</w:t>
            </w:r>
          </w:p>
        </w:tc>
      </w:tr>
      <w:tr w:rsidR="00F83B6E" w:rsidRPr="00F83B6E" w14:paraId="75D27907" w14:textId="77777777" w:rsidTr="003839B1">
        <w:tc>
          <w:tcPr>
            <w:tcW w:w="3397" w:type="dxa"/>
          </w:tcPr>
          <w:p w14:paraId="5FAD9C13" w14:textId="77777777" w:rsidR="008C6E26" w:rsidRPr="00F83B6E" w:rsidRDefault="008C6E26" w:rsidP="003839B1">
            <w:pPr>
              <w:pStyle w:val="BodyText"/>
              <w:rPr>
                <w:b/>
                <w:bCs/>
                <w:color w:val="000000" w:themeColor="text1"/>
                <w:sz w:val="20"/>
                <w:szCs w:val="20"/>
              </w:rPr>
            </w:pPr>
            <w:r w:rsidRPr="00F83B6E">
              <w:rPr>
                <w:color w:val="000000" w:themeColor="text1"/>
                <w:sz w:val="20"/>
                <w:szCs w:val="20"/>
              </w:rPr>
              <w:t>Due diligence</w:t>
            </w:r>
          </w:p>
        </w:tc>
        <w:tc>
          <w:tcPr>
            <w:tcW w:w="10595" w:type="dxa"/>
            <w:shd w:val="clear" w:color="auto" w:fill="auto"/>
          </w:tcPr>
          <w:p w14:paraId="22496C75" w14:textId="77777777" w:rsidR="008C6E26" w:rsidRPr="00F83B6E" w:rsidRDefault="008C6E26" w:rsidP="003839B1">
            <w:pPr>
              <w:pStyle w:val="BodyText"/>
              <w:rPr>
                <w:b/>
                <w:bCs/>
                <w:color w:val="000000" w:themeColor="text1"/>
                <w:sz w:val="20"/>
                <w:szCs w:val="20"/>
              </w:rPr>
            </w:pPr>
            <w:r w:rsidRPr="00F83B6E">
              <w:rPr>
                <w:color w:val="000000" w:themeColor="text1"/>
                <w:sz w:val="20"/>
                <w:szCs w:val="20"/>
              </w:rPr>
              <w:t xml:space="preserve">All funding recipients required to meet DFAT due diligence and integrity policy requirements, including ensuring that potential recipients: are not included on registers of ineligible firms and organisations, sanctions, or </w:t>
            </w:r>
            <w:r w:rsidRPr="00F83B6E">
              <w:rPr>
                <w:rFonts w:cs="MuseoSans-500"/>
                <w:color w:val="000000" w:themeColor="text1"/>
                <w:sz w:val="20"/>
                <w:szCs w:val="20"/>
                <w:u w:color="0070C0"/>
              </w:rPr>
              <w:t>t</w:t>
            </w:r>
            <w:r w:rsidRPr="00F83B6E">
              <w:rPr>
                <w:color w:val="000000" w:themeColor="text1"/>
                <w:sz w:val="20"/>
                <w:szCs w:val="20"/>
              </w:rPr>
              <w:t xml:space="preserve">errorist organisations; </w:t>
            </w:r>
            <w:r w:rsidRPr="00F83B6E">
              <w:rPr>
                <w:rFonts w:cs="MuseoSans-500"/>
                <w:color w:val="000000" w:themeColor="text1"/>
                <w:sz w:val="20"/>
                <w:szCs w:val="20"/>
                <w:u w:color="0070C0"/>
              </w:rPr>
              <w:t xml:space="preserve">have appropriate financial controls and systems in place including </w:t>
            </w:r>
            <w:r w:rsidRPr="00F83B6E">
              <w:rPr>
                <w:color w:val="000000" w:themeColor="text1"/>
                <w:sz w:val="20"/>
                <w:szCs w:val="20"/>
              </w:rPr>
              <w:t xml:space="preserve">to mitigate and manage the risk of fraud and corruption; have policies, procedures and practices to safeguard children that comply with </w:t>
            </w:r>
            <w:hyperlink r:id="rId18" w:history="1">
              <w:r w:rsidRPr="00F83B6E">
                <w:rPr>
                  <w:rStyle w:val="Hyperlink"/>
                  <w:rFonts w:ascii="Calibri Light" w:hAnsi="Calibri Light"/>
                  <w:color w:val="000000" w:themeColor="text1"/>
                  <w:sz w:val="20"/>
                  <w:szCs w:val="20"/>
                  <w:u w:val="none"/>
                </w:rPr>
                <w:t>DFAT’s Child Protection Policy</w:t>
              </w:r>
            </w:hyperlink>
            <w:r w:rsidRPr="00F83B6E">
              <w:rPr>
                <w:color w:val="000000" w:themeColor="text1"/>
                <w:sz w:val="20"/>
                <w:szCs w:val="20"/>
              </w:rPr>
              <w:t xml:space="preserve">; have policies and procedures which comply with DFATs </w:t>
            </w:r>
            <w:r w:rsidRPr="00F83B6E">
              <w:rPr>
                <w:rFonts w:cs="MuseoSans-500"/>
                <w:color w:val="000000" w:themeColor="text1"/>
                <w:sz w:val="20"/>
                <w:szCs w:val="20"/>
                <w:u w:color="0070C0"/>
              </w:rPr>
              <w:t xml:space="preserve">prevention of sexual exploitation, abuse and harassment </w:t>
            </w:r>
            <w:r w:rsidRPr="00F83B6E">
              <w:rPr>
                <w:color w:val="000000" w:themeColor="text1"/>
                <w:sz w:val="20"/>
                <w:szCs w:val="20"/>
              </w:rPr>
              <w:t>(PSEAH) policy; and meet any other necessary requirements of DFAT’s safeguarding policies that may be relevant to the grant focus.</w:t>
            </w:r>
          </w:p>
        </w:tc>
      </w:tr>
      <w:tr w:rsidR="00F83B6E" w:rsidRPr="00F83B6E" w14:paraId="3E830511" w14:textId="77777777" w:rsidTr="003839B1">
        <w:tc>
          <w:tcPr>
            <w:tcW w:w="3397" w:type="dxa"/>
          </w:tcPr>
          <w:p w14:paraId="2679E80C" w14:textId="77777777" w:rsidR="008C6E26" w:rsidRPr="00F83B6E" w:rsidRDefault="008C6E26" w:rsidP="003839B1">
            <w:pPr>
              <w:pStyle w:val="BodyText"/>
              <w:rPr>
                <w:b/>
                <w:bCs/>
                <w:color w:val="000000" w:themeColor="text1"/>
                <w:sz w:val="20"/>
                <w:szCs w:val="20"/>
              </w:rPr>
            </w:pPr>
            <w:r w:rsidRPr="00F83B6E">
              <w:rPr>
                <w:color w:val="000000" w:themeColor="text1"/>
                <w:sz w:val="20"/>
                <w:szCs w:val="20"/>
              </w:rPr>
              <w:t>Diversity and inclusion</w:t>
            </w:r>
          </w:p>
        </w:tc>
        <w:tc>
          <w:tcPr>
            <w:tcW w:w="10595" w:type="dxa"/>
            <w:shd w:val="clear" w:color="auto" w:fill="auto"/>
          </w:tcPr>
          <w:p w14:paraId="2DC7DA6B" w14:textId="77777777" w:rsidR="008C6E26" w:rsidRPr="00F83B6E" w:rsidRDefault="008C6E26" w:rsidP="003839B1">
            <w:pPr>
              <w:pStyle w:val="TableText"/>
              <w:ind w:left="28" w:right="35"/>
              <w:rPr>
                <w:color w:val="000000" w:themeColor="text1"/>
                <w:lang w:val="en-AU"/>
              </w:rPr>
            </w:pPr>
            <w:r w:rsidRPr="00F83B6E">
              <w:rPr>
                <w:color w:val="000000" w:themeColor="text1"/>
                <w:lang w:val="en-AU"/>
              </w:rPr>
              <w:t>Partnership demonstrates commitment to the principles of diversity and inclusion through:</w:t>
            </w:r>
          </w:p>
          <w:p w14:paraId="723988CD" w14:textId="77777777" w:rsidR="008C6E26" w:rsidRPr="00F83B6E" w:rsidRDefault="008C6E26" w:rsidP="003839B1">
            <w:pPr>
              <w:pStyle w:val="TableBullet1"/>
              <w:rPr>
                <w:color w:val="000000" w:themeColor="text1"/>
              </w:rPr>
            </w:pPr>
            <w:r w:rsidRPr="00F83B6E">
              <w:rPr>
                <w:color w:val="000000" w:themeColor="text1"/>
              </w:rPr>
              <w:t>Reference to D&amp;I in partnership charter/agreement (when existing)</w:t>
            </w:r>
          </w:p>
          <w:p w14:paraId="611A06C8" w14:textId="24ABE9EA" w:rsidR="008C6E26" w:rsidRPr="00F83B6E" w:rsidRDefault="008C6E26" w:rsidP="003839B1">
            <w:pPr>
              <w:pStyle w:val="TableBullet1"/>
              <w:rPr>
                <w:color w:val="000000" w:themeColor="text1"/>
              </w:rPr>
            </w:pPr>
            <w:r w:rsidRPr="00F83B6E">
              <w:rPr>
                <w:color w:val="000000" w:themeColor="text1"/>
              </w:rPr>
              <w:t>Diverse composition of lead partners’ board and senior management teams (including representation of women)</w:t>
            </w:r>
          </w:p>
        </w:tc>
      </w:tr>
      <w:tr w:rsidR="00F83B6E" w:rsidRPr="00F83B6E" w14:paraId="2A2E20E4" w14:textId="77777777" w:rsidTr="003839B1">
        <w:tc>
          <w:tcPr>
            <w:tcW w:w="3397" w:type="dxa"/>
          </w:tcPr>
          <w:p w14:paraId="436631EB" w14:textId="77777777" w:rsidR="008C6E26" w:rsidRPr="00F83B6E" w:rsidRDefault="008C6E26" w:rsidP="003839B1">
            <w:pPr>
              <w:pStyle w:val="BodyText"/>
              <w:rPr>
                <w:b/>
                <w:bCs/>
                <w:color w:val="000000" w:themeColor="text1"/>
                <w:sz w:val="20"/>
                <w:szCs w:val="20"/>
              </w:rPr>
            </w:pPr>
            <w:r w:rsidRPr="00F83B6E">
              <w:rPr>
                <w:color w:val="000000" w:themeColor="text1"/>
                <w:sz w:val="20"/>
                <w:szCs w:val="20"/>
              </w:rPr>
              <w:t>Partnership history between co-leads</w:t>
            </w:r>
          </w:p>
        </w:tc>
        <w:tc>
          <w:tcPr>
            <w:tcW w:w="10595" w:type="dxa"/>
          </w:tcPr>
          <w:p w14:paraId="1A050ACC" w14:textId="77777777" w:rsidR="00EC3B28" w:rsidRPr="00F83B6E" w:rsidRDefault="00EC3B28" w:rsidP="00EC3B28">
            <w:pPr>
              <w:pStyle w:val="TableBullet1"/>
              <w:rPr>
                <w:color w:val="000000" w:themeColor="text1"/>
              </w:rPr>
            </w:pPr>
            <w:r w:rsidRPr="00F83B6E">
              <w:rPr>
                <w:color w:val="000000" w:themeColor="text1"/>
              </w:rPr>
              <w:t>Partnership between co-leads exists prior to KPP (2022), formalised through an agreement (for example partnership charter or MoU).</w:t>
            </w:r>
          </w:p>
          <w:p w14:paraId="4E7BF226" w14:textId="77777777" w:rsidR="00EC3B28" w:rsidRPr="00F83B6E" w:rsidRDefault="00EC3B28" w:rsidP="00EC3B28">
            <w:pPr>
              <w:pStyle w:val="TableBullet1"/>
              <w:rPr>
                <w:color w:val="000000" w:themeColor="text1"/>
              </w:rPr>
            </w:pPr>
            <w:r w:rsidRPr="00F83B6E">
              <w:rPr>
                <w:color w:val="000000" w:themeColor="text1"/>
              </w:rPr>
              <w:t>Established partnership governance/ management systems.</w:t>
            </w:r>
          </w:p>
          <w:p w14:paraId="040584EF" w14:textId="77777777" w:rsidR="00EC3B28" w:rsidRPr="00F83B6E" w:rsidRDefault="00EC3B28" w:rsidP="00EC3B28">
            <w:pPr>
              <w:pStyle w:val="TableBullet1"/>
              <w:rPr>
                <w:color w:val="000000" w:themeColor="text1"/>
              </w:rPr>
            </w:pPr>
            <w:r w:rsidRPr="00F83B6E">
              <w:rPr>
                <w:color w:val="000000" w:themeColor="text1"/>
              </w:rPr>
              <w:t>Dedicated resources for partnership operations (administrative support, budget, personnel).</w:t>
            </w:r>
          </w:p>
          <w:p w14:paraId="0640719D" w14:textId="77777777" w:rsidR="00EC3B28" w:rsidRPr="00F83B6E" w:rsidRDefault="00EC3B28" w:rsidP="00EC3B28">
            <w:pPr>
              <w:pStyle w:val="TableBullet1"/>
              <w:rPr>
                <w:color w:val="000000" w:themeColor="text1"/>
              </w:rPr>
            </w:pPr>
            <w:r w:rsidRPr="00F83B6E">
              <w:rPr>
                <w:color w:val="000000" w:themeColor="text1"/>
              </w:rPr>
              <w:t>Identified shared agenda and/or research priorities that align with Indonesian and Australian mutual interests.</w:t>
            </w:r>
          </w:p>
          <w:p w14:paraId="0CFB9274" w14:textId="1C3A5E4D" w:rsidR="008C6E26" w:rsidRPr="00F83B6E" w:rsidRDefault="00EC3B28" w:rsidP="00EC3B28">
            <w:pPr>
              <w:pStyle w:val="TableBullet1"/>
              <w:rPr>
                <w:color w:val="000000" w:themeColor="text1"/>
              </w:rPr>
            </w:pPr>
            <w:r w:rsidRPr="00F83B6E">
              <w:rPr>
                <w:color w:val="000000" w:themeColor="text1"/>
              </w:rPr>
              <w:t>Successful completion of at least 3 research projects, with at least one of comparable size and scope, demonstrating major involvement of two lead partners and managed by at least one of lead partners.</w:t>
            </w:r>
          </w:p>
        </w:tc>
      </w:tr>
      <w:tr w:rsidR="008C6E26" w:rsidRPr="00F83B6E" w14:paraId="61129D22" w14:textId="77777777" w:rsidTr="003839B1">
        <w:tc>
          <w:tcPr>
            <w:tcW w:w="3397" w:type="dxa"/>
          </w:tcPr>
          <w:p w14:paraId="46B09FDF" w14:textId="77777777" w:rsidR="008C6E26" w:rsidRPr="00F83B6E" w:rsidRDefault="008C6E26" w:rsidP="003839B1">
            <w:pPr>
              <w:pStyle w:val="BodyText"/>
              <w:rPr>
                <w:color w:val="000000" w:themeColor="text1"/>
                <w:sz w:val="20"/>
                <w:szCs w:val="20"/>
              </w:rPr>
            </w:pPr>
            <w:r w:rsidRPr="00F83B6E">
              <w:rPr>
                <w:color w:val="000000" w:themeColor="text1"/>
                <w:sz w:val="20"/>
                <w:szCs w:val="20"/>
              </w:rPr>
              <w:t>Co-funding</w:t>
            </w:r>
          </w:p>
        </w:tc>
        <w:tc>
          <w:tcPr>
            <w:tcW w:w="10595" w:type="dxa"/>
          </w:tcPr>
          <w:p w14:paraId="035DD0CA" w14:textId="77777777" w:rsidR="00816FC9" w:rsidRPr="00F83B6E" w:rsidRDefault="00816FC9" w:rsidP="00816FC9">
            <w:pPr>
              <w:pStyle w:val="TableText"/>
              <w:ind w:right="35"/>
              <w:rPr>
                <w:color w:val="000000" w:themeColor="text1"/>
                <w:lang w:val="en-AU"/>
              </w:rPr>
            </w:pPr>
            <w:r w:rsidRPr="00F83B6E">
              <w:rPr>
                <w:color w:val="000000" w:themeColor="text1"/>
                <w:lang w:val="en-AU"/>
              </w:rPr>
              <w:t>At least 25 percent of total project cost contributed by partnership</w:t>
            </w:r>
          </w:p>
          <w:p w14:paraId="00F20E13" w14:textId="411F92F9" w:rsidR="008C6E26" w:rsidRPr="00F83B6E" w:rsidRDefault="00816FC9" w:rsidP="00816FC9">
            <w:pPr>
              <w:pStyle w:val="BodyText"/>
              <w:rPr>
                <w:b/>
                <w:bCs/>
                <w:color w:val="000000" w:themeColor="text1"/>
                <w:sz w:val="20"/>
                <w:szCs w:val="20"/>
              </w:rPr>
            </w:pPr>
            <w:r w:rsidRPr="00F83B6E">
              <w:rPr>
                <w:color w:val="000000" w:themeColor="text1"/>
                <w:sz w:val="20"/>
                <w:szCs w:val="20"/>
              </w:rPr>
              <w:t>(to be discussed through KPP governance mechanism)</w:t>
            </w:r>
          </w:p>
        </w:tc>
      </w:tr>
    </w:tbl>
    <w:p w14:paraId="1793C51E" w14:textId="701581BB" w:rsidR="008C6E26" w:rsidRPr="00F83B6E" w:rsidRDefault="008C6E26" w:rsidP="00B91543">
      <w:pPr>
        <w:pStyle w:val="BodyText"/>
        <w:rPr>
          <w:b/>
          <w:bCs/>
          <w:color w:val="000000" w:themeColor="text1"/>
        </w:rPr>
        <w:sectPr w:rsidR="008C6E26" w:rsidRPr="00F83B6E" w:rsidSect="00BB0E4C">
          <w:pgSz w:w="16838" w:h="11906" w:orient="landscape" w:code="9"/>
          <w:pgMar w:top="1206" w:right="1418" w:bottom="1304" w:left="1418" w:header="425" w:footer="493" w:gutter="567"/>
          <w:cols w:space="397"/>
          <w:titlePg/>
          <w:docGrid w:linePitch="360"/>
        </w:sectPr>
      </w:pPr>
    </w:p>
    <w:p w14:paraId="3EEB2513" w14:textId="6D2E6E15" w:rsidR="00CD420A" w:rsidRPr="00F83B6E" w:rsidRDefault="00CD420A" w:rsidP="00B91543">
      <w:pPr>
        <w:pStyle w:val="BodyText"/>
        <w:rPr>
          <w:color w:val="000000" w:themeColor="text1"/>
        </w:rPr>
      </w:pPr>
      <w:r w:rsidRPr="00F83B6E">
        <w:rPr>
          <w:color w:val="000000" w:themeColor="text1"/>
        </w:rPr>
        <w:lastRenderedPageBreak/>
        <w:t xml:space="preserve">Based on the outcome of the eligibility assessment, the most suitable partnerships will be selected </w:t>
      </w:r>
      <w:r w:rsidR="00147CA5" w:rsidRPr="00F83B6E">
        <w:rPr>
          <w:color w:val="000000" w:themeColor="text1"/>
        </w:rPr>
        <w:t>following</w:t>
      </w:r>
      <w:r w:rsidRPr="00F83B6E">
        <w:rPr>
          <w:color w:val="000000" w:themeColor="text1"/>
        </w:rPr>
        <w:t xml:space="preserve"> a competitive selection process. </w:t>
      </w:r>
      <w:r w:rsidR="00073E9C" w:rsidRPr="00F83B6E">
        <w:rPr>
          <w:color w:val="000000" w:themeColor="text1"/>
        </w:rPr>
        <w:t xml:space="preserve">All eligible partnerships that submit a proposal will be assessed against </w:t>
      </w:r>
      <w:r w:rsidR="00FD3D08" w:rsidRPr="00F83B6E">
        <w:rPr>
          <w:color w:val="000000" w:themeColor="text1"/>
        </w:rPr>
        <w:t xml:space="preserve">set and transparent </w:t>
      </w:r>
      <w:r w:rsidR="00073E9C" w:rsidRPr="00F83B6E">
        <w:rPr>
          <w:color w:val="000000" w:themeColor="text1"/>
        </w:rPr>
        <w:t>selection criteria and the process and outcome of each selection round will be documented.</w:t>
      </w:r>
      <w:r w:rsidR="00147CA5" w:rsidRPr="00F83B6E">
        <w:rPr>
          <w:rStyle w:val="FootnoteReference"/>
          <w:color w:val="000000" w:themeColor="text1"/>
        </w:rPr>
        <w:footnoteReference w:id="28"/>
      </w:r>
      <w:r w:rsidR="00073E9C" w:rsidRPr="00F83B6E">
        <w:rPr>
          <w:color w:val="000000" w:themeColor="text1"/>
        </w:rPr>
        <w:t xml:space="preserve"> </w:t>
      </w:r>
      <w:r w:rsidR="001D5158" w:rsidRPr="00F83B6E">
        <w:rPr>
          <w:color w:val="000000" w:themeColor="text1"/>
        </w:rPr>
        <w:t>I</w:t>
      </w:r>
      <w:r w:rsidR="00073E9C" w:rsidRPr="00F83B6E">
        <w:rPr>
          <w:color w:val="000000" w:themeColor="text1"/>
        </w:rPr>
        <w:t>ndicative</w:t>
      </w:r>
      <w:r w:rsidR="005E58C9" w:rsidRPr="00F83B6E">
        <w:rPr>
          <w:color w:val="000000" w:themeColor="text1"/>
        </w:rPr>
        <w:t xml:space="preserve"> </w:t>
      </w:r>
      <w:r w:rsidRPr="00F83B6E">
        <w:rPr>
          <w:color w:val="000000" w:themeColor="text1"/>
        </w:rPr>
        <w:t xml:space="preserve">criteria </w:t>
      </w:r>
      <w:r w:rsidR="001D5158" w:rsidRPr="00F83B6E">
        <w:rPr>
          <w:color w:val="000000" w:themeColor="text1"/>
        </w:rPr>
        <w:t xml:space="preserve">are </w:t>
      </w:r>
      <w:r w:rsidR="00FD3D08" w:rsidRPr="00F83B6E">
        <w:rPr>
          <w:color w:val="000000" w:themeColor="text1"/>
        </w:rPr>
        <w:t xml:space="preserve">presented </w:t>
      </w:r>
      <w:r w:rsidR="005E58C9" w:rsidRPr="00F83B6E">
        <w:rPr>
          <w:color w:val="000000" w:themeColor="text1"/>
        </w:rPr>
        <w:t xml:space="preserve">in Figure </w:t>
      </w:r>
      <w:r w:rsidR="00506141" w:rsidRPr="00F83B6E">
        <w:rPr>
          <w:color w:val="000000" w:themeColor="text1"/>
        </w:rPr>
        <w:t>5</w:t>
      </w:r>
      <w:r w:rsidR="005E58C9" w:rsidRPr="00F83B6E">
        <w:rPr>
          <w:color w:val="000000" w:themeColor="text1"/>
        </w:rPr>
        <w:t>, structure</w:t>
      </w:r>
      <w:r w:rsidR="00073E9C" w:rsidRPr="00F83B6E">
        <w:rPr>
          <w:color w:val="000000" w:themeColor="text1"/>
        </w:rPr>
        <w:t>d</w:t>
      </w:r>
      <w:r w:rsidR="005E58C9" w:rsidRPr="00F83B6E">
        <w:rPr>
          <w:color w:val="000000" w:themeColor="text1"/>
        </w:rPr>
        <w:t xml:space="preserve"> around three categories that </w:t>
      </w:r>
      <w:r w:rsidR="00147CA5" w:rsidRPr="00F83B6E">
        <w:rPr>
          <w:color w:val="000000" w:themeColor="text1"/>
        </w:rPr>
        <w:t>reflect</w:t>
      </w:r>
      <w:r w:rsidR="005E58C9" w:rsidRPr="00F83B6E">
        <w:rPr>
          <w:color w:val="000000" w:themeColor="text1"/>
        </w:rPr>
        <w:t xml:space="preserve"> 1) the nature of the partnership, 2) the suitability of the research topic, and 3) the strength of the methodology. </w:t>
      </w:r>
      <w:r w:rsidR="00073E9C" w:rsidRPr="00F83B6E">
        <w:rPr>
          <w:color w:val="000000" w:themeColor="text1"/>
        </w:rPr>
        <w:t xml:space="preserve">The suggested criteria ensure selected proposals entail diverse partnerships who investigate pertinent topics with methodological rigour and who are able to perform and deliver results commensurate with the funding made available in each grant type. As outlined, partnerships have to demonstrate past research performance, management capacity, and commitment to KPP’s GEDSI agenda. </w:t>
      </w:r>
      <w:r w:rsidR="003E02A4" w:rsidRPr="00F83B6E">
        <w:rPr>
          <w:color w:val="000000" w:themeColor="text1"/>
        </w:rPr>
        <w:t>T</w:t>
      </w:r>
      <w:r w:rsidR="005E58C9" w:rsidRPr="00F83B6E">
        <w:rPr>
          <w:color w:val="000000" w:themeColor="text1"/>
        </w:rPr>
        <w:t xml:space="preserve">hese criteria will be </w:t>
      </w:r>
      <w:r w:rsidR="003E02A4" w:rsidRPr="00F83B6E">
        <w:rPr>
          <w:color w:val="000000" w:themeColor="text1"/>
        </w:rPr>
        <w:t xml:space="preserve">reviewed and </w:t>
      </w:r>
      <w:r w:rsidR="00FD3D08" w:rsidRPr="00F83B6E">
        <w:rPr>
          <w:color w:val="000000" w:themeColor="text1"/>
        </w:rPr>
        <w:t xml:space="preserve">refined </w:t>
      </w:r>
      <w:r w:rsidR="005E58C9" w:rsidRPr="00F83B6E">
        <w:rPr>
          <w:color w:val="000000" w:themeColor="text1"/>
        </w:rPr>
        <w:t>during the program inception period</w:t>
      </w:r>
      <w:r w:rsidR="00FD3D08" w:rsidRPr="00F83B6E">
        <w:rPr>
          <w:color w:val="000000" w:themeColor="text1"/>
        </w:rPr>
        <w:t xml:space="preserve"> and a rubric that follow</w:t>
      </w:r>
      <w:r w:rsidR="00494E86" w:rsidRPr="00F83B6E">
        <w:rPr>
          <w:color w:val="000000" w:themeColor="text1"/>
        </w:rPr>
        <w:t>s</w:t>
      </w:r>
      <w:r w:rsidR="00FD3D08" w:rsidRPr="00F83B6E">
        <w:rPr>
          <w:color w:val="000000" w:themeColor="text1"/>
        </w:rPr>
        <w:t xml:space="preserve"> a proportionality approach will</w:t>
      </w:r>
      <w:r w:rsidR="00DB67F3" w:rsidRPr="00F83B6E">
        <w:rPr>
          <w:color w:val="000000" w:themeColor="text1"/>
        </w:rPr>
        <w:t xml:space="preserve"> set expectations</w:t>
      </w:r>
      <w:r w:rsidR="00FD3D08" w:rsidRPr="00F83B6E">
        <w:rPr>
          <w:color w:val="000000" w:themeColor="text1"/>
        </w:rPr>
        <w:t xml:space="preserve"> by grant type</w:t>
      </w:r>
      <w:r w:rsidR="005E58C9" w:rsidRPr="00F83B6E">
        <w:rPr>
          <w:color w:val="000000" w:themeColor="text1"/>
        </w:rPr>
        <w:t>.</w:t>
      </w:r>
      <w:r w:rsidR="00C16C74" w:rsidRPr="00F83B6E">
        <w:rPr>
          <w:color w:val="000000" w:themeColor="text1"/>
        </w:rPr>
        <w:t xml:space="preserve"> </w:t>
      </w:r>
      <w:r w:rsidR="004A0982" w:rsidRPr="00F83B6E">
        <w:rPr>
          <w:color w:val="000000" w:themeColor="text1"/>
        </w:rPr>
        <w:t>Additional criteria (e.g. leveraging external funding source</w:t>
      </w:r>
      <w:r w:rsidR="0090797A" w:rsidRPr="00F83B6E">
        <w:rPr>
          <w:color w:val="000000" w:themeColor="text1"/>
        </w:rPr>
        <w:t>s</w:t>
      </w:r>
      <w:r w:rsidR="003E06C6" w:rsidRPr="00F83B6E">
        <w:rPr>
          <w:color w:val="000000" w:themeColor="text1"/>
        </w:rPr>
        <w:t xml:space="preserve"> or inclusion of indigenous knowledge and practice</w:t>
      </w:r>
      <w:r w:rsidR="004A0982" w:rsidRPr="00F83B6E">
        <w:rPr>
          <w:color w:val="000000" w:themeColor="text1"/>
        </w:rPr>
        <w:t>) might be added on ad-hoc basis for specific grant and/or research topic, as agreed by the Program Technical Committee.</w:t>
      </w:r>
    </w:p>
    <w:p w14:paraId="45C3994D" w14:textId="7F4B38E6" w:rsidR="00DE1D6F" w:rsidRPr="00F83B6E" w:rsidRDefault="00DE1D6F" w:rsidP="00DE1D6F">
      <w:pPr>
        <w:pStyle w:val="Caption"/>
        <w:rPr>
          <w:color w:val="000000" w:themeColor="text1"/>
        </w:rPr>
      </w:pPr>
      <w:r w:rsidRPr="00F83B6E">
        <w:rPr>
          <w:color w:val="000000" w:themeColor="text1"/>
        </w:rPr>
        <w:t xml:space="preserve">Figure </w:t>
      </w:r>
      <w:r w:rsidRPr="00F83B6E">
        <w:rPr>
          <w:color w:val="000000" w:themeColor="text1"/>
        </w:rPr>
        <w:fldChar w:fldCharType="begin"/>
      </w:r>
      <w:r w:rsidRPr="00F83B6E">
        <w:rPr>
          <w:color w:val="000000" w:themeColor="text1"/>
        </w:rPr>
        <w:instrText xml:space="preserve"> SEQ Figure \* ARABIC </w:instrText>
      </w:r>
      <w:r w:rsidRPr="00F83B6E">
        <w:rPr>
          <w:color w:val="000000" w:themeColor="text1"/>
        </w:rPr>
        <w:fldChar w:fldCharType="separate"/>
      </w:r>
      <w:r w:rsidR="00A578DF">
        <w:rPr>
          <w:noProof/>
          <w:color w:val="000000" w:themeColor="text1"/>
        </w:rPr>
        <w:t>5</w:t>
      </w:r>
      <w:r w:rsidRPr="00F83B6E">
        <w:rPr>
          <w:color w:val="000000" w:themeColor="text1"/>
        </w:rPr>
        <w:fldChar w:fldCharType="end"/>
      </w:r>
      <w:r w:rsidRPr="00F83B6E">
        <w:rPr>
          <w:color w:val="000000" w:themeColor="text1"/>
          <w:lang w:val="en-AU"/>
        </w:rPr>
        <w:t xml:space="preserve"> </w:t>
      </w:r>
      <w:r w:rsidRPr="00F83B6E">
        <w:rPr>
          <w:color w:val="000000" w:themeColor="text1"/>
          <w:lang w:val="en-AU"/>
        </w:rPr>
        <w:tab/>
        <w:t>Indicative grant selection criteria</w:t>
      </w:r>
    </w:p>
    <w:tbl>
      <w:tblPr>
        <w:tblStyle w:val="TableGrid11"/>
        <w:tblW w:w="9493" w:type="dxa"/>
        <w:tblLayout w:type="fixed"/>
        <w:tblLook w:val="0620" w:firstRow="1" w:lastRow="0" w:firstColumn="0" w:lastColumn="0" w:noHBand="1" w:noVBand="1"/>
        <w:tblCaption w:val="Figure 5"/>
        <w:tblDescription w:val="Indicative grant selection criteria"/>
      </w:tblPr>
      <w:tblGrid>
        <w:gridCol w:w="1413"/>
        <w:gridCol w:w="8080"/>
      </w:tblGrid>
      <w:tr w:rsidR="00F83B6E" w:rsidRPr="00F83B6E" w14:paraId="22023159" w14:textId="77777777" w:rsidTr="00FB2F9C">
        <w:trPr>
          <w:tblHeader/>
        </w:trPr>
        <w:tc>
          <w:tcPr>
            <w:tcW w:w="1413" w:type="dxa"/>
          </w:tcPr>
          <w:p w14:paraId="40988BD4" w14:textId="77777777" w:rsidR="00E12D3D" w:rsidRPr="00F83B6E" w:rsidRDefault="00E12D3D" w:rsidP="00AC5534">
            <w:pPr>
              <w:pStyle w:val="TableHeaderRow"/>
              <w:jc w:val="center"/>
              <w:rPr>
                <w:color w:val="000000" w:themeColor="text1"/>
              </w:rPr>
            </w:pPr>
            <w:r w:rsidRPr="00F83B6E">
              <w:rPr>
                <w:color w:val="000000" w:themeColor="text1"/>
              </w:rPr>
              <w:t>Category</w:t>
            </w:r>
          </w:p>
        </w:tc>
        <w:tc>
          <w:tcPr>
            <w:tcW w:w="8080" w:type="dxa"/>
          </w:tcPr>
          <w:p w14:paraId="3739085A" w14:textId="77777777" w:rsidR="00E12D3D" w:rsidRPr="00F83B6E" w:rsidRDefault="00E12D3D" w:rsidP="00AC5534">
            <w:pPr>
              <w:pStyle w:val="TableHeaderRow"/>
              <w:jc w:val="center"/>
              <w:rPr>
                <w:color w:val="000000" w:themeColor="text1"/>
              </w:rPr>
            </w:pPr>
            <w:r w:rsidRPr="00F83B6E">
              <w:rPr>
                <w:color w:val="000000" w:themeColor="text1"/>
              </w:rPr>
              <w:t>Criteria</w:t>
            </w:r>
          </w:p>
        </w:tc>
      </w:tr>
      <w:tr w:rsidR="00F83B6E" w:rsidRPr="00F83B6E" w14:paraId="5BC6384F" w14:textId="77777777" w:rsidTr="0026735A">
        <w:tc>
          <w:tcPr>
            <w:tcW w:w="1413" w:type="dxa"/>
          </w:tcPr>
          <w:p w14:paraId="40E96A75" w14:textId="77777777" w:rsidR="00506141" w:rsidRPr="00F83B6E" w:rsidRDefault="00E12D3D" w:rsidP="00506141">
            <w:pPr>
              <w:pStyle w:val="TableText"/>
              <w:ind w:left="103"/>
              <w:rPr>
                <w:color w:val="000000" w:themeColor="text1"/>
                <w:lang w:val="en-AU"/>
              </w:rPr>
            </w:pPr>
            <w:r w:rsidRPr="00F83B6E">
              <w:rPr>
                <w:color w:val="000000" w:themeColor="text1"/>
                <w:lang w:val="en-AU"/>
              </w:rPr>
              <w:t xml:space="preserve">Partnership </w:t>
            </w:r>
          </w:p>
          <w:p w14:paraId="492BF634" w14:textId="3502A10E" w:rsidR="00E12D3D" w:rsidRPr="00F83B6E" w:rsidRDefault="00E12D3D" w:rsidP="00506141">
            <w:pPr>
              <w:pStyle w:val="TableText"/>
              <w:ind w:left="103"/>
              <w:rPr>
                <w:color w:val="000000" w:themeColor="text1"/>
                <w:lang w:val="en-AU"/>
              </w:rPr>
            </w:pPr>
            <w:r w:rsidRPr="00F83B6E">
              <w:rPr>
                <w:color w:val="000000" w:themeColor="text1"/>
                <w:lang w:val="en-AU"/>
              </w:rPr>
              <w:t>(Who?)</w:t>
            </w:r>
          </w:p>
        </w:tc>
        <w:tc>
          <w:tcPr>
            <w:tcW w:w="8080" w:type="dxa"/>
          </w:tcPr>
          <w:p w14:paraId="3690FEAF" w14:textId="3F676C4B" w:rsidR="00E12D3D" w:rsidRPr="00F83B6E" w:rsidRDefault="00E12D3D" w:rsidP="00E74DD1">
            <w:pPr>
              <w:pStyle w:val="TableBullet1"/>
              <w:rPr>
                <w:color w:val="000000" w:themeColor="text1"/>
              </w:rPr>
            </w:pPr>
            <w:r w:rsidRPr="00F83B6E">
              <w:rPr>
                <w:color w:val="000000" w:themeColor="text1"/>
              </w:rPr>
              <w:t xml:space="preserve">Appropriate level of experience (individual and collective) in K2P </w:t>
            </w:r>
            <w:r w:rsidR="008350C4" w:rsidRPr="00F83B6E">
              <w:rPr>
                <w:color w:val="000000" w:themeColor="text1"/>
              </w:rPr>
              <w:t>and/</w:t>
            </w:r>
            <w:r w:rsidRPr="00F83B6E">
              <w:rPr>
                <w:color w:val="000000" w:themeColor="text1"/>
              </w:rPr>
              <w:t>or K2I research, relevant to the grant category</w:t>
            </w:r>
          </w:p>
          <w:p w14:paraId="73875896" w14:textId="58D83F25" w:rsidR="00E12D3D" w:rsidRPr="00F83B6E" w:rsidRDefault="00E12D3D" w:rsidP="00E74DD1">
            <w:pPr>
              <w:pStyle w:val="TableBullet1"/>
              <w:rPr>
                <w:color w:val="000000" w:themeColor="text1"/>
              </w:rPr>
            </w:pPr>
            <w:r w:rsidRPr="00F83B6E">
              <w:rPr>
                <w:color w:val="000000" w:themeColor="text1"/>
              </w:rPr>
              <w:t>Appropriate level of</w:t>
            </w:r>
            <w:r w:rsidR="0085423A" w:rsidRPr="00F83B6E">
              <w:rPr>
                <w:color w:val="000000" w:themeColor="text1"/>
              </w:rPr>
              <w:t xml:space="preserve"> </w:t>
            </w:r>
            <w:r w:rsidRPr="00F83B6E">
              <w:rPr>
                <w:color w:val="000000" w:themeColor="text1"/>
              </w:rPr>
              <w:t xml:space="preserve">multidisciplinary research and management expertise, as required </w:t>
            </w:r>
          </w:p>
          <w:p w14:paraId="2A5E6A9B" w14:textId="19EACD4C" w:rsidR="00E12D3D" w:rsidRPr="00F83B6E" w:rsidRDefault="00E12D3D" w:rsidP="00E74DD1">
            <w:pPr>
              <w:pStyle w:val="TableBullet1"/>
              <w:rPr>
                <w:color w:val="000000" w:themeColor="text1"/>
              </w:rPr>
            </w:pPr>
            <w:r w:rsidRPr="00F83B6E">
              <w:rPr>
                <w:color w:val="000000" w:themeColor="text1"/>
              </w:rPr>
              <w:t>Diversity in types of organisations,</w:t>
            </w:r>
            <w:r w:rsidR="00630562" w:rsidRPr="00F83B6E">
              <w:rPr>
                <w:color w:val="000000" w:themeColor="text1"/>
              </w:rPr>
              <w:t xml:space="preserve"> </w:t>
            </w:r>
            <w:r w:rsidR="008907D5" w:rsidRPr="00F83B6E">
              <w:rPr>
                <w:color w:val="000000" w:themeColor="text1"/>
              </w:rPr>
              <w:t>for example</w:t>
            </w:r>
            <w:r w:rsidR="00630562" w:rsidRPr="00F83B6E">
              <w:rPr>
                <w:color w:val="000000" w:themeColor="text1"/>
              </w:rPr>
              <w:t xml:space="preserve"> </w:t>
            </w:r>
            <w:r w:rsidRPr="00F83B6E">
              <w:rPr>
                <w:color w:val="000000" w:themeColor="text1"/>
              </w:rPr>
              <w:t xml:space="preserve">from </w:t>
            </w:r>
            <w:r w:rsidR="007E673D" w:rsidRPr="00F83B6E">
              <w:rPr>
                <w:color w:val="000000" w:themeColor="text1"/>
              </w:rPr>
              <w:t>CSOs</w:t>
            </w:r>
            <w:r w:rsidRPr="00F83B6E">
              <w:rPr>
                <w:color w:val="000000" w:themeColor="text1"/>
              </w:rPr>
              <w:t xml:space="preserve">, </w:t>
            </w:r>
            <w:r w:rsidR="00A116BB" w:rsidRPr="00F83B6E">
              <w:rPr>
                <w:color w:val="000000" w:themeColor="text1"/>
              </w:rPr>
              <w:t xml:space="preserve">media, OPD, </w:t>
            </w:r>
            <w:r w:rsidRPr="00F83B6E">
              <w:rPr>
                <w:color w:val="000000" w:themeColor="text1"/>
              </w:rPr>
              <w:t>public and private sector</w:t>
            </w:r>
          </w:p>
          <w:p w14:paraId="032C7662" w14:textId="01F2EDF1" w:rsidR="00E12D3D" w:rsidRPr="00F83B6E" w:rsidRDefault="00E12D3D" w:rsidP="00E74DD1">
            <w:pPr>
              <w:pStyle w:val="TableBullet1"/>
              <w:rPr>
                <w:color w:val="000000" w:themeColor="text1"/>
              </w:rPr>
            </w:pPr>
            <w:r w:rsidRPr="00F83B6E">
              <w:rPr>
                <w:color w:val="000000" w:themeColor="text1"/>
              </w:rPr>
              <w:t>Diversity in leadership and research teams –</w:t>
            </w:r>
            <w:r w:rsidR="00A116BB" w:rsidRPr="00F83B6E">
              <w:rPr>
                <w:color w:val="000000" w:themeColor="text1"/>
              </w:rPr>
              <w:t xml:space="preserve"> </w:t>
            </w:r>
            <w:r w:rsidR="00D34742" w:rsidRPr="00F83B6E">
              <w:rPr>
                <w:color w:val="000000" w:themeColor="text1"/>
              </w:rPr>
              <w:t>in</w:t>
            </w:r>
            <w:r w:rsidR="00630562" w:rsidRPr="00F83B6E">
              <w:rPr>
                <w:color w:val="000000" w:themeColor="text1"/>
              </w:rPr>
              <w:t xml:space="preserve"> </w:t>
            </w:r>
            <w:r w:rsidRPr="00F83B6E">
              <w:rPr>
                <w:color w:val="000000" w:themeColor="text1"/>
              </w:rPr>
              <w:t xml:space="preserve">gender, disability, ethnic background, </w:t>
            </w:r>
            <w:r w:rsidR="00AF1C02" w:rsidRPr="00F83B6E">
              <w:rPr>
                <w:color w:val="000000" w:themeColor="text1"/>
              </w:rPr>
              <w:t xml:space="preserve">indigenous </w:t>
            </w:r>
            <w:r w:rsidR="00B66824" w:rsidRPr="00F83B6E">
              <w:rPr>
                <w:color w:val="000000" w:themeColor="text1"/>
              </w:rPr>
              <w:t xml:space="preserve">knowledge </w:t>
            </w:r>
            <w:r w:rsidR="00AF1C02" w:rsidRPr="00F83B6E">
              <w:rPr>
                <w:color w:val="000000" w:themeColor="text1"/>
              </w:rPr>
              <w:t xml:space="preserve">expertise, </w:t>
            </w:r>
            <w:r w:rsidRPr="00F83B6E">
              <w:rPr>
                <w:color w:val="000000" w:themeColor="text1"/>
              </w:rPr>
              <w:t>technical expertise, career stage (as relevant)</w:t>
            </w:r>
          </w:p>
        </w:tc>
      </w:tr>
      <w:tr w:rsidR="00F83B6E" w:rsidRPr="00F83B6E" w14:paraId="51C0E452" w14:textId="77777777" w:rsidTr="0026735A">
        <w:tc>
          <w:tcPr>
            <w:tcW w:w="1413" w:type="dxa"/>
          </w:tcPr>
          <w:p w14:paraId="5E6B1D12" w14:textId="77777777" w:rsidR="00E12D3D" w:rsidRPr="00F83B6E" w:rsidRDefault="00E12D3D" w:rsidP="00506141">
            <w:pPr>
              <w:pStyle w:val="TableText"/>
              <w:ind w:left="103"/>
              <w:rPr>
                <w:color w:val="000000" w:themeColor="text1"/>
                <w:lang w:val="en-AU"/>
              </w:rPr>
            </w:pPr>
            <w:r w:rsidRPr="00F83B6E">
              <w:rPr>
                <w:color w:val="000000" w:themeColor="text1"/>
                <w:lang w:val="en-AU"/>
              </w:rPr>
              <w:t>Research topic</w:t>
            </w:r>
          </w:p>
          <w:p w14:paraId="4E471B5F" w14:textId="77777777" w:rsidR="00E12D3D" w:rsidRPr="00F83B6E" w:rsidRDefault="00E12D3D" w:rsidP="00506141">
            <w:pPr>
              <w:pStyle w:val="TableText"/>
              <w:ind w:left="103"/>
              <w:rPr>
                <w:color w:val="000000" w:themeColor="text1"/>
                <w:lang w:val="en-AU"/>
              </w:rPr>
            </w:pPr>
            <w:r w:rsidRPr="00F83B6E">
              <w:rPr>
                <w:color w:val="000000" w:themeColor="text1"/>
                <w:lang w:val="en-AU"/>
              </w:rPr>
              <w:t>(What?)</w:t>
            </w:r>
          </w:p>
        </w:tc>
        <w:tc>
          <w:tcPr>
            <w:tcW w:w="8080" w:type="dxa"/>
          </w:tcPr>
          <w:p w14:paraId="678D6229" w14:textId="58CB3FD2" w:rsidR="00AF1C02" w:rsidRPr="00F83B6E" w:rsidRDefault="00E12D3D" w:rsidP="00E74DD1">
            <w:pPr>
              <w:pStyle w:val="TableBullet1"/>
              <w:rPr>
                <w:color w:val="000000" w:themeColor="text1"/>
              </w:rPr>
            </w:pPr>
            <w:r w:rsidRPr="00F83B6E">
              <w:rPr>
                <w:color w:val="000000" w:themeColor="text1"/>
              </w:rPr>
              <w:t>Relevance to both Indonesian and Australian partners</w:t>
            </w:r>
          </w:p>
          <w:p w14:paraId="7D8E87C6" w14:textId="164EEFA2" w:rsidR="00591C0B" w:rsidRPr="00F83B6E" w:rsidRDefault="00591C0B" w:rsidP="00591C0B">
            <w:pPr>
              <w:pStyle w:val="TableBullet1"/>
              <w:rPr>
                <w:color w:val="000000" w:themeColor="text1"/>
              </w:rPr>
            </w:pPr>
            <w:r w:rsidRPr="00F83B6E">
              <w:rPr>
                <w:color w:val="000000" w:themeColor="text1"/>
              </w:rPr>
              <w:t xml:space="preserve">Clear partnership </w:t>
            </w:r>
            <w:r w:rsidR="004953AC" w:rsidRPr="00F83B6E">
              <w:rPr>
                <w:color w:val="000000" w:themeColor="text1"/>
              </w:rPr>
              <w:t>outcomes</w:t>
            </w:r>
            <w:r w:rsidRPr="00F83B6E">
              <w:rPr>
                <w:color w:val="000000" w:themeColor="text1"/>
              </w:rPr>
              <w:t xml:space="preserve"> align</w:t>
            </w:r>
            <w:r w:rsidR="004953AC" w:rsidRPr="00F83B6E">
              <w:rPr>
                <w:color w:val="000000" w:themeColor="text1"/>
              </w:rPr>
              <w:t>ed</w:t>
            </w:r>
            <w:r w:rsidRPr="00F83B6E">
              <w:rPr>
                <w:color w:val="000000" w:themeColor="text1"/>
              </w:rPr>
              <w:t xml:space="preserve"> with KPP </w:t>
            </w:r>
            <w:r w:rsidR="0090797A" w:rsidRPr="00F83B6E">
              <w:rPr>
                <w:color w:val="000000" w:themeColor="text1"/>
              </w:rPr>
              <w:t xml:space="preserve">outcomes, and an </w:t>
            </w:r>
            <w:r w:rsidR="004953AC" w:rsidRPr="00F83B6E">
              <w:rPr>
                <w:color w:val="000000" w:themeColor="text1"/>
              </w:rPr>
              <w:t>articulated</w:t>
            </w:r>
            <w:r w:rsidR="0090797A" w:rsidRPr="00F83B6E">
              <w:rPr>
                <w:color w:val="000000" w:themeColor="text1"/>
              </w:rPr>
              <w:t xml:space="preserve"> nested program logic for </w:t>
            </w:r>
            <w:proofErr w:type="spellStart"/>
            <w:r w:rsidR="0090797A" w:rsidRPr="00F83B6E">
              <w:rPr>
                <w:i/>
                <w:iCs/>
                <w:color w:val="000000" w:themeColor="text1"/>
              </w:rPr>
              <w:t>Bertumbuh</w:t>
            </w:r>
            <w:proofErr w:type="spellEnd"/>
            <w:r w:rsidR="0090797A" w:rsidRPr="00F83B6E">
              <w:rPr>
                <w:color w:val="000000" w:themeColor="text1"/>
              </w:rPr>
              <w:t xml:space="preserve"> and </w:t>
            </w:r>
            <w:proofErr w:type="spellStart"/>
            <w:r w:rsidR="0090797A" w:rsidRPr="00F83B6E">
              <w:rPr>
                <w:i/>
                <w:iCs/>
                <w:color w:val="000000" w:themeColor="text1"/>
              </w:rPr>
              <w:t>Berbuah</w:t>
            </w:r>
            <w:proofErr w:type="spellEnd"/>
            <w:r w:rsidR="0090797A" w:rsidRPr="00F83B6E">
              <w:rPr>
                <w:color w:val="000000" w:themeColor="text1"/>
              </w:rPr>
              <w:t xml:space="preserve"> grants connecting to one or more KPP outcomes</w:t>
            </w:r>
          </w:p>
          <w:p w14:paraId="14CD0A4A" w14:textId="0F98269F" w:rsidR="00E12D3D" w:rsidRPr="00F83B6E" w:rsidRDefault="00E12D3D" w:rsidP="00E74DD1">
            <w:pPr>
              <w:pStyle w:val="TableBullet1"/>
              <w:rPr>
                <w:color w:val="000000" w:themeColor="text1"/>
              </w:rPr>
            </w:pPr>
            <w:r w:rsidRPr="00F83B6E">
              <w:rPr>
                <w:color w:val="000000" w:themeColor="text1"/>
              </w:rPr>
              <w:t>Contribution to an important gap in knowledge or significant problem, with articulation of GEDSI dimensions</w:t>
            </w:r>
            <w:r w:rsidR="00AF1C02" w:rsidRPr="00F83B6E">
              <w:rPr>
                <w:color w:val="000000" w:themeColor="text1"/>
              </w:rPr>
              <w:t xml:space="preserve"> </w:t>
            </w:r>
          </w:p>
          <w:p w14:paraId="19107EB8" w14:textId="77777777" w:rsidR="00E12D3D" w:rsidRPr="00F83B6E" w:rsidRDefault="00E12D3D" w:rsidP="00E74DD1">
            <w:pPr>
              <w:pStyle w:val="TableBullet1"/>
              <w:rPr>
                <w:color w:val="000000" w:themeColor="text1"/>
              </w:rPr>
            </w:pPr>
            <w:r w:rsidRPr="00F83B6E">
              <w:rPr>
                <w:color w:val="000000" w:themeColor="text1"/>
              </w:rPr>
              <w:t>Clear understanding of context, relevant stakeholders and their interests</w:t>
            </w:r>
          </w:p>
          <w:p w14:paraId="28DA1769" w14:textId="77777777" w:rsidR="00E12D3D" w:rsidRPr="00F83B6E" w:rsidRDefault="00E12D3D" w:rsidP="00E74DD1">
            <w:pPr>
              <w:pStyle w:val="TableBullet1"/>
              <w:rPr>
                <w:color w:val="000000" w:themeColor="text1"/>
              </w:rPr>
            </w:pPr>
            <w:r w:rsidRPr="00F83B6E">
              <w:rPr>
                <w:color w:val="000000" w:themeColor="text1"/>
              </w:rPr>
              <w:t>Potential for uptake and consideration of utilisation pathways</w:t>
            </w:r>
          </w:p>
        </w:tc>
      </w:tr>
      <w:tr w:rsidR="00F83B6E" w:rsidRPr="00F83B6E" w14:paraId="425561DB" w14:textId="77777777" w:rsidTr="0026735A">
        <w:tc>
          <w:tcPr>
            <w:tcW w:w="1413" w:type="dxa"/>
          </w:tcPr>
          <w:p w14:paraId="7003FB12" w14:textId="77777777" w:rsidR="00E12D3D" w:rsidRPr="00F83B6E" w:rsidRDefault="00E12D3D" w:rsidP="00506141">
            <w:pPr>
              <w:pStyle w:val="TableText"/>
              <w:ind w:left="103"/>
              <w:rPr>
                <w:color w:val="000000" w:themeColor="text1"/>
                <w:lang w:val="en-AU"/>
              </w:rPr>
            </w:pPr>
            <w:r w:rsidRPr="00F83B6E">
              <w:rPr>
                <w:color w:val="000000" w:themeColor="text1"/>
                <w:lang w:val="en-AU"/>
              </w:rPr>
              <w:t>Methodology</w:t>
            </w:r>
          </w:p>
          <w:p w14:paraId="63C3E736" w14:textId="77777777" w:rsidR="00E12D3D" w:rsidRPr="00F83B6E" w:rsidRDefault="00E12D3D" w:rsidP="00506141">
            <w:pPr>
              <w:pStyle w:val="TableText"/>
              <w:ind w:left="103"/>
              <w:rPr>
                <w:color w:val="000000" w:themeColor="text1"/>
                <w:lang w:val="en-AU"/>
              </w:rPr>
            </w:pPr>
            <w:r w:rsidRPr="00F83B6E">
              <w:rPr>
                <w:color w:val="000000" w:themeColor="text1"/>
                <w:lang w:val="en-AU"/>
              </w:rPr>
              <w:t>(How?)</w:t>
            </w:r>
          </w:p>
        </w:tc>
        <w:tc>
          <w:tcPr>
            <w:tcW w:w="8080" w:type="dxa"/>
          </w:tcPr>
          <w:p w14:paraId="6D89DE41" w14:textId="77777777" w:rsidR="00E12D3D" w:rsidRPr="00F83B6E" w:rsidRDefault="00E12D3D" w:rsidP="00E74DD1">
            <w:pPr>
              <w:pStyle w:val="TableBullet1"/>
              <w:rPr>
                <w:color w:val="000000" w:themeColor="text1"/>
              </w:rPr>
            </w:pPr>
            <w:r w:rsidRPr="00F83B6E">
              <w:rPr>
                <w:color w:val="000000" w:themeColor="text1"/>
              </w:rPr>
              <w:t>Appropriate and innovative use of research methods and tools</w:t>
            </w:r>
          </w:p>
          <w:p w14:paraId="5D204312" w14:textId="77777777" w:rsidR="00E12D3D" w:rsidRPr="00F83B6E" w:rsidRDefault="00E12D3D" w:rsidP="00E74DD1">
            <w:pPr>
              <w:pStyle w:val="TableBullet1"/>
              <w:rPr>
                <w:color w:val="000000" w:themeColor="text1"/>
              </w:rPr>
            </w:pPr>
            <w:r w:rsidRPr="00F83B6E">
              <w:rPr>
                <w:color w:val="000000" w:themeColor="text1"/>
              </w:rPr>
              <w:t>Clear application of GEDSI principles at each stage of the project (intent, methodology, implementation, use)</w:t>
            </w:r>
          </w:p>
          <w:p w14:paraId="39B9F343" w14:textId="77777777" w:rsidR="00E12D3D" w:rsidRPr="00F83B6E" w:rsidRDefault="00E12D3D" w:rsidP="00E74DD1">
            <w:pPr>
              <w:pStyle w:val="TableBullet1"/>
              <w:rPr>
                <w:color w:val="000000" w:themeColor="text1"/>
              </w:rPr>
            </w:pPr>
            <w:r w:rsidRPr="00F83B6E">
              <w:rPr>
                <w:color w:val="000000" w:themeColor="text1"/>
              </w:rPr>
              <w:t>Clear and equitable share of responsibilities among partners and genuine collaborative approach</w:t>
            </w:r>
          </w:p>
          <w:p w14:paraId="02A350A1" w14:textId="77777777" w:rsidR="00E12D3D" w:rsidRPr="00F83B6E" w:rsidRDefault="00E12D3D" w:rsidP="00E74DD1">
            <w:pPr>
              <w:pStyle w:val="TableBullet1"/>
              <w:rPr>
                <w:color w:val="000000" w:themeColor="text1"/>
              </w:rPr>
            </w:pPr>
            <w:r w:rsidRPr="00F83B6E">
              <w:rPr>
                <w:color w:val="000000" w:themeColor="text1"/>
              </w:rPr>
              <w:t>Fit-for-purpose processes in place to monitor, manage and communicate project’s progress and results, including appropriate reporting</w:t>
            </w:r>
          </w:p>
          <w:p w14:paraId="2DB6367F" w14:textId="529C15D0" w:rsidR="00316774" w:rsidRPr="00F83B6E" w:rsidRDefault="00316774" w:rsidP="00E74DD1">
            <w:pPr>
              <w:pStyle w:val="TableBullet1"/>
              <w:rPr>
                <w:color w:val="000000" w:themeColor="text1"/>
              </w:rPr>
            </w:pPr>
            <w:r w:rsidRPr="00F83B6E">
              <w:rPr>
                <w:color w:val="000000" w:themeColor="text1"/>
              </w:rPr>
              <w:t>Demonstrated consideration of and compliance with DFAT’s ethical research policy, as  articulated in DFAT’s Ethical Research and Evaluation Guidance Note</w:t>
            </w:r>
            <w:r w:rsidRPr="00F83B6E">
              <w:rPr>
                <w:rFonts w:cs="Arial"/>
                <w:color w:val="000000" w:themeColor="text1"/>
              </w:rPr>
              <w:t xml:space="preserve">.  </w:t>
            </w:r>
          </w:p>
        </w:tc>
      </w:tr>
    </w:tbl>
    <w:p w14:paraId="005E8892" w14:textId="10417C3B" w:rsidR="00C867A1" w:rsidRPr="00F83B6E" w:rsidRDefault="00A778C0" w:rsidP="00B91543">
      <w:pPr>
        <w:pStyle w:val="BodyText"/>
        <w:rPr>
          <w:color w:val="000000" w:themeColor="text1"/>
        </w:rPr>
      </w:pPr>
      <w:r w:rsidRPr="00F83B6E">
        <w:rPr>
          <w:color w:val="000000" w:themeColor="text1"/>
        </w:rPr>
        <w:t>KPP will organise annual rounds of grants (at least until year 4 of implementation) to respond to evolving priorities and demands. I</w:t>
      </w:r>
      <w:r w:rsidR="00C867A1" w:rsidRPr="00F83B6E">
        <w:rPr>
          <w:color w:val="000000" w:themeColor="text1"/>
        </w:rPr>
        <w:t>t is suggested</w:t>
      </w:r>
      <w:r w:rsidRPr="00F83B6E">
        <w:rPr>
          <w:color w:val="000000" w:themeColor="text1"/>
        </w:rPr>
        <w:t xml:space="preserve"> KPP grants </w:t>
      </w:r>
      <w:r w:rsidR="00C867A1" w:rsidRPr="00F83B6E">
        <w:rPr>
          <w:color w:val="000000" w:themeColor="text1"/>
        </w:rPr>
        <w:t xml:space="preserve">be </w:t>
      </w:r>
      <w:r w:rsidR="00E12D3D" w:rsidRPr="00F83B6E">
        <w:rPr>
          <w:color w:val="000000" w:themeColor="text1"/>
        </w:rPr>
        <w:t xml:space="preserve">implemented in four stages: </w:t>
      </w:r>
    </w:p>
    <w:p w14:paraId="551E4063" w14:textId="33995F7F" w:rsidR="00E6087B" w:rsidRPr="00F83B6E" w:rsidRDefault="00A778C0" w:rsidP="00E6202D">
      <w:pPr>
        <w:pStyle w:val="Bullet1"/>
        <w:rPr>
          <w:color w:val="000000" w:themeColor="text1"/>
        </w:rPr>
      </w:pPr>
      <w:r w:rsidRPr="00F83B6E">
        <w:rPr>
          <w:color w:val="000000" w:themeColor="text1"/>
        </w:rPr>
        <w:t xml:space="preserve">The </w:t>
      </w:r>
      <w:r w:rsidR="00C867A1" w:rsidRPr="00F83B6E">
        <w:rPr>
          <w:i/>
          <w:iCs/>
          <w:color w:val="000000" w:themeColor="text1"/>
        </w:rPr>
        <w:t>agenda setting</w:t>
      </w:r>
      <w:r w:rsidR="00C867A1" w:rsidRPr="00F83B6E">
        <w:rPr>
          <w:color w:val="000000" w:themeColor="text1"/>
        </w:rPr>
        <w:t xml:space="preserve"> stage </w:t>
      </w:r>
      <w:r w:rsidR="00B369A5" w:rsidRPr="00F83B6E">
        <w:rPr>
          <w:color w:val="000000" w:themeColor="text1"/>
        </w:rPr>
        <w:t xml:space="preserve">entails </w:t>
      </w:r>
      <w:r w:rsidR="007019ED" w:rsidRPr="00F83B6E">
        <w:rPr>
          <w:color w:val="000000" w:themeColor="text1"/>
        </w:rPr>
        <w:t xml:space="preserve">the identification of </w:t>
      </w:r>
      <w:r w:rsidRPr="00F83B6E">
        <w:rPr>
          <w:color w:val="000000" w:themeColor="text1"/>
        </w:rPr>
        <w:t>broad</w:t>
      </w:r>
      <w:r w:rsidR="006438C5" w:rsidRPr="00F83B6E">
        <w:rPr>
          <w:color w:val="000000" w:themeColor="text1"/>
        </w:rPr>
        <w:t xml:space="preserve"> </w:t>
      </w:r>
      <w:r w:rsidR="007019ED" w:rsidRPr="00F83B6E">
        <w:rPr>
          <w:color w:val="000000" w:themeColor="text1"/>
        </w:rPr>
        <w:t xml:space="preserve">research </w:t>
      </w:r>
      <w:r w:rsidRPr="00F83B6E">
        <w:rPr>
          <w:color w:val="000000" w:themeColor="text1"/>
        </w:rPr>
        <w:t xml:space="preserve">themes </w:t>
      </w:r>
      <w:r w:rsidR="006438C5" w:rsidRPr="00F83B6E">
        <w:rPr>
          <w:color w:val="000000" w:themeColor="text1"/>
        </w:rPr>
        <w:t>by the Program Steering Committee</w:t>
      </w:r>
      <w:r w:rsidR="00804B75" w:rsidRPr="00F83B6E">
        <w:rPr>
          <w:color w:val="000000" w:themeColor="text1"/>
        </w:rPr>
        <w:t xml:space="preserve"> through a process facilitated by the Platform </w:t>
      </w:r>
      <w:r w:rsidR="004953AC" w:rsidRPr="00F83B6E">
        <w:rPr>
          <w:color w:val="000000" w:themeColor="text1"/>
        </w:rPr>
        <w:t>H</w:t>
      </w:r>
      <w:r w:rsidR="00804B75" w:rsidRPr="00F83B6E">
        <w:rPr>
          <w:color w:val="000000" w:themeColor="text1"/>
        </w:rPr>
        <w:t xml:space="preserve">ub and based on </w:t>
      </w:r>
      <w:r w:rsidR="00427EB3" w:rsidRPr="00F83B6E">
        <w:rPr>
          <w:color w:val="000000" w:themeColor="text1"/>
        </w:rPr>
        <w:t>relevant</w:t>
      </w:r>
      <w:r w:rsidR="00804B75" w:rsidRPr="00F83B6E">
        <w:rPr>
          <w:color w:val="000000" w:themeColor="text1"/>
        </w:rPr>
        <w:t xml:space="preserve"> analysis and presentation of a discussion paper</w:t>
      </w:r>
      <w:r w:rsidR="004F0B7B" w:rsidRPr="00F83B6E">
        <w:rPr>
          <w:color w:val="000000" w:themeColor="text1"/>
        </w:rPr>
        <w:t xml:space="preserve">. </w:t>
      </w:r>
      <w:r w:rsidR="005D58DB" w:rsidRPr="00F83B6E">
        <w:rPr>
          <w:color w:val="000000" w:themeColor="text1"/>
        </w:rPr>
        <w:t>The research themes have deliberately not been defined during the KPP design process.</w:t>
      </w:r>
      <w:r w:rsidR="00DB67F3" w:rsidRPr="00F83B6E">
        <w:rPr>
          <w:rStyle w:val="FootnoteReference"/>
          <w:color w:val="000000" w:themeColor="text1"/>
        </w:rPr>
        <w:t xml:space="preserve"> </w:t>
      </w:r>
      <w:r w:rsidR="00DB67F3" w:rsidRPr="00F83B6E">
        <w:rPr>
          <w:rStyle w:val="FootnoteReference"/>
          <w:color w:val="000000" w:themeColor="text1"/>
        </w:rPr>
        <w:lastRenderedPageBreak/>
        <w:footnoteReference w:id="29"/>
      </w:r>
      <w:r w:rsidR="005D58DB" w:rsidRPr="00F83B6E">
        <w:rPr>
          <w:color w:val="000000" w:themeColor="text1"/>
        </w:rPr>
        <w:t xml:space="preserve"> Given the dynamic context, the agenda setting needs to remain flexible and will be facilitated by the KPP team in the early stage of </w:t>
      </w:r>
      <w:r w:rsidR="00DB67F3" w:rsidRPr="00F83B6E">
        <w:rPr>
          <w:color w:val="000000" w:themeColor="text1"/>
        </w:rPr>
        <w:t xml:space="preserve">program </w:t>
      </w:r>
      <w:r w:rsidR="005D58DB" w:rsidRPr="00F83B6E">
        <w:rPr>
          <w:color w:val="000000" w:themeColor="text1"/>
        </w:rPr>
        <w:t>implementation</w:t>
      </w:r>
      <w:r w:rsidR="00DB67F3" w:rsidRPr="00F83B6E">
        <w:rPr>
          <w:color w:val="000000" w:themeColor="text1"/>
        </w:rPr>
        <w:t xml:space="preserve"> </w:t>
      </w:r>
      <w:r w:rsidR="005D58DB" w:rsidRPr="00F83B6E">
        <w:rPr>
          <w:color w:val="000000" w:themeColor="text1"/>
        </w:rPr>
        <w:t xml:space="preserve">through appropriate consultations and analysis upon which the PSC can reflect, discuss and decide. The </w:t>
      </w:r>
      <w:r w:rsidR="008C0ED1" w:rsidRPr="00F83B6E">
        <w:rPr>
          <w:color w:val="000000" w:themeColor="text1"/>
        </w:rPr>
        <w:t>priority</w:t>
      </w:r>
      <w:r w:rsidR="005D58DB" w:rsidRPr="00F83B6E">
        <w:rPr>
          <w:color w:val="000000" w:themeColor="text1"/>
        </w:rPr>
        <w:t xml:space="preserve"> </w:t>
      </w:r>
      <w:r w:rsidR="00E6087B" w:rsidRPr="00F83B6E">
        <w:rPr>
          <w:color w:val="000000" w:themeColor="text1"/>
        </w:rPr>
        <w:t xml:space="preserve">themes </w:t>
      </w:r>
      <w:r w:rsidR="005D58DB" w:rsidRPr="00F83B6E">
        <w:rPr>
          <w:color w:val="000000" w:themeColor="text1"/>
        </w:rPr>
        <w:t xml:space="preserve">will </w:t>
      </w:r>
      <w:r w:rsidR="00E6087B" w:rsidRPr="00F83B6E">
        <w:rPr>
          <w:color w:val="000000" w:themeColor="text1"/>
        </w:rPr>
        <w:t xml:space="preserve">fulfil the following criteria: </w:t>
      </w:r>
    </w:p>
    <w:p w14:paraId="038563D1" w14:textId="2A75C45D" w:rsidR="00E6087B" w:rsidRPr="00F83B6E" w:rsidRDefault="00E6087B" w:rsidP="00907F0B">
      <w:pPr>
        <w:pStyle w:val="ListNumber2"/>
        <w:tabs>
          <w:tab w:val="clear" w:pos="947"/>
          <w:tab w:val="num" w:pos="1276"/>
          <w:tab w:val="left" w:pos="1418"/>
        </w:tabs>
        <w:spacing w:before="120" w:after="120"/>
        <w:ind w:left="1134" w:hanging="283"/>
        <w:contextualSpacing w:val="0"/>
        <w:rPr>
          <w:color w:val="000000" w:themeColor="text1"/>
          <w:sz w:val="21"/>
          <w:szCs w:val="21"/>
          <w:lang w:val="en-AU"/>
        </w:rPr>
      </w:pPr>
      <w:r w:rsidRPr="00F83B6E">
        <w:rPr>
          <w:color w:val="000000" w:themeColor="text1"/>
          <w:sz w:val="21"/>
          <w:szCs w:val="21"/>
          <w:lang w:val="en-AU"/>
        </w:rPr>
        <w:t>Mutual interest to Australia and Indonesia</w:t>
      </w:r>
    </w:p>
    <w:p w14:paraId="2F52F86F" w14:textId="4141577D" w:rsidR="00E6087B" w:rsidRPr="00F83B6E" w:rsidRDefault="00E6087B" w:rsidP="00907F0B">
      <w:pPr>
        <w:pStyle w:val="ListNumber2"/>
        <w:tabs>
          <w:tab w:val="clear" w:pos="947"/>
          <w:tab w:val="num" w:pos="1276"/>
          <w:tab w:val="left" w:pos="1418"/>
        </w:tabs>
        <w:spacing w:before="120" w:after="120"/>
        <w:ind w:left="1134" w:hanging="283"/>
        <w:contextualSpacing w:val="0"/>
        <w:rPr>
          <w:color w:val="000000" w:themeColor="text1"/>
          <w:sz w:val="21"/>
          <w:szCs w:val="21"/>
          <w:lang w:val="en-AU"/>
        </w:rPr>
      </w:pPr>
      <w:r w:rsidRPr="00F83B6E">
        <w:rPr>
          <w:color w:val="000000" w:themeColor="text1"/>
          <w:sz w:val="21"/>
          <w:szCs w:val="21"/>
          <w:lang w:val="en-AU"/>
        </w:rPr>
        <w:t xml:space="preserve">Alignment with </w:t>
      </w:r>
      <w:proofErr w:type="spellStart"/>
      <w:r w:rsidRPr="00F83B6E">
        <w:rPr>
          <w:color w:val="000000" w:themeColor="text1"/>
          <w:sz w:val="21"/>
          <w:szCs w:val="21"/>
          <w:lang w:val="en-AU"/>
        </w:rPr>
        <w:t>GoA-GoI</w:t>
      </w:r>
      <w:proofErr w:type="spellEnd"/>
      <w:r w:rsidRPr="00F83B6E">
        <w:rPr>
          <w:color w:val="000000" w:themeColor="text1"/>
          <w:sz w:val="21"/>
          <w:szCs w:val="21"/>
          <w:lang w:val="en-AU"/>
        </w:rPr>
        <w:t xml:space="preserve"> bilateral cooperation priorities</w:t>
      </w:r>
    </w:p>
    <w:p w14:paraId="43867669" w14:textId="77777777" w:rsidR="00A22E4E" w:rsidRPr="00F83B6E" w:rsidRDefault="00E6087B" w:rsidP="00907F0B">
      <w:pPr>
        <w:pStyle w:val="ListNumber2"/>
        <w:tabs>
          <w:tab w:val="clear" w:pos="947"/>
          <w:tab w:val="num" w:pos="1276"/>
          <w:tab w:val="left" w:pos="1418"/>
        </w:tabs>
        <w:spacing w:before="120" w:after="120"/>
        <w:ind w:left="1134" w:hanging="283"/>
        <w:contextualSpacing w:val="0"/>
        <w:rPr>
          <w:color w:val="000000" w:themeColor="text1"/>
          <w:sz w:val="21"/>
          <w:szCs w:val="21"/>
          <w:lang w:val="en-AU"/>
        </w:rPr>
      </w:pPr>
      <w:r w:rsidRPr="00F83B6E">
        <w:rPr>
          <w:color w:val="000000" w:themeColor="text1"/>
          <w:sz w:val="21"/>
          <w:szCs w:val="21"/>
          <w:lang w:val="en-AU"/>
        </w:rPr>
        <w:t xml:space="preserve">Alignment with </w:t>
      </w:r>
      <w:proofErr w:type="spellStart"/>
      <w:r w:rsidRPr="00F83B6E">
        <w:rPr>
          <w:color w:val="000000" w:themeColor="text1"/>
          <w:sz w:val="21"/>
          <w:szCs w:val="21"/>
          <w:lang w:val="en-AU"/>
        </w:rPr>
        <w:t>GoI</w:t>
      </w:r>
      <w:proofErr w:type="spellEnd"/>
      <w:r w:rsidRPr="00F83B6E">
        <w:rPr>
          <w:color w:val="000000" w:themeColor="text1"/>
          <w:sz w:val="21"/>
          <w:szCs w:val="21"/>
          <w:lang w:val="en-AU"/>
        </w:rPr>
        <w:t xml:space="preserve"> development policy priorities</w:t>
      </w:r>
      <w:r w:rsidR="00A22E4E" w:rsidRPr="00F83B6E">
        <w:rPr>
          <w:color w:val="000000" w:themeColor="text1"/>
          <w:sz w:val="21"/>
          <w:szCs w:val="21"/>
          <w:lang w:val="en-AU"/>
        </w:rPr>
        <w:t xml:space="preserve"> </w:t>
      </w:r>
    </w:p>
    <w:p w14:paraId="1D1173F2" w14:textId="13F3BAD6" w:rsidR="00E6087B" w:rsidRPr="00F83B6E" w:rsidRDefault="00A22E4E" w:rsidP="00907F0B">
      <w:pPr>
        <w:pStyle w:val="ListNumber2"/>
        <w:tabs>
          <w:tab w:val="clear" w:pos="947"/>
          <w:tab w:val="num" w:pos="1276"/>
          <w:tab w:val="left" w:pos="1418"/>
        </w:tabs>
        <w:spacing w:before="120" w:after="120"/>
        <w:ind w:left="1134" w:hanging="283"/>
        <w:contextualSpacing w:val="0"/>
        <w:rPr>
          <w:color w:val="000000" w:themeColor="text1"/>
          <w:sz w:val="21"/>
          <w:szCs w:val="21"/>
          <w:lang w:val="en-AU"/>
        </w:rPr>
      </w:pPr>
      <w:r w:rsidRPr="00F83B6E">
        <w:rPr>
          <w:color w:val="000000" w:themeColor="text1"/>
          <w:sz w:val="21"/>
          <w:szCs w:val="21"/>
          <w:lang w:val="en-AU"/>
        </w:rPr>
        <w:t>Addressing complex and/or multi-sectoral development challenges with specific attention to the GEDSI dimensions of the challenge</w:t>
      </w:r>
    </w:p>
    <w:p w14:paraId="2FB5393B" w14:textId="2EF0826E" w:rsidR="00E6087B" w:rsidRPr="00F83B6E" w:rsidRDefault="00E6087B" w:rsidP="00907F0B">
      <w:pPr>
        <w:pStyle w:val="ListNumber2"/>
        <w:tabs>
          <w:tab w:val="clear" w:pos="947"/>
          <w:tab w:val="num" w:pos="1276"/>
          <w:tab w:val="left" w:pos="1418"/>
        </w:tabs>
        <w:spacing w:before="120" w:after="120"/>
        <w:ind w:left="1134" w:hanging="283"/>
        <w:contextualSpacing w:val="0"/>
        <w:rPr>
          <w:color w:val="000000" w:themeColor="text1"/>
          <w:sz w:val="21"/>
          <w:szCs w:val="21"/>
          <w:lang w:val="en-AU"/>
        </w:rPr>
      </w:pPr>
      <w:r w:rsidRPr="00F83B6E">
        <w:rPr>
          <w:color w:val="000000" w:themeColor="text1"/>
          <w:sz w:val="21"/>
          <w:szCs w:val="21"/>
          <w:lang w:val="en-AU"/>
        </w:rPr>
        <w:t>Reflect</w:t>
      </w:r>
      <w:r w:rsidR="008C0ED1" w:rsidRPr="00F83B6E">
        <w:rPr>
          <w:color w:val="000000" w:themeColor="text1"/>
          <w:sz w:val="21"/>
          <w:szCs w:val="21"/>
          <w:lang w:val="en-AU"/>
        </w:rPr>
        <w:t>ing</w:t>
      </w:r>
      <w:r w:rsidRPr="00F83B6E">
        <w:rPr>
          <w:color w:val="000000" w:themeColor="text1"/>
          <w:sz w:val="21"/>
          <w:szCs w:val="21"/>
          <w:lang w:val="en-AU"/>
        </w:rPr>
        <w:t xml:space="preserve"> gap(s) in knowledge that can be filled by further </w:t>
      </w:r>
      <w:r w:rsidR="001F704A" w:rsidRPr="00F83B6E">
        <w:rPr>
          <w:color w:val="000000" w:themeColor="text1"/>
          <w:sz w:val="21"/>
          <w:szCs w:val="21"/>
          <w:lang w:val="en-AU"/>
        </w:rPr>
        <w:t xml:space="preserve">multidisciplinary </w:t>
      </w:r>
      <w:r w:rsidRPr="00F83B6E">
        <w:rPr>
          <w:color w:val="000000" w:themeColor="text1"/>
          <w:sz w:val="21"/>
          <w:szCs w:val="21"/>
          <w:lang w:val="en-AU"/>
        </w:rPr>
        <w:t>research</w:t>
      </w:r>
      <w:r w:rsidR="0085423A" w:rsidRPr="00F83B6E">
        <w:rPr>
          <w:rStyle w:val="FootnoteReference"/>
          <w:color w:val="000000" w:themeColor="text1"/>
          <w:sz w:val="21"/>
          <w:szCs w:val="21"/>
          <w:lang w:val="en-AU"/>
        </w:rPr>
        <w:footnoteReference w:id="30"/>
      </w:r>
    </w:p>
    <w:p w14:paraId="3A7DB494" w14:textId="699DD5AC" w:rsidR="00E6087B" w:rsidRPr="00F83B6E" w:rsidRDefault="00E6087B" w:rsidP="00907F0B">
      <w:pPr>
        <w:pStyle w:val="ListNumber2"/>
        <w:tabs>
          <w:tab w:val="clear" w:pos="947"/>
          <w:tab w:val="num" w:pos="1276"/>
          <w:tab w:val="left" w:pos="1418"/>
        </w:tabs>
        <w:spacing w:before="120" w:after="120"/>
        <w:ind w:left="1134" w:hanging="283"/>
        <w:contextualSpacing w:val="0"/>
        <w:rPr>
          <w:color w:val="000000" w:themeColor="text1"/>
          <w:sz w:val="21"/>
          <w:szCs w:val="21"/>
          <w:lang w:val="en-AU"/>
        </w:rPr>
      </w:pPr>
      <w:r w:rsidRPr="00F83B6E">
        <w:rPr>
          <w:color w:val="000000" w:themeColor="text1"/>
          <w:sz w:val="21"/>
          <w:szCs w:val="21"/>
          <w:lang w:val="en-AU"/>
        </w:rPr>
        <w:t>Potential to lead to policy and/or technology solutions</w:t>
      </w:r>
    </w:p>
    <w:p w14:paraId="6B3935EB" w14:textId="4ABB9F5B" w:rsidR="00A778C0" w:rsidRPr="00F83B6E" w:rsidRDefault="006438C5" w:rsidP="00E6202D">
      <w:pPr>
        <w:pStyle w:val="Bullet1"/>
        <w:numPr>
          <w:ilvl w:val="0"/>
          <w:numId w:val="0"/>
        </w:numPr>
        <w:ind w:left="360"/>
        <w:rPr>
          <w:color w:val="000000" w:themeColor="text1"/>
        </w:rPr>
      </w:pPr>
      <w:r w:rsidRPr="00F83B6E">
        <w:rPr>
          <w:color w:val="000000" w:themeColor="text1"/>
        </w:rPr>
        <w:t>This will be followed by an annual ideation conference (at least the first two years) where research topics are discussed and connections between potential partners facilitated</w:t>
      </w:r>
      <w:r w:rsidR="00147CA5" w:rsidRPr="00F83B6E">
        <w:rPr>
          <w:color w:val="000000" w:themeColor="text1"/>
        </w:rPr>
        <w:t xml:space="preserve">; </w:t>
      </w:r>
      <w:r w:rsidRPr="00F83B6E">
        <w:rPr>
          <w:color w:val="000000" w:themeColor="text1"/>
        </w:rPr>
        <w:t>the first year this conference can</w:t>
      </w:r>
      <w:r w:rsidR="00147CA5" w:rsidRPr="00F83B6E">
        <w:rPr>
          <w:color w:val="000000" w:themeColor="text1"/>
        </w:rPr>
        <w:t xml:space="preserve"> also be</w:t>
      </w:r>
      <w:r w:rsidRPr="00F83B6E">
        <w:rPr>
          <w:color w:val="000000" w:themeColor="text1"/>
        </w:rPr>
        <w:t xml:space="preserve"> the program launch</w:t>
      </w:r>
      <w:r w:rsidR="00147CA5" w:rsidRPr="00F83B6E">
        <w:rPr>
          <w:color w:val="000000" w:themeColor="text1"/>
        </w:rPr>
        <w:t xml:space="preserve"> event</w:t>
      </w:r>
      <w:r w:rsidRPr="00F83B6E">
        <w:rPr>
          <w:color w:val="000000" w:themeColor="text1"/>
        </w:rPr>
        <w:t xml:space="preserve">. Based on the ideation conference, a list of </w:t>
      </w:r>
      <w:r w:rsidR="00C867A1" w:rsidRPr="00F83B6E">
        <w:rPr>
          <w:color w:val="000000" w:themeColor="text1"/>
        </w:rPr>
        <w:t xml:space="preserve">research topics </w:t>
      </w:r>
      <w:r w:rsidRPr="00F83B6E">
        <w:rPr>
          <w:color w:val="000000" w:themeColor="text1"/>
        </w:rPr>
        <w:t xml:space="preserve">is prepared </w:t>
      </w:r>
      <w:r w:rsidR="00C867A1" w:rsidRPr="00F83B6E">
        <w:rPr>
          <w:color w:val="000000" w:themeColor="text1"/>
        </w:rPr>
        <w:t xml:space="preserve">by the </w:t>
      </w:r>
      <w:r w:rsidR="00630562" w:rsidRPr="00F83B6E">
        <w:rPr>
          <w:color w:val="000000" w:themeColor="text1"/>
        </w:rPr>
        <w:t xml:space="preserve">Platform </w:t>
      </w:r>
      <w:r w:rsidRPr="00F83B6E">
        <w:rPr>
          <w:color w:val="000000" w:themeColor="text1"/>
        </w:rPr>
        <w:t xml:space="preserve">Hub and </w:t>
      </w:r>
      <w:r w:rsidR="00C867A1" w:rsidRPr="00F83B6E">
        <w:rPr>
          <w:color w:val="000000" w:themeColor="text1"/>
        </w:rPr>
        <w:t xml:space="preserve">approved by the </w:t>
      </w:r>
      <w:r w:rsidR="00F204DC" w:rsidRPr="00F83B6E">
        <w:rPr>
          <w:color w:val="000000" w:themeColor="text1"/>
        </w:rPr>
        <w:t>Program Technical Committee</w:t>
      </w:r>
      <w:r w:rsidR="00C867A1" w:rsidRPr="00F83B6E">
        <w:rPr>
          <w:color w:val="000000" w:themeColor="text1"/>
        </w:rPr>
        <w:t xml:space="preserve">. </w:t>
      </w:r>
    </w:p>
    <w:p w14:paraId="7CCC2A5E" w14:textId="0E9AA979" w:rsidR="000A6E5B" w:rsidRPr="00F83B6E" w:rsidRDefault="006438C5" w:rsidP="00E6202D">
      <w:pPr>
        <w:pStyle w:val="Bullet1"/>
        <w:rPr>
          <w:color w:val="000000" w:themeColor="text1"/>
        </w:rPr>
      </w:pPr>
      <w:r w:rsidRPr="00F83B6E">
        <w:rPr>
          <w:color w:val="000000" w:themeColor="text1"/>
        </w:rPr>
        <w:t xml:space="preserve">The </w:t>
      </w:r>
      <w:r w:rsidRPr="00F83B6E">
        <w:rPr>
          <w:i/>
          <w:iCs/>
          <w:color w:val="000000" w:themeColor="text1"/>
        </w:rPr>
        <w:t>proposal development</w:t>
      </w:r>
      <w:r w:rsidRPr="00F83B6E">
        <w:rPr>
          <w:color w:val="000000" w:themeColor="text1"/>
        </w:rPr>
        <w:t xml:space="preserve"> stage enables KPP to select partnership</w:t>
      </w:r>
      <w:r w:rsidR="00DB67F3" w:rsidRPr="00F83B6E">
        <w:rPr>
          <w:color w:val="000000" w:themeColor="text1"/>
        </w:rPr>
        <w:t xml:space="preserve">s. Smaller-sized </w:t>
      </w:r>
      <w:proofErr w:type="spellStart"/>
      <w:r w:rsidR="00DB67F3" w:rsidRPr="00F83B6E">
        <w:rPr>
          <w:i/>
          <w:iCs/>
          <w:color w:val="000000" w:themeColor="text1"/>
        </w:rPr>
        <w:t>Bertunas</w:t>
      </w:r>
      <w:proofErr w:type="spellEnd"/>
      <w:r w:rsidR="00DB67F3" w:rsidRPr="00F83B6E">
        <w:rPr>
          <w:color w:val="000000" w:themeColor="text1"/>
        </w:rPr>
        <w:t xml:space="preserve"> grants will benefit from a streamline</w:t>
      </w:r>
      <w:r w:rsidR="004953AC" w:rsidRPr="00F83B6E">
        <w:rPr>
          <w:color w:val="000000" w:themeColor="text1"/>
        </w:rPr>
        <w:t>d</w:t>
      </w:r>
      <w:r w:rsidR="00DB67F3" w:rsidRPr="00F83B6E">
        <w:rPr>
          <w:color w:val="000000" w:themeColor="text1"/>
        </w:rPr>
        <w:t xml:space="preserve"> process: proposals will be developed and selected in one phase. Given their size</w:t>
      </w:r>
      <w:r w:rsidR="000A6E5B" w:rsidRPr="00F83B6E">
        <w:rPr>
          <w:color w:val="000000" w:themeColor="text1"/>
        </w:rPr>
        <w:t xml:space="preserve">, </w:t>
      </w:r>
      <w:proofErr w:type="spellStart"/>
      <w:r w:rsidR="00DB67F3" w:rsidRPr="00F83B6E">
        <w:rPr>
          <w:i/>
          <w:iCs/>
          <w:color w:val="000000" w:themeColor="text1"/>
        </w:rPr>
        <w:t>Bertumbuh</w:t>
      </w:r>
      <w:proofErr w:type="spellEnd"/>
      <w:r w:rsidR="00DB67F3" w:rsidRPr="00F83B6E">
        <w:rPr>
          <w:color w:val="000000" w:themeColor="text1"/>
        </w:rPr>
        <w:t xml:space="preserve"> and </w:t>
      </w:r>
      <w:proofErr w:type="spellStart"/>
      <w:r w:rsidR="00DB67F3" w:rsidRPr="00F83B6E">
        <w:rPr>
          <w:i/>
          <w:iCs/>
          <w:color w:val="000000" w:themeColor="text1"/>
        </w:rPr>
        <w:t>Be</w:t>
      </w:r>
      <w:r w:rsidR="000A6E5B" w:rsidRPr="00F83B6E">
        <w:rPr>
          <w:i/>
          <w:iCs/>
          <w:color w:val="000000" w:themeColor="text1"/>
        </w:rPr>
        <w:t>r</w:t>
      </w:r>
      <w:r w:rsidR="00DB67F3" w:rsidRPr="00F83B6E">
        <w:rPr>
          <w:i/>
          <w:iCs/>
          <w:color w:val="000000" w:themeColor="text1"/>
        </w:rPr>
        <w:t>buah</w:t>
      </w:r>
      <w:proofErr w:type="spellEnd"/>
      <w:r w:rsidR="00DB67F3" w:rsidRPr="00F83B6E">
        <w:rPr>
          <w:i/>
          <w:iCs/>
          <w:color w:val="000000" w:themeColor="text1"/>
        </w:rPr>
        <w:t xml:space="preserve"> </w:t>
      </w:r>
      <w:r w:rsidR="000A6E5B" w:rsidRPr="00F83B6E">
        <w:rPr>
          <w:color w:val="000000" w:themeColor="text1"/>
        </w:rPr>
        <w:t xml:space="preserve">grants will be developed and selected </w:t>
      </w:r>
      <w:r w:rsidRPr="00F83B6E">
        <w:rPr>
          <w:color w:val="000000" w:themeColor="text1"/>
        </w:rPr>
        <w:t>in two phases</w:t>
      </w:r>
      <w:r w:rsidR="000A6E5B" w:rsidRPr="00F83B6E">
        <w:rPr>
          <w:color w:val="000000" w:themeColor="text1"/>
        </w:rPr>
        <w:t>:</w:t>
      </w:r>
      <w:r w:rsidRPr="00F83B6E">
        <w:rPr>
          <w:color w:val="000000" w:themeColor="text1"/>
        </w:rPr>
        <w:t xml:space="preserve"> </w:t>
      </w:r>
    </w:p>
    <w:p w14:paraId="6FBB110E" w14:textId="483EEDAF" w:rsidR="000A6E5B" w:rsidRPr="00F83B6E" w:rsidRDefault="006438C5" w:rsidP="00907F0B">
      <w:pPr>
        <w:pStyle w:val="Bullet2"/>
        <w:rPr>
          <w:color w:val="000000" w:themeColor="text1"/>
        </w:rPr>
      </w:pPr>
      <w:r w:rsidRPr="00F83B6E">
        <w:rPr>
          <w:color w:val="000000" w:themeColor="text1"/>
        </w:rPr>
        <w:t xml:space="preserve">First, interested partnerships </w:t>
      </w:r>
      <w:r w:rsidR="00C867A1" w:rsidRPr="00F83B6E">
        <w:rPr>
          <w:color w:val="000000" w:themeColor="text1"/>
        </w:rPr>
        <w:t xml:space="preserve">are invited to submit </w:t>
      </w:r>
      <w:r w:rsidR="008E7415" w:rsidRPr="00F83B6E">
        <w:rPr>
          <w:color w:val="000000" w:themeColor="text1"/>
        </w:rPr>
        <w:t xml:space="preserve">an </w:t>
      </w:r>
      <w:r w:rsidR="00C867A1" w:rsidRPr="00F83B6E">
        <w:rPr>
          <w:color w:val="000000" w:themeColor="text1"/>
        </w:rPr>
        <w:t>expression of interest (EOI)</w:t>
      </w:r>
      <w:r w:rsidR="008E7415" w:rsidRPr="00F83B6E">
        <w:rPr>
          <w:color w:val="000000" w:themeColor="text1"/>
        </w:rPr>
        <w:t xml:space="preserve"> that</w:t>
      </w:r>
      <w:r w:rsidR="00C867A1" w:rsidRPr="00F83B6E">
        <w:rPr>
          <w:color w:val="000000" w:themeColor="text1"/>
        </w:rPr>
        <w:t xml:space="preserve"> </w:t>
      </w:r>
      <w:r w:rsidR="008E7415" w:rsidRPr="00F83B6E">
        <w:rPr>
          <w:color w:val="000000" w:themeColor="text1"/>
        </w:rPr>
        <w:t>demonstrate</w:t>
      </w:r>
      <w:r w:rsidR="00A116BB" w:rsidRPr="00F83B6E">
        <w:rPr>
          <w:color w:val="000000" w:themeColor="text1"/>
        </w:rPr>
        <w:t>s</w:t>
      </w:r>
      <w:r w:rsidR="008E7415" w:rsidRPr="00F83B6E">
        <w:rPr>
          <w:color w:val="000000" w:themeColor="text1"/>
        </w:rPr>
        <w:t xml:space="preserve"> their eligibility and outline</w:t>
      </w:r>
      <w:r w:rsidR="00A116BB" w:rsidRPr="00F83B6E">
        <w:rPr>
          <w:color w:val="000000" w:themeColor="text1"/>
        </w:rPr>
        <w:t>s</w:t>
      </w:r>
      <w:r w:rsidR="008E7415" w:rsidRPr="00F83B6E">
        <w:rPr>
          <w:color w:val="000000" w:themeColor="text1"/>
        </w:rPr>
        <w:t xml:space="preserve"> their research project. Partners from shortlisted EOI</w:t>
      </w:r>
      <w:r w:rsidR="004953AC" w:rsidRPr="00F83B6E">
        <w:rPr>
          <w:color w:val="000000" w:themeColor="text1"/>
        </w:rPr>
        <w:t>s</w:t>
      </w:r>
      <w:r w:rsidR="008E7415" w:rsidRPr="00F83B6E">
        <w:rPr>
          <w:color w:val="000000" w:themeColor="text1"/>
        </w:rPr>
        <w:t xml:space="preserve"> are invited to attend workshop(s)</w:t>
      </w:r>
      <w:r w:rsidR="004953AC" w:rsidRPr="00F83B6E">
        <w:rPr>
          <w:color w:val="000000" w:themeColor="text1"/>
        </w:rPr>
        <w:t xml:space="preserve"> and GEDSI clinics</w:t>
      </w:r>
      <w:r w:rsidR="008E7415" w:rsidRPr="00F83B6E">
        <w:rPr>
          <w:color w:val="000000" w:themeColor="text1"/>
        </w:rPr>
        <w:t xml:space="preserve"> that will help them prepar</w:t>
      </w:r>
      <w:r w:rsidR="004953AC" w:rsidRPr="00F83B6E">
        <w:rPr>
          <w:color w:val="000000" w:themeColor="text1"/>
        </w:rPr>
        <w:t>e</w:t>
      </w:r>
      <w:r w:rsidR="008E7415" w:rsidRPr="00F83B6E">
        <w:rPr>
          <w:color w:val="000000" w:themeColor="text1"/>
        </w:rPr>
        <w:t xml:space="preserve"> strong proposals</w:t>
      </w:r>
      <w:r w:rsidR="00C867A1" w:rsidRPr="00F83B6E">
        <w:rPr>
          <w:color w:val="000000" w:themeColor="text1"/>
        </w:rPr>
        <w:t xml:space="preserve">. </w:t>
      </w:r>
    </w:p>
    <w:p w14:paraId="39EB63C0" w14:textId="4E3574B4" w:rsidR="00F87FA2" w:rsidRPr="00F83B6E" w:rsidRDefault="008E7415" w:rsidP="00907F0B">
      <w:pPr>
        <w:pStyle w:val="Bullet2"/>
        <w:rPr>
          <w:color w:val="000000" w:themeColor="text1"/>
        </w:rPr>
      </w:pPr>
      <w:r w:rsidRPr="00F83B6E">
        <w:rPr>
          <w:color w:val="000000" w:themeColor="text1"/>
        </w:rPr>
        <w:t xml:space="preserve">Second, shortlisted </w:t>
      </w:r>
      <w:r w:rsidR="00C867A1" w:rsidRPr="00F83B6E">
        <w:rPr>
          <w:color w:val="000000" w:themeColor="text1"/>
        </w:rPr>
        <w:t>partners</w:t>
      </w:r>
      <w:r w:rsidRPr="00F83B6E">
        <w:rPr>
          <w:color w:val="000000" w:themeColor="text1"/>
        </w:rPr>
        <w:t>hips are invited to</w:t>
      </w:r>
      <w:r w:rsidR="00C867A1" w:rsidRPr="00F83B6E">
        <w:rPr>
          <w:color w:val="000000" w:themeColor="text1"/>
        </w:rPr>
        <w:t xml:space="preserve"> submit </w:t>
      </w:r>
      <w:r w:rsidRPr="00F83B6E">
        <w:rPr>
          <w:color w:val="000000" w:themeColor="text1"/>
        </w:rPr>
        <w:t>their</w:t>
      </w:r>
      <w:r w:rsidR="00C867A1" w:rsidRPr="00F83B6E">
        <w:rPr>
          <w:color w:val="000000" w:themeColor="text1"/>
        </w:rPr>
        <w:t xml:space="preserve"> proposal</w:t>
      </w:r>
      <w:r w:rsidRPr="00F83B6E">
        <w:rPr>
          <w:color w:val="000000" w:themeColor="text1"/>
        </w:rPr>
        <w:t xml:space="preserve"> that will be assessed against </w:t>
      </w:r>
      <w:r w:rsidR="004953AC" w:rsidRPr="00F83B6E">
        <w:rPr>
          <w:color w:val="000000" w:themeColor="text1"/>
        </w:rPr>
        <w:t xml:space="preserve">the </w:t>
      </w:r>
      <w:r w:rsidRPr="00F83B6E">
        <w:rPr>
          <w:color w:val="000000" w:themeColor="text1"/>
        </w:rPr>
        <w:t>selection criteria</w:t>
      </w:r>
      <w:r w:rsidR="00C867A1" w:rsidRPr="00F83B6E">
        <w:rPr>
          <w:color w:val="000000" w:themeColor="text1"/>
        </w:rPr>
        <w:t>.</w:t>
      </w:r>
      <w:r w:rsidR="00A946BF" w:rsidRPr="00F83B6E">
        <w:rPr>
          <w:color w:val="000000" w:themeColor="text1"/>
        </w:rPr>
        <w:t xml:space="preserve"> Proposals will be pitched at partnership – and not individual activity – level</w:t>
      </w:r>
      <w:r w:rsidR="00056DA1" w:rsidRPr="00F83B6E">
        <w:rPr>
          <w:color w:val="000000" w:themeColor="text1"/>
        </w:rPr>
        <w:t xml:space="preserve"> and will </w:t>
      </w:r>
      <w:r w:rsidR="00056DA1" w:rsidRPr="00F83B6E">
        <w:rPr>
          <w:rFonts w:eastAsiaTheme="majorEastAsia" w:cstheme="majorBidi"/>
          <w:bCs/>
          <w:iCs/>
          <w:color w:val="000000" w:themeColor="text1"/>
          <w:sz w:val="20"/>
          <w:szCs w:val="20"/>
        </w:rPr>
        <w:t>identify how the knowledge produced reflects a need and/or a demand, and who the stakeholders and beneficiaries are to maximise the uptake</w:t>
      </w:r>
      <w:r w:rsidR="00A946BF" w:rsidRPr="00F83B6E">
        <w:rPr>
          <w:color w:val="000000" w:themeColor="text1"/>
        </w:rPr>
        <w:t xml:space="preserve">. </w:t>
      </w:r>
      <w:r w:rsidR="00C867A1" w:rsidRPr="00F83B6E">
        <w:rPr>
          <w:color w:val="000000" w:themeColor="text1"/>
        </w:rPr>
        <w:t xml:space="preserve">The </w:t>
      </w:r>
      <w:r w:rsidRPr="00F83B6E">
        <w:rPr>
          <w:color w:val="000000" w:themeColor="text1"/>
        </w:rPr>
        <w:t>Platform Hub and Program Technical Committee are</w:t>
      </w:r>
      <w:r w:rsidR="00C867A1" w:rsidRPr="00F83B6E">
        <w:rPr>
          <w:color w:val="000000" w:themeColor="text1"/>
        </w:rPr>
        <w:t xml:space="preserve"> involved in the selection of winning grant proposals. </w:t>
      </w:r>
    </w:p>
    <w:p w14:paraId="0103AE00" w14:textId="7E0AA062" w:rsidR="00A778C0" w:rsidRPr="00F83B6E" w:rsidRDefault="00C867A1" w:rsidP="00E6202D">
      <w:pPr>
        <w:pStyle w:val="Bullet1"/>
        <w:rPr>
          <w:color w:val="000000" w:themeColor="text1"/>
        </w:rPr>
      </w:pPr>
      <w:r w:rsidRPr="00F83B6E">
        <w:rPr>
          <w:color w:val="000000" w:themeColor="text1"/>
        </w:rPr>
        <w:t xml:space="preserve">The </w:t>
      </w:r>
      <w:r w:rsidRPr="00F83B6E">
        <w:rPr>
          <w:i/>
          <w:iCs/>
          <w:color w:val="000000" w:themeColor="text1"/>
        </w:rPr>
        <w:t>project implementation</w:t>
      </w:r>
      <w:r w:rsidRPr="00F83B6E">
        <w:rPr>
          <w:color w:val="000000" w:themeColor="text1"/>
        </w:rPr>
        <w:t xml:space="preserve"> </w:t>
      </w:r>
      <w:r w:rsidR="00A116BB" w:rsidRPr="00F83B6E">
        <w:rPr>
          <w:color w:val="000000" w:themeColor="text1"/>
        </w:rPr>
        <w:t xml:space="preserve">stage </w:t>
      </w:r>
      <w:r w:rsidR="008E7415" w:rsidRPr="00F83B6E">
        <w:rPr>
          <w:color w:val="000000" w:themeColor="text1"/>
        </w:rPr>
        <w:t xml:space="preserve">sees partnerships implementing their collaborative research project and the Platform Hub monitoring the processes and products, while </w:t>
      </w:r>
      <w:r w:rsidRPr="00F83B6E">
        <w:rPr>
          <w:color w:val="000000" w:themeColor="text1"/>
        </w:rPr>
        <w:t>provid</w:t>
      </w:r>
      <w:r w:rsidR="008E7415" w:rsidRPr="00F83B6E">
        <w:rPr>
          <w:color w:val="000000" w:themeColor="text1"/>
        </w:rPr>
        <w:t>ing</w:t>
      </w:r>
      <w:r w:rsidRPr="00F83B6E">
        <w:rPr>
          <w:color w:val="000000" w:themeColor="text1"/>
        </w:rPr>
        <w:t xml:space="preserve"> assistance in </w:t>
      </w:r>
      <w:r w:rsidR="00A116BB" w:rsidRPr="00F83B6E">
        <w:rPr>
          <w:color w:val="000000" w:themeColor="text1"/>
        </w:rPr>
        <w:t>accordance</w:t>
      </w:r>
      <w:r w:rsidRPr="00F83B6E">
        <w:rPr>
          <w:color w:val="000000" w:themeColor="text1"/>
        </w:rPr>
        <w:t xml:space="preserve"> with </w:t>
      </w:r>
      <w:r w:rsidR="00D81A33" w:rsidRPr="00F83B6E">
        <w:rPr>
          <w:color w:val="000000" w:themeColor="text1"/>
        </w:rPr>
        <w:t>KPP</w:t>
      </w:r>
      <w:r w:rsidR="008E7415" w:rsidRPr="00F83B6E">
        <w:rPr>
          <w:color w:val="000000" w:themeColor="text1"/>
        </w:rPr>
        <w:t xml:space="preserve"> </w:t>
      </w:r>
      <w:r w:rsidRPr="00F83B6E">
        <w:rPr>
          <w:color w:val="000000" w:themeColor="text1"/>
        </w:rPr>
        <w:t xml:space="preserve">service lines. </w:t>
      </w:r>
      <w:r w:rsidR="00056DA1" w:rsidRPr="00F83B6E">
        <w:rPr>
          <w:color w:val="000000" w:themeColor="text1"/>
        </w:rPr>
        <w:t xml:space="preserve">Partnerships will consult with knowledge users from the beginning to ensure they are producing knowledge that is in demand. </w:t>
      </w:r>
      <w:r w:rsidRPr="00F83B6E">
        <w:rPr>
          <w:color w:val="000000" w:themeColor="text1"/>
        </w:rPr>
        <w:t>At the end of this stage</w:t>
      </w:r>
      <w:r w:rsidR="00A116BB" w:rsidRPr="00F83B6E">
        <w:rPr>
          <w:color w:val="000000" w:themeColor="text1"/>
        </w:rPr>
        <w:t xml:space="preserve"> (and before if appropriate)</w:t>
      </w:r>
      <w:r w:rsidRPr="00F83B6E">
        <w:rPr>
          <w:color w:val="000000" w:themeColor="text1"/>
        </w:rPr>
        <w:t xml:space="preserve">, knowledge produced by the partnerships </w:t>
      </w:r>
      <w:r w:rsidR="008E7415" w:rsidRPr="00F83B6E">
        <w:rPr>
          <w:color w:val="000000" w:themeColor="text1"/>
        </w:rPr>
        <w:t>is</w:t>
      </w:r>
      <w:r w:rsidRPr="00F83B6E">
        <w:rPr>
          <w:color w:val="000000" w:themeColor="text1"/>
        </w:rPr>
        <w:t xml:space="preserve"> disseminated </w:t>
      </w:r>
      <w:r w:rsidR="008E7415" w:rsidRPr="00F83B6E">
        <w:rPr>
          <w:color w:val="000000" w:themeColor="text1"/>
        </w:rPr>
        <w:t>to targeted users</w:t>
      </w:r>
      <w:r w:rsidRPr="00F83B6E">
        <w:rPr>
          <w:color w:val="000000" w:themeColor="text1"/>
        </w:rPr>
        <w:t xml:space="preserve">. </w:t>
      </w:r>
    </w:p>
    <w:p w14:paraId="175155E8" w14:textId="26367BD8" w:rsidR="00C867A1" w:rsidRPr="00F83B6E" w:rsidRDefault="008E7415" w:rsidP="00E6202D">
      <w:pPr>
        <w:pStyle w:val="Bullet1"/>
        <w:rPr>
          <w:color w:val="000000" w:themeColor="text1"/>
        </w:rPr>
      </w:pPr>
      <w:r w:rsidRPr="00F83B6E">
        <w:rPr>
          <w:color w:val="000000" w:themeColor="text1"/>
        </w:rPr>
        <w:t>T</w:t>
      </w:r>
      <w:r w:rsidR="00C867A1" w:rsidRPr="00F83B6E">
        <w:rPr>
          <w:color w:val="000000" w:themeColor="text1"/>
        </w:rPr>
        <w:t xml:space="preserve">he </w:t>
      </w:r>
      <w:r w:rsidRPr="00F83B6E">
        <w:rPr>
          <w:i/>
          <w:iCs/>
          <w:color w:val="000000" w:themeColor="text1"/>
        </w:rPr>
        <w:t>completion and learning</w:t>
      </w:r>
      <w:r w:rsidR="00C867A1" w:rsidRPr="00F83B6E">
        <w:rPr>
          <w:color w:val="000000" w:themeColor="text1"/>
        </w:rPr>
        <w:t xml:space="preserve"> stage requires partners</w:t>
      </w:r>
      <w:r w:rsidRPr="00F83B6E">
        <w:rPr>
          <w:color w:val="000000" w:themeColor="text1"/>
        </w:rPr>
        <w:t>hips</w:t>
      </w:r>
      <w:r w:rsidR="00C867A1" w:rsidRPr="00F83B6E">
        <w:rPr>
          <w:color w:val="000000" w:themeColor="text1"/>
        </w:rPr>
        <w:t xml:space="preserve"> to </w:t>
      </w:r>
      <w:r w:rsidRPr="00F83B6E">
        <w:rPr>
          <w:color w:val="000000" w:themeColor="text1"/>
        </w:rPr>
        <w:t xml:space="preserve">reflect on their experience, draw lessons and </w:t>
      </w:r>
      <w:r w:rsidR="00C867A1" w:rsidRPr="00F83B6E">
        <w:rPr>
          <w:color w:val="000000" w:themeColor="text1"/>
        </w:rPr>
        <w:t xml:space="preserve">submit a completion report. The </w:t>
      </w:r>
      <w:r w:rsidRPr="00F83B6E">
        <w:rPr>
          <w:color w:val="000000" w:themeColor="text1"/>
        </w:rPr>
        <w:t>Platform Hub may</w:t>
      </w:r>
      <w:r w:rsidR="00C867A1" w:rsidRPr="00F83B6E">
        <w:rPr>
          <w:color w:val="000000" w:themeColor="text1"/>
        </w:rPr>
        <w:t xml:space="preserve"> further conduct an</w:t>
      </w:r>
      <w:r w:rsidRPr="00F83B6E">
        <w:rPr>
          <w:color w:val="000000" w:themeColor="text1"/>
        </w:rPr>
        <w:t xml:space="preserve"> independent</w:t>
      </w:r>
      <w:r w:rsidR="00C867A1" w:rsidRPr="00F83B6E">
        <w:rPr>
          <w:color w:val="000000" w:themeColor="text1"/>
        </w:rPr>
        <w:t xml:space="preserve"> end of project review</w:t>
      </w:r>
      <w:r w:rsidR="00832401" w:rsidRPr="00F83B6E">
        <w:rPr>
          <w:color w:val="000000" w:themeColor="text1"/>
        </w:rPr>
        <w:t xml:space="preserve"> and investigate potential impact on </w:t>
      </w:r>
      <w:r w:rsidR="00A116BB" w:rsidRPr="00F83B6E">
        <w:rPr>
          <w:color w:val="000000" w:themeColor="text1"/>
        </w:rPr>
        <w:t xml:space="preserve">relevant </w:t>
      </w:r>
      <w:r w:rsidR="00832401" w:rsidRPr="00F83B6E">
        <w:rPr>
          <w:color w:val="000000" w:themeColor="text1"/>
        </w:rPr>
        <w:t xml:space="preserve">policy </w:t>
      </w:r>
      <w:r w:rsidR="00A116BB" w:rsidRPr="00F83B6E">
        <w:rPr>
          <w:color w:val="000000" w:themeColor="text1"/>
        </w:rPr>
        <w:t>and/</w:t>
      </w:r>
      <w:r w:rsidR="00832401" w:rsidRPr="00F83B6E">
        <w:rPr>
          <w:color w:val="000000" w:themeColor="text1"/>
        </w:rPr>
        <w:t>or technology</w:t>
      </w:r>
      <w:r w:rsidR="00C867A1" w:rsidRPr="00F83B6E">
        <w:rPr>
          <w:color w:val="000000" w:themeColor="text1"/>
        </w:rPr>
        <w:t>.</w:t>
      </w:r>
    </w:p>
    <w:p w14:paraId="48A70EA1" w14:textId="10D96E58" w:rsidR="00A778C0" w:rsidRPr="00F83B6E" w:rsidRDefault="00832401" w:rsidP="00B91543">
      <w:pPr>
        <w:pStyle w:val="BodyText"/>
        <w:rPr>
          <w:color w:val="000000" w:themeColor="text1"/>
        </w:rPr>
      </w:pPr>
      <w:r w:rsidRPr="00F83B6E">
        <w:rPr>
          <w:color w:val="000000" w:themeColor="text1"/>
        </w:rPr>
        <w:lastRenderedPageBreak/>
        <w:t xml:space="preserve">Figure </w:t>
      </w:r>
      <w:r w:rsidR="00506141" w:rsidRPr="00F83B6E">
        <w:rPr>
          <w:color w:val="000000" w:themeColor="text1"/>
        </w:rPr>
        <w:t>6</w:t>
      </w:r>
      <w:r w:rsidRPr="00F83B6E">
        <w:rPr>
          <w:color w:val="000000" w:themeColor="text1"/>
        </w:rPr>
        <w:t xml:space="preserve"> provides more details on the</w:t>
      </w:r>
      <w:r w:rsidR="00A778C0" w:rsidRPr="00F83B6E">
        <w:rPr>
          <w:color w:val="000000" w:themeColor="text1"/>
        </w:rPr>
        <w:t xml:space="preserve"> steps</w:t>
      </w:r>
      <w:r w:rsidRPr="00F83B6E">
        <w:rPr>
          <w:color w:val="000000" w:themeColor="text1"/>
        </w:rPr>
        <w:t xml:space="preserve">, </w:t>
      </w:r>
      <w:r w:rsidR="00AB706C" w:rsidRPr="00F83B6E">
        <w:rPr>
          <w:color w:val="000000" w:themeColor="text1"/>
        </w:rPr>
        <w:t>activities</w:t>
      </w:r>
      <w:r w:rsidR="00A778C0" w:rsidRPr="00F83B6E">
        <w:rPr>
          <w:color w:val="000000" w:themeColor="text1"/>
        </w:rPr>
        <w:t xml:space="preserve"> and timing </w:t>
      </w:r>
      <w:r w:rsidRPr="00F83B6E">
        <w:rPr>
          <w:color w:val="000000" w:themeColor="text1"/>
        </w:rPr>
        <w:t xml:space="preserve">for each stage. These are </w:t>
      </w:r>
      <w:r w:rsidR="00A778C0" w:rsidRPr="00F83B6E">
        <w:rPr>
          <w:color w:val="000000" w:themeColor="text1"/>
        </w:rPr>
        <w:t>indicative and will be reviewed and updated as necessary during the program inception phase.</w:t>
      </w:r>
    </w:p>
    <w:p w14:paraId="68152598" w14:textId="45A53279" w:rsidR="00DE1D6F" w:rsidRPr="00F83B6E" w:rsidRDefault="00DE1D6F" w:rsidP="00DE1D6F">
      <w:pPr>
        <w:pStyle w:val="Caption"/>
        <w:rPr>
          <w:color w:val="000000" w:themeColor="text1"/>
          <w:lang w:val="en-AU"/>
        </w:rPr>
      </w:pPr>
      <w:r w:rsidRPr="00F83B6E">
        <w:rPr>
          <w:color w:val="000000" w:themeColor="text1"/>
        </w:rPr>
        <w:t xml:space="preserve">Figure </w:t>
      </w:r>
      <w:r w:rsidRPr="00F83B6E">
        <w:rPr>
          <w:color w:val="000000" w:themeColor="text1"/>
        </w:rPr>
        <w:fldChar w:fldCharType="begin"/>
      </w:r>
      <w:r w:rsidRPr="00F83B6E">
        <w:rPr>
          <w:color w:val="000000" w:themeColor="text1"/>
        </w:rPr>
        <w:instrText xml:space="preserve"> SEQ Figure \* ARABIC </w:instrText>
      </w:r>
      <w:r w:rsidRPr="00F83B6E">
        <w:rPr>
          <w:color w:val="000000" w:themeColor="text1"/>
        </w:rPr>
        <w:fldChar w:fldCharType="separate"/>
      </w:r>
      <w:r w:rsidR="00A578DF">
        <w:rPr>
          <w:noProof/>
          <w:color w:val="000000" w:themeColor="text1"/>
        </w:rPr>
        <w:t>6</w:t>
      </w:r>
      <w:r w:rsidRPr="00F83B6E">
        <w:rPr>
          <w:color w:val="000000" w:themeColor="text1"/>
        </w:rPr>
        <w:fldChar w:fldCharType="end"/>
      </w:r>
      <w:r w:rsidRPr="00F83B6E">
        <w:rPr>
          <w:color w:val="000000" w:themeColor="text1"/>
          <w:lang w:val="en-AU"/>
        </w:rPr>
        <w:t xml:space="preserve"> </w:t>
      </w:r>
      <w:r w:rsidRPr="00F83B6E">
        <w:rPr>
          <w:color w:val="000000" w:themeColor="text1"/>
          <w:lang w:val="en-AU"/>
        </w:rPr>
        <w:tab/>
        <w:t xml:space="preserve">Indicative grant stages and </w:t>
      </w:r>
      <w:r w:rsidR="000953B9" w:rsidRPr="00F83B6E">
        <w:rPr>
          <w:color w:val="000000" w:themeColor="text1"/>
          <w:lang w:val="en-AU"/>
        </w:rPr>
        <w:t>activities</w:t>
      </w:r>
      <w:r w:rsidR="00BB0E4C" w:rsidRPr="00F83B6E">
        <w:rPr>
          <w:color w:val="000000" w:themeColor="text1"/>
          <w:lang w:val="en-AU"/>
        </w:rPr>
        <w:t xml:space="preserve"> – to be discussed with </w:t>
      </w:r>
      <w:proofErr w:type="spellStart"/>
      <w:r w:rsidR="00BB0E4C" w:rsidRPr="00F83B6E">
        <w:rPr>
          <w:color w:val="000000" w:themeColor="text1"/>
          <w:lang w:val="en-AU"/>
        </w:rPr>
        <w:t>GoI</w:t>
      </w:r>
      <w:proofErr w:type="spellEnd"/>
    </w:p>
    <w:p w14:paraId="6ACFF59D" w14:textId="69396586" w:rsidR="00C27F75" w:rsidRPr="00F83B6E" w:rsidRDefault="00C27F75" w:rsidP="00C27F75">
      <w:pPr>
        <w:rPr>
          <w:b/>
          <w:bCs/>
          <w:color w:val="000000" w:themeColor="text1"/>
          <w:lang w:val="en-AU"/>
        </w:rPr>
      </w:pPr>
      <w:r w:rsidRPr="00F83B6E">
        <w:rPr>
          <w:b/>
          <w:bCs/>
          <w:color w:val="000000" w:themeColor="text1"/>
          <w:lang w:val="en-AU"/>
        </w:rPr>
        <w:t>Stage 1</w:t>
      </w:r>
      <w:r w:rsidR="00D73BD1" w:rsidRPr="00F83B6E">
        <w:rPr>
          <w:b/>
          <w:bCs/>
          <w:color w:val="000000" w:themeColor="text1"/>
          <w:lang w:val="en-AU"/>
        </w:rPr>
        <w:t xml:space="preserve">. </w:t>
      </w:r>
      <w:r w:rsidRPr="00F83B6E">
        <w:rPr>
          <w:b/>
          <w:bCs/>
          <w:color w:val="000000" w:themeColor="text1"/>
          <w:lang w:val="en-AU"/>
        </w:rPr>
        <w:t>Agenda Setting</w:t>
      </w:r>
    </w:p>
    <w:tbl>
      <w:tblPr>
        <w:tblStyle w:val="TableGrid1"/>
        <w:tblW w:w="0" w:type="auto"/>
        <w:tblLook w:val="0620" w:firstRow="1" w:lastRow="0" w:firstColumn="0" w:lastColumn="0" w:noHBand="1" w:noVBand="1"/>
      </w:tblPr>
      <w:tblGrid>
        <w:gridCol w:w="456"/>
        <w:gridCol w:w="3108"/>
        <w:gridCol w:w="5280"/>
        <w:gridCol w:w="783"/>
      </w:tblGrid>
      <w:tr w:rsidR="00F83B6E" w:rsidRPr="00F83B6E" w14:paraId="015ED759" w14:textId="77777777" w:rsidTr="00C27F75">
        <w:trPr>
          <w:tblHeader/>
        </w:trPr>
        <w:tc>
          <w:tcPr>
            <w:tcW w:w="0" w:type="auto"/>
          </w:tcPr>
          <w:p w14:paraId="177FDB11" w14:textId="77777777" w:rsidR="00C27F75" w:rsidRPr="00F83B6E" w:rsidRDefault="00C27F75" w:rsidP="00BF5928">
            <w:pPr>
              <w:pStyle w:val="TableHeaderRow"/>
              <w:jc w:val="center"/>
              <w:rPr>
                <w:color w:val="000000" w:themeColor="text1"/>
                <w:lang w:val="en-AU"/>
              </w:rPr>
            </w:pPr>
            <w:r w:rsidRPr="00F83B6E">
              <w:rPr>
                <w:color w:val="000000" w:themeColor="text1"/>
                <w:lang w:val="en-AU"/>
              </w:rPr>
              <w:t>No</w:t>
            </w:r>
          </w:p>
        </w:tc>
        <w:tc>
          <w:tcPr>
            <w:tcW w:w="3108" w:type="dxa"/>
          </w:tcPr>
          <w:p w14:paraId="1F03DB5B" w14:textId="77777777" w:rsidR="00C27F75" w:rsidRPr="00F83B6E" w:rsidRDefault="00C27F75" w:rsidP="00BF5928">
            <w:pPr>
              <w:pStyle w:val="TableHeaderRow"/>
              <w:jc w:val="center"/>
              <w:rPr>
                <w:color w:val="000000" w:themeColor="text1"/>
                <w:lang w:val="en-AU"/>
              </w:rPr>
            </w:pPr>
            <w:r w:rsidRPr="00F83B6E">
              <w:rPr>
                <w:color w:val="000000" w:themeColor="text1"/>
                <w:lang w:val="en-AU"/>
              </w:rPr>
              <w:t>Steps</w:t>
            </w:r>
          </w:p>
        </w:tc>
        <w:tc>
          <w:tcPr>
            <w:tcW w:w="5280" w:type="dxa"/>
          </w:tcPr>
          <w:p w14:paraId="7202E86B" w14:textId="77777777" w:rsidR="00C27F75" w:rsidRPr="00F83B6E" w:rsidRDefault="00C27F75" w:rsidP="00BF5928">
            <w:pPr>
              <w:pStyle w:val="TableHeaderRow"/>
              <w:jc w:val="center"/>
              <w:rPr>
                <w:color w:val="000000" w:themeColor="text1"/>
                <w:lang w:val="en-AU"/>
              </w:rPr>
            </w:pPr>
            <w:r w:rsidRPr="00F83B6E">
              <w:rPr>
                <w:color w:val="000000" w:themeColor="text1"/>
                <w:lang w:val="en-AU"/>
              </w:rPr>
              <w:t>Activities</w:t>
            </w:r>
          </w:p>
        </w:tc>
        <w:tc>
          <w:tcPr>
            <w:tcW w:w="783" w:type="dxa"/>
          </w:tcPr>
          <w:p w14:paraId="749B3576" w14:textId="77777777" w:rsidR="00C27F75" w:rsidRPr="00F83B6E" w:rsidRDefault="00C27F75" w:rsidP="00BF5928">
            <w:pPr>
              <w:pStyle w:val="TableHeaderRow"/>
              <w:jc w:val="center"/>
              <w:rPr>
                <w:color w:val="000000" w:themeColor="text1"/>
                <w:lang w:val="en-AU"/>
              </w:rPr>
            </w:pPr>
            <w:r w:rsidRPr="00F83B6E">
              <w:rPr>
                <w:color w:val="000000" w:themeColor="text1"/>
                <w:lang w:val="en-AU"/>
              </w:rPr>
              <w:t>Timing</w:t>
            </w:r>
          </w:p>
        </w:tc>
      </w:tr>
      <w:tr w:rsidR="00F83B6E" w:rsidRPr="00F83B6E" w14:paraId="25AB5E67" w14:textId="77777777" w:rsidTr="00C27F75">
        <w:tc>
          <w:tcPr>
            <w:tcW w:w="0" w:type="auto"/>
          </w:tcPr>
          <w:p w14:paraId="1392B5C1" w14:textId="77777777" w:rsidR="00C27F75" w:rsidRPr="00F83B6E" w:rsidRDefault="00C27F75" w:rsidP="00BF5928">
            <w:pPr>
              <w:pStyle w:val="TableText"/>
              <w:rPr>
                <w:color w:val="000000" w:themeColor="text1"/>
                <w:lang w:val="en-AU"/>
              </w:rPr>
            </w:pPr>
            <w:r w:rsidRPr="00F83B6E">
              <w:rPr>
                <w:color w:val="000000" w:themeColor="text1"/>
                <w:lang w:val="en-AU"/>
              </w:rPr>
              <w:t>1</w:t>
            </w:r>
          </w:p>
        </w:tc>
        <w:tc>
          <w:tcPr>
            <w:tcW w:w="3108" w:type="dxa"/>
          </w:tcPr>
          <w:p w14:paraId="7E536395" w14:textId="77777777" w:rsidR="00C27F75" w:rsidRPr="00F83B6E" w:rsidRDefault="00C27F75" w:rsidP="00BF5928">
            <w:pPr>
              <w:pStyle w:val="TableText"/>
              <w:rPr>
                <w:color w:val="000000" w:themeColor="text1"/>
                <w:lang w:val="en-AU"/>
              </w:rPr>
            </w:pPr>
            <w:r w:rsidRPr="00F83B6E">
              <w:rPr>
                <w:color w:val="000000" w:themeColor="text1"/>
                <w:lang w:val="en-AU"/>
              </w:rPr>
              <w:t>Themes identification</w:t>
            </w:r>
          </w:p>
        </w:tc>
        <w:tc>
          <w:tcPr>
            <w:tcW w:w="5280" w:type="dxa"/>
          </w:tcPr>
          <w:p w14:paraId="60204D5A" w14:textId="77777777" w:rsidR="00C27F75" w:rsidRPr="00F83B6E" w:rsidRDefault="00C27F75" w:rsidP="00BF5928">
            <w:pPr>
              <w:pStyle w:val="TableText"/>
              <w:numPr>
                <w:ilvl w:val="0"/>
                <w:numId w:val="29"/>
              </w:numPr>
              <w:ind w:left="119" w:hanging="119"/>
              <w:rPr>
                <w:color w:val="000000" w:themeColor="text1"/>
                <w:lang w:val="en-AU"/>
              </w:rPr>
            </w:pPr>
            <w:r w:rsidRPr="00F83B6E">
              <w:rPr>
                <w:color w:val="000000" w:themeColor="text1"/>
                <w:lang w:val="en-AU"/>
              </w:rPr>
              <w:t xml:space="preserve">PSC sets broad research themes based on analysis and suggestions from Platform Hub that reflect </w:t>
            </w:r>
            <w:proofErr w:type="spellStart"/>
            <w:r w:rsidRPr="00F83B6E">
              <w:rPr>
                <w:color w:val="000000" w:themeColor="text1"/>
                <w:lang w:val="en-AU"/>
              </w:rPr>
              <w:t>GoI</w:t>
            </w:r>
            <w:proofErr w:type="spellEnd"/>
            <w:r w:rsidRPr="00F83B6E">
              <w:rPr>
                <w:color w:val="000000" w:themeColor="text1"/>
                <w:lang w:val="en-AU"/>
              </w:rPr>
              <w:t xml:space="preserve"> and </w:t>
            </w:r>
            <w:proofErr w:type="spellStart"/>
            <w:r w:rsidRPr="00F83B6E">
              <w:rPr>
                <w:color w:val="000000" w:themeColor="text1"/>
                <w:lang w:val="en-AU"/>
              </w:rPr>
              <w:t>GoA</w:t>
            </w:r>
            <w:proofErr w:type="spellEnd"/>
            <w:r w:rsidRPr="00F83B6E">
              <w:rPr>
                <w:color w:val="000000" w:themeColor="text1"/>
                <w:lang w:val="en-AU"/>
              </w:rPr>
              <w:t xml:space="preserve"> mutual interest and priorities for collaboration</w:t>
            </w:r>
          </w:p>
        </w:tc>
        <w:tc>
          <w:tcPr>
            <w:tcW w:w="783" w:type="dxa"/>
          </w:tcPr>
          <w:p w14:paraId="52446A35" w14:textId="77777777" w:rsidR="00C27F75" w:rsidRPr="00F83B6E" w:rsidRDefault="00C27F75" w:rsidP="00BF5928">
            <w:pPr>
              <w:pStyle w:val="TableText"/>
              <w:rPr>
                <w:color w:val="000000" w:themeColor="text1"/>
                <w:lang w:val="en-AU"/>
              </w:rPr>
            </w:pPr>
            <w:r w:rsidRPr="00F83B6E">
              <w:rPr>
                <w:color w:val="000000" w:themeColor="text1"/>
                <w:lang w:val="en-AU"/>
              </w:rPr>
              <w:t>Q1</w:t>
            </w:r>
          </w:p>
        </w:tc>
      </w:tr>
      <w:tr w:rsidR="00F83B6E" w:rsidRPr="00F83B6E" w14:paraId="6CECF19C" w14:textId="77777777" w:rsidTr="00C27F75">
        <w:tc>
          <w:tcPr>
            <w:tcW w:w="0" w:type="auto"/>
          </w:tcPr>
          <w:p w14:paraId="3A516584" w14:textId="77777777" w:rsidR="00C27F75" w:rsidRPr="00F83B6E" w:rsidRDefault="00C27F75" w:rsidP="00BF5928">
            <w:pPr>
              <w:pStyle w:val="TableText"/>
              <w:rPr>
                <w:color w:val="000000" w:themeColor="text1"/>
                <w:lang w:val="en-AU"/>
              </w:rPr>
            </w:pPr>
            <w:r w:rsidRPr="00F83B6E">
              <w:rPr>
                <w:color w:val="000000" w:themeColor="text1"/>
                <w:lang w:val="en-AU"/>
              </w:rPr>
              <w:t>2</w:t>
            </w:r>
          </w:p>
        </w:tc>
        <w:tc>
          <w:tcPr>
            <w:tcW w:w="3108" w:type="dxa"/>
          </w:tcPr>
          <w:p w14:paraId="5FB05976" w14:textId="77777777" w:rsidR="00C27F75" w:rsidRPr="00F83B6E" w:rsidRDefault="00C27F75" w:rsidP="00BF5928">
            <w:pPr>
              <w:pStyle w:val="TableText"/>
              <w:rPr>
                <w:color w:val="000000" w:themeColor="text1"/>
                <w:lang w:val="en-AU"/>
              </w:rPr>
            </w:pPr>
            <w:r w:rsidRPr="00F83B6E">
              <w:rPr>
                <w:color w:val="000000" w:themeColor="text1"/>
                <w:lang w:val="en-AU"/>
              </w:rPr>
              <w:t>KPP launch / ideation conference</w:t>
            </w:r>
          </w:p>
        </w:tc>
        <w:tc>
          <w:tcPr>
            <w:tcW w:w="5280" w:type="dxa"/>
          </w:tcPr>
          <w:p w14:paraId="0B64DBE9" w14:textId="77777777" w:rsidR="00C27F75" w:rsidRPr="00F83B6E" w:rsidRDefault="00C27F75" w:rsidP="00BF5928">
            <w:pPr>
              <w:pStyle w:val="TableText"/>
              <w:numPr>
                <w:ilvl w:val="0"/>
                <w:numId w:val="29"/>
              </w:numPr>
              <w:ind w:left="119" w:hanging="119"/>
              <w:rPr>
                <w:color w:val="000000" w:themeColor="text1"/>
                <w:lang w:val="en-AU"/>
              </w:rPr>
            </w:pPr>
            <w:r w:rsidRPr="00F83B6E">
              <w:rPr>
                <w:color w:val="000000" w:themeColor="text1"/>
                <w:lang w:val="en-AU"/>
              </w:rPr>
              <w:t>Platform Hub organises an event (in person and online) that bring all potential KPP stakeholders together to:</w:t>
            </w:r>
          </w:p>
          <w:p w14:paraId="37553D88" w14:textId="77777777" w:rsidR="00C27F75" w:rsidRPr="00F83B6E" w:rsidRDefault="00C27F75" w:rsidP="00BF5928">
            <w:pPr>
              <w:pStyle w:val="TableText"/>
              <w:numPr>
                <w:ilvl w:val="0"/>
                <w:numId w:val="32"/>
              </w:numPr>
              <w:tabs>
                <w:tab w:val="left" w:pos="544"/>
              </w:tabs>
              <w:ind w:left="689" w:hanging="210"/>
              <w:rPr>
                <w:color w:val="000000" w:themeColor="text1"/>
                <w:lang w:val="en-AU"/>
              </w:rPr>
            </w:pPr>
            <w:r w:rsidRPr="00F83B6E">
              <w:rPr>
                <w:color w:val="000000" w:themeColor="text1"/>
                <w:lang w:val="en-AU"/>
              </w:rPr>
              <w:t>generate interest and raise KPP profile, and</w:t>
            </w:r>
          </w:p>
          <w:p w14:paraId="5C26539C" w14:textId="77777777" w:rsidR="00C27F75" w:rsidRPr="00F83B6E" w:rsidRDefault="00C27F75" w:rsidP="00BF5928">
            <w:pPr>
              <w:pStyle w:val="TableText"/>
              <w:numPr>
                <w:ilvl w:val="0"/>
                <w:numId w:val="32"/>
              </w:numPr>
              <w:tabs>
                <w:tab w:val="left" w:pos="544"/>
              </w:tabs>
              <w:ind w:left="689" w:hanging="210"/>
              <w:rPr>
                <w:color w:val="000000" w:themeColor="text1"/>
                <w:lang w:val="en-AU"/>
              </w:rPr>
            </w:pPr>
            <w:r w:rsidRPr="00F83B6E">
              <w:rPr>
                <w:color w:val="000000" w:themeColor="text1"/>
                <w:lang w:val="en-AU"/>
              </w:rPr>
              <w:t>suggest and discuss potential research topics</w:t>
            </w:r>
          </w:p>
        </w:tc>
        <w:tc>
          <w:tcPr>
            <w:tcW w:w="783" w:type="dxa"/>
          </w:tcPr>
          <w:p w14:paraId="45627345" w14:textId="77777777" w:rsidR="00C27F75" w:rsidRPr="00F83B6E" w:rsidRDefault="00C27F75" w:rsidP="00BF5928">
            <w:pPr>
              <w:pStyle w:val="TableText"/>
              <w:rPr>
                <w:color w:val="000000" w:themeColor="text1"/>
                <w:lang w:val="en-AU"/>
              </w:rPr>
            </w:pPr>
            <w:r w:rsidRPr="00F83B6E">
              <w:rPr>
                <w:color w:val="000000" w:themeColor="text1"/>
                <w:lang w:val="en-AU"/>
              </w:rPr>
              <w:t>Q1</w:t>
            </w:r>
          </w:p>
        </w:tc>
      </w:tr>
      <w:tr w:rsidR="00D73BD1" w:rsidRPr="00F83B6E" w14:paraId="7588E3B5" w14:textId="77777777" w:rsidTr="00C27F75">
        <w:tc>
          <w:tcPr>
            <w:tcW w:w="0" w:type="auto"/>
          </w:tcPr>
          <w:p w14:paraId="58FDDBD1" w14:textId="77777777" w:rsidR="00C27F75" w:rsidRPr="00F83B6E" w:rsidRDefault="00C27F75" w:rsidP="00BF5928">
            <w:pPr>
              <w:pStyle w:val="TableText"/>
              <w:rPr>
                <w:color w:val="000000" w:themeColor="text1"/>
                <w:lang w:val="en-AU"/>
              </w:rPr>
            </w:pPr>
            <w:r w:rsidRPr="00F83B6E">
              <w:rPr>
                <w:color w:val="000000" w:themeColor="text1"/>
                <w:lang w:val="en-AU"/>
              </w:rPr>
              <w:t>3</w:t>
            </w:r>
          </w:p>
        </w:tc>
        <w:tc>
          <w:tcPr>
            <w:tcW w:w="3108" w:type="dxa"/>
          </w:tcPr>
          <w:p w14:paraId="1DE6BB5E" w14:textId="77777777" w:rsidR="00C27F75" w:rsidRPr="00F83B6E" w:rsidRDefault="00C27F75" w:rsidP="00BF5928">
            <w:pPr>
              <w:pStyle w:val="TableText"/>
              <w:rPr>
                <w:color w:val="000000" w:themeColor="text1"/>
                <w:lang w:val="en-AU"/>
              </w:rPr>
            </w:pPr>
            <w:r w:rsidRPr="00F83B6E">
              <w:rPr>
                <w:color w:val="000000" w:themeColor="text1"/>
                <w:lang w:val="en-AU"/>
              </w:rPr>
              <w:t>Definition of research topics</w:t>
            </w:r>
          </w:p>
        </w:tc>
        <w:tc>
          <w:tcPr>
            <w:tcW w:w="5280" w:type="dxa"/>
          </w:tcPr>
          <w:p w14:paraId="37AEC1D7" w14:textId="77777777" w:rsidR="00C27F75" w:rsidRPr="00F83B6E" w:rsidRDefault="00C27F75" w:rsidP="00BF5928">
            <w:pPr>
              <w:pStyle w:val="TableText"/>
              <w:numPr>
                <w:ilvl w:val="0"/>
                <w:numId w:val="29"/>
              </w:numPr>
              <w:ind w:left="119" w:hanging="119"/>
              <w:rPr>
                <w:color w:val="000000" w:themeColor="text1"/>
                <w:lang w:val="en-AU"/>
              </w:rPr>
            </w:pPr>
            <w:r w:rsidRPr="00F83B6E">
              <w:rPr>
                <w:color w:val="000000" w:themeColor="text1"/>
                <w:lang w:val="en-AU"/>
              </w:rPr>
              <w:t>Platform Hub prepares analysis of priorities and gaps, and suggests research topics</w:t>
            </w:r>
          </w:p>
          <w:p w14:paraId="464F33E4" w14:textId="77777777" w:rsidR="00C27F75" w:rsidRPr="00F83B6E" w:rsidRDefault="00C27F75" w:rsidP="00BF5928">
            <w:pPr>
              <w:pStyle w:val="TableText"/>
              <w:numPr>
                <w:ilvl w:val="0"/>
                <w:numId w:val="29"/>
              </w:numPr>
              <w:ind w:left="119" w:hanging="119"/>
              <w:rPr>
                <w:color w:val="000000" w:themeColor="text1"/>
                <w:lang w:val="en-AU"/>
              </w:rPr>
            </w:pPr>
            <w:r w:rsidRPr="00F83B6E">
              <w:rPr>
                <w:color w:val="000000" w:themeColor="text1"/>
                <w:lang w:val="en-AU"/>
              </w:rPr>
              <w:t xml:space="preserve">PTC reviews analysis and approves suggestions (including additional selection criteria if necessary) </w:t>
            </w:r>
          </w:p>
          <w:p w14:paraId="6786830C" w14:textId="77777777" w:rsidR="00C27F75" w:rsidRPr="00F83B6E" w:rsidRDefault="00C27F75" w:rsidP="00BF5928">
            <w:pPr>
              <w:pStyle w:val="TableText"/>
              <w:numPr>
                <w:ilvl w:val="0"/>
                <w:numId w:val="29"/>
              </w:numPr>
              <w:ind w:left="119" w:hanging="119"/>
              <w:rPr>
                <w:color w:val="000000" w:themeColor="text1"/>
                <w:lang w:val="en-AU"/>
              </w:rPr>
            </w:pPr>
            <w:r w:rsidRPr="00F83B6E">
              <w:rPr>
                <w:color w:val="000000" w:themeColor="text1"/>
                <w:lang w:val="en-AU"/>
              </w:rPr>
              <w:t>Platform Hub advertise grant round and reach out to potential interested parties</w:t>
            </w:r>
          </w:p>
        </w:tc>
        <w:tc>
          <w:tcPr>
            <w:tcW w:w="783" w:type="dxa"/>
          </w:tcPr>
          <w:p w14:paraId="2E5E5FAB" w14:textId="77777777" w:rsidR="00C27F75" w:rsidRPr="00F83B6E" w:rsidRDefault="00C27F75" w:rsidP="00BF5928">
            <w:pPr>
              <w:pStyle w:val="TableText"/>
              <w:rPr>
                <w:color w:val="000000" w:themeColor="text1"/>
                <w:lang w:val="en-AU"/>
              </w:rPr>
            </w:pPr>
            <w:r w:rsidRPr="00F83B6E">
              <w:rPr>
                <w:color w:val="000000" w:themeColor="text1"/>
                <w:lang w:val="en-AU"/>
              </w:rPr>
              <w:t>Q1</w:t>
            </w:r>
          </w:p>
        </w:tc>
      </w:tr>
    </w:tbl>
    <w:p w14:paraId="70516753" w14:textId="77777777" w:rsidR="00C27F75" w:rsidRPr="00F83B6E" w:rsidRDefault="00C27F75" w:rsidP="00C27F75">
      <w:pPr>
        <w:rPr>
          <w:b/>
          <w:bCs/>
          <w:color w:val="000000" w:themeColor="text1"/>
          <w:lang w:val="en-AU"/>
        </w:rPr>
      </w:pPr>
    </w:p>
    <w:p w14:paraId="5818CFFB" w14:textId="77777777" w:rsidR="00C27F75" w:rsidRPr="00F83B6E" w:rsidRDefault="00C27F75" w:rsidP="00C27F75">
      <w:pPr>
        <w:rPr>
          <w:b/>
          <w:bCs/>
          <w:color w:val="000000" w:themeColor="text1"/>
          <w:lang w:val="en-AU"/>
        </w:rPr>
      </w:pPr>
    </w:p>
    <w:p w14:paraId="67437AE2" w14:textId="2275978C" w:rsidR="00C27F75" w:rsidRPr="00F83B6E" w:rsidRDefault="00C27F75" w:rsidP="00C27F75">
      <w:pPr>
        <w:rPr>
          <w:b/>
          <w:bCs/>
          <w:color w:val="000000" w:themeColor="text1"/>
          <w:lang w:val="en-AU"/>
        </w:rPr>
      </w:pPr>
      <w:r w:rsidRPr="00F83B6E">
        <w:rPr>
          <w:b/>
          <w:bCs/>
          <w:color w:val="000000" w:themeColor="text1"/>
          <w:lang w:val="en-AU"/>
        </w:rPr>
        <w:t>Stage 2</w:t>
      </w:r>
      <w:r w:rsidR="00D73BD1" w:rsidRPr="00F83B6E">
        <w:rPr>
          <w:b/>
          <w:bCs/>
          <w:color w:val="000000" w:themeColor="text1"/>
          <w:lang w:val="en-AU"/>
        </w:rPr>
        <w:t>. Proposal Development</w:t>
      </w:r>
    </w:p>
    <w:tbl>
      <w:tblPr>
        <w:tblStyle w:val="TableGrid1"/>
        <w:tblW w:w="0" w:type="auto"/>
        <w:tblLook w:val="0620" w:firstRow="1" w:lastRow="0" w:firstColumn="0" w:lastColumn="0" w:noHBand="1" w:noVBand="1"/>
      </w:tblPr>
      <w:tblGrid>
        <w:gridCol w:w="456"/>
        <w:gridCol w:w="3108"/>
        <w:gridCol w:w="5280"/>
        <w:gridCol w:w="783"/>
      </w:tblGrid>
      <w:tr w:rsidR="00F83B6E" w:rsidRPr="00F83B6E" w14:paraId="64BEC753" w14:textId="77777777" w:rsidTr="00BF5928">
        <w:trPr>
          <w:tblHeader/>
        </w:trPr>
        <w:tc>
          <w:tcPr>
            <w:tcW w:w="0" w:type="auto"/>
          </w:tcPr>
          <w:p w14:paraId="3D683ABA" w14:textId="77777777" w:rsidR="00D73BD1" w:rsidRPr="00F83B6E" w:rsidRDefault="00D73BD1" w:rsidP="00BF5928">
            <w:pPr>
              <w:pStyle w:val="TableHeaderRow"/>
              <w:jc w:val="center"/>
              <w:rPr>
                <w:color w:val="000000" w:themeColor="text1"/>
                <w:lang w:val="en-AU"/>
              </w:rPr>
            </w:pPr>
            <w:r w:rsidRPr="00F83B6E">
              <w:rPr>
                <w:color w:val="000000" w:themeColor="text1"/>
                <w:lang w:val="en-AU"/>
              </w:rPr>
              <w:t>No</w:t>
            </w:r>
          </w:p>
        </w:tc>
        <w:tc>
          <w:tcPr>
            <w:tcW w:w="3108" w:type="dxa"/>
          </w:tcPr>
          <w:p w14:paraId="62A1C962" w14:textId="77777777" w:rsidR="00D73BD1" w:rsidRPr="00F83B6E" w:rsidRDefault="00D73BD1" w:rsidP="00BF5928">
            <w:pPr>
              <w:pStyle w:val="TableHeaderRow"/>
              <w:jc w:val="center"/>
              <w:rPr>
                <w:color w:val="000000" w:themeColor="text1"/>
                <w:lang w:val="en-AU"/>
              </w:rPr>
            </w:pPr>
            <w:r w:rsidRPr="00F83B6E">
              <w:rPr>
                <w:color w:val="000000" w:themeColor="text1"/>
                <w:lang w:val="en-AU"/>
              </w:rPr>
              <w:t>Steps</w:t>
            </w:r>
          </w:p>
        </w:tc>
        <w:tc>
          <w:tcPr>
            <w:tcW w:w="5280" w:type="dxa"/>
          </w:tcPr>
          <w:p w14:paraId="73B7B04E" w14:textId="77777777" w:rsidR="00D73BD1" w:rsidRPr="00F83B6E" w:rsidRDefault="00D73BD1" w:rsidP="00BF5928">
            <w:pPr>
              <w:pStyle w:val="TableHeaderRow"/>
              <w:jc w:val="center"/>
              <w:rPr>
                <w:color w:val="000000" w:themeColor="text1"/>
                <w:lang w:val="en-AU"/>
              </w:rPr>
            </w:pPr>
            <w:r w:rsidRPr="00F83B6E">
              <w:rPr>
                <w:color w:val="000000" w:themeColor="text1"/>
                <w:lang w:val="en-AU"/>
              </w:rPr>
              <w:t>Activities</w:t>
            </w:r>
          </w:p>
        </w:tc>
        <w:tc>
          <w:tcPr>
            <w:tcW w:w="783" w:type="dxa"/>
          </w:tcPr>
          <w:p w14:paraId="68F39C44" w14:textId="77777777" w:rsidR="00D73BD1" w:rsidRPr="00F83B6E" w:rsidRDefault="00D73BD1" w:rsidP="00BF5928">
            <w:pPr>
              <w:pStyle w:val="TableHeaderRow"/>
              <w:jc w:val="center"/>
              <w:rPr>
                <w:color w:val="000000" w:themeColor="text1"/>
                <w:lang w:val="en-AU"/>
              </w:rPr>
            </w:pPr>
            <w:r w:rsidRPr="00F83B6E">
              <w:rPr>
                <w:color w:val="000000" w:themeColor="text1"/>
                <w:lang w:val="en-AU"/>
              </w:rPr>
              <w:t>Timing</w:t>
            </w:r>
          </w:p>
        </w:tc>
      </w:tr>
      <w:tr w:rsidR="00F83B6E" w:rsidRPr="00F83B6E" w14:paraId="66ED92BB" w14:textId="77777777" w:rsidTr="00BF5928">
        <w:tc>
          <w:tcPr>
            <w:tcW w:w="0" w:type="auto"/>
          </w:tcPr>
          <w:p w14:paraId="05F1A734" w14:textId="77777777" w:rsidR="00D73BD1" w:rsidRPr="00F83B6E" w:rsidRDefault="00D73BD1" w:rsidP="00BF5928">
            <w:pPr>
              <w:pStyle w:val="TableText"/>
              <w:rPr>
                <w:color w:val="000000" w:themeColor="text1"/>
                <w:lang w:val="en-AU"/>
              </w:rPr>
            </w:pPr>
            <w:r w:rsidRPr="00F83B6E">
              <w:rPr>
                <w:color w:val="000000" w:themeColor="text1"/>
                <w:lang w:val="en-AU"/>
              </w:rPr>
              <w:t>1</w:t>
            </w:r>
          </w:p>
        </w:tc>
        <w:tc>
          <w:tcPr>
            <w:tcW w:w="3108" w:type="dxa"/>
          </w:tcPr>
          <w:p w14:paraId="22A82685" w14:textId="77777777" w:rsidR="00D73BD1" w:rsidRPr="00F83B6E" w:rsidRDefault="00D73BD1" w:rsidP="00BF5928">
            <w:pPr>
              <w:pStyle w:val="TableText"/>
              <w:rPr>
                <w:color w:val="000000" w:themeColor="text1"/>
                <w:lang w:val="en-AU"/>
              </w:rPr>
            </w:pPr>
            <w:r w:rsidRPr="00F83B6E">
              <w:rPr>
                <w:color w:val="000000" w:themeColor="text1"/>
                <w:lang w:val="en-AU"/>
              </w:rPr>
              <w:t>EOI development</w:t>
            </w:r>
          </w:p>
        </w:tc>
        <w:tc>
          <w:tcPr>
            <w:tcW w:w="5280" w:type="dxa"/>
          </w:tcPr>
          <w:p w14:paraId="27DA91BD" w14:textId="77777777" w:rsidR="00D73BD1" w:rsidRPr="00F83B6E" w:rsidRDefault="00D73BD1" w:rsidP="00BF5928">
            <w:pPr>
              <w:pStyle w:val="TableText"/>
              <w:numPr>
                <w:ilvl w:val="0"/>
                <w:numId w:val="29"/>
              </w:numPr>
              <w:ind w:left="119" w:hanging="119"/>
              <w:rPr>
                <w:color w:val="000000" w:themeColor="text1"/>
                <w:lang w:val="en-AU"/>
              </w:rPr>
            </w:pPr>
            <w:r w:rsidRPr="00F83B6E">
              <w:rPr>
                <w:color w:val="000000" w:themeColor="text1"/>
                <w:lang w:val="en-AU"/>
              </w:rPr>
              <w:t xml:space="preserve">Partnerships submit EOI for </w:t>
            </w:r>
            <w:proofErr w:type="spellStart"/>
            <w:r w:rsidRPr="00F83B6E">
              <w:rPr>
                <w:i/>
                <w:iCs/>
                <w:color w:val="000000" w:themeColor="text1"/>
                <w:lang w:val="en-AU"/>
              </w:rPr>
              <w:t>Berbuah</w:t>
            </w:r>
            <w:proofErr w:type="spellEnd"/>
            <w:r w:rsidRPr="00F83B6E">
              <w:rPr>
                <w:color w:val="000000" w:themeColor="text1"/>
                <w:lang w:val="en-AU"/>
              </w:rPr>
              <w:t xml:space="preserve"> and </w:t>
            </w:r>
            <w:proofErr w:type="spellStart"/>
            <w:r w:rsidRPr="00F83B6E">
              <w:rPr>
                <w:i/>
                <w:iCs/>
                <w:color w:val="000000" w:themeColor="text1"/>
                <w:lang w:val="en-AU"/>
              </w:rPr>
              <w:t>Bertumbuh</w:t>
            </w:r>
            <w:proofErr w:type="spellEnd"/>
            <w:r w:rsidRPr="00F83B6E">
              <w:rPr>
                <w:color w:val="000000" w:themeColor="text1"/>
                <w:lang w:val="en-AU"/>
              </w:rPr>
              <w:t xml:space="preserve"> grants, outlining nested partnership logic and brief research concept in relation to identified themes, and responding to eligibility requirements </w:t>
            </w:r>
          </w:p>
        </w:tc>
        <w:tc>
          <w:tcPr>
            <w:tcW w:w="783" w:type="dxa"/>
          </w:tcPr>
          <w:p w14:paraId="0715B5D6" w14:textId="77777777" w:rsidR="00D73BD1" w:rsidRPr="00F83B6E" w:rsidRDefault="00D73BD1" w:rsidP="00BF5928">
            <w:pPr>
              <w:pStyle w:val="TableText"/>
              <w:rPr>
                <w:color w:val="000000" w:themeColor="text1"/>
                <w:lang w:val="en-AU"/>
              </w:rPr>
            </w:pPr>
            <w:r w:rsidRPr="00F83B6E">
              <w:rPr>
                <w:color w:val="000000" w:themeColor="text1"/>
                <w:lang w:val="en-AU"/>
              </w:rPr>
              <w:t>Q2</w:t>
            </w:r>
          </w:p>
        </w:tc>
      </w:tr>
      <w:tr w:rsidR="00F83B6E" w:rsidRPr="00F83B6E" w14:paraId="4297FC39" w14:textId="77777777" w:rsidTr="00BF5928">
        <w:tc>
          <w:tcPr>
            <w:tcW w:w="0" w:type="auto"/>
          </w:tcPr>
          <w:p w14:paraId="4322EE6B" w14:textId="77777777" w:rsidR="00D73BD1" w:rsidRPr="00F83B6E" w:rsidRDefault="00D73BD1" w:rsidP="00BF5928">
            <w:pPr>
              <w:pStyle w:val="TableText"/>
              <w:rPr>
                <w:color w:val="000000" w:themeColor="text1"/>
                <w:lang w:val="en-AU"/>
              </w:rPr>
            </w:pPr>
            <w:r w:rsidRPr="00F83B6E">
              <w:rPr>
                <w:color w:val="000000" w:themeColor="text1"/>
                <w:lang w:val="en-AU"/>
              </w:rPr>
              <w:t>2</w:t>
            </w:r>
          </w:p>
        </w:tc>
        <w:tc>
          <w:tcPr>
            <w:tcW w:w="3108" w:type="dxa"/>
          </w:tcPr>
          <w:p w14:paraId="2E215A96" w14:textId="77777777" w:rsidR="00D73BD1" w:rsidRPr="00F83B6E" w:rsidRDefault="00D73BD1" w:rsidP="00BF5928">
            <w:pPr>
              <w:pStyle w:val="TableText"/>
              <w:rPr>
                <w:color w:val="000000" w:themeColor="text1"/>
                <w:lang w:val="en-AU"/>
              </w:rPr>
            </w:pPr>
            <w:r w:rsidRPr="00F83B6E">
              <w:rPr>
                <w:color w:val="000000" w:themeColor="text1"/>
                <w:lang w:val="en-AU"/>
              </w:rPr>
              <w:t>EOI shortlisting</w:t>
            </w:r>
          </w:p>
        </w:tc>
        <w:tc>
          <w:tcPr>
            <w:tcW w:w="5280" w:type="dxa"/>
          </w:tcPr>
          <w:p w14:paraId="509CEC8E" w14:textId="77777777" w:rsidR="00D73BD1" w:rsidRPr="00F83B6E" w:rsidRDefault="00D73BD1" w:rsidP="00BF5928">
            <w:pPr>
              <w:pStyle w:val="TableText"/>
              <w:numPr>
                <w:ilvl w:val="0"/>
                <w:numId w:val="29"/>
              </w:numPr>
              <w:ind w:left="119" w:hanging="119"/>
              <w:rPr>
                <w:color w:val="000000" w:themeColor="text1"/>
                <w:lang w:val="en-AU"/>
              </w:rPr>
            </w:pPr>
            <w:r w:rsidRPr="00F83B6E">
              <w:rPr>
                <w:color w:val="000000" w:themeColor="text1"/>
                <w:lang w:val="en-AU"/>
              </w:rPr>
              <w:t xml:space="preserve">Platform Hub shortlists EOI for </w:t>
            </w:r>
            <w:proofErr w:type="spellStart"/>
            <w:r w:rsidRPr="00F83B6E">
              <w:rPr>
                <w:i/>
                <w:iCs/>
                <w:color w:val="000000" w:themeColor="text1"/>
                <w:lang w:val="en-AU"/>
              </w:rPr>
              <w:t>Berbuah</w:t>
            </w:r>
            <w:proofErr w:type="spellEnd"/>
            <w:r w:rsidRPr="00F83B6E">
              <w:rPr>
                <w:color w:val="000000" w:themeColor="text1"/>
                <w:lang w:val="en-AU"/>
              </w:rPr>
              <w:t xml:space="preserve"> and </w:t>
            </w:r>
            <w:proofErr w:type="spellStart"/>
            <w:r w:rsidRPr="00F83B6E">
              <w:rPr>
                <w:i/>
                <w:iCs/>
                <w:color w:val="000000" w:themeColor="text1"/>
                <w:lang w:val="en-AU"/>
              </w:rPr>
              <w:t>Bertumbuh</w:t>
            </w:r>
            <w:proofErr w:type="spellEnd"/>
            <w:r w:rsidRPr="00F83B6E">
              <w:rPr>
                <w:color w:val="000000" w:themeColor="text1"/>
                <w:lang w:val="en-AU"/>
              </w:rPr>
              <w:t xml:space="preserve"> grants and submits to PTC for approval</w:t>
            </w:r>
          </w:p>
        </w:tc>
        <w:tc>
          <w:tcPr>
            <w:tcW w:w="783" w:type="dxa"/>
          </w:tcPr>
          <w:p w14:paraId="2F2BE90A" w14:textId="77777777" w:rsidR="00D73BD1" w:rsidRPr="00F83B6E" w:rsidRDefault="00D73BD1" w:rsidP="00BF5928">
            <w:pPr>
              <w:pStyle w:val="TableText"/>
              <w:rPr>
                <w:color w:val="000000" w:themeColor="text1"/>
                <w:lang w:val="en-AU"/>
              </w:rPr>
            </w:pPr>
            <w:r w:rsidRPr="00F83B6E">
              <w:rPr>
                <w:color w:val="000000" w:themeColor="text1"/>
                <w:lang w:val="en-AU"/>
              </w:rPr>
              <w:t>Q2</w:t>
            </w:r>
          </w:p>
        </w:tc>
      </w:tr>
      <w:tr w:rsidR="00F83B6E" w:rsidRPr="00F83B6E" w14:paraId="5285F896" w14:textId="77777777" w:rsidTr="00BF5928">
        <w:tc>
          <w:tcPr>
            <w:tcW w:w="0" w:type="auto"/>
          </w:tcPr>
          <w:p w14:paraId="5BB3FD82" w14:textId="77777777" w:rsidR="00D73BD1" w:rsidRPr="00F83B6E" w:rsidRDefault="00D73BD1" w:rsidP="00BF5928">
            <w:pPr>
              <w:pStyle w:val="TableText"/>
              <w:rPr>
                <w:color w:val="000000" w:themeColor="text1"/>
                <w:lang w:val="en-AU"/>
              </w:rPr>
            </w:pPr>
            <w:r w:rsidRPr="00F83B6E">
              <w:rPr>
                <w:color w:val="000000" w:themeColor="text1"/>
                <w:lang w:val="en-AU"/>
              </w:rPr>
              <w:t>3</w:t>
            </w:r>
          </w:p>
        </w:tc>
        <w:tc>
          <w:tcPr>
            <w:tcW w:w="3108" w:type="dxa"/>
          </w:tcPr>
          <w:p w14:paraId="23114629" w14:textId="77777777" w:rsidR="00D73BD1" w:rsidRPr="00F83B6E" w:rsidRDefault="00D73BD1" w:rsidP="00BF5928">
            <w:pPr>
              <w:pStyle w:val="TableText"/>
              <w:rPr>
                <w:color w:val="000000" w:themeColor="text1"/>
                <w:lang w:val="en-AU"/>
              </w:rPr>
            </w:pPr>
            <w:r w:rsidRPr="00F83B6E">
              <w:rPr>
                <w:color w:val="000000" w:themeColor="text1"/>
                <w:lang w:val="en-AU"/>
              </w:rPr>
              <w:t>EOI Workshop</w:t>
            </w:r>
          </w:p>
        </w:tc>
        <w:tc>
          <w:tcPr>
            <w:tcW w:w="5280" w:type="dxa"/>
          </w:tcPr>
          <w:p w14:paraId="68BD55E1" w14:textId="77777777" w:rsidR="00D73BD1" w:rsidRPr="00F83B6E" w:rsidRDefault="00D73BD1" w:rsidP="00BF5928">
            <w:pPr>
              <w:pStyle w:val="TableText"/>
              <w:numPr>
                <w:ilvl w:val="0"/>
                <w:numId w:val="29"/>
              </w:numPr>
              <w:ind w:left="119" w:hanging="119"/>
              <w:rPr>
                <w:color w:val="000000" w:themeColor="text1"/>
                <w:lang w:val="en-AU"/>
              </w:rPr>
            </w:pPr>
            <w:r w:rsidRPr="00F83B6E">
              <w:rPr>
                <w:color w:val="000000" w:themeColor="text1"/>
                <w:lang w:val="en-AU"/>
              </w:rPr>
              <w:t xml:space="preserve">Platform Hub organises (online/in-person) workshop with shortlisted partnerships for </w:t>
            </w:r>
            <w:proofErr w:type="spellStart"/>
            <w:r w:rsidRPr="00F83B6E">
              <w:rPr>
                <w:i/>
                <w:iCs/>
                <w:color w:val="000000" w:themeColor="text1"/>
                <w:lang w:val="en-AU"/>
              </w:rPr>
              <w:t>Berbuah</w:t>
            </w:r>
            <w:proofErr w:type="spellEnd"/>
            <w:r w:rsidRPr="00F83B6E">
              <w:rPr>
                <w:i/>
                <w:iCs/>
                <w:color w:val="000000" w:themeColor="text1"/>
                <w:lang w:val="en-AU"/>
              </w:rPr>
              <w:t xml:space="preserve"> </w:t>
            </w:r>
            <w:r w:rsidRPr="00F83B6E">
              <w:rPr>
                <w:color w:val="000000" w:themeColor="text1"/>
                <w:lang w:val="en-AU"/>
              </w:rPr>
              <w:t xml:space="preserve">and </w:t>
            </w:r>
            <w:proofErr w:type="spellStart"/>
            <w:r w:rsidRPr="00F83B6E">
              <w:rPr>
                <w:i/>
                <w:iCs/>
                <w:color w:val="000000" w:themeColor="text1"/>
                <w:lang w:val="en-AU"/>
              </w:rPr>
              <w:t>Bertumbuh</w:t>
            </w:r>
            <w:proofErr w:type="spellEnd"/>
            <w:r w:rsidRPr="00F83B6E">
              <w:rPr>
                <w:color w:val="000000" w:themeColor="text1"/>
                <w:lang w:val="en-AU"/>
              </w:rPr>
              <w:t xml:space="preserve"> grants to:</w:t>
            </w:r>
          </w:p>
          <w:p w14:paraId="4294816A" w14:textId="77777777" w:rsidR="00D73BD1" w:rsidRPr="00F83B6E" w:rsidRDefault="00D73BD1" w:rsidP="00BF5928">
            <w:pPr>
              <w:pStyle w:val="TableText"/>
              <w:numPr>
                <w:ilvl w:val="0"/>
                <w:numId w:val="32"/>
              </w:numPr>
              <w:tabs>
                <w:tab w:val="left" w:pos="544"/>
              </w:tabs>
              <w:ind w:left="689" w:hanging="210"/>
              <w:rPr>
                <w:color w:val="000000" w:themeColor="text1"/>
                <w:lang w:val="en-AU"/>
              </w:rPr>
            </w:pPr>
            <w:r w:rsidRPr="00F83B6E">
              <w:rPr>
                <w:color w:val="000000" w:themeColor="text1"/>
                <w:lang w:val="en-AU"/>
              </w:rPr>
              <w:t>provide clarity about proposals standards and expectations, including on nested partnership logics and GEDSI considerations,</w:t>
            </w:r>
          </w:p>
          <w:p w14:paraId="56358FD4" w14:textId="77777777" w:rsidR="00D73BD1" w:rsidRPr="00F83B6E" w:rsidRDefault="00D73BD1" w:rsidP="00BF5928">
            <w:pPr>
              <w:pStyle w:val="TableText"/>
              <w:numPr>
                <w:ilvl w:val="0"/>
                <w:numId w:val="32"/>
              </w:numPr>
              <w:tabs>
                <w:tab w:val="left" w:pos="544"/>
              </w:tabs>
              <w:ind w:left="689" w:hanging="210"/>
              <w:rPr>
                <w:color w:val="000000" w:themeColor="text1"/>
                <w:lang w:val="en-AU"/>
              </w:rPr>
            </w:pPr>
            <w:r w:rsidRPr="00F83B6E">
              <w:rPr>
                <w:color w:val="000000" w:themeColor="text1"/>
                <w:lang w:val="en-AU"/>
              </w:rPr>
              <w:t>facilitate engagement with third party and potential knowledge users, and</w:t>
            </w:r>
          </w:p>
          <w:p w14:paraId="5FDBAD6D" w14:textId="77777777" w:rsidR="00D73BD1" w:rsidRPr="00F83B6E" w:rsidRDefault="00D73BD1" w:rsidP="00BF5928">
            <w:pPr>
              <w:pStyle w:val="TableText"/>
              <w:numPr>
                <w:ilvl w:val="0"/>
                <w:numId w:val="32"/>
              </w:numPr>
              <w:tabs>
                <w:tab w:val="left" w:pos="544"/>
              </w:tabs>
              <w:ind w:left="689" w:hanging="210"/>
              <w:rPr>
                <w:color w:val="000000" w:themeColor="text1"/>
                <w:lang w:val="en-AU"/>
              </w:rPr>
            </w:pPr>
            <w:r w:rsidRPr="00F83B6E">
              <w:rPr>
                <w:color w:val="000000" w:themeColor="text1"/>
                <w:lang w:val="en-AU"/>
              </w:rPr>
              <w:t>refine concepts and promote maximum applicability</w:t>
            </w:r>
          </w:p>
        </w:tc>
        <w:tc>
          <w:tcPr>
            <w:tcW w:w="783" w:type="dxa"/>
          </w:tcPr>
          <w:p w14:paraId="099920A4" w14:textId="77777777" w:rsidR="00D73BD1" w:rsidRPr="00F83B6E" w:rsidRDefault="00D73BD1" w:rsidP="00BF5928">
            <w:pPr>
              <w:pStyle w:val="TableText"/>
              <w:rPr>
                <w:color w:val="000000" w:themeColor="text1"/>
                <w:lang w:val="en-AU"/>
              </w:rPr>
            </w:pPr>
            <w:r w:rsidRPr="00F83B6E">
              <w:rPr>
                <w:color w:val="000000" w:themeColor="text1"/>
                <w:lang w:val="en-AU"/>
              </w:rPr>
              <w:t>Q2</w:t>
            </w:r>
          </w:p>
        </w:tc>
      </w:tr>
      <w:tr w:rsidR="00F83B6E" w:rsidRPr="00F83B6E" w14:paraId="4E4796D5" w14:textId="77777777" w:rsidTr="00BF5928">
        <w:tc>
          <w:tcPr>
            <w:tcW w:w="0" w:type="auto"/>
          </w:tcPr>
          <w:p w14:paraId="789E777E" w14:textId="77777777" w:rsidR="00D73BD1" w:rsidRPr="00F83B6E" w:rsidRDefault="00D73BD1" w:rsidP="00BF5928">
            <w:pPr>
              <w:pStyle w:val="TableText"/>
              <w:rPr>
                <w:color w:val="000000" w:themeColor="text1"/>
                <w:lang w:val="en-AU"/>
              </w:rPr>
            </w:pPr>
            <w:r w:rsidRPr="00F83B6E">
              <w:rPr>
                <w:color w:val="000000" w:themeColor="text1"/>
                <w:lang w:val="en-AU"/>
              </w:rPr>
              <w:t>4</w:t>
            </w:r>
          </w:p>
        </w:tc>
        <w:tc>
          <w:tcPr>
            <w:tcW w:w="3108" w:type="dxa"/>
          </w:tcPr>
          <w:p w14:paraId="725B1747" w14:textId="77777777" w:rsidR="00D73BD1" w:rsidRPr="00F83B6E" w:rsidRDefault="00D73BD1" w:rsidP="00BF5928">
            <w:pPr>
              <w:pStyle w:val="TableText"/>
              <w:rPr>
                <w:color w:val="000000" w:themeColor="text1"/>
                <w:lang w:val="en-AU"/>
              </w:rPr>
            </w:pPr>
            <w:r w:rsidRPr="00F83B6E">
              <w:rPr>
                <w:color w:val="000000" w:themeColor="text1"/>
                <w:lang w:val="en-AU"/>
              </w:rPr>
              <w:t>Proposal development</w:t>
            </w:r>
          </w:p>
        </w:tc>
        <w:tc>
          <w:tcPr>
            <w:tcW w:w="5280" w:type="dxa"/>
          </w:tcPr>
          <w:p w14:paraId="2B98FE66" w14:textId="77777777" w:rsidR="00D73BD1" w:rsidRPr="00F83B6E" w:rsidRDefault="00D73BD1" w:rsidP="00BF5928">
            <w:pPr>
              <w:pStyle w:val="TableText"/>
              <w:numPr>
                <w:ilvl w:val="0"/>
                <w:numId w:val="29"/>
              </w:numPr>
              <w:ind w:left="119" w:hanging="119"/>
              <w:rPr>
                <w:color w:val="000000" w:themeColor="text1"/>
                <w:lang w:val="en-AU"/>
              </w:rPr>
            </w:pPr>
            <w:r w:rsidRPr="00F83B6E">
              <w:rPr>
                <w:color w:val="000000" w:themeColor="text1"/>
                <w:lang w:val="en-AU"/>
              </w:rPr>
              <w:t>Partnerships (all grants) develop and submit grant proposals</w:t>
            </w:r>
          </w:p>
        </w:tc>
        <w:tc>
          <w:tcPr>
            <w:tcW w:w="783" w:type="dxa"/>
          </w:tcPr>
          <w:p w14:paraId="27644F6B" w14:textId="77777777" w:rsidR="00D73BD1" w:rsidRPr="00F83B6E" w:rsidRDefault="00D73BD1" w:rsidP="00BF5928">
            <w:pPr>
              <w:pStyle w:val="TableText"/>
              <w:rPr>
                <w:color w:val="000000" w:themeColor="text1"/>
                <w:lang w:val="en-AU"/>
              </w:rPr>
            </w:pPr>
            <w:r w:rsidRPr="00F83B6E">
              <w:rPr>
                <w:color w:val="000000" w:themeColor="text1"/>
                <w:lang w:val="en-AU"/>
              </w:rPr>
              <w:t>Q2-3</w:t>
            </w:r>
          </w:p>
        </w:tc>
      </w:tr>
      <w:tr w:rsidR="00F83B6E" w:rsidRPr="00F83B6E" w14:paraId="1D452219" w14:textId="77777777" w:rsidTr="00BF5928">
        <w:tc>
          <w:tcPr>
            <w:tcW w:w="0" w:type="auto"/>
          </w:tcPr>
          <w:p w14:paraId="2B7256DA" w14:textId="77777777" w:rsidR="00D73BD1" w:rsidRPr="00F83B6E" w:rsidRDefault="00D73BD1" w:rsidP="00BF5928">
            <w:pPr>
              <w:pStyle w:val="TableText"/>
              <w:rPr>
                <w:color w:val="000000" w:themeColor="text1"/>
                <w:lang w:val="en-AU"/>
              </w:rPr>
            </w:pPr>
            <w:r w:rsidRPr="00F83B6E">
              <w:rPr>
                <w:color w:val="000000" w:themeColor="text1"/>
                <w:lang w:val="en-AU"/>
              </w:rPr>
              <w:t>5</w:t>
            </w:r>
          </w:p>
        </w:tc>
        <w:tc>
          <w:tcPr>
            <w:tcW w:w="3108" w:type="dxa"/>
          </w:tcPr>
          <w:p w14:paraId="5C7AAB21" w14:textId="77777777" w:rsidR="00D73BD1" w:rsidRPr="00F83B6E" w:rsidRDefault="00D73BD1" w:rsidP="00BF5928">
            <w:pPr>
              <w:pStyle w:val="TableText"/>
              <w:rPr>
                <w:color w:val="000000" w:themeColor="text1"/>
                <w:lang w:val="en-AU"/>
              </w:rPr>
            </w:pPr>
            <w:r w:rsidRPr="00F83B6E">
              <w:rPr>
                <w:color w:val="000000" w:themeColor="text1"/>
                <w:lang w:val="en-AU"/>
              </w:rPr>
              <w:t>Proposal selection</w:t>
            </w:r>
          </w:p>
        </w:tc>
        <w:tc>
          <w:tcPr>
            <w:tcW w:w="5280" w:type="dxa"/>
          </w:tcPr>
          <w:p w14:paraId="69040B32" w14:textId="77777777" w:rsidR="00D73BD1" w:rsidRPr="00F83B6E" w:rsidRDefault="00D73BD1" w:rsidP="00BF5928">
            <w:pPr>
              <w:pStyle w:val="TableText"/>
              <w:numPr>
                <w:ilvl w:val="0"/>
                <w:numId w:val="29"/>
              </w:numPr>
              <w:ind w:left="119" w:hanging="119"/>
              <w:rPr>
                <w:color w:val="000000" w:themeColor="text1"/>
                <w:lang w:val="en-AU"/>
              </w:rPr>
            </w:pPr>
            <w:r w:rsidRPr="00F83B6E">
              <w:rPr>
                <w:color w:val="000000" w:themeColor="text1"/>
                <w:lang w:val="en-AU"/>
              </w:rPr>
              <w:t>Platform Hub develops a selection and submits to PTC for approval</w:t>
            </w:r>
          </w:p>
        </w:tc>
        <w:tc>
          <w:tcPr>
            <w:tcW w:w="783" w:type="dxa"/>
          </w:tcPr>
          <w:p w14:paraId="5B2E60D1" w14:textId="77777777" w:rsidR="00D73BD1" w:rsidRPr="00F83B6E" w:rsidRDefault="00D73BD1" w:rsidP="00BF5928">
            <w:pPr>
              <w:pStyle w:val="TableText"/>
              <w:rPr>
                <w:color w:val="000000" w:themeColor="text1"/>
                <w:lang w:val="en-AU"/>
              </w:rPr>
            </w:pPr>
            <w:r w:rsidRPr="00F83B6E">
              <w:rPr>
                <w:color w:val="000000" w:themeColor="text1"/>
                <w:lang w:val="en-AU"/>
              </w:rPr>
              <w:t>Q3</w:t>
            </w:r>
          </w:p>
        </w:tc>
      </w:tr>
      <w:tr w:rsidR="00D73BD1" w:rsidRPr="00F83B6E" w14:paraId="375592BF" w14:textId="77777777" w:rsidTr="00BF5928">
        <w:tc>
          <w:tcPr>
            <w:tcW w:w="0" w:type="auto"/>
          </w:tcPr>
          <w:p w14:paraId="0039C957" w14:textId="77777777" w:rsidR="00D73BD1" w:rsidRPr="00F83B6E" w:rsidRDefault="00D73BD1" w:rsidP="00BF5928">
            <w:pPr>
              <w:pStyle w:val="TableText"/>
              <w:rPr>
                <w:color w:val="000000" w:themeColor="text1"/>
                <w:lang w:val="en-AU"/>
              </w:rPr>
            </w:pPr>
            <w:r w:rsidRPr="00F83B6E">
              <w:rPr>
                <w:color w:val="000000" w:themeColor="text1"/>
                <w:lang w:val="en-AU"/>
              </w:rPr>
              <w:t>6</w:t>
            </w:r>
          </w:p>
        </w:tc>
        <w:tc>
          <w:tcPr>
            <w:tcW w:w="3108" w:type="dxa"/>
          </w:tcPr>
          <w:p w14:paraId="43EDC12F" w14:textId="77777777" w:rsidR="00D73BD1" w:rsidRPr="00F83B6E" w:rsidRDefault="00D73BD1" w:rsidP="00BF5928">
            <w:pPr>
              <w:pStyle w:val="TableText"/>
              <w:rPr>
                <w:color w:val="000000" w:themeColor="text1"/>
                <w:lang w:val="en-AU"/>
              </w:rPr>
            </w:pPr>
            <w:r w:rsidRPr="00F83B6E">
              <w:rPr>
                <w:color w:val="000000" w:themeColor="text1"/>
                <w:lang w:val="en-AU"/>
              </w:rPr>
              <w:t>Contracting</w:t>
            </w:r>
          </w:p>
        </w:tc>
        <w:tc>
          <w:tcPr>
            <w:tcW w:w="5280" w:type="dxa"/>
          </w:tcPr>
          <w:p w14:paraId="1318F2DB" w14:textId="77777777" w:rsidR="00D73BD1" w:rsidRPr="00F83B6E" w:rsidRDefault="00D73BD1" w:rsidP="00BF5928">
            <w:pPr>
              <w:pStyle w:val="TableText"/>
              <w:numPr>
                <w:ilvl w:val="0"/>
                <w:numId w:val="29"/>
              </w:numPr>
              <w:ind w:left="119" w:hanging="119"/>
              <w:rPr>
                <w:color w:val="000000" w:themeColor="text1"/>
                <w:lang w:val="en-AU"/>
              </w:rPr>
            </w:pPr>
            <w:r w:rsidRPr="00F83B6E">
              <w:rPr>
                <w:color w:val="000000" w:themeColor="text1"/>
                <w:lang w:val="en-AU"/>
              </w:rPr>
              <w:t>Platform Hub and partnerships co-leads negotiate and sign grant agreements</w:t>
            </w:r>
          </w:p>
        </w:tc>
        <w:tc>
          <w:tcPr>
            <w:tcW w:w="783" w:type="dxa"/>
          </w:tcPr>
          <w:p w14:paraId="3F298810" w14:textId="77777777" w:rsidR="00D73BD1" w:rsidRPr="00F83B6E" w:rsidRDefault="00D73BD1" w:rsidP="00BF5928">
            <w:pPr>
              <w:pStyle w:val="TableText"/>
              <w:rPr>
                <w:color w:val="000000" w:themeColor="text1"/>
                <w:lang w:val="en-AU"/>
              </w:rPr>
            </w:pPr>
            <w:r w:rsidRPr="00F83B6E">
              <w:rPr>
                <w:color w:val="000000" w:themeColor="text1"/>
                <w:lang w:val="en-AU"/>
              </w:rPr>
              <w:t>Q3</w:t>
            </w:r>
          </w:p>
        </w:tc>
      </w:tr>
    </w:tbl>
    <w:p w14:paraId="3E5AE8EC" w14:textId="77777777" w:rsidR="00D73BD1" w:rsidRPr="00F83B6E" w:rsidRDefault="00D73BD1" w:rsidP="00C27F75">
      <w:pPr>
        <w:rPr>
          <w:b/>
          <w:bCs/>
          <w:color w:val="000000" w:themeColor="text1"/>
          <w:lang w:val="en-AU"/>
        </w:rPr>
      </w:pPr>
    </w:p>
    <w:p w14:paraId="5089E447" w14:textId="77777777" w:rsidR="00D73BD1" w:rsidRPr="00F83B6E" w:rsidRDefault="00D73BD1" w:rsidP="00C27F75">
      <w:pPr>
        <w:rPr>
          <w:b/>
          <w:bCs/>
          <w:color w:val="000000" w:themeColor="text1"/>
          <w:lang w:val="en-AU"/>
        </w:rPr>
      </w:pPr>
    </w:p>
    <w:p w14:paraId="7B5D3308" w14:textId="77777777" w:rsidR="00D93E43" w:rsidRPr="00F83B6E" w:rsidRDefault="00D93E43" w:rsidP="00C27F75">
      <w:pPr>
        <w:rPr>
          <w:b/>
          <w:bCs/>
          <w:color w:val="000000" w:themeColor="text1"/>
          <w:lang w:val="en-AU"/>
        </w:rPr>
      </w:pPr>
    </w:p>
    <w:p w14:paraId="3FBCD73B" w14:textId="77777777" w:rsidR="00D93E43" w:rsidRPr="00F83B6E" w:rsidRDefault="00D93E43" w:rsidP="00C27F75">
      <w:pPr>
        <w:rPr>
          <w:b/>
          <w:bCs/>
          <w:color w:val="000000" w:themeColor="text1"/>
          <w:lang w:val="en-AU"/>
        </w:rPr>
      </w:pPr>
    </w:p>
    <w:p w14:paraId="09020DD2" w14:textId="77777777" w:rsidR="00D93E43" w:rsidRPr="00F83B6E" w:rsidRDefault="00D93E43" w:rsidP="00C27F75">
      <w:pPr>
        <w:rPr>
          <w:b/>
          <w:bCs/>
          <w:color w:val="000000" w:themeColor="text1"/>
          <w:lang w:val="en-AU"/>
        </w:rPr>
      </w:pPr>
    </w:p>
    <w:p w14:paraId="533454B5" w14:textId="77777777" w:rsidR="00D93E43" w:rsidRPr="00F83B6E" w:rsidRDefault="00D93E43" w:rsidP="00C27F75">
      <w:pPr>
        <w:rPr>
          <w:b/>
          <w:bCs/>
          <w:color w:val="000000" w:themeColor="text1"/>
          <w:lang w:val="en-AU"/>
        </w:rPr>
      </w:pPr>
    </w:p>
    <w:p w14:paraId="0CF1FCC7" w14:textId="77777777" w:rsidR="00D93E43" w:rsidRPr="00F83B6E" w:rsidRDefault="00D93E43" w:rsidP="00C27F75">
      <w:pPr>
        <w:rPr>
          <w:b/>
          <w:bCs/>
          <w:color w:val="000000" w:themeColor="text1"/>
          <w:lang w:val="en-AU"/>
        </w:rPr>
      </w:pPr>
    </w:p>
    <w:p w14:paraId="45B5DEEE" w14:textId="19A2931A" w:rsidR="00D73BD1" w:rsidRPr="00F83B6E" w:rsidRDefault="00D73BD1" w:rsidP="00C27F75">
      <w:pPr>
        <w:rPr>
          <w:b/>
          <w:bCs/>
          <w:color w:val="000000" w:themeColor="text1"/>
          <w:lang w:val="en-AU"/>
        </w:rPr>
      </w:pPr>
      <w:r w:rsidRPr="00F83B6E">
        <w:rPr>
          <w:b/>
          <w:bCs/>
          <w:color w:val="000000" w:themeColor="text1"/>
          <w:lang w:val="en-AU"/>
        </w:rPr>
        <w:lastRenderedPageBreak/>
        <w:t>Stage 3. Project Implementation</w:t>
      </w:r>
    </w:p>
    <w:p w14:paraId="4D62EF20" w14:textId="77777777" w:rsidR="00D73BD1" w:rsidRPr="00F83B6E" w:rsidRDefault="00D73BD1" w:rsidP="00C27F75">
      <w:pPr>
        <w:rPr>
          <w:b/>
          <w:bCs/>
          <w:color w:val="000000" w:themeColor="text1"/>
          <w:lang w:val="en-AU"/>
        </w:rPr>
      </w:pPr>
    </w:p>
    <w:tbl>
      <w:tblPr>
        <w:tblStyle w:val="TableGrid1"/>
        <w:tblW w:w="0" w:type="auto"/>
        <w:tblLook w:val="0620" w:firstRow="1" w:lastRow="0" w:firstColumn="0" w:lastColumn="0" w:noHBand="1" w:noVBand="1"/>
      </w:tblPr>
      <w:tblGrid>
        <w:gridCol w:w="456"/>
        <w:gridCol w:w="3108"/>
        <w:gridCol w:w="5280"/>
        <w:gridCol w:w="783"/>
      </w:tblGrid>
      <w:tr w:rsidR="00F83B6E" w:rsidRPr="00F83B6E" w14:paraId="05172F32" w14:textId="77777777" w:rsidTr="00BF5928">
        <w:trPr>
          <w:tblHeader/>
        </w:trPr>
        <w:tc>
          <w:tcPr>
            <w:tcW w:w="0" w:type="auto"/>
          </w:tcPr>
          <w:p w14:paraId="4F558F4C" w14:textId="77777777" w:rsidR="00D73BD1" w:rsidRPr="00F83B6E" w:rsidRDefault="00D73BD1" w:rsidP="00BF5928">
            <w:pPr>
              <w:pStyle w:val="TableHeaderRow"/>
              <w:jc w:val="center"/>
              <w:rPr>
                <w:color w:val="000000" w:themeColor="text1"/>
                <w:lang w:val="en-AU"/>
              </w:rPr>
            </w:pPr>
            <w:r w:rsidRPr="00F83B6E">
              <w:rPr>
                <w:color w:val="000000" w:themeColor="text1"/>
                <w:lang w:val="en-AU"/>
              </w:rPr>
              <w:t>No</w:t>
            </w:r>
          </w:p>
        </w:tc>
        <w:tc>
          <w:tcPr>
            <w:tcW w:w="3108" w:type="dxa"/>
          </w:tcPr>
          <w:p w14:paraId="206739D1" w14:textId="77777777" w:rsidR="00D73BD1" w:rsidRPr="00F83B6E" w:rsidRDefault="00D73BD1" w:rsidP="00BF5928">
            <w:pPr>
              <w:pStyle w:val="TableHeaderRow"/>
              <w:jc w:val="center"/>
              <w:rPr>
                <w:color w:val="000000" w:themeColor="text1"/>
                <w:lang w:val="en-AU"/>
              </w:rPr>
            </w:pPr>
            <w:r w:rsidRPr="00F83B6E">
              <w:rPr>
                <w:color w:val="000000" w:themeColor="text1"/>
                <w:lang w:val="en-AU"/>
              </w:rPr>
              <w:t>Steps</w:t>
            </w:r>
          </w:p>
        </w:tc>
        <w:tc>
          <w:tcPr>
            <w:tcW w:w="5280" w:type="dxa"/>
          </w:tcPr>
          <w:p w14:paraId="3321CD49" w14:textId="77777777" w:rsidR="00D73BD1" w:rsidRPr="00F83B6E" w:rsidRDefault="00D73BD1" w:rsidP="00BF5928">
            <w:pPr>
              <w:pStyle w:val="TableHeaderRow"/>
              <w:jc w:val="center"/>
              <w:rPr>
                <w:color w:val="000000" w:themeColor="text1"/>
                <w:lang w:val="en-AU"/>
              </w:rPr>
            </w:pPr>
            <w:r w:rsidRPr="00F83B6E">
              <w:rPr>
                <w:color w:val="000000" w:themeColor="text1"/>
                <w:lang w:val="en-AU"/>
              </w:rPr>
              <w:t>Activities</w:t>
            </w:r>
          </w:p>
        </w:tc>
        <w:tc>
          <w:tcPr>
            <w:tcW w:w="783" w:type="dxa"/>
          </w:tcPr>
          <w:p w14:paraId="32CD3280" w14:textId="77777777" w:rsidR="00D73BD1" w:rsidRPr="00F83B6E" w:rsidRDefault="00D73BD1" w:rsidP="00BF5928">
            <w:pPr>
              <w:pStyle w:val="TableHeaderRow"/>
              <w:jc w:val="center"/>
              <w:rPr>
                <w:color w:val="000000" w:themeColor="text1"/>
                <w:lang w:val="en-AU"/>
              </w:rPr>
            </w:pPr>
            <w:r w:rsidRPr="00F83B6E">
              <w:rPr>
                <w:color w:val="000000" w:themeColor="text1"/>
                <w:lang w:val="en-AU"/>
              </w:rPr>
              <w:t>Timing</w:t>
            </w:r>
          </w:p>
        </w:tc>
      </w:tr>
      <w:tr w:rsidR="00F83B6E" w:rsidRPr="00F83B6E" w14:paraId="4DC91C41" w14:textId="77777777" w:rsidTr="00BF5928">
        <w:tc>
          <w:tcPr>
            <w:tcW w:w="0" w:type="auto"/>
          </w:tcPr>
          <w:p w14:paraId="657A4AB5" w14:textId="77777777" w:rsidR="00D73BD1" w:rsidRPr="00F83B6E" w:rsidRDefault="00D73BD1" w:rsidP="00BF5928">
            <w:pPr>
              <w:pStyle w:val="TableText"/>
              <w:rPr>
                <w:color w:val="000000" w:themeColor="text1"/>
                <w:lang w:val="en-AU"/>
              </w:rPr>
            </w:pPr>
            <w:r w:rsidRPr="00F83B6E">
              <w:rPr>
                <w:color w:val="000000" w:themeColor="text1"/>
                <w:lang w:val="en-AU"/>
              </w:rPr>
              <w:t>1</w:t>
            </w:r>
          </w:p>
        </w:tc>
        <w:tc>
          <w:tcPr>
            <w:tcW w:w="3108" w:type="dxa"/>
          </w:tcPr>
          <w:p w14:paraId="1F90EEC7" w14:textId="77777777" w:rsidR="00D73BD1" w:rsidRPr="00F83B6E" w:rsidRDefault="00D73BD1" w:rsidP="00BF5928">
            <w:pPr>
              <w:pStyle w:val="TableText"/>
              <w:rPr>
                <w:color w:val="000000" w:themeColor="text1"/>
                <w:lang w:val="en-AU"/>
              </w:rPr>
            </w:pPr>
            <w:r w:rsidRPr="00F83B6E">
              <w:rPr>
                <w:color w:val="000000" w:themeColor="text1"/>
                <w:lang w:val="en-AU"/>
              </w:rPr>
              <w:t>Research implementation</w:t>
            </w:r>
          </w:p>
        </w:tc>
        <w:tc>
          <w:tcPr>
            <w:tcW w:w="5280" w:type="dxa"/>
          </w:tcPr>
          <w:p w14:paraId="162506C9" w14:textId="77777777" w:rsidR="00D73BD1" w:rsidRPr="00F83B6E" w:rsidRDefault="00D73BD1" w:rsidP="00BF5928">
            <w:pPr>
              <w:pStyle w:val="TableText"/>
              <w:numPr>
                <w:ilvl w:val="0"/>
                <w:numId w:val="29"/>
              </w:numPr>
              <w:ind w:left="119" w:hanging="119"/>
              <w:rPr>
                <w:color w:val="000000" w:themeColor="text1"/>
                <w:lang w:val="en-AU"/>
              </w:rPr>
            </w:pPr>
            <w:r w:rsidRPr="00F83B6E">
              <w:rPr>
                <w:color w:val="000000" w:themeColor="text1"/>
                <w:lang w:val="en-AU"/>
              </w:rPr>
              <w:t>Partnerships implement research project according to their proposal and the terms of the grant agreement</w:t>
            </w:r>
          </w:p>
          <w:p w14:paraId="2582133B" w14:textId="77777777" w:rsidR="00D73BD1" w:rsidRPr="00F83B6E" w:rsidRDefault="00D73BD1" w:rsidP="00BF5928">
            <w:pPr>
              <w:pStyle w:val="TableText"/>
              <w:numPr>
                <w:ilvl w:val="0"/>
                <w:numId w:val="29"/>
              </w:numPr>
              <w:ind w:left="119" w:hanging="119"/>
              <w:rPr>
                <w:color w:val="000000" w:themeColor="text1"/>
                <w:lang w:val="en-AU"/>
              </w:rPr>
            </w:pPr>
            <w:r w:rsidRPr="00F83B6E">
              <w:rPr>
                <w:color w:val="000000" w:themeColor="text1"/>
                <w:lang w:val="en-AU"/>
              </w:rPr>
              <w:t>Platform Hub provides support for admin, logistics, and networking if needed (these functions should be primarily covered by partnerships themselves)</w:t>
            </w:r>
          </w:p>
        </w:tc>
        <w:tc>
          <w:tcPr>
            <w:tcW w:w="783" w:type="dxa"/>
          </w:tcPr>
          <w:p w14:paraId="0A28797B" w14:textId="77777777" w:rsidR="00D73BD1" w:rsidRPr="00F83B6E" w:rsidRDefault="00D73BD1" w:rsidP="00BF5928">
            <w:pPr>
              <w:pStyle w:val="TableText"/>
              <w:rPr>
                <w:color w:val="000000" w:themeColor="text1"/>
                <w:lang w:val="en-AU"/>
              </w:rPr>
            </w:pPr>
            <w:r w:rsidRPr="00F83B6E">
              <w:rPr>
                <w:color w:val="000000" w:themeColor="text1"/>
                <w:lang w:val="en-AU"/>
              </w:rPr>
              <w:t>TBD</w:t>
            </w:r>
          </w:p>
        </w:tc>
      </w:tr>
      <w:tr w:rsidR="00F83B6E" w:rsidRPr="00F83B6E" w14:paraId="0D17A5C2" w14:textId="77777777" w:rsidTr="00BF5928">
        <w:tc>
          <w:tcPr>
            <w:tcW w:w="0" w:type="auto"/>
          </w:tcPr>
          <w:p w14:paraId="374DC8C6" w14:textId="77777777" w:rsidR="00D73BD1" w:rsidRPr="00F83B6E" w:rsidRDefault="00D73BD1" w:rsidP="00BF5928">
            <w:pPr>
              <w:pStyle w:val="TableText"/>
              <w:rPr>
                <w:color w:val="000000" w:themeColor="text1"/>
                <w:lang w:val="en-AU"/>
              </w:rPr>
            </w:pPr>
            <w:r w:rsidRPr="00F83B6E">
              <w:rPr>
                <w:color w:val="000000" w:themeColor="text1"/>
                <w:lang w:val="en-AU"/>
              </w:rPr>
              <w:t>2</w:t>
            </w:r>
          </w:p>
        </w:tc>
        <w:tc>
          <w:tcPr>
            <w:tcW w:w="3108" w:type="dxa"/>
          </w:tcPr>
          <w:p w14:paraId="3E1C21A1" w14:textId="77777777" w:rsidR="00D73BD1" w:rsidRPr="00F83B6E" w:rsidRDefault="00D73BD1" w:rsidP="00BF5928">
            <w:pPr>
              <w:pStyle w:val="TableText"/>
              <w:rPr>
                <w:color w:val="000000" w:themeColor="text1"/>
                <w:lang w:val="en-AU"/>
              </w:rPr>
            </w:pPr>
            <w:r w:rsidRPr="00F83B6E">
              <w:rPr>
                <w:color w:val="000000" w:themeColor="text1"/>
                <w:lang w:val="en-AU"/>
              </w:rPr>
              <w:t>Research monitoring</w:t>
            </w:r>
          </w:p>
        </w:tc>
        <w:tc>
          <w:tcPr>
            <w:tcW w:w="5280" w:type="dxa"/>
          </w:tcPr>
          <w:p w14:paraId="58430530" w14:textId="77777777" w:rsidR="00D73BD1" w:rsidRPr="00F83B6E" w:rsidRDefault="00D73BD1" w:rsidP="00BF5928">
            <w:pPr>
              <w:pStyle w:val="TableText"/>
              <w:numPr>
                <w:ilvl w:val="0"/>
                <w:numId w:val="29"/>
              </w:numPr>
              <w:ind w:left="119" w:hanging="119"/>
              <w:rPr>
                <w:color w:val="000000" w:themeColor="text1"/>
                <w:lang w:val="en-AU"/>
              </w:rPr>
            </w:pPr>
            <w:r w:rsidRPr="00F83B6E">
              <w:rPr>
                <w:color w:val="000000" w:themeColor="text1"/>
                <w:lang w:val="en-AU"/>
              </w:rPr>
              <w:t>Partnerships submits progress reports on a periodic basis that outline progress and results, and track context and opportunities</w:t>
            </w:r>
          </w:p>
          <w:p w14:paraId="1E2AEB44" w14:textId="77777777" w:rsidR="00D73BD1" w:rsidRPr="00F83B6E" w:rsidRDefault="00D73BD1" w:rsidP="00BF5928">
            <w:pPr>
              <w:pStyle w:val="TableText"/>
              <w:numPr>
                <w:ilvl w:val="0"/>
                <w:numId w:val="29"/>
              </w:numPr>
              <w:ind w:left="119" w:hanging="119"/>
              <w:rPr>
                <w:color w:val="000000" w:themeColor="text1"/>
                <w:lang w:val="en-AU"/>
              </w:rPr>
            </w:pPr>
            <w:r w:rsidRPr="00F83B6E">
              <w:rPr>
                <w:color w:val="000000" w:themeColor="text1"/>
                <w:lang w:val="en-AU"/>
              </w:rPr>
              <w:t>Platform Hub organises periodic quality assurance, partnership health checks, and/or independent reviews, if necessary</w:t>
            </w:r>
          </w:p>
        </w:tc>
        <w:tc>
          <w:tcPr>
            <w:tcW w:w="783" w:type="dxa"/>
          </w:tcPr>
          <w:p w14:paraId="6F904799" w14:textId="77777777" w:rsidR="00D73BD1" w:rsidRPr="00F83B6E" w:rsidRDefault="00D73BD1" w:rsidP="00BF5928">
            <w:pPr>
              <w:pStyle w:val="TableText"/>
              <w:rPr>
                <w:color w:val="000000" w:themeColor="text1"/>
                <w:lang w:val="en-AU"/>
              </w:rPr>
            </w:pPr>
            <w:r w:rsidRPr="00F83B6E">
              <w:rPr>
                <w:color w:val="000000" w:themeColor="text1"/>
                <w:lang w:val="en-AU"/>
              </w:rPr>
              <w:t>TBD</w:t>
            </w:r>
          </w:p>
        </w:tc>
      </w:tr>
      <w:tr w:rsidR="00D73BD1" w:rsidRPr="00F83B6E" w14:paraId="12F649D8" w14:textId="77777777" w:rsidTr="00BF5928">
        <w:tc>
          <w:tcPr>
            <w:tcW w:w="0" w:type="auto"/>
          </w:tcPr>
          <w:p w14:paraId="5F3EA99D" w14:textId="77777777" w:rsidR="00D73BD1" w:rsidRPr="00F83B6E" w:rsidRDefault="00D73BD1" w:rsidP="00BF5928">
            <w:pPr>
              <w:pStyle w:val="TableText"/>
              <w:rPr>
                <w:color w:val="000000" w:themeColor="text1"/>
                <w:lang w:val="en-AU"/>
              </w:rPr>
            </w:pPr>
            <w:r w:rsidRPr="00F83B6E">
              <w:rPr>
                <w:color w:val="000000" w:themeColor="text1"/>
                <w:lang w:val="en-AU"/>
              </w:rPr>
              <w:t>3</w:t>
            </w:r>
          </w:p>
        </w:tc>
        <w:tc>
          <w:tcPr>
            <w:tcW w:w="3108" w:type="dxa"/>
          </w:tcPr>
          <w:p w14:paraId="01FDD756" w14:textId="77777777" w:rsidR="00D73BD1" w:rsidRPr="00F83B6E" w:rsidRDefault="00D73BD1" w:rsidP="00BF5928">
            <w:pPr>
              <w:pStyle w:val="TableText"/>
              <w:rPr>
                <w:color w:val="000000" w:themeColor="text1"/>
                <w:lang w:val="en-AU"/>
              </w:rPr>
            </w:pPr>
            <w:r w:rsidRPr="00F83B6E">
              <w:rPr>
                <w:color w:val="000000" w:themeColor="text1"/>
                <w:lang w:val="en-AU"/>
              </w:rPr>
              <w:t>Knowledge dissemination</w:t>
            </w:r>
          </w:p>
        </w:tc>
        <w:tc>
          <w:tcPr>
            <w:tcW w:w="5280" w:type="dxa"/>
          </w:tcPr>
          <w:p w14:paraId="023AB5EB" w14:textId="77777777" w:rsidR="00D73BD1" w:rsidRPr="00F83B6E" w:rsidRDefault="00D73BD1" w:rsidP="00BF5928">
            <w:pPr>
              <w:pStyle w:val="TableText"/>
              <w:numPr>
                <w:ilvl w:val="0"/>
                <w:numId w:val="29"/>
              </w:numPr>
              <w:ind w:left="119" w:hanging="119"/>
              <w:rPr>
                <w:color w:val="000000" w:themeColor="text1"/>
                <w:lang w:val="en-AU"/>
              </w:rPr>
            </w:pPr>
            <w:r w:rsidRPr="00F83B6E">
              <w:rPr>
                <w:color w:val="000000" w:themeColor="text1"/>
                <w:lang w:val="en-AU"/>
              </w:rPr>
              <w:t>Partnerships disseminate knowledge produced as per their proposal</w:t>
            </w:r>
          </w:p>
          <w:p w14:paraId="2161AA47" w14:textId="77777777" w:rsidR="00D73BD1" w:rsidRPr="00F83B6E" w:rsidRDefault="00D73BD1" w:rsidP="00BF5928">
            <w:pPr>
              <w:pStyle w:val="TableText"/>
              <w:numPr>
                <w:ilvl w:val="0"/>
                <w:numId w:val="29"/>
              </w:numPr>
              <w:ind w:left="119" w:hanging="119"/>
              <w:rPr>
                <w:color w:val="000000" w:themeColor="text1"/>
                <w:lang w:val="en-AU"/>
              </w:rPr>
            </w:pPr>
            <w:r w:rsidRPr="00F83B6E">
              <w:rPr>
                <w:color w:val="000000" w:themeColor="text1"/>
                <w:lang w:val="en-AU"/>
              </w:rPr>
              <w:t>Platform Hub supports knowledge dissemination through events, social media, forums, connection with other investments</w:t>
            </w:r>
          </w:p>
        </w:tc>
        <w:tc>
          <w:tcPr>
            <w:tcW w:w="783" w:type="dxa"/>
          </w:tcPr>
          <w:p w14:paraId="3ACE2F38" w14:textId="77777777" w:rsidR="00D73BD1" w:rsidRPr="00F83B6E" w:rsidRDefault="00D73BD1" w:rsidP="00BF5928">
            <w:pPr>
              <w:pStyle w:val="TableText"/>
              <w:rPr>
                <w:color w:val="000000" w:themeColor="text1"/>
                <w:lang w:val="en-AU"/>
              </w:rPr>
            </w:pPr>
            <w:r w:rsidRPr="00F83B6E">
              <w:rPr>
                <w:color w:val="000000" w:themeColor="text1"/>
                <w:lang w:val="en-AU"/>
              </w:rPr>
              <w:t>TBD</w:t>
            </w:r>
          </w:p>
        </w:tc>
      </w:tr>
    </w:tbl>
    <w:p w14:paraId="392DBDBB" w14:textId="77777777" w:rsidR="00D73BD1" w:rsidRPr="00F83B6E" w:rsidRDefault="00D73BD1" w:rsidP="00C27F75">
      <w:pPr>
        <w:rPr>
          <w:b/>
          <w:bCs/>
          <w:color w:val="000000" w:themeColor="text1"/>
          <w:lang w:val="en-AU"/>
        </w:rPr>
      </w:pPr>
    </w:p>
    <w:p w14:paraId="2CE701C0" w14:textId="07EF42BF" w:rsidR="00D73BD1" w:rsidRPr="00F83B6E" w:rsidRDefault="00D73BD1" w:rsidP="00C27F75">
      <w:pPr>
        <w:rPr>
          <w:b/>
          <w:bCs/>
          <w:color w:val="000000" w:themeColor="text1"/>
          <w:lang w:val="en-AU"/>
        </w:rPr>
      </w:pPr>
      <w:r w:rsidRPr="00F83B6E">
        <w:rPr>
          <w:b/>
          <w:bCs/>
          <w:color w:val="000000" w:themeColor="text1"/>
          <w:lang w:val="en-AU"/>
        </w:rPr>
        <w:t xml:space="preserve">Stage 4. Completion and Learning </w:t>
      </w:r>
    </w:p>
    <w:tbl>
      <w:tblPr>
        <w:tblStyle w:val="TableGrid1"/>
        <w:tblW w:w="0" w:type="auto"/>
        <w:tblLook w:val="0620" w:firstRow="1" w:lastRow="0" w:firstColumn="0" w:lastColumn="0" w:noHBand="1" w:noVBand="1"/>
        <w:tblCaption w:val="Figure 6 "/>
        <w:tblDescription w:val="Indicative grant stages and activities"/>
      </w:tblPr>
      <w:tblGrid>
        <w:gridCol w:w="456"/>
        <w:gridCol w:w="3108"/>
        <w:gridCol w:w="5280"/>
        <w:gridCol w:w="783"/>
      </w:tblGrid>
      <w:tr w:rsidR="00F83B6E" w:rsidRPr="00F83B6E" w14:paraId="1825BC44" w14:textId="77777777" w:rsidTr="00D73BD1">
        <w:trPr>
          <w:tblHeader/>
        </w:trPr>
        <w:tc>
          <w:tcPr>
            <w:tcW w:w="0" w:type="auto"/>
          </w:tcPr>
          <w:p w14:paraId="441AB1B8" w14:textId="13C1BBA2" w:rsidR="00AC5534" w:rsidRPr="00F83B6E" w:rsidRDefault="006B69FC" w:rsidP="00AC5534">
            <w:pPr>
              <w:pStyle w:val="TableHeaderRow"/>
              <w:jc w:val="center"/>
              <w:rPr>
                <w:color w:val="000000" w:themeColor="text1"/>
                <w:lang w:val="en-AU"/>
              </w:rPr>
            </w:pPr>
            <w:bookmarkStart w:id="15" w:name="_Hlk146613756"/>
            <w:bookmarkStart w:id="16" w:name="_Hlk146613845"/>
            <w:bookmarkStart w:id="17" w:name="_Hlk146613897"/>
            <w:r w:rsidRPr="00F83B6E">
              <w:rPr>
                <w:color w:val="000000" w:themeColor="text1"/>
                <w:lang w:val="en-AU"/>
              </w:rPr>
              <w:t>No</w:t>
            </w:r>
          </w:p>
        </w:tc>
        <w:tc>
          <w:tcPr>
            <w:tcW w:w="3108" w:type="dxa"/>
          </w:tcPr>
          <w:p w14:paraId="4F20A620" w14:textId="77777777" w:rsidR="00AC5534" w:rsidRPr="00F83B6E" w:rsidRDefault="00AC5534" w:rsidP="00AC5534">
            <w:pPr>
              <w:pStyle w:val="TableHeaderRow"/>
              <w:jc w:val="center"/>
              <w:rPr>
                <w:color w:val="000000" w:themeColor="text1"/>
                <w:lang w:val="en-AU"/>
              </w:rPr>
            </w:pPr>
            <w:r w:rsidRPr="00F83B6E">
              <w:rPr>
                <w:color w:val="000000" w:themeColor="text1"/>
                <w:lang w:val="en-AU"/>
              </w:rPr>
              <w:t>Steps</w:t>
            </w:r>
          </w:p>
        </w:tc>
        <w:tc>
          <w:tcPr>
            <w:tcW w:w="5280" w:type="dxa"/>
          </w:tcPr>
          <w:p w14:paraId="32920200" w14:textId="77777777" w:rsidR="00AC5534" w:rsidRPr="00F83B6E" w:rsidRDefault="00AC5534" w:rsidP="00AC5534">
            <w:pPr>
              <w:pStyle w:val="TableHeaderRow"/>
              <w:jc w:val="center"/>
              <w:rPr>
                <w:color w:val="000000" w:themeColor="text1"/>
                <w:lang w:val="en-AU"/>
              </w:rPr>
            </w:pPr>
            <w:r w:rsidRPr="00F83B6E">
              <w:rPr>
                <w:color w:val="000000" w:themeColor="text1"/>
                <w:lang w:val="en-AU"/>
              </w:rPr>
              <w:t>Activities</w:t>
            </w:r>
          </w:p>
        </w:tc>
        <w:tc>
          <w:tcPr>
            <w:tcW w:w="783" w:type="dxa"/>
          </w:tcPr>
          <w:p w14:paraId="5550CF18" w14:textId="77777777" w:rsidR="00AC5534" w:rsidRPr="00F83B6E" w:rsidRDefault="00AC5534" w:rsidP="00AC5534">
            <w:pPr>
              <w:pStyle w:val="TableHeaderRow"/>
              <w:jc w:val="center"/>
              <w:rPr>
                <w:color w:val="000000" w:themeColor="text1"/>
                <w:lang w:val="en-AU"/>
              </w:rPr>
            </w:pPr>
            <w:r w:rsidRPr="00F83B6E">
              <w:rPr>
                <w:color w:val="000000" w:themeColor="text1"/>
                <w:lang w:val="en-AU"/>
              </w:rPr>
              <w:t>Timing</w:t>
            </w:r>
          </w:p>
        </w:tc>
      </w:tr>
      <w:bookmarkEnd w:id="15"/>
      <w:bookmarkEnd w:id="16"/>
      <w:bookmarkEnd w:id="17"/>
      <w:tr w:rsidR="00F83B6E" w:rsidRPr="00F83B6E" w14:paraId="47F82BE5" w14:textId="77777777" w:rsidTr="00D73BD1">
        <w:tc>
          <w:tcPr>
            <w:tcW w:w="0" w:type="auto"/>
          </w:tcPr>
          <w:p w14:paraId="7CFD5445" w14:textId="638D8AF9" w:rsidR="00AC5534" w:rsidRPr="00F83B6E" w:rsidRDefault="00D73BD1" w:rsidP="006F2BE3">
            <w:pPr>
              <w:pStyle w:val="TableText"/>
              <w:rPr>
                <w:color w:val="000000" w:themeColor="text1"/>
                <w:lang w:val="en-AU"/>
              </w:rPr>
            </w:pPr>
            <w:r w:rsidRPr="00F83B6E">
              <w:rPr>
                <w:color w:val="000000" w:themeColor="text1"/>
                <w:lang w:val="en-AU"/>
              </w:rPr>
              <w:t>1</w:t>
            </w:r>
          </w:p>
        </w:tc>
        <w:tc>
          <w:tcPr>
            <w:tcW w:w="3108" w:type="dxa"/>
          </w:tcPr>
          <w:p w14:paraId="1D96D08E" w14:textId="77777777" w:rsidR="00AC5534" w:rsidRPr="00F83B6E" w:rsidRDefault="00AC5534" w:rsidP="006F2BE3">
            <w:pPr>
              <w:pStyle w:val="TableText"/>
              <w:rPr>
                <w:color w:val="000000" w:themeColor="text1"/>
                <w:lang w:val="en-AU"/>
              </w:rPr>
            </w:pPr>
            <w:r w:rsidRPr="00F83B6E">
              <w:rPr>
                <w:color w:val="000000" w:themeColor="text1"/>
                <w:lang w:val="en-AU"/>
              </w:rPr>
              <w:t>Completion report and learning</w:t>
            </w:r>
          </w:p>
        </w:tc>
        <w:tc>
          <w:tcPr>
            <w:tcW w:w="5280" w:type="dxa"/>
          </w:tcPr>
          <w:p w14:paraId="3DCBAA3B" w14:textId="2804E65A" w:rsidR="00AC5534" w:rsidRPr="00F83B6E" w:rsidRDefault="00AC5534" w:rsidP="00596DD9">
            <w:pPr>
              <w:pStyle w:val="TableText"/>
              <w:numPr>
                <w:ilvl w:val="0"/>
                <w:numId w:val="29"/>
              </w:numPr>
              <w:ind w:left="119" w:hanging="119"/>
              <w:rPr>
                <w:color w:val="000000" w:themeColor="text1"/>
                <w:lang w:val="en-AU"/>
              </w:rPr>
            </w:pPr>
            <w:r w:rsidRPr="00F83B6E">
              <w:rPr>
                <w:color w:val="000000" w:themeColor="text1"/>
                <w:lang w:val="en-AU"/>
              </w:rPr>
              <w:t>Partnerships submit a completion report, outlining key achievement and lessons</w:t>
            </w:r>
          </w:p>
          <w:p w14:paraId="494E80AF" w14:textId="55D17FBC" w:rsidR="00AC5534" w:rsidRPr="00F83B6E" w:rsidRDefault="00AC5534" w:rsidP="00596DD9">
            <w:pPr>
              <w:pStyle w:val="TableText"/>
              <w:numPr>
                <w:ilvl w:val="0"/>
                <w:numId w:val="29"/>
              </w:numPr>
              <w:ind w:left="119" w:hanging="119"/>
              <w:rPr>
                <w:color w:val="000000" w:themeColor="text1"/>
                <w:lang w:val="en-AU"/>
              </w:rPr>
            </w:pPr>
            <w:r w:rsidRPr="00F83B6E">
              <w:rPr>
                <w:color w:val="000000" w:themeColor="text1"/>
                <w:lang w:val="en-AU"/>
              </w:rPr>
              <w:t>Platform Hub organises an end-of-project review, if necessary</w:t>
            </w:r>
          </w:p>
        </w:tc>
        <w:tc>
          <w:tcPr>
            <w:tcW w:w="783" w:type="dxa"/>
          </w:tcPr>
          <w:p w14:paraId="27D24044" w14:textId="77777777" w:rsidR="00AC5534" w:rsidRPr="00F83B6E" w:rsidRDefault="00AC5534" w:rsidP="006F2BE3">
            <w:pPr>
              <w:pStyle w:val="TableText"/>
              <w:rPr>
                <w:color w:val="000000" w:themeColor="text1"/>
                <w:lang w:val="en-AU"/>
              </w:rPr>
            </w:pPr>
            <w:r w:rsidRPr="00F83B6E">
              <w:rPr>
                <w:color w:val="000000" w:themeColor="text1"/>
                <w:lang w:val="en-AU"/>
              </w:rPr>
              <w:t>TBD</w:t>
            </w:r>
          </w:p>
        </w:tc>
      </w:tr>
    </w:tbl>
    <w:p w14:paraId="2EDB71F9" w14:textId="5DA2A0AF" w:rsidR="00A32858" w:rsidRPr="00F83B6E" w:rsidRDefault="00A32858" w:rsidP="0062233E">
      <w:pPr>
        <w:pStyle w:val="Heading1"/>
        <w:rPr>
          <w:color w:val="000000" w:themeColor="text1"/>
        </w:rPr>
      </w:pPr>
      <w:bookmarkStart w:id="18" w:name="_Toc146528285"/>
      <w:r w:rsidRPr="00F83B6E">
        <w:rPr>
          <w:color w:val="000000" w:themeColor="text1"/>
        </w:rPr>
        <w:t>Implementation Arrangements</w:t>
      </w:r>
      <w:bookmarkEnd w:id="18"/>
      <w:r w:rsidRPr="00F83B6E">
        <w:rPr>
          <w:color w:val="000000" w:themeColor="text1"/>
        </w:rPr>
        <w:t xml:space="preserve"> </w:t>
      </w:r>
    </w:p>
    <w:p w14:paraId="33EB57B9" w14:textId="53F96402" w:rsidR="00BE2CD8" w:rsidRPr="00F83B6E" w:rsidRDefault="00BE2CD8" w:rsidP="00F27241">
      <w:pPr>
        <w:pStyle w:val="Heading2"/>
        <w:rPr>
          <w:color w:val="000000" w:themeColor="text1"/>
        </w:rPr>
      </w:pPr>
      <w:bookmarkStart w:id="19" w:name="_Toc146528286"/>
      <w:r w:rsidRPr="00F83B6E">
        <w:rPr>
          <w:color w:val="000000" w:themeColor="text1"/>
        </w:rPr>
        <w:t xml:space="preserve">Governance </w:t>
      </w:r>
      <w:r w:rsidR="006F2BE3" w:rsidRPr="00F83B6E">
        <w:rPr>
          <w:color w:val="000000" w:themeColor="text1"/>
        </w:rPr>
        <w:t>a</w:t>
      </w:r>
      <w:r w:rsidRPr="00F83B6E">
        <w:rPr>
          <w:color w:val="000000" w:themeColor="text1"/>
        </w:rPr>
        <w:t>rrangements</w:t>
      </w:r>
      <w:bookmarkEnd w:id="19"/>
      <w:r w:rsidR="006F2BE3" w:rsidRPr="00F83B6E">
        <w:rPr>
          <w:color w:val="000000" w:themeColor="text1"/>
        </w:rPr>
        <w:t xml:space="preserve"> </w:t>
      </w:r>
    </w:p>
    <w:p w14:paraId="6A70F07B" w14:textId="6A6946F3" w:rsidR="0002406F" w:rsidRPr="00F83B6E" w:rsidRDefault="00F0165F" w:rsidP="00B91543">
      <w:pPr>
        <w:pStyle w:val="BodyText"/>
        <w:rPr>
          <w:color w:val="000000" w:themeColor="text1"/>
        </w:rPr>
      </w:pPr>
      <w:r w:rsidRPr="00F83B6E">
        <w:rPr>
          <w:color w:val="000000" w:themeColor="text1"/>
        </w:rPr>
        <w:t xml:space="preserve">KPP </w:t>
      </w:r>
      <w:r w:rsidR="009D5AEC" w:rsidRPr="00F83B6E">
        <w:rPr>
          <w:color w:val="000000" w:themeColor="text1"/>
        </w:rPr>
        <w:t xml:space="preserve">follows a flexible program approach that defines the broad scope of services up front and </w:t>
      </w:r>
      <w:r w:rsidRPr="00F83B6E">
        <w:rPr>
          <w:color w:val="000000" w:themeColor="text1"/>
        </w:rPr>
        <w:t xml:space="preserve">offers </w:t>
      </w:r>
      <w:r w:rsidR="009D5AEC" w:rsidRPr="00F83B6E">
        <w:rPr>
          <w:color w:val="000000" w:themeColor="text1"/>
        </w:rPr>
        <w:t xml:space="preserve">flexibility </w:t>
      </w:r>
      <w:r w:rsidRPr="00F83B6E">
        <w:rPr>
          <w:color w:val="000000" w:themeColor="text1"/>
        </w:rPr>
        <w:t xml:space="preserve">to </w:t>
      </w:r>
      <w:r w:rsidR="009D5AEC" w:rsidRPr="00F83B6E">
        <w:rPr>
          <w:color w:val="000000" w:themeColor="text1"/>
        </w:rPr>
        <w:t>plan and mobilise resource</w:t>
      </w:r>
      <w:r w:rsidR="00440B78" w:rsidRPr="00F83B6E">
        <w:rPr>
          <w:color w:val="000000" w:themeColor="text1"/>
        </w:rPr>
        <w:t>s</w:t>
      </w:r>
      <w:r w:rsidR="009D5AEC" w:rsidRPr="00F83B6E">
        <w:rPr>
          <w:color w:val="000000" w:themeColor="text1"/>
        </w:rPr>
        <w:t xml:space="preserve"> </w:t>
      </w:r>
      <w:r w:rsidR="00440B78" w:rsidRPr="00F83B6E">
        <w:rPr>
          <w:color w:val="000000" w:themeColor="text1"/>
        </w:rPr>
        <w:t>as needed</w:t>
      </w:r>
      <w:r w:rsidR="009D5AEC" w:rsidRPr="00F83B6E">
        <w:rPr>
          <w:color w:val="000000" w:themeColor="text1"/>
        </w:rPr>
        <w:t xml:space="preserve">. The program governance mechanisms play a critical role </w:t>
      </w:r>
      <w:r w:rsidR="00440B78" w:rsidRPr="00F83B6E">
        <w:rPr>
          <w:color w:val="000000" w:themeColor="text1"/>
        </w:rPr>
        <w:t>in</w:t>
      </w:r>
      <w:r w:rsidR="009D5AEC" w:rsidRPr="00F83B6E">
        <w:rPr>
          <w:color w:val="000000" w:themeColor="text1"/>
        </w:rPr>
        <w:t xml:space="preserve"> oversight and decision-making. </w:t>
      </w:r>
      <w:r w:rsidR="00B23FDC" w:rsidRPr="00F83B6E">
        <w:rPr>
          <w:bCs/>
          <w:iCs/>
          <w:color w:val="000000" w:themeColor="text1"/>
        </w:rPr>
        <w:t xml:space="preserve">They are designed to remain focused on strategic programmatic issues and bilateral interests, and </w:t>
      </w:r>
      <w:r w:rsidR="00A8490C" w:rsidRPr="00F83B6E">
        <w:rPr>
          <w:bCs/>
          <w:iCs/>
          <w:color w:val="000000" w:themeColor="text1"/>
        </w:rPr>
        <w:t xml:space="preserve">to </w:t>
      </w:r>
      <w:r w:rsidR="00B23FDC" w:rsidRPr="00F83B6E">
        <w:rPr>
          <w:bCs/>
          <w:iCs/>
          <w:color w:val="000000" w:themeColor="text1"/>
        </w:rPr>
        <w:t xml:space="preserve">avoid situations of conflict of interest for stakeholders who may also wish to bid for or benefit from partnership grant funding. </w:t>
      </w:r>
      <w:r w:rsidR="008907D5" w:rsidRPr="00F83B6E">
        <w:rPr>
          <w:color w:val="000000" w:themeColor="text1"/>
        </w:rPr>
        <w:t>To</w:t>
      </w:r>
      <w:r w:rsidR="00EF43DD" w:rsidRPr="00F83B6E">
        <w:rPr>
          <w:color w:val="000000" w:themeColor="text1"/>
        </w:rPr>
        <w:t xml:space="preserve"> ensure </w:t>
      </w:r>
      <w:r w:rsidRPr="00F83B6E">
        <w:rPr>
          <w:color w:val="000000" w:themeColor="text1"/>
        </w:rPr>
        <w:t xml:space="preserve">adaptive </w:t>
      </w:r>
      <w:r w:rsidR="00EF43DD" w:rsidRPr="00F83B6E">
        <w:rPr>
          <w:color w:val="000000" w:themeColor="text1"/>
        </w:rPr>
        <w:t>and timely decision</w:t>
      </w:r>
      <w:r w:rsidR="009D5AEC" w:rsidRPr="00F83B6E">
        <w:rPr>
          <w:color w:val="000000" w:themeColor="text1"/>
        </w:rPr>
        <w:t>s</w:t>
      </w:r>
      <w:r w:rsidR="00EF43DD" w:rsidRPr="00F83B6E">
        <w:rPr>
          <w:color w:val="000000" w:themeColor="text1"/>
        </w:rPr>
        <w:t xml:space="preserve">, </w:t>
      </w:r>
      <w:r w:rsidR="002B704B" w:rsidRPr="00F83B6E">
        <w:rPr>
          <w:color w:val="000000" w:themeColor="text1"/>
        </w:rPr>
        <w:t>the proposed governance structure include</w:t>
      </w:r>
      <w:r w:rsidR="00D81A33" w:rsidRPr="00F83B6E">
        <w:rPr>
          <w:color w:val="000000" w:themeColor="text1"/>
        </w:rPr>
        <w:t>s</w:t>
      </w:r>
      <w:r w:rsidR="0002406F" w:rsidRPr="00F83B6E">
        <w:rPr>
          <w:color w:val="000000" w:themeColor="text1"/>
        </w:rPr>
        <w:t>:</w:t>
      </w:r>
    </w:p>
    <w:p w14:paraId="7D5C0F34" w14:textId="74CDE8E8" w:rsidR="0002406F" w:rsidRPr="00F83B6E" w:rsidRDefault="00EF43DD" w:rsidP="00E6202D">
      <w:pPr>
        <w:pStyle w:val="Bullet1"/>
        <w:rPr>
          <w:color w:val="000000" w:themeColor="text1"/>
        </w:rPr>
      </w:pPr>
      <w:r w:rsidRPr="00F83B6E">
        <w:rPr>
          <w:color w:val="000000" w:themeColor="text1"/>
        </w:rPr>
        <w:t xml:space="preserve">a </w:t>
      </w:r>
      <w:r w:rsidR="002B704B" w:rsidRPr="00F83B6E">
        <w:rPr>
          <w:color w:val="000000" w:themeColor="text1"/>
        </w:rPr>
        <w:t xml:space="preserve">Program </w:t>
      </w:r>
      <w:r w:rsidRPr="00F83B6E">
        <w:rPr>
          <w:color w:val="000000" w:themeColor="text1"/>
        </w:rPr>
        <w:t xml:space="preserve">Steering Committee </w:t>
      </w:r>
      <w:r w:rsidR="002B704B" w:rsidRPr="00F83B6E">
        <w:rPr>
          <w:color w:val="000000" w:themeColor="text1"/>
        </w:rPr>
        <w:t xml:space="preserve">(PSC) </w:t>
      </w:r>
      <w:r w:rsidRPr="00F83B6E">
        <w:rPr>
          <w:color w:val="000000" w:themeColor="text1"/>
        </w:rPr>
        <w:t>t</w:t>
      </w:r>
      <w:r w:rsidR="00C76BCE" w:rsidRPr="00F83B6E">
        <w:rPr>
          <w:color w:val="000000" w:themeColor="text1"/>
        </w:rPr>
        <w:t>hat</w:t>
      </w:r>
      <w:r w:rsidRPr="00F83B6E">
        <w:rPr>
          <w:color w:val="000000" w:themeColor="text1"/>
        </w:rPr>
        <w:t xml:space="preserve"> provide</w:t>
      </w:r>
      <w:r w:rsidR="00C76BCE" w:rsidRPr="00F83B6E">
        <w:rPr>
          <w:color w:val="000000" w:themeColor="text1"/>
        </w:rPr>
        <w:t>s</w:t>
      </w:r>
      <w:r w:rsidRPr="00F83B6E">
        <w:rPr>
          <w:color w:val="000000" w:themeColor="text1"/>
        </w:rPr>
        <w:t xml:space="preserve"> oversight and strategic guidance on </w:t>
      </w:r>
      <w:r w:rsidR="002B704B" w:rsidRPr="00F83B6E">
        <w:rPr>
          <w:color w:val="000000" w:themeColor="text1"/>
        </w:rPr>
        <w:t xml:space="preserve">KPP </w:t>
      </w:r>
      <w:r w:rsidRPr="00F83B6E">
        <w:rPr>
          <w:color w:val="000000" w:themeColor="text1"/>
        </w:rPr>
        <w:t>broad directions</w:t>
      </w:r>
      <w:r w:rsidR="00B16A01" w:rsidRPr="00F83B6E">
        <w:rPr>
          <w:color w:val="000000" w:themeColor="text1"/>
        </w:rPr>
        <w:t xml:space="preserve"> and risks</w:t>
      </w:r>
      <w:r w:rsidR="002B704B" w:rsidRPr="00F83B6E">
        <w:rPr>
          <w:color w:val="000000" w:themeColor="text1"/>
        </w:rPr>
        <w:t>,</w:t>
      </w:r>
      <w:r w:rsidRPr="00F83B6E">
        <w:rPr>
          <w:color w:val="000000" w:themeColor="text1"/>
        </w:rPr>
        <w:t xml:space="preserve"> and </w:t>
      </w:r>
    </w:p>
    <w:p w14:paraId="1C06FCE2" w14:textId="4178E118" w:rsidR="0002406F" w:rsidRPr="00F83B6E" w:rsidRDefault="00EF43DD" w:rsidP="00E6202D">
      <w:pPr>
        <w:pStyle w:val="Bullet1"/>
        <w:rPr>
          <w:color w:val="000000" w:themeColor="text1"/>
        </w:rPr>
      </w:pPr>
      <w:r w:rsidRPr="00F83B6E">
        <w:rPr>
          <w:color w:val="000000" w:themeColor="text1"/>
        </w:rPr>
        <w:t xml:space="preserve">a </w:t>
      </w:r>
      <w:r w:rsidR="002B704B" w:rsidRPr="00F83B6E">
        <w:rPr>
          <w:color w:val="000000" w:themeColor="text1"/>
        </w:rPr>
        <w:t xml:space="preserve">Program </w:t>
      </w:r>
      <w:r w:rsidRPr="00F83B6E">
        <w:rPr>
          <w:color w:val="000000" w:themeColor="text1"/>
        </w:rPr>
        <w:t xml:space="preserve">Technical Committee </w:t>
      </w:r>
      <w:r w:rsidR="002B704B" w:rsidRPr="00F83B6E">
        <w:rPr>
          <w:color w:val="000000" w:themeColor="text1"/>
        </w:rPr>
        <w:t xml:space="preserve">(PTC) </w:t>
      </w:r>
      <w:r w:rsidR="0002406F" w:rsidRPr="00F83B6E">
        <w:rPr>
          <w:color w:val="000000" w:themeColor="text1"/>
        </w:rPr>
        <w:t>t</w:t>
      </w:r>
      <w:r w:rsidR="00C76BCE" w:rsidRPr="00F83B6E">
        <w:rPr>
          <w:color w:val="000000" w:themeColor="text1"/>
        </w:rPr>
        <w:t>hat</w:t>
      </w:r>
      <w:r w:rsidR="0002406F" w:rsidRPr="00F83B6E">
        <w:rPr>
          <w:color w:val="000000" w:themeColor="text1"/>
        </w:rPr>
        <w:t xml:space="preserve"> act</w:t>
      </w:r>
      <w:r w:rsidR="00C76BCE" w:rsidRPr="00F83B6E">
        <w:rPr>
          <w:color w:val="000000" w:themeColor="text1"/>
        </w:rPr>
        <w:t>s</w:t>
      </w:r>
      <w:r w:rsidR="0002406F" w:rsidRPr="00F83B6E">
        <w:rPr>
          <w:color w:val="000000" w:themeColor="text1"/>
        </w:rPr>
        <w:t xml:space="preserve"> </w:t>
      </w:r>
      <w:r w:rsidRPr="00F83B6E">
        <w:rPr>
          <w:color w:val="000000" w:themeColor="text1"/>
        </w:rPr>
        <w:t>as an accountability</w:t>
      </w:r>
      <w:r w:rsidR="00B16A01" w:rsidRPr="00F83B6E">
        <w:rPr>
          <w:color w:val="000000" w:themeColor="text1"/>
        </w:rPr>
        <w:t>, risk management</w:t>
      </w:r>
      <w:r w:rsidRPr="00F83B6E">
        <w:rPr>
          <w:color w:val="000000" w:themeColor="text1"/>
        </w:rPr>
        <w:t xml:space="preserve"> and decision-making body for the </w:t>
      </w:r>
      <w:r w:rsidR="002B704B" w:rsidRPr="00F83B6E">
        <w:rPr>
          <w:color w:val="000000" w:themeColor="text1"/>
        </w:rPr>
        <w:t>program</w:t>
      </w:r>
      <w:r w:rsidRPr="00F83B6E">
        <w:rPr>
          <w:color w:val="000000" w:themeColor="text1"/>
        </w:rPr>
        <w:t xml:space="preserve">. </w:t>
      </w:r>
    </w:p>
    <w:p w14:paraId="035AEFB9" w14:textId="66853612" w:rsidR="002B704B" w:rsidRPr="00F83B6E" w:rsidRDefault="002B704B" w:rsidP="00B91543">
      <w:pPr>
        <w:pStyle w:val="BodyText"/>
        <w:rPr>
          <w:color w:val="000000" w:themeColor="text1"/>
        </w:rPr>
      </w:pPr>
      <w:r w:rsidRPr="00F83B6E">
        <w:rPr>
          <w:color w:val="000000" w:themeColor="text1"/>
        </w:rPr>
        <w:t>As outline</w:t>
      </w:r>
      <w:r w:rsidR="00080A3E" w:rsidRPr="00F83B6E">
        <w:rPr>
          <w:color w:val="000000" w:themeColor="text1"/>
        </w:rPr>
        <w:t>d</w:t>
      </w:r>
      <w:r w:rsidRPr="00F83B6E">
        <w:rPr>
          <w:color w:val="000000" w:themeColor="text1"/>
        </w:rPr>
        <w:t xml:space="preserve"> in Figure </w:t>
      </w:r>
      <w:r w:rsidR="00C76BCE" w:rsidRPr="00F83B6E">
        <w:rPr>
          <w:color w:val="000000" w:themeColor="text1"/>
        </w:rPr>
        <w:t>7</w:t>
      </w:r>
      <w:r w:rsidRPr="00F83B6E">
        <w:rPr>
          <w:color w:val="000000" w:themeColor="text1"/>
        </w:rPr>
        <w:t xml:space="preserve">, </w:t>
      </w:r>
      <w:r w:rsidR="00080A3E" w:rsidRPr="00F83B6E">
        <w:rPr>
          <w:color w:val="000000" w:themeColor="text1"/>
        </w:rPr>
        <w:t xml:space="preserve">the Steering Committee will meet annually to set research priorities, provide advice on strategic aspects of KPP, including relevant </w:t>
      </w:r>
      <w:r w:rsidR="00B16A01" w:rsidRPr="00F83B6E">
        <w:rPr>
          <w:color w:val="000000" w:themeColor="text1"/>
        </w:rPr>
        <w:t xml:space="preserve">risks and </w:t>
      </w:r>
      <w:r w:rsidR="00080A3E" w:rsidRPr="00F83B6E">
        <w:rPr>
          <w:color w:val="000000" w:themeColor="text1"/>
        </w:rPr>
        <w:t>policy matters,</w:t>
      </w:r>
      <w:r w:rsidR="00C16C74" w:rsidRPr="00F83B6E">
        <w:rPr>
          <w:color w:val="000000" w:themeColor="text1"/>
        </w:rPr>
        <w:t xml:space="preserve"> </w:t>
      </w:r>
      <w:r w:rsidR="00080A3E" w:rsidRPr="00F83B6E">
        <w:rPr>
          <w:color w:val="000000" w:themeColor="text1"/>
        </w:rPr>
        <w:t xml:space="preserve">and ensure lessons are shared regularly, with a view to adapting and improving program implementation. The Technical Committee will meet six-monthly to review </w:t>
      </w:r>
      <w:r w:rsidR="00A8490C" w:rsidRPr="00F83B6E">
        <w:rPr>
          <w:color w:val="000000" w:themeColor="text1"/>
        </w:rPr>
        <w:t xml:space="preserve">program risk arrangements </w:t>
      </w:r>
      <w:r w:rsidR="00080A3E" w:rsidRPr="00F83B6E">
        <w:rPr>
          <w:color w:val="000000" w:themeColor="text1"/>
        </w:rPr>
        <w:t>and approve</w:t>
      </w:r>
      <w:r w:rsidR="00B16A01" w:rsidRPr="00F83B6E">
        <w:rPr>
          <w:color w:val="000000" w:themeColor="text1"/>
        </w:rPr>
        <w:t xml:space="preserve"> </w:t>
      </w:r>
      <w:r w:rsidR="00080A3E" w:rsidRPr="00F83B6E">
        <w:rPr>
          <w:color w:val="000000" w:themeColor="text1"/>
        </w:rPr>
        <w:t xml:space="preserve">key documents, such as </w:t>
      </w:r>
      <w:r w:rsidR="000B7E20" w:rsidRPr="00F83B6E">
        <w:rPr>
          <w:color w:val="000000" w:themeColor="text1"/>
        </w:rPr>
        <w:t xml:space="preserve">program </w:t>
      </w:r>
      <w:r w:rsidR="00080A3E" w:rsidRPr="00F83B6E">
        <w:rPr>
          <w:color w:val="000000" w:themeColor="text1"/>
        </w:rPr>
        <w:t xml:space="preserve">annual work plans, budgets and </w:t>
      </w:r>
      <w:r w:rsidR="000B7E20" w:rsidRPr="00F83B6E">
        <w:rPr>
          <w:color w:val="000000" w:themeColor="text1"/>
        </w:rPr>
        <w:t xml:space="preserve">progress </w:t>
      </w:r>
      <w:r w:rsidR="00080A3E" w:rsidRPr="00F83B6E">
        <w:rPr>
          <w:color w:val="000000" w:themeColor="text1"/>
        </w:rPr>
        <w:t xml:space="preserve">reports prepared by the </w:t>
      </w:r>
      <w:r w:rsidR="00A116BB" w:rsidRPr="00F83B6E">
        <w:rPr>
          <w:color w:val="000000" w:themeColor="text1"/>
        </w:rPr>
        <w:t>Platform Hub</w:t>
      </w:r>
      <w:r w:rsidR="00080A3E" w:rsidRPr="00F83B6E">
        <w:rPr>
          <w:color w:val="000000" w:themeColor="text1"/>
        </w:rPr>
        <w:t>.</w:t>
      </w:r>
      <w:r w:rsidR="00B369A5" w:rsidRPr="00F83B6E">
        <w:rPr>
          <w:color w:val="000000" w:themeColor="text1"/>
        </w:rPr>
        <w:t xml:space="preserve"> Relevant</w:t>
      </w:r>
      <w:r w:rsidR="00080A3E" w:rsidRPr="00F83B6E">
        <w:rPr>
          <w:color w:val="000000" w:themeColor="text1"/>
        </w:rPr>
        <w:t xml:space="preserve"> </w:t>
      </w:r>
      <w:r w:rsidR="00B369A5" w:rsidRPr="00F83B6E">
        <w:rPr>
          <w:color w:val="000000" w:themeColor="text1"/>
        </w:rPr>
        <w:t xml:space="preserve">stakeholders may be invited to specific PTC sessions as observer </w:t>
      </w:r>
      <w:r w:rsidR="00080A3E" w:rsidRPr="00F83B6E">
        <w:rPr>
          <w:color w:val="000000" w:themeColor="text1"/>
        </w:rPr>
        <w:t>-</w:t>
      </w:r>
      <w:r w:rsidR="00C16C74" w:rsidRPr="00F83B6E">
        <w:rPr>
          <w:color w:val="000000" w:themeColor="text1"/>
        </w:rPr>
        <w:t xml:space="preserve"> </w:t>
      </w:r>
      <w:r w:rsidR="00080A3E" w:rsidRPr="00F83B6E">
        <w:rPr>
          <w:color w:val="000000" w:themeColor="text1"/>
        </w:rPr>
        <w:lastRenderedPageBreak/>
        <w:t>w</w:t>
      </w:r>
      <w:r w:rsidRPr="00F83B6E">
        <w:rPr>
          <w:color w:val="000000" w:themeColor="text1"/>
        </w:rPr>
        <w:t xml:space="preserve">hile </w:t>
      </w:r>
      <w:r w:rsidR="00080A3E" w:rsidRPr="00F83B6E">
        <w:rPr>
          <w:color w:val="000000" w:themeColor="text1"/>
        </w:rPr>
        <w:t>they</w:t>
      </w:r>
      <w:r w:rsidRPr="00F83B6E">
        <w:rPr>
          <w:color w:val="000000" w:themeColor="text1"/>
        </w:rPr>
        <w:t xml:space="preserve"> may provide inputs, decision</w:t>
      </w:r>
      <w:r w:rsidR="005D713F" w:rsidRPr="00F83B6E">
        <w:rPr>
          <w:color w:val="000000" w:themeColor="text1"/>
        </w:rPr>
        <w:t xml:space="preserve">s </w:t>
      </w:r>
      <w:r w:rsidR="00080A3E" w:rsidRPr="00F83B6E">
        <w:rPr>
          <w:color w:val="000000" w:themeColor="text1"/>
        </w:rPr>
        <w:t>will</w:t>
      </w:r>
      <w:r w:rsidRPr="00F83B6E">
        <w:rPr>
          <w:color w:val="000000" w:themeColor="text1"/>
        </w:rPr>
        <w:t xml:space="preserve"> </w:t>
      </w:r>
      <w:r w:rsidR="005D713F" w:rsidRPr="00F83B6E">
        <w:rPr>
          <w:color w:val="000000" w:themeColor="text1"/>
        </w:rPr>
        <w:t xml:space="preserve">be made by </w:t>
      </w:r>
      <w:r w:rsidR="00080A3E" w:rsidRPr="00F83B6E">
        <w:rPr>
          <w:color w:val="000000" w:themeColor="text1"/>
        </w:rPr>
        <w:t xml:space="preserve">the </w:t>
      </w:r>
      <w:r w:rsidRPr="00F83B6E">
        <w:rPr>
          <w:color w:val="000000" w:themeColor="text1"/>
        </w:rPr>
        <w:t>co-chairs after considering inputs from other P</w:t>
      </w:r>
      <w:r w:rsidR="00080A3E" w:rsidRPr="00F83B6E">
        <w:rPr>
          <w:color w:val="000000" w:themeColor="text1"/>
        </w:rPr>
        <w:t>T</w:t>
      </w:r>
      <w:r w:rsidRPr="00F83B6E">
        <w:rPr>
          <w:color w:val="000000" w:themeColor="text1"/>
        </w:rPr>
        <w:t>C members.</w:t>
      </w:r>
      <w:r w:rsidR="0054487F" w:rsidRPr="00F83B6E">
        <w:rPr>
          <w:rStyle w:val="FootnoteReference"/>
          <w:color w:val="000000" w:themeColor="text1"/>
        </w:rPr>
        <w:footnoteReference w:id="31"/>
      </w:r>
      <w:r w:rsidRPr="00F83B6E">
        <w:rPr>
          <w:color w:val="000000" w:themeColor="text1"/>
        </w:rPr>
        <w:t xml:space="preserve"> </w:t>
      </w:r>
    </w:p>
    <w:p w14:paraId="40620088" w14:textId="30082F0A" w:rsidR="00DE1D6F" w:rsidRPr="00F83B6E" w:rsidRDefault="00DE1D6F" w:rsidP="00907F0B">
      <w:pPr>
        <w:pStyle w:val="Caption"/>
        <w:spacing w:line="240" w:lineRule="auto"/>
        <w:rPr>
          <w:color w:val="000000" w:themeColor="text1"/>
        </w:rPr>
      </w:pPr>
      <w:r w:rsidRPr="00F83B6E">
        <w:rPr>
          <w:color w:val="000000" w:themeColor="text1"/>
        </w:rPr>
        <w:t xml:space="preserve">Figure </w:t>
      </w:r>
      <w:r w:rsidRPr="00F83B6E">
        <w:rPr>
          <w:color w:val="000000" w:themeColor="text1"/>
        </w:rPr>
        <w:fldChar w:fldCharType="begin"/>
      </w:r>
      <w:r w:rsidRPr="00F83B6E">
        <w:rPr>
          <w:color w:val="000000" w:themeColor="text1"/>
        </w:rPr>
        <w:instrText xml:space="preserve"> SEQ Figure \* ARABIC </w:instrText>
      </w:r>
      <w:r w:rsidRPr="00F83B6E">
        <w:rPr>
          <w:color w:val="000000" w:themeColor="text1"/>
        </w:rPr>
        <w:fldChar w:fldCharType="separate"/>
      </w:r>
      <w:r w:rsidR="00A578DF">
        <w:rPr>
          <w:noProof/>
          <w:color w:val="000000" w:themeColor="text1"/>
        </w:rPr>
        <w:t>7</w:t>
      </w:r>
      <w:r w:rsidRPr="00F83B6E">
        <w:rPr>
          <w:color w:val="000000" w:themeColor="text1"/>
        </w:rPr>
        <w:fldChar w:fldCharType="end"/>
      </w:r>
      <w:r w:rsidRPr="00F83B6E">
        <w:rPr>
          <w:color w:val="000000" w:themeColor="text1"/>
          <w:lang w:val="en-AU"/>
        </w:rPr>
        <w:t xml:space="preserve"> </w:t>
      </w:r>
      <w:r w:rsidRPr="00F83B6E">
        <w:rPr>
          <w:color w:val="000000" w:themeColor="text1"/>
          <w:lang w:val="en-AU"/>
        </w:rPr>
        <w:tab/>
        <w:t>KPP governance mechanisms</w:t>
      </w:r>
    </w:p>
    <w:tbl>
      <w:tblPr>
        <w:tblStyle w:val="TableGrid1"/>
        <w:tblW w:w="5000" w:type="pct"/>
        <w:tblLook w:val="04A0" w:firstRow="1" w:lastRow="0" w:firstColumn="1" w:lastColumn="0" w:noHBand="0" w:noVBand="1"/>
        <w:tblCaption w:val="Figure 7"/>
        <w:tblDescription w:val="KPP Governance Mechanism"/>
      </w:tblPr>
      <w:tblGrid>
        <w:gridCol w:w="1284"/>
        <w:gridCol w:w="3687"/>
        <w:gridCol w:w="3572"/>
        <w:gridCol w:w="1084"/>
      </w:tblGrid>
      <w:tr w:rsidR="00F83B6E" w:rsidRPr="00F83B6E" w14:paraId="3FBBA74C" w14:textId="77777777" w:rsidTr="00D93E43">
        <w:trPr>
          <w:trHeight w:val="643"/>
          <w:tblHeader/>
        </w:trPr>
        <w:tc>
          <w:tcPr>
            <w:tcW w:w="667" w:type="pct"/>
            <w:hideMark/>
          </w:tcPr>
          <w:p w14:paraId="43FFA6AF" w14:textId="70742FF4" w:rsidR="00062FAE" w:rsidRPr="00F83B6E" w:rsidRDefault="00062FAE" w:rsidP="001D5158">
            <w:pPr>
              <w:pStyle w:val="TableHeaderRow"/>
              <w:keepNext/>
              <w:jc w:val="center"/>
              <w:rPr>
                <w:b w:val="0"/>
                <w:bCs/>
                <w:color w:val="000000" w:themeColor="text1"/>
              </w:rPr>
            </w:pPr>
            <w:r w:rsidRPr="00F83B6E">
              <w:rPr>
                <w:color w:val="000000" w:themeColor="text1"/>
              </w:rPr>
              <w:t>Mechanism</w:t>
            </w:r>
            <w:r w:rsidR="00AC5534" w:rsidRPr="00F83B6E">
              <w:rPr>
                <w:color w:val="000000" w:themeColor="text1"/>
              </w:rPr>
              <w:t>s</w:t>
            </w:r>
          </w:p>
        </w:tc>
        <w:tc>
          <w:tcPr>
            <w:tcW w:w="1915" w:type="pct"/>
            <w:hideMark/>
          </w:tcPr>
          <w:p w14:paraId="41AA574C" w14:textId="3811978F" w:rsidR="00062FAE" w:rsidRPr="00F83B6E" w:rsidRDefault="0002406F" w:rsidP="001D5158">
            <w:pPr>
              <w:pStyle w:val="TableHeaderRow"/>
              <w:keepNext/>
              <w:jc w:val="center"/>
              <w:rPr>
                <w:b w:val="0"/>
                <w:bCs/>
                <w:color w:val="000000" w:themeColor="text1"/>
              </w:rPr>
            </w:pPr>
            <w:r w:rsidRPr="00F83B6E">
              <w:rPr>
                <w:color w:val="000000" w:themeColor="text1"/>
              </w:rPr>
              <w:t>Responsibilities</w:t>
            </w:r>
          </w:p>
        </w:tc>
        <w:tc>
          <w:tcPr>
            <w:tcW w:w="1855" w:type="pct"/>
            <w:hideMark/>
          </w:tcPr>
          <w:p w14:paraId="3EE3E2A4" w14:textId="77777777" w:rsidR="00062FAE" w:rsidRPr="00F83B6E" w:rsidRDefault="00062FAE" w:rsidP="001D5158">
            <w:pPr>
              <w:pStyle w:val="TableHeaderRow"/>
              <w:keepNext/>
              <w:jc w:val="center"/>
              <w:rPr>
                <w:b w:val="0"/>
                <w:bCs/>
                <w:color w:val="000000" w:themeColor="text1"/>
              </w:rPr>
            </w:pPr>
            <w:r w:rsidRPr="00F83B6E">
              <w:rPr>
                <w:color w:val="000000" w:themeColor="text1"/>
              </w:rPr>
              <w:t>Membership</w:t>
            </w:r>
          </w:p>
        </w:tc>
        <w:tc>
          <w:tcPr>
            <w:tcW w:w="564" w:type="pct"/>
            <w:hideMark/>
          </w:tcPr>
          <w:p w14:paraId="477A73DC" w14:textId="77777777" w:rsidR="00062FAE" w:rsidRPr="00F83B6E" w:rsidRDefault="00062FAE" w:rsidP="001D5158">
            <w:pPr>
              <w:pStyle w:val="TableHeaderRow"/>
              <w:keepNext/>
              <w:jc w:val="center"/>
              <w:rPr>
                <w:b w:val="0"/>
                <w:bCs/>
                <w:color w:val="000000" w:themeColor="text1"/>
              </w:rPr>
            </w:pPr>
            <w:r w:rsidRPr="00F83B6E">
              <w:rPr>
                <w:color w:val="000000" w:themeColor="text1"/>
              </w:rPr>
              <w:t>Meeting Frequency</w:t>
            </w:r>
          </w:p>
        </w:tc>
      </w:tr>
      <w:tr w:rsidR="00F83B6E" w:rsidRPr="00F83B6E" w14:paraId="65814F7F" w14:textId="77777777" w:rsidTr="00D93E43">
        <w:trPr>
          <w:trHeight w:val="397"/>
        </w:trPr>
        <w:tc>
          <w:tcPr>
            <w:tcW w:w="667" w:type="pct"/>
            <w:hideMark/>
          </w:tcPr>
          <w:p w14:paraId="1D0DE96D" w14:textId="77777777" w:rsidR="00062FAE" w:rsidRPr="00F83B6E" w:rsidRDefault="00062FAE" w:rsidP="00C929AF">
            <w:pPr>
              <w:pStyle w:val="TableText"/>
              <w:keepNext/>
              <w:spacing w:line="240" w:lineRule="auto"/>
              <w:ind w:left="77" w:right="55"/>
              <w:rPr>
                <w:color w:val="000000" w:themeColor="text1"/>
                <w:lang w:val="en-AU"/>
              </w:rPr>
            </w:pPr>
            <w:r w:rsidRPr="00F83B6E">
              <w:rPr>
                <w:color w:val="000000" w:themeColor="text1"/>
                <w:lang w:val="en-AU"/>
              </w:rPr>
              <w:t>Steering Committee</w:t>
            </w:r>
          </w:p>
        </w:tc>
        <w:tc>
          <w:tcPr>
            <w:tcW w:w="1915" w:type="pct"/>
            <w:hideMark/>
          </w:tcPr>
          <w:p w14:paraId="39C0B3C5" w14:textId="1033E17E" w:rsidR="00062FAE" w:rsidRPr="00F83B6E" w:rsidRDefault="00062FAE" w:rsidP="00C929AF">
            <w:pPr>
              <w:pStyle w:val="TableBullet1"/>
              <w:keepNext/>
              <w:spacing w:line="240" w:lineRule="auto"/>
              <w:rPr>
                <w:color w:val="000000" w:themeColor="text1"/>
              </w:rPr>
            </w:pPr>
            <w:r w:rsidRPr="00F83B6E">
              <w:rPr>
                <w:color w:val="000000" w:themeColor="text1"/>
              </w:rPr>
              <w:t>Oversight of KPP strategic directions</w:t>
            </w:r>
            <w:r w:rsidR="00B16A01" w:rsidRPr="00F83B6E">
              <w:rPr>
                <w:color w:val="000000" w:themeColor="text1"/>
              </w:rPr>
              <w:t xml:space="preserve"> and risks</w:t>
            </w:r>
          </w:p>
          <w:p w14:paraId="30BD56BF" w14:textId="77777777" w:rsidR="00062FAE" w:rsidRPr="00F83B6E" w:rsidRDefault="00062FAE" w:rsidP="00C929AF">
            <w:pPr>
              <w:pStyle w:val="TableBullet1"/>
              <w:keepNext/>
              <w:spacing w:line="240" w:lineRule="auto"/>
              <w:rPr>
                <w:color w:val="000000" w:themeColor="text1"/>
              </w:rPr>
            </w:pPr>
            <w:r w:rsidRPr="00F83B6E">
              <w:rPr>
                <w:color w:val="000000" w:themeColor="text1"/>
              </w:rPr>
              <w:t>Approval of KPP research themes/priorities</w:t>
            </w:r>
          </w:p>
          <w:p w14:paraId="57404961" w14:textId="77777777" w:rsidR="00062FAE" w:rsidRPr="00F83B6E" w:rsidRDefault="00062FAE" w:rsidP="00C929AF">
            <w:pPr>
              <w:pStyle w:val="TableBullet1"/>
              <w:keepNext/>
              <w:spacing w:line="240" w:lineRule="auto"/>
              <w:rPr>
                <w:color w:val="000000" w:themeColor="text1"/>
              </w:rPr>
            </w:pPr>
            <w:r w:rsidRPr="00F83B6E">
              <w:rPr>
                <w:color w:val="000000" w:themeColor="text1"/>
              </w:rPr>
              <w:t>Discussion of key policy and systemic issues</w:t>
            </w:r>
          </w:p>
          <w:p w14:paraId="584C0141" w14:textId="77777777" w:rsidR="00062FAE" w:rsidRPr="00F83B6E" w:rsidRDefault="00062FAE" w:rsidP="00C929AF">
            <w:pPr>
              <w:pStyle w:val="TableBullet1"/>
              <w:keepNext/>
              <w:spacing w:line="240" w:lineRule="auto"/>
              <w:rPr>
                <w:color w:val="000000" w:themeColor="text1"/>
              </w:rPr>
            </w:pPr>
            <w:r w:rsidRPr="00F83B6E">
              <w:rPr>
                <w:color w:val="000000" w:themeColor="text1"/>
              </w:rPr>
              <w:t xml:space="preserve">Strategic coordination between key </w:t>
            </w:r>
            <w:proofErr w:type="spellStart"/>
            <w:r w:rsidRPr="00F83B6E">
              <w:rPr>
                <w:color w:val="000000" w:themeColor="text1"/>
              </w:rPr>
              <w:t>GoI</w:t>
            </w:r>
            <w:proofErr w:type="spellEnd"/>
            <w:r w:rsidRPr="00F83B6E">
              <w:rPr>
                <w:color w:val="000000" w:themeColor="text1"/>
              </w:rPr>
              <w:t xml:space="preserve"> agencies involved in KPP</w:t>
            </w:r>
          </w:p>
        </w:tc>
        <w:tc>
          <w:tcPr>
            <w:tcW w:w="1855" w:type="pct"/>
            <w:hideMark/>
          </w:tcPr>
          <w:p w14:paraId="13C6F3DF" w14:textId="558767AD" w:rsidR="0002406F" w:rsidRPr="00F83B6E" w:rsidRDefault="00062FAE" w:rsidP="00C929AF">
            <w:pPr>
              <w:pStyle w:val="TableText"/>
              <w:keepNext/>
              <w:spacing w:line="240" w:lineRule="auto"/>
              <w:ind w:left="77" w:right="55"/>
              <w:rPr>
                <w:color w:val="000000" w:themeColor="text1"/>
                <w:lang w:val="en-AU"/>
              </w:rPr>
            </w:pPr>
            <w:r w:rsidRPr="00F83B6E">
              <w:rPr>
                <w:color w:val="000000" w:themeColor="text1"/>
                <w:lang w:val="en-AU"/>
              </w:rPr>
              <w:t>Co-</w:t>
            </w:r>
            <w:r w:rsidR="00612FE0" w:rsidRPr="00F83B6E">
              <w:rPr>
                <w:color w:val="000000" w:themeColor="text1"/>
                <w:lang w:val="en-AU"/>
              </w:rPr>
              <w:t>c</w:t>
            </w:r>
            <w:r w:rsidRPr="00F83B6E">
              <w:rPr>
                <w:color w:val="000000" w:themeColor="text1"/>
                <w:lang w:val="en-AU"/>
              </w:rPr>
              <w:t xml:space="preserve">hairs: </w:t>
            </w:r>
          </w:p>
          <w:p w14:paraId="26FDB13D" w14:textId="69C1E3D1" w:rsidR="0002406F" w:rsidRPr="00F83B6E" w:rsidRDefault="00062FAE" w:rsidP="00C929AF">
            <w:pPr>
              <w:pStyle w:val="ListBullet3"/>
              <w:keepNext/>
              <w:numPr>
                <w:ilvl w:val="0"/>
                <w:numId w:val="27"/>
              </w:numPr>
              <w:spacing w:line="240" w:lineRule="auto"/>
              <w:ind w:left="408" w:right="55" w:hanging="142"/>
              <w:rPr>
                <w:color w:val="000000" w:themeColor="text1"/>
                <w:lang w:val="en-AU"/>
              </w:rPr>
            </w:pPr>
            <w:r w:rsidRPr="00F83B6E">
              <w:rPr>
                <w:color w:val="000000" w:themeColor="text1"/>
                <w:lang w:val="en-AU"/>
              </w:rPr>
              <w:t xml:space="preserve">DFAT (Minister Counsellor) </w:t>
            </w:r>
          </w:p>
          <w:p w14:paraId="76D8ED7B" w14:textId="3562DFC6" w:rsidR="00062FAE" w:rsidRPr="00F83B6E" w:rsidRDefault="00115CDB" w:rsidP="00C929AF">
            <w:pPr>
              <w:pStyle w:val="ListBullet3"/>
              <w:keepNext/>
              <w:numPr>
                <w:ilvl w:val="0"/>
                <w:numId w:val="27"/>
              </w:numPr>
              <w:spacing w:line="240" w:lineRule="auto"/>
              <w:ind w:left="408" w:right="55" w:hanging="142"/>
              <w:rPr>
                <w:color w:val="000000" w:themeColor="text1"/>
                <w:lang w:val="en-AU"/>
              </w:rPr>
            </w:pPr>
            <w:r w:rsidRPr="00F83B6E">
              <w:rPr>
                <w:color w:val="000000" w:themeColor="text1"/>
                <w:lang w:val="en-AU"/>
              </w:rPr>
              <w:t>Echelon 1s from key</w:t>
            </w:r>
            <w:r w:rsidR="00062FAE" w:rsidRPr="00F83B6E">
              <w:rPr>
                <w:color w:val="000000" w:themeColor="text1"/>
                <w:lang w:val="en-AU"/>
              </w:rPr>
              <w:t xml:space="preserve"> </w:t>
            </w:r>
            <w:proofErr w:type="spellStart"/>
            <w:r w:rsidR="00B369A5" w:rsidRPr="00F83B6E">
              <w:rPr>
                <w:color w:val="000000" w:themeColor="text1"/>
                <w:lang w:val="en-AU"/>
              </w:rPr>
              <w:t>GoI</w:t>
            </w:r>
            <w:proofErr w:type="spellEnd"/>
            <w:r w:rsidR="00B369A5" w:rsidRPr="00F83B6E">
              <w:rPr>
                <w:color w:val="000000" w:themeColor="text1"/>
                <w:lang w:val="en-AU"/>
              </w:rPr>
              <w:t xml:space="preserve"> </w:t>
            </w:r>
            <w:r w:rsidR="00062FAE" w:rsidRPr="00F83B6E">
              <w:rPr>
                <w:color w:val="000000" w:themeColor="text1"/>
                <w:lang w:val="en-AU"/>
              </w:rPr>
              <w:t>counterpart agencies (TBC</w:t>
            </w:r>
            <w:r w:rsidR="0002406F" w:rsidRPr="00F83B6E">
              <w:rPr>
                <w:color w:val="000000" w:themeColor="text1"/>
                <w:lang w:val="en-AU"/>
              </w:rPr>
              <w:t xml:space="preserve"> </w:t>
            </w:r>
            <w:r w:rsidRPr="00F83B6E">
              <w:rPr>
                <w:color w:val="000000" w:themeColor="text1"/>
                <w:lang w:val="en-AU"/>
              </w:rPr>
              <w:t>–</w:t>
            </w:r>
            <w:r w:rsidR="00062FAE" w:rsidRPr="00F83B6E">
              <w:rPr>
                <w:color w:val="000000" w:themeColor="text1"/>
                <w:lang w:val="en-AU"/>
              </w:rPr>
              <w:t xml:space="preserve"> </w:t>
            </w:r>
            <w:proofErr w:type="spellStart"/>
            <w:r w:rsidRPr="00F83B6E">
              <w:rPr>
                <w:color w:val="000000" w:themeColor="text1"/>
                <w:lang w:val="en-AU"/>
              </w:rPr>
              <w:t>Bappenas</w:t>
            </w:r>
            <w:proofErr w:type="spellEnd"/>
            <w:r w:rsidRPr="00F83B6E">
              <w:rPr>
                <w:color w:val="000000" w:themeColor="text1"/>
                <w:lang w:val="en-AU"/>
              </w:rPr>
              <w:t xml:space="preserve">, </w:t>
            </w:r>
            <w:proofErr w:type="spellStart"/>
            <w:r w:rsidRPr="00F83B6E">
              <w:rPr>
                <w:color w:val="000000" w:themeColor="text1"/>
                <w:lang w:val="en-AU"/>
              </w:rPr>
              <w:t>MoECRT</w:t>
            </w:r>
            <w:proofErr w:type="spellEnd"/>
            <w:r w:rsidRPr="00F83B6E">
              <w:rPr>
                <w:color w:val="000000" w:themeColor="text1"/>
                <w:lang w:val="en-AU"/>
              </w:rPr>
              <w:t xml:space="preserve"> or BRIN</w:t>
            </w:r>
            <w:r w:rsidR="00062FAE" w:rsidRPr="00F83B6E">
              <w:rPr>
                <w:color w:val="000000" w:themeColor="text1"/>
                <w:lang w:val="en-AU"/>
              </w:rPr>
              <w:t>)</w:t>
            </w:r>
          </w:p>
          <w:p w14:paraId="7B1B83D6" w14:textId="77777777" w:rsidR="00062FAE" w:rsidRPr="00F83B6E" w:rsidRDefault="00062FAE" w:rsidP="00C929AF">
            <w:pPr>
              <w:pStyle w:val="TableText"/>
              <w:keepNext/>
              <w:spacing w:line="240" w:lineRule="auto"/>
              <w:ind w:left="77" w:right="55"/>
              <w:rPr>
                <w:color w:val="000000" w:themeColor="text1"/>
                <w:lang w:val="en-AU"/>
              </w:rPr>
            </w:pPr>
            <w:r w:rsidRPr="00F83B6E">
              <w:rPr>
                <w:color w:val="000000" w:themeColor="text1"/>
                <w:lang w:val="en-AU"/>
              </w:rPr>
              <w:t>Members:</w:t>
            </w:r>
          </w:p>
          <w:p w14:paraId="699DA831" w14:textId="66EBB1F1" w:rsidR="00062FAE" w:rsidRPr="00F83B6E" w:rsidRDefault="00062FAE" w:rsidP="00C929AF">
            <w:pPr>
              <w:pStyle w:val="ListBullet3"/>
              <w:keepNext/>
              <w:numPr>
                <w:ilvl w:val="0"/>
                <w:numId w:val="27"/>
              </w:numPr>
              <w:spacing w:line="240" w:lineRule="auto"/>
              <w:ind w:left="408" w:right="55" w:hanging="142"/>
              <w:rPr>
                <w:color w:val="000000" w:themeColor="text1"/>
                <w:lang w:val="en-AU"/>
              </w:rPr>
            </w:pPr>
            <w:r w:rsidRPr="00F83B6E">
              <w:rPr>
                <w:color w:val="000000" w:themeColor="text1"/>
                <w:lang w:val="en-AU"/>
              </w:rPr>
              <w:t>Relevant DFAT counsellors</w:t>
            </w:r>
          </w:p>
          <w:p w14:paraId="604A5EF4" w14:textId="24B87C7E" w:rsidR="00062FAE" w:rsidRPr="00F83B6E" w:rsidRDefault="00115CDB" w:rsidP="00C929AF">
            <w:pPr>
              <w:pStyle w:val="ListBullet3"/>
              <w:keepNext/>
              <w:numPr>
                <w:ilvl w:val="0"/>
                <w:numId w:val="27"/>
              </w:numPr>
              <w:spacing w:line="240" w:lineRule="auto"/>
              <w:ind w:left="408" w:right="55" w:hanging="142"/>
              <w:rPr>
                <w:color w:val="000000" w:themeColor="text1"/>
                <w:lang w:val="en-AU"/>
              </w:rPr>
            </w:pPr>
            <w:r w:rsidRPr="00F83B6E">
              <w:rPr>
                <w:color w:val="000000" w:themeColor="text1"/>
                <w:lang w:val="en-AU"/>
              </w:rPr>
              <w:t xml:space="preserve">Senior officials from </w:t>
            </w:r>
            <w:r w:rsidR="00062FAE" w:rsidRPr="00F83B6E">
              <w:rPr>
                <w:color w:val="000000" w:themeColor="text1"/>
                <w:lang w:val="en-AU"/>
              </w:rPr>
              <w:t xml:space="preserve">BAPPENAS, </w:t>
            </w:r>
            <w:proofErr w:type="spellStart"/>
            <w:r w:rsidR="00062FAE" w:rsidRPr="00F83B6E">
              <w:rPr>
                <w:color w:val="000000" w:themeColor="text1"/>
                <w:lang w:val="en-AU"/>
              </w:rPr>
              <w:t>MoECRT</w:t>
            </w:r>
            <w:proofErr w:type="spellEnd"/>
            <w:r w:rsidR="00062FAE" w:rsidRPr="00F83B6E">
              <w:rPr>
                <w:color w:val="000000" w:themeColor="text1"/>
                <w:lang w:val="en-AU"/>
              </w:rPr>
              <w:t xml:space="preserve">, BRIN </w:t>
            </w:r>
            <w:r w:rsidRPr="00F83B6E">
              <w:rPr>
                <w:color w:val="000000" w:themeColor="text1"/>
                <w:lang w:val="en-AU"/>
              </w:rPr>
              <w:t xml:space="preserve">and other relevant Indonesian Ministries  </w:t>
            </w:r>
          </w:p>
          <w:p w14:paraId="202999D9" w14:textId="77777777" w:rsidR="00062FAE" w:rsidRPr="00F83B6E" w:rsidRDefault="00062FAE" w:rsidP="00C929AF">
            <w:pPr>
              <w:pStyle w:val="ListBullet3"/>
              <w:keepNext/>
              <w:numPr>
                <w:ilvl w:val="0"/>
                <w:numId w:val="27"/>
              </w:numPr>
              <w:spacing w:line="240" w:lineRule="auto"/>
              <w:ind w:left="408" w:right="55" w:hanging="142"/>
              <w:rPr>
                <w:color w:val="000000" w:themeColor="text1"/>
                <w:lang w:val="en-AU"/>
              </w:rPr>
            </w:pPr>
            <w:r w:rsidRPr="00F83B6E">
              <w:rPr>
                <w:color w:val="000000" w:themeColor="text1"/>
                <w:lang w:val="en-AU"/>
              </w:rPr>
              <w:t>KPP Team Leader</w:t>
            </w:r>
          </w:p>
          <w:p w14:paraId="76FFE030" w14:textId="41F78607" w:rsidR="00062FAE" w:rsidRPr="00F83B6E" w:rsidRDefault="00062FAE" w:rsidP="00C929AF">
            <w:pPr>
              <w:pStyle w:val="ListBullet3"/>
              <w:keepNext/>
              <w:spacing w:line="240" w:lineRule="auto"/>
              <w:ind w:left="77" w:right="55"/>
              <w:rPr>
                <w:color w:val="000000" w:themeColor="text1"/>
                <w:lang w:val="en-AU"/>
              </w:rPr>
            </w:pPr>
            <w:r w:rsidRPr="00F83B6E">
              <w:rPr>
                <w:color w:val="000000" w:themeColor="text1"/>
                <w:lang w:val="en-AU"/>
              </w:rPr>
              <w:t xml:space="preserve">Secretariat: </w:t>
            </w:r>
            <w:r w:rsidR="000953B9" w:rsidRPr="00F83B6E">
              <w:rPr>
                <w:color w:val="000000" w:themeColor="text1"/>
                <w:lang w:val="en-AU"/>
              </w:rPr>
              <w:t>Platform Hub</w:t>
            </w:r>
          </w:p>
        </w:tc>
        <w:tc>
          <w:tcPr>
            <w:tcW w:w="564" w:type="pct"/>
            <w:hideMark/>
          </w:tcPr>
          <w:p w14:paraId="514880C8" w14:textId="77777777" w:rsidR="00062FAE" w:rsidRPr="00F83B6E" w:rsidRDefault="00062FAE" w:rsidP="00C929AF">
            <w:pPr>
              <w:pStyle w:val="TableText"/>
              <w:keepNext/>
              <w:spacing w:line="240" w:lineRule="auto"/>
              <w:ind w:left="77" w:right="55"/>
              <w:rPr>
                <w:color w:val="000000" w:themeColor="text1"/>
                <w:lang w:val="en-AU"/>
              </w:rPr>
            </w:pPr>
            <w:r w:rsidRPr="00F83B6E">
              <w:rPr>
                <w:color w:val="000000" w:themeColor="text1"/>
                <w:lang w:val="en-AU"/>
              </w:rPr>
              <w:t>Annually</w:t>
            </w:r>
          </w:p>
        </w:tc>
      </w:tr>
      <w:tr w:rsidR="00F83B6E" w:rsidRPr="00F83B6E" w14:paraId="01411BCD" w14:textId="77777777" w:rsidTr="00D93E43">
        <w:trPr>
          <w:trHeight w:val="397"/>
        </w:trPr>
        <w:tc>
          <w:tcPr>
            <w:tcW w:w="667" w:type="pct"/>
            <w:hideMark/>
          </w:tcPr>
          <w:p w14:paraId="2CD3A8FC" w14:textId="77777777" w:rsidR="00062FAE" w:rsidRPr="00F83B6E" w:rsidRDefault="00062FAE" w:rsidP="00C76BCE">
            <w:pPr>
              <w:pStyle w:val="TableText"/>
              <w:ind w:left="77" w:right="55"/>
              <w:rPr>
                <w:color w:val="000000" w:themeColor="text1"/>
                <w:lang w:val="en-AU"/>
              </w:rPr>
            </w:pPr>
            <w:r w:rsidRPr="00F83B6E">
              <w:rPr>
                <w:color w:val="000000" w:themeColor="text1"/>
                <w:lang w:val="en-AU"/>
              </w:rPr>
              <w:t>Technical Committee</w:t>
            </w:r>
          </w:p>
        </w:tc>
        <w:tc>
          <w:tcPr>
            <w:tcW w:w="1915" w:type="pct"/>
            <w:hideMark/>
          </w:tcPr>
          <w:p w14:paraId="4F0689F6" w14:textId="77777777" w:rsidR="00062FAE" w:rsidRPr="00F83B6E" w:rsidRDefault="00062FAE" w:rsidP="00E74DD1">
            <w:pPr>
              <w:pStyle w:val="TableBullet1"/>
              <w:rPr>
                <w:color w:val="000000" w:themeColor="text1"/>
              </w:rPr>
            </w:pPr>
            <w:r w:rsidRPr="00F83B6E">
              <w:rPr>
                <w:color w:val="000000" w:themeColor="text1"/>
              </w:rPr>
              <w:t>Approval of KPP annual work plans and budgets, including grant proposals</w:t>
            </w:r>
          </w:p>
          <w:p w14:paraId="48E787F8" w14:textId="77777777" w:rsidR="00062FAE" w:rsidRPr="00F83B6E" w:rsidRDefault="00062FAE" w:rsidP="00E74DD1">
            <w:pPr>
              <w:pStyle w:val="TableBullet1"/>
              <w:rPr>
                <w:color w:val="000000" w:themeColor="text1"/>
              </w:rPr>
            </w:pPr>
            <w:r w:rsidRPr="00F83B6E">
              <w:rPr>
                <w:color w:val="000000" w:themeColor="text1"/>
              </w:rPr>
              <w:t xml:space="preserve">Approval of KPP annual &amp; progress reports </w:t>
            </w:r>
          </w:p>
          <w:p w14:paraId="75581A9E" w14:textId="5BFBF9EF" w:rsidR="00062FAE" w:rsidRPr="00F83B6E" w:rsidRDefault="00062FAE" w:rsidP="00E74DD1">
            <w:pPr>
              <w:pStyle w:val="TableBullet1"/>
              <w:rPr>
                <w:color w:val="000000" w:themeColor="text1"/>
              </w:rPr>
            </w:pPr>
            <w:r w:rsidRPr="00F83B6E">
              <w:rPr>
                <w:color w:val="000000" w:themeColor="text1"/>
              </w:rPr>
              <w:t xml:space="preserve">Approval of </w:t>
            </w:r>
            <w:r w:rsidR="00612FE0" w:rsidRPr="00F83B6E">
              <w:rPr>
                <w:color w:val="000000" w:themeColor="text1"/>
              </w:rPr>
              <w:t>p</w:t>
            </w:r>
            <w:r w:rsidRPr="00F83B6E">
              <w:rPr>
                <w:color w:val="000000" w:themeColor="text1"/>
              </w:rPr>
              <w:t>artnership reviews, when relevant</w:t>
            </w:r>
          </w:p>
          <w:p w14:paraId="50022452" w14:textId="4917A7D2" w:rsidR="00062FAE" w:rsidRPr="00F83B6E" w:rsidRDefault="00062FAE" w:rsidP="00E74DD1">
            <w:pPr>
              <w:pStyle w:val="TableBullet1"/>
              <w:rPr>
                <w:color w:val="000000" w:themeColor="text1"/>
              </w:rPr>
            </w:pPr>
            <w:r w:rsidRPr="00F83B6E">
              <w:rPr>
                <w:color w:val="000000" w:themeColor="text1"/>
              </w:rPr>
              <w:t xml:space="preserve">Approval of strategic and </w:t>
            </w:r>
            <w:r w:rsidR="007E11E8" w:rsidRPr="00F83B6E">
              <w:rPr>
                <w:color w:val="000000" w:themeColor="text1"/>
              </w:rPr>
              <w:t>‘</w:t>
            </w:r>
            <w:r w:rsidRPr="00F83B6E">
              <w:rPr>
                <w:color w:val="000000" w:themeColor="text1"/>
              </w:rPr>
              <w:t>just in time</w:t>
            </w:r>
            <w:r w:rsidR="007E11E8" w:rsidRPr="00F83B6E">
              <w:rPr>
                <w:color w:val="000000" w:themeColor="text1"/>
              </w:rPr>
              <w:t>’</w:t>
            </w:r>
            <w:r w:rsidRPr="00F83B6E">
              <w:rPr>
                <w:color w:val="000000" w:themeColor="text1"/>
              </w:rPr>
              <w:t xml:space="preserve"> research</w:t>
            </w:r>
          </w:p>
          <w:p w14:paraId="7D38409E" w14:textId="77777777" w:rsidR="00062FAE" w:rsidRPr="00F83B6E" w:rsidRDefault="00062FAE" w:rsidP="00E74DD1">
            <w:pPr>
              <w:pStyle w:val="TableBullet1"/>
              <w:rPr>
                <w:color w:val="000000" w:themeColor="text1"/>
              </w:rPr>
            </w:pPr>
            <w:r w:rsidRPr="00F83B6E">
              <w:rPr>
                <w:color w:val="000000" w:themeColor="text1"/>
              </w:rPr>
              <w:t xml:space="preserve">Approval of KPP BAST (Handover Notes required by </w:t>
            </w:r>
            <w:proofErr w:type="spellStart"/>
            <w:r w:rsidRPr="00F83B6E">
              <w:rPr>
                <w:color w:val="000000" w:themeColor="text1"/>
              </w:rPr>
              <w:t>GoI</w:t>
            </w:r>
            <w:proofErr w:type="spellEnd"/>
            <w:r w:rsidRPr="00F83B6E">
              <w:rPr>
                <w:color w:val="000000" w:themeColor="text1"/>
              </w:rPr>
              <w:t xml:space="preserve"> on semester basis)</w:t>
            </w:r>
          </w:p>
          <w:p w14:paraId="7213DDA3" w14:textId="3821FFD6" w:rsidR="00062FAE" w:rsidRPr="00F83B6E" w:rsidRDefault="00062FAE" w:rsidP="00E74DD1">
            <w:pPr>
              <w:pStyle w:val="TableBullet1"/>
              <w:rPr>
                <w:color w:val="000000" w:themeColor="text1"/>
              </w:rPr>
            </w:pPr>
            <w:r w:rsidRPr="00F83B6E">
              <w:rPr>
                <w:color w:val="000000" w:themeColor="text1"/>
              </w:rPr>
              <w:t xml:space="preserve">Discussion of </w:t>
            </w:r>
            <w:r w:rsidR="00B16A01" w:rsidRPr="00F83B6E">
              <w:rPr>
                <w:color w:val="000000" w:themeColor="text1"/>
              </w:rPr>
              <w:t xml:space="preserve">risks </w:t>
            </w:r>
            <w:r w:rsidRPr="00F83B6E">
              <w:rPr>
                <w:color w:val="000000" w:themeColor="text1"/>
              </w:rPr>
              <w:t>and implementation issues relating to KPP activities,</w:t>
            </w:r>
            <w:r w:rsidR="00630562" w:rsidRPr="00F83B6E">
              <w:rPr>
                <w:color w:val="000000" w:themeColor="text1"/>
              </w:rPr>
              <w:t xml:space="preserve"> </w:t>
            </w:r>
            <w:r w:rsidR="008907D5" w:rsidRPr="00F83B6E">
              <w:rPr>
                <w:color w:val="000000" w:themeColor="text1"/>
              </w:rPr>
              <w:t>for example</w:t>
            </w:r>
            <w:r w:rsidR="00630562" w:rsidRPr="00F83B6E">
              <w:rPr>
                <w:color w:val="000000" w:themeColor="text1"/>
              </w:rPr>
              <w:t xml:space="preserve"> </w:t>
            </w:r>
            <w:r w:rsidRPr="00F83B6E">
              <w:rPr>
                <w:color w:val="000000" w:themeColor="text1"/>
              </w:rPr>
              <w:t>technical assistance to resolve systemic constraints</w:t>
            </w:r>
            <w:r w:rsidR="002643DC" w:rsidRPr="00F83B6E">
              <w:rPr>
                <w:color w:val="000000" w:themeColor="text1"/>
              </w:rPr>
              <w:t xml:space="preserve"> and GEDSI</w:t>
            </w:r>
            <w:r w:rsidR="00B16A01" w:rsidRPr="00F83B6E">
              <w:rPr>
                <w:color w:val="000000" w:themeColor="text1"/>
              </w:rPr>
              <w:t xml:space="preserve"> </w:t>
            </w:r>
            <w:r w:rsidR="002643DC" w:rsidRPr="00F83B6E">
              <w:rPr>
                <w:color w:val="000000" w:themeColor="text1"/>
              </w:rPr>
              <w:t>ambition</w:t>
            </w:r>
            <w:r w:rsidR="005D713F" w:rsidRPr="00F83B6E">
              <w:rPr>
                <w:color w:val="000000" w:themeColor="text1"/>
              </w:rPr>
              <w:t>s</w:t>
            </w:r>
          </w:p>
        </w:tc>
        <w:tc>
          <w:tcPr>
            <w:tcW w:w="1855" w:type="pct"/>
            <w:hideMark/>
          </w:tcPr>
          <w:p w14:paraId="4D32E104" w14:textId="32606E93" w:rsidR="0002406F" w:rsidRPr="00F83B6E" w:rsidRDefault="00062FAE" w:rsidP="00C76BCE">
            <w:pPr>
              <w:pStyle w:val="TableText"/>
              <w:ind w:left="77" w:right="55"/>
              <w:rPr>
                <w:color w:val="000000" w:themeColor="text1"/>
                <w:lang w:val="en-AU"/>
              </w:rPr>
            </w:pPr>
            <w:r w:rsidRPr="00F83B6E">
              <w:rPr>
                <w:color w:val="000000" w:themeColor="text1"/>
                <w:lang w:val="en-AU"/>
              </w:rPr>
              <w:t>Co-</w:t>
            </w:r>
            <w:r w:rsidR="00612FE0" w:rsidRPr="00F83B6E">
              <w:rPr>
                <w:color w:val="000000" w:themeColor="text1"/>
                <w:lang w:val="en-AU"/>
              </w:rPr>
              <w:t>c</w:t>
            </w:r>
            <w:r w:rsidRPr="00F83B6E">
              <w:rPr>
                <w:color w:val="000000" w:themeColor="text1"/>
                <w:lang w:val="en-AU"/>
              </w:rPr>
              <w:t xml:space="preserve">hairs: </w:t>
            </w:r>
          </w:p>
          <w:p w14:paraId="0F7A8E7E" w14:textId="24C84E46" w:rsidR="0002406F" w:rsidRPr="00F83B6E" w:rsidRDefault="00062FAE" w:rsidP="00596DD9">
            <w:pPr>
              <w:pStyle w:val="ListBullet3"/>
              <w:numPr>
                <w:ilvl w:val="0"/>
                <w:numId w:val="27"/>
              </w:numPr>
              <w:ind w:left="408" w:right="55" w:hanging="142"/>
              <w:rPr>
                <w:color w:val="000000" w:themeColor="text1"/>
                <w:lang w:val="en-AU"/>
              </w:rPr>
            </w:pPr>
            <w:r w:rsidRPr="00F83B6E">
              <w:rPr>
                <w:color w:val="000000" w:themeColor="text1"/>
              </w:rPr>
              <w:t>DFAT (</w:t>
            </w:r>
            <w:r w:rsidRPr="00F83B6E">
              <w:rPr>
                <w:color w:val="000000" w:themeColor="text1"/>
                <w:lang w:val="en-AU"/>
              </w:rPr>
              <w:t xml:space="preserve">Counsellor) </w:t>
            </w:r>
          </w:p>
          <w:p w14:paraId="7F2ABA4F" w14:textId="0F96CDAB" w:rsidR="00062FAE" w:rsidRPr="00F83B6E" w:rsidRDefault="00115CDB" w:rsidP="00596DD9">
            <w:pPr>
              <w:pStyle w:val="ListBullet3"/>
              <w:numPr>
                <w:ilvl w:val="0"/>
                <w:numId w:val="27"/>
              </w:numPr>
              <w:ind w:left="408" w:right="55" w:hanging="142"/>
              <w:rPr>
                <w:color w:val="000000" w:themeColor="text1"/>
              </w:rPr>
            </w:pPr>
            <w:r w:rsidRPr="00F83B6E">
              <w:rPr>
                <w:color w:val="000000" w:themeColor="text1"/>
                <w:lang w:val="en-AU"/>
              </w:rPr>
              <w:t xml:space="preserve">Echelon 2s from key </w:t>
            </w:r>
            <w:proofErr w:type="spellStart"/>
            <w:r w:rsidRPr="00F83B6E">
              <w:rPr>
                <w:color w:val="000000" w:themeColor="text1"/>
                <w:lang w:val="en-AU"/>
              </w:rPr>
              <w:t>GoI</w:t>
            </w:r>
            <w:proofErr w:type="spellEnd"/>
            <w:r w:rsidRPr="00F83B6E">
              <w:rPr>
                <w:color w:val="000000" w:themeColor="text1"/>
                <w:lang w:val="en-AU"/>
              </w:rPr>
              <w:t xml:space="preserve"> counterpart agencies (TBC – </w:t>
            </w:r>
            <w:proofErr w:type="spellStart"/>
            <w:r w:rsidRPr="00F83B6E">
              <w:rPr>
                <w:color w:val="000000" w:themeColor="text1"/>
                <w:lang w:val="en-AU"/>
              </w:rPr>
              <w:t>Bappenas</w:t>
            </w:r>
            <w:proofErr w:type="spellEnd"/>
            <w:r w:rsidRPr="00F83B6E">
              <w:rPr>
                <w:color w:val="000000" w:themeColor="text1"/>
                <w:lang w:val="en-AU"/>
              </w:rPr>
              <w:t xml:space="preserve">, </w:t>
            </w:r>
            <w:proofErr w:type="spellStart"/>
            <w:r w:rsidRPr="00F83B6E">
              <w:rPr>
                <w:color w:val="000000" w:themeColor="text1"/>
                <w:lang w:val="en-AU"/>
              </w:rPr>
              <w:t>MoECRT</w:t>
            </w:r>
            <w:proofErr w:type="spellEnd"/>
            <w:r w:rsidRPr="00F83B6E">
              <w:rPr>
                <w:color w:val="000000" w:themeColor="text1"/>
                <w:lang w:val="en-AU"/>
              </w:rPr>
              <w:t xml:space="preserve"> or BRIN)</w:t>
            </w:r>
          </w:p>
          <w:p w14:paraId="4E302825" w14:textId="61295CA9" w:rsidR="00062FAE" w:rsidRPr="00F83B6E" w:rsidRDefault="00062FAE" w:rsidP="00907F0B">
            <w:pPr>
              <w:pStyle w:val="TableText"/>
              <w:ind w:left="77" w:right="55"/>
              <w:rPr>
                <w:color w:val="000000" w:themeColor="text1"/>
                <w:lang w:val="en-AU"/>
              </w:rPr>
            </w:pPr>
            <w:r w:rsidRPr="00F83B6E">
              <w:rPr>
                <w:color w:val="000000" w:themeColor="text1"/>
                <w:lang w:val="en-AU"/>
              </w:rPr>
              <w:t xml:space="preserve">Members: </w:t>
            </w:r>
          </w:p>
          <w:p w14:paraId="2880F7FF" w14:textId="2635EF39" w:rsidR="00062FAE" w:rsidRPr="00F83B6E" w:rsidRDefault="00115CDB" w:rsidP="00596DD9">
            <w:pPr>
              <w:pStyle w:val="ListBullet3"/>
              <w:numPr>
                <w:ilvl w:val="0"/>
                <w:numId w:val="27"/>
              </w:numPr>
              <w:ind w:left="408" w:right="55" w:hanging="142"/>
              <w:rPr>
                <w:color w:val="000000" w:themeColor="text1"/>
                <w:lang w:val="en-AU"/>
              </w:rPr>
            </w:pPr>
            <w:r w:rsidRPr="00F83B6E">
              <w:rPr>
                <w:color w:val="000000" w:themeColor="text1"/>
                <w:lang w:val="en-AU"/>
              </w:rPr>
              <w:t xml:space="preserve">Senior officials from </w:t>
            </w:r>
            <w:r w:rsidR="00062FAE" w:rsidRPr="00F83B6E">
              <w:rPr>
                <w:color w:val="000000" w:themeColor="text1"/>
                <w:lang w:val="en-AU"/>
              </w:rPr>
              <w:t xml:space="preserve">BAPPENAS, </w:t>
            </w:r>
            <w:proofErr w:type="spellStart"/>
            <w:r w:rsidR="00062FAE" w:rsidRPr="00F83B6E">
              <w:rPr>
                <w:color w:val="000000" w:themeColor="text1"/>
                <w:lang w:val="en-AU"/>
              </w:rPr>
              <w:t>MoECRT</w:t>
            </w:r>
            <w:proofErr w:type="spellEnd"/>
            <w:r w:rsidR="00062FAE" w:rsidRPr="00F83B6E">
              <w:rPr>
                <w:color w:val="000000" w:themeColor="text1"/>
                <w:lang w:val="en-AU"/>
              </w:rPr>
              <w:t xml:space="preserve">, BRIN </w:t>
            </w:r>
            <w:r w:rsidRPr="00F83B6E">
              <w:rPr>
                <w:color w:val="000000" w:themeColor="text1"/>
                <w:lang w:val="en-AU"/>
              </w:rPr>
              <w:t>and other relevant Indonesian Ministries</w:t>
            </w:r>
          </w:p>
          <w:p w14:paraId="76B6C255" w14:textId="77777777" w:rsidR="00062FAE" w:rsidRPr="00F83B6E" w:rsidRDefault="00062FAE" w:rsidP="00596DD9">
            <w:pPr>
              <w:pStyle w:val="ListBullet3"/>
              <w:numPr>
                <w:ilvl w:val="0"/>
                <w:numId w:val="27"/>
              </w:numPr>
              <w:ind w:left="408" w:right="55" w:hanging="142"/>
              <w:rPr>
                <w:color w:val="000000" w:themeColor="text1"/>
              </w:rPr>
            </w:pPr>
            <w:r w:rsidRPr="00F83B6E">
              <w:rPr>
                <w:color w:val="000000" w:themeColor="text1"/>
                <w:lang w:val="en-AU"/>
              </w:rPr>
              <w:t>KPP Team</w:t>
            </w:r>
            <w:r w:rsidRPr="00F83B6E">
              <w:rPr>
                <w:color w:val="000000" w:themeColor="text1"/>
              </w:rPr>
              <w:t xml:space="preserve"> Leader</w:t>
            </w:r>
          </w:p>
          <w:p w14:paraId="5C4A28C5" w14:textId="3D505F29" w:rsidR="00062FAE" w:rsidRPr="00F83B6E" w:rsidRDefault="00062FAE" w:rsidP="00C76BCE">
            <w:pPr>
              <w:pStyle w:val="TableText"/>
              <w:ind w:left="77" w:right="55"/>
              <w:rPr>
                <w:color w:val="000000" w:themeColor="text1"/>
                <w:lang w:val="en-AU"/>
              </w:rPr>
            </w:pPr>
            <w:r w:rsidRPr="00F83B6E">
              <w:rPr>
                <w:color w:val="000000" w:themeColor="text1"/>
                <w:lang w:val="en-AU"/>
              </w:rPr>
              <w:t>Observers</w:t>
            </w:r>
            <w:r w:rsidR="00B369A5" w:rsidRPr="00F83B6E">
              <w:rPr>
                <w:color w:val="000000" w:themeColor="text1"/>
                <w:lang w:val="en-AU"/>
              </w:rPr>
              <w:t xml:space="preserve"> (as required)</w:t>
            </w:r>
            <w:r w:rsidRPr="00F83B6E">
              <w:rPr>
                <w:color w:val="000000" w:themeColor="text1"/>
                <w:lang w:val="en-AU"/>
              </w:rPr>
              <w:t xml:space="preserve">: </w:t>
            </w:r>
          </w:p>
          <w:p w14:paraId="63114551" w14:textId="77777777" w:rsidR="00B369A5" w:rsidRPr="00F83B6E" w:rsidRDefault="00B369A5" w:rsidP="00596DD9">
            <w:pPr>
              <w:pStyle w:val="ListBullet3"/>
              <w:numPr>
                <w:ilvl w:val="0"/>
                <w:numId w:val="27"/>
              </w:numPr>
              <w:ind w:left="408" w:right="55" w:hanging="142"/>
              <w:rPr>
                <w:color w:val="000000" w:themeColor="text1"/>
                <w:lang w:val="en-AU"/>
              </w:rPr>
            </w:pPr>
            <w:r w:rsidRPr="00F83B6E">
              <w:rPr>
                <w:color w:val="000000" w:themeColor="text1"/>
                <w:lang w:val="en-AU"/>
              </w:rPr>
              <w:t>Relevant DFAT counsellors</w:t>
            </w:r>
          </w:p>
          <w:p w14:paraId="240AEB01" w14:textId="790229FA" w:rsidR="00062FAE" w:rsidRPr="00F83B6E" w:rsidRDefault="00062FAE" w:rsidP="00596DD9">
            <w:pPr>
              <w:pStyle w:val="ListBullet3"/>
              <w:numPr>
                <w:ilvl w:val="0"/>
                <w:numId w:val="27"/>
              </w:numPr>
              <w:ind w:left="408" w:right="55" w:hanging="142"/>
              <w:rPr>
                <w:color w:val="000000" w:themeColor="text1"/>
                <w:lang w:val="en-AU"/>
              </w:rPr>
            </w:pPr>
            <w:r w:rsidRPr="00F83B6E">
              <w:rPr>
                <w:color w:val="000000" w:themeColor="text1"/>
                <w:lang w:val="en-AU"/>
              </w:rPr>
              <w:t>Research partners representatives</w:t>
            </w:r>
          </w:p>
          <w:p w14:paraId="51E64C3F" w14:textId="0947C0E6" w:rsidR="00062FAE" w:rsidRPr="00F83B6E" w:rsidRDefault="00062FAE" w:rsidP="00596DD9">
            <w:pPr>
              <w:pStyle w:val="ListBullet3"/>
              <w:numPr>
                <w:ilvl w:val="0"/>
                <w:numId w:val="27"/>
              </w:numPr>
              <w:ind w:left="408" w:right="55" w:hanging="142"/>
              <w:rPr>
                <w:color w:val="000000" w:themeColor="text1"/>
                <w:lang w:val="en-AU"/>
              </w:rPr>
            </w:pPr>
            <w:proofErr w:type="spellStart"/>
            <w:r w:rsidRPr="00F83B6E">
              <w:rPr>
                <w:color w:val="000000" w:themeColor="text1"/>
                <w:lang w:val="en-AU"/>
              </w:rPr>
              <w:t>GoA</w:t>
            </w:r>
            <w:proofErr w:type="spellEnd"/>
            <w:r w:rsidRPr="00F83B6E">
              <w:rPr>
                <w:color w:val="000000" w:themeColor="text1"/>
                <w:lang w:val="en-AU"/>
              </w:rPr>
              <w:t xml:space="preserve"> agencies (</w:t>
            </w:r>
            <w:r w:rsidR="00B369A5" w:rsidRPr="00F83B6E">
              <w:rPr>
                <w:color w:val="000000" w:themeColor="text1"/>
                <w:lang w:val="en-AU"/>
              </w:rPr>
              <w:t xml:space="preserve">e.g. </w:t>
            </w:r>
            <w:r w:rsidRPr="00F83B6E">
              <w:rPr>
                <w:color w:val="000000" w:themeColor="text1"/>
                <w:lang w:val="en-AU"/>
              </w:rPr>
              <w:t>D</w:t>
            </w:r>
            <w:r w:rsidR="00190ABD" w:rsidRPr="00F83B6E">
              <w:rPr>
                <w:color w:val="000000" w:themeColor="text1"/>
                <w:lang w:val="en-AU"/>
              </w:rPr>
              <w:t>o</w:t>
            </w:r>
            <w:r w:rsidRPr="00F83B6E">
              <w:rPr>
                <w:color w:val="000000" w:themeColor="text1"/>
                <w:lang w:val="en-AU"/>
              </w:rPr>
              <w:t>E/ D</w:t>
            </w:r>
            <w:r w:rsidR="00190ABD" w:rsidRPr="00F83B6E">
              <w:rPr>
                <w:color w:val="000000" w:themeColor="text1"/>
                <w:lang w:val="en-AU"/>
              </w:rPr>
              <w:t>CCEEW</w:t>
            </w:r>
            <w:r w:rsidRPr="00F83B6E">
              <w:rPr>
                <w:color w:val="000000" w:themeColor="text1"/>
                <w:lang w:val="en-AU"/>
              </w:rPr>
              <w:t>)</w:t>
            </w:r>
          </w:p>
          <w:p w14:paraId="0B07E049" w14:textId="5378CDAF" w:rsidR="00062FAE" w:rsidRPr="00F83B6E" w:rsidRDefault="00062FAE" w:rsidP="00596DD9">
            <w:pPr>
              <w:pStyle w:val="ListBullet3"/>
              <w:numPr>
                <w:ilvl w:val="0"/>
                <w:numId w:val="27"/>
              </w:numPr>
              <w:ind w:left="408" w:right="55" w:hanging="142"/>
              <w:rPr>
                <w:color w:val="000000" w:themeColor="text1"/>
                <w:lang w:val="en-AU"/>
              </w:rPr>
            </w:pPr>
            <w:r w:rsidRPr="00F83B6E">
              <w:rPr>
                <w:color w:val="000000" w:themeColor="text1"/>
                <w:lang w:val="en-AU"/>
              </w:rPr>
              <w:t xml:space="preserve">DFAT </w:t>
            </w:r>
            <w:r w:rsidR="00612FE0" w:rsidRPr="00F83B6E">
              <w:rPr>
                <w:color w:val="000000" w:themeColor="text1"/>
                <w:lang w:val="en-AU"/>
              </w:rPr>
              <w:t>p</w:t>
            </w:r>
            <w:r w:rsidRPr="00F83B6E">
              <w:rPr>
                <w:color w:val="000000" w:themeColor="text1"/>
                <w:lang w:val="en-AU"/>
              </w:rPr>
              <w:t xml:space="preserve">rogram </w:t>
            </w:r>
            <w:r w:rsidR="00612FE0" w:rsidRPr="00F83B6E">
              <w:rPr>
                <w:color w:val="000000" w:themeColor="text1"/>
                <w:lang w:val="en-AU"/>
              </w:rPr>
              <w:t>t</w:t>
            </w:r>
            <w:r w:rsidRPr="00F83B6E">
              <w:rPr>
                <w:color w:val="000000" w:themeColor="text1"/>
                <w:lang w:val="en-AU"/>
              </w:rPr>
              <w:t xml:space="preserve">eam </w:t>
            </w:r>
            <w:r w:rsidR="00612FE0" w:rsidRPr="00F83B6E">
              <w:rPr>
                <w:color w:val="000000" w:themeColor="text1"/>
                <w:lang w:val="en-AU"/>
              </w:rPr>
              <w:t>l</w:t>
            </w:r>
            <w:r w:rsidRPr="00F83B6E">
              <w:rPr>
                <w:color w:val="000000" w:themeColor="text1"/>
                <w:lang w:val="en-AU"/>
              </w:rPr>
              <w:t>eaders</w:t>
            </w:r>
          </w:p>
          <w:p w14:paraId="32F94738" w14:textId="2FEDBFA0" w:rsidR="0054487F" w:rsidRPr="00F83B6E" w:rsidRDefault="0054487F" w:rsidP="00A8490C">
            <w:pPr>
              <w:pStyle w:val="ListBullet3"/>
              <w:numPr>
                <w:ilvl w:val="0"/>
                <w:numId w:val="27"/>
              </w:numPr>
              <w:ind w:left="408" w:right="55" w:hanging="142"/>
              <w:rPr>
                <w:color w:val="000000" w:themeColor="text1"/>
                <w:lang w:val="en-AU"/>
              </w:rPr>
            </w:pPr>
            <w:r w:rsidRPr="00F83B6E">
              <w:rPr>
                <w:color w:val="000000" w:themeColor="text1"/>
                <w:lang w:val="en-AU"/>
              </w:rPr>
              <w:t xml:space="preserve">Peak private sector </w:t>
            </w:r>
            <w:r w:rsidR="00A8490C" w:rsidRPr="00F83B6E">
              <w:rPr>
                <w:color w:val="000000" w:themeColor="text1"/>
                <w:lang w:val="en-AU"/>
              </w:rPr>
              <w:t xml:space="preserve">and </w:t>
            </w:r>
            <w:r w:rsidR="007E673D" w:rsidRPr="00F83B6E">
              <w:rPr>
                <w:color w:val="000000" w:themeColor="text1"/>
                <w:lang w:val="en-AU"/>
              </w:rPr>
              <w:t xml:space="preserve">COSs </w:t>
            </w:r>
            <w:r w:rsidR="00A8490C" w:rsidRPr="00F83B6E">
              <w:rPr>
                <w:color w:val="000000" w:themeColor="text1"/>
                <w:lang w:val="en-AU"/>
              </w:rPr>
              <w:t>(</w:t>
            </w:r>
            <w:r w:rsidR="005D713F" w:rsidRPr="00F83B6E">
              <w:rPr>
                <w:color w:val="000000" w:themeColor="text1"/>
                <w:lang w:val="en-AU"/>
              </w:rPr>
              <w:t xml:space="preserve">e.g. </w:t>
            </w:r>
            <w:r w:rsidR="00A8490C" w:rsidRPr="00F83B6E">
              <w:rPr>
                <w:color w:val="000000" w:themeColor="text1"/>
                <w:lang w:val="en-AU"/>
              </w:rPr>
              <w:t xml:space="preserve">DPOs and women’s groups) </w:t>
            </w:r>
            <w:r w:rsidRPr="00F83B6E">
              <w:rPr>
                <w:color w:val="000000" w:themeColor="text1"/>
                <w:lang w:val="en-AU"/>
              </w:rPr>
              <w:t>representatives</w:t>
            </w:r>
          </w:p>
          <w:p w14:paraId="48340A5D" w14:textId="0283E5ED" w:rsidR="00062FAE" w:rsidRPr="00F83B6E" w:rsidRDefault="00062FAE" w:rsidP="00C76BCE">
            <w:pPr>
              <w:pStyle w:val="ListBullet3"/>
              <w:ind w:left="77" w:right="55"/>
              <w:rPr>
                <w:color w:val="000000" w:themeColor="text1"/>
                <w:lang w:val="en-AU"/>
              </w:rPr>
            </w:pPr>
            <w:r w:rsidRPr="00F83B6E">
              <w:rPr>
                <w:color w:val="000000" w:themeColor="text1"/>
                <w:lang w:val="en-AU"/>
              </w:rPr>
              <w:t xml:space="preserve">Secretariat: </w:t>
            </w:r>
            <w:r w:rsidR="000953B9" w:rsidRPr="00F83B6E">
              <w:rPr>
                <w:color w:val="000000" w:themeColor="text1"/>
                <w:lang w:val="en-AU"/>
              </w:rPr>
              <w:t>Platform Hub</w:t>
            </w:r>
          </w:p>
        </w:tc>
        <w:tc>
          <w:tcPr>
            <w:tcW w:w="564" w:type="pct"/>
            <w:hideMark/>
          </w:tcPr>
          <w:p w14:paraId="0F7E7452" w14:textId="77777777" w:rsidR="00062FAE" w:rsidRPr="00F83B6E" w:rsidRDefault="00062FAE" w:rsidP="00C76BCE">
            <w:pPr>
              <w:pStyle w:val="TableText"/>
              <w:ind w:left="77" w:right="55"/>
              <w:rPr>
                <w:color w:val="000000" w:themeColor="text1"/>
                <w:lang w:val="en-AU"/>
              </w:rPr>
            </w:pPr>
            <w:r w:rsidRPr="00F83B6E">
              <w:rPr>
                <w:color w:val="000000" w:themeColor="text1"/>
                <w:lang w:val="en-AU"/>
              </w:rPr>
              <w:t>Six-monthly</w:t>
            </w:r>
          </w:p>
        </w:tc>
      </w:tr>
    </w:tbl>
    <w:p w14:paraId="5CF4CF6D" w14:textId="68A04A05" w:rsidR="0002406F" w:rsidRPr="00F83B6E" w:rsidRDefault="0002406F" w:rsidP="00B91543">
      <w:pPr>
        <w:pStyle w:val="BodyText"/>
        <w:rPr>
          <w:color w:val="000000" w:themeColor="text1"/>
        </w:rPr>
      </w:pPr>
      <w:r w:rsidRPr="00F83B6E">
        <w:rPr>
          <w:color w:val="000000" w:themeColor="text1"/>
        </w:rPr>
        <w:t xml:space="preserve">The proposed governance arrangements will be further discussed with </w:t>
      </w:r>
      <w:proofErr w:type="spellStart"/>
      <w:r w:rsidRPr="00F83B6E">
        <w:rPr>
          <w:color w:val="000000" w:themeColor="text1"/>
        </w:rPr>
        <w:t>GoI</w:t>
      </w:r>
      <w:proofErr w:type="spellEnd"/>
      <w:r w:rsidRPr="00F83B6E">
        <w:rPr>
          <w:color w:val="000000" w:themeColor="text1"/>
        </w:rPr>
        <w:t xml:space="preserve"> and </w:t>
      </w:r>
      <w:r w:rsidR="00C76BCE" w:rsidRPr="00F83B6E">
        <w:rPr>
          <w:color w:val="000000" w:themeColor="text1"/>
        </w:rPr>
        <w:t>be</w:t>
      </w:r>
      <w:r w:rsidRPr="00F83B6E">
        <w:rPr>
          <w:color w:val="000000" w:themeColor="text1"/>
        </w:rPr>
        <w:t xml:space="preserve"> ultimately detailed in the relevant </w:t>
      </w:r>
      <w:r w:rsidR="00960F43" w:rsidRPr="00F83B6E">
        <w:rPr>
          <w:color w:val="000000" w:themeColor="text1"/>
        </w:rPr>
        <w:t>S</w:t>
      </w:r>
      <w:r w:rsidRPr="00F83B6E">
        <w:rPr>
          <w:color w:val="000000" w:themeColor="text1"/>
        </w:rPr>
        <w:t xml:space="preserve">ubsidiary </w:t>
      </w:r>
      <w:r w:rsidR="00960F43" w:rsidRPr="00F83B6E">
        <w:rPr>
          <w:color w:val="000000" w:themeColor="text1"/>
        </w:rPr>
        <w:t>A</w:t>
      </w:r>
      <w:r w:rsidRPr="00F83B6E">
        <w:rPr>
          <w:color w:val="000000" w:themeColor="text1"/>
        </w:rPr>
        <w:t xml:space="preserve">rrangement document and program implementation manual. Due to the dynamic nature of the Indonesian research and innovation sector, participation from a range of </w:t>
      </w:r>
      <w:proofErr w:type="spellStart"/>
      <w:r w:rsidRPr="00F83B6E">
        <w:rPr>
          <w:color w:val="000000" w:themeColor="text1"/>
        </w:rPr>
        <w:t>GoI</w:t>
      </w:r>
      <w:proofErr w:type="spellEnd"/>
      <w:r w:rsidRPr="00F83B6E">
        <w:rPr>
          <w:color w:val="000000" w:themeColor="text1"/>
        </w:rPr>
        <w:t xml:space="preserve"> agencies</w:t>
      </w:r>
      <w:r w:rsidR="00170A62" w:rsidRPr="00F83B6E">
        <w:rPr>
          <w:color w:val="000000" w:themeColor="text1"/>
        </w:rPr>
        <w:t xml:space="preserve"> (</w:t>
      </w:r>
      <w:r w:rsidR="00630562" w:rsidRPr="00F83B6E">
        <w:rPr>
          <w:color w:val="000000" w:themeColor="text1"/>
        </w:rPr>
        <w:t>for example,</w:t>
      </w:r>
      <w:r w:rsidR="00170A62" w:rsidRPr="00F83B6E">
        <w:rPr>
          <w:color w:val="000000" w:themeColor="text1"/>
        </w:rPr>
        <w:t xml:space="preserve"> </w:t>
      </w:r>
      <w:r w:rsidR="008206B5" w:rsidRPr="00F83B6E">
        <w:rPr>
          <w:color w:val="000000" w:themeColor="text1"/>
        </w:rPr>
        <w:t>BAPPENAS</w:t>
      </w:r>
      <w:r w:rsidR="00170A62" w:rsidRPr="00F83B6E">
        <w:rPr>
          <w:color w:val="000000" w:themeColor="text1"/>
        </w:rPr>
        <w:t xml:space="preserve">, </w:t>
      </w:r>
      <w:proofErr w:type="spellStart"/>
      <w:r w:rsidR="00170A62" w:rsidRPr="00F83B6E">
        <w:rPr>
          <w:color w:val="000000" w:themeColor="text1"/>
        </w:rPr>
        <w:t>MoECRT</w:t>
      </w:r>
      <w:proofErr w:type="spellEnd"/>
      <w:r w:rsidR="00170A62" w:rsidRPr="00F83B6E">
        <w:rPr>
          <w:color w:val="000000" w:themeColor="text1"/>
        </w:rPr>
        <w:t xml:space="preserve"> and BRIN) </w:t>
      </w:r>
      <w:r w:rsidRPr="00F83B6E">
        <w:rPr>
          <w:color w:val="000000" w:themeColor="text1"/>
        </w:rPr>
        <w:t xml:space="preserve">in KPP governance mechanisms </w:t>
      </w:r>
      <w:r w:rsidR="00264B5C" w:rsidRPr="00F83B6E">
        <w:rPr>
          <w:color w:val="000000" w:themeColor="text1"/>
        </w:rPr>
        <w:t>is</w:t>
      </w:r>
      <w:r w:rsidRPr="00F83B6E">
        <w:rPr>
          <w:color w:val="000000" w:themeColor="text1"/>
        </w:rPr>
        <w:t xml:space="preserve"> warranted, in order to gain buy-in to the program’s objectives and ensure ongoing alignment with </w:t>
      </w:r>
      <w:proofErr w:type="spellStart"/>
      <w:r w:rsidRPr="00F83B6E">
        <w:rPr>
          <w:color w:val="000000" w:themeColor="text1"/>
        </w:rPr>
        <w:t>GoI</w:t>
      </w:r>
      <w:proofErr w:type="spellEnd"/>
      <w:r w:rsidRPr="00F83B6E">
        <w:rPr>
          <w:color w:val="000000" w:themeColor="text1"/>
        </w:rPr>
        <w:t xml:space="preserve"> priorities. </w:t>
      </w:r>
      <w:r w:rsidR="0062000A" w:rsidRPr="00F83B6E">
        <w:rPr>
          <w:color w:val="000000" w:themeColor="text1"/>
        </w:rPr>
        <w:t xml:space="preserve">Where possible, governance arrangements will ensure accountability to diversity and inclusion principles by including the voices of partners and knowledge users themselves to inform decision-making in these meetings. PTC meetings will include reviews of the GEDSI strategy </w:t>
      </w:r>
      <w:r w:rsidR="0062000A" w:rsidRPr="00F83B6E">
        <w:rPr>
          <w:color w:val="000000" w:themeColor="text1"/>
        </w:rPr>
        <w:lastRenderedPageBreak/>
        <w:t>and action plan progress as a standing agenda item, and will provide reasonable accommodation, such as sign language interpreters and accessible transport for participants with disabilities.</w:t>
      </w:r>
    </w:p>
    <w:p w14:paraId="36C67DA3" w14:textId="4605227E" w:rsidR="0002406F" w:rsidRPr="00F83B6E" w:rsidRDefault="0002406F" w:rsidP="00B91543">
      <w:pPr>
        <w:pStyle w:val="BodyText"/>
        <w:rPr>
          <w:color w:val="000000" w:themeColor="text1"/>
        </w:rPr>
      </w:pPr>
      <w:r w:rsidRPr="00F83B6E">
        <w:rPr>
          <w:color w:val="000000" w:themeColor="text1"/>
        </w:rPr>
        <w:t xml:space="preserve">The </w:t>
      </w:r>
      <w:r w:rsidR="000953B9" w:rsidRPr="00F83B6E">
        <w:rPr>
          <w:color w:val="000000" w:themeColor="text1"/>
        </w:rPr>
        <w:t>Platform Hub</w:t>
      </w:r>
      <w:r w:rsidRPr="00F83B6E">
        <w:rPr>
          <w:color w:val="000000" w:themeColor="text1"/>
        </w:rPr>
        <w:t xml:space="preserve"> will </w:t>
      </w:r>
      <w:r w:rsidR="007E673D" w:rsidRPr="00F83B6E">
        <w:rPr>
          <w:color w:val="000000" w:themeColor="text1"/>
        </w:rPr>
        <w:t xml:space="preserve">report to DFAT and </w:t>
      </w:r>
      <w:r w:rsidRPr="00F83B6E">
        <w:rPr>
          <w:color w:val="000000" w:themeColor="text1"/>
        </w:rPr>
        <w:t>act as Secretariat to the PSC and PTC,</w:t>
      </w:r>
      <w:r w:rsidR="00170A62" w:rsidRPr="00F83B6E">
        <w:rPr>
          <w:color w:val="000000" w:themeColor="text1"/>
        </w:rPr>
        <w:t xml:space="preserve"> provid</w:t>
      </w:r>
      <w:r w:rsidR="00A116BB" w:rsidRPr="00F83B6E">
        <w:rPr>
          <w:color w:val="000000" w:themeColor="text1"/>
        </w:rPr>
        <w:t>ing</w:t>
      </w:r>
      <w:r w:rsidR="00170A62" w:rsidRPr="00F83B6E">
        <w:rPr>
          <w:color w:val="000000" w:themeColor="text1"/>
        </w:rPr>
        <w:t xml:space="preserve"> services such as</w:t>
      </w:r>
      <w:r w:rsidR="004D6B98" w:rsidRPr="00F83B6E">
        <w:rPr>
          <w:color w:val="000000" w:themeColor="text1"/>
        </w:rPr>
        <w:t xml:space="preserve"> producing analysis and relevant</w:t>
      </w:r>
      <w:r w:rsidR="008907D5" w:rsidRPr="00F83B6E">
        <w:rPr>
          <w:color w:val="000000" w:themeColor="text1"/>
        </w:rPr>
        <w:t xml:space="preserve"> </w:t>
      </w:r>
      <w:r w:rsidR="004D6B98" w:rsidRPr="00F83B6E">
        <w:rPr>
          <w:color w:val="000000" w:themeColor="text1"/>
        </w:rPr>
        <w:t xml:space="preserve">discussion papers, facilitating </w:t>
      </w:r>
      <w:r w:rsidR="00B369A5" w:rsidRPr="00F83B6E">
        <w:rPr>
          <w:color w:val="000000" w:themeColor="text1"/>
        </w:rPr>
        <w:t xml:space="preserve">the </w:t>
      </w:r>
      <w:r w:rsidR="004D6B98" w:rsidRPr="00F83B6E">
        <w:rPr>
          <w:color w:val="000000" w:themeColor="text1"/>
        </w:rPr>
        <w:t xml:space="preserve">research themes identification process, </w:t>
      </w:r>
      <w:r w:rsidRPr="00F83B6E">
        <w:rPr>
          <w:color w:val="000000" w:themeColor="text1"/>
        </w:rPr>
        <w:t xml:space="preserve">developing </w:t>
      </w:r>
      <w:r w:rsidR="000B7E20" w:rsidRPr="00F83B6E">
        <w:rPr>
          <w:color w:val="000000" w:themeColor="text1"/>
        </w:rPr>
        <w:t xml:space="preserve">meeting </w:t>
      </w:r>
      <w:r w:rsidRPr="00F83B6E">
        <w:rPr>
          <w:color w:val="000000" w:themeColor="text1"/>
        </w:rPr>
        <w:t>agenda</w:t>
      </w:r>
      <w:r w:rsidR="000B7E20" w:rsidRPr="00F83B6E">
        <w:rPr>
          <w:color w:val="000000" w:themeColor="text1"/>
        </w:rPr>
        <w:t>,</w:t>
      </w:r>
      <w:r w:rsidRPr="00F83B6E">
        <w:rPr>
          <w:color w:val="000000" w:themeColor="text1"/>
        </w:rPr>
        <w:t xml:space="preserve"> background documents</w:t>
      </w:r>
      <w:r w:rsidR="000B7E20" w:rsidRPr="00F83B6E">
        <w:rPr>
          <w:color w:val="000000" w:themeColor="text1"/>
        </w:rPr>
        <w:t xml:space="preserve"> and minutes</w:t>
      </w:r>
      <w:r w:rsidRPr="00F83B6E">
        <w:rPr>
          <w:color w:val="000000" w:themeColor="text1"/>
        </w:rPr>
        <w:t xml:space="preserve">, </w:t>
      </w:r>
      <w:r w:rsidR="000B7E20" w:rsidRPr="00F83B6E">
        <w:rPr>
          <w:color w:val="000000" w:themeColor="text1"/>
        </w:rPr>
        <w:t xml:space="preserve">and </w:t>
      </w:r>
      <w:r w:rsidRPr="00F83B6E">
        <w:rPr>
          <w:color w:val="000000" w:themeColor="text1"/>
        </w:rPr>
        <w:t>coordinating contributions from co-chairs and members. In addition</w:t>
      </w:r>
      <w:r w:rsidR="000B7E20" w:rsidRPr="00F83B6E">
        <w:rPr>
          <w:color w:val="000000" w:themeColor="text1"/>
        </w:rPr>
        <w:t xml:space="preserve"> to formal meetings</w:t>
      </w:r>
      <w:r w:rsidRPr="00F83B6E">
        <w:rPr>
          <w:color w:val="000000" w:themeColor="text1"/>
        </w:rPr>
        <w:t xml:space="preserve">, the </w:t>
      </w:r>
      <w:r w:rsidR="000D1497" w:rsidRPr="00F83B6E">
        <w:rPr>
          <w:color w:val="000000" w:themeColor="text1"/>
        </w:rPr>
        <w:t xml:space="preserve">Platform Hub’s team </w:t>
      </w:r>
      <w:r w:rsidR="00170A62" w:rsidRPr="00F83B6E">
        <w:rPr>
          <w:color w:val="000000" w:themeColor="text1"/>
        </w:rPr>
        <w:t>will</w:t>
      </w:r>
      <w:r w:rsidRPr="00F83B6E">
        <w:rPr>
          <w:color w:val="000000" w:themeColor="text1"/>
        </w:rPr>
        <w:t xml:space="preserve"> meet bilaterally with PSC and PTC members on an </w:t>
      </w:r>
      <w:r w:rsidRPr="00F83B6E">
        <w:rPr>
          <w:i/>
          <w:iCs/>
          <w:color w:val="000000" w:themeColor="text1"/>
        </w:rPr>
        <w:t>ad</w:t>
      </w:r>
      <w:r w:rsidR="00170A62" w:rsidRPr="00F83B6E">
        <w:rPr>
          <w:i/>
          <w:iCs/>
          <w:color w:val="000000" w:themeColor="text1"/>
        </w:rPr>
        <w:t>-</w:t>
      </w:r>
      <w:r w:rsidRPr="00F83B6E">
        <w:rPr>
          <w:i/>
          <w:iCs/>
          <w:color w:val="000000" w:themeColor="text1"/>
        </w:rPr>
        <w:t>hoc</w:t>
      </w:r>
      <w:r w:rsidRPr="00F83B6E">
        <w:rPr>
          <w:color w:val="000000" w:themeColor="text1"/>
        </w:rPr>
        <w:t xml:space="preserve"> basis to address specific implementation issues</w:t>
      </w:r>
      <w:r w:rsidR="00C773DB" w:rsidRPr="00F83B6E">
        <w:rPr>
          <w:color w:val="000000" w:themeColor="text1"/>
        </w:rPr>
        <w:t xml:space="preserve"> and inform decision-making</w:t>
      </w:r>
      <w:r w:rsidR="00A116BB" w:rsidRPr="00F83B6E">
        <w:rPr>
          <w:color w:val="000000" w:themeColor="text1"/>
        </w:rPr>
        <w:t>.</w:t>
      </w:r>
      <w:r w:rsidR="000B7E20" w:rsidRPr="00F83B6E">
        <w:rPr>
          <w:color w:val="000000" w:themeColor="text1"/>
        </w:rPr>
        <w:t xml:space="preserve"> </w:t>
      </w:r>
    </w:p>
    <w:p w14:paraId="4CA98F5B" w14:textId="0046EA95" w:rsidR="004B06C0" w:rsidRPr="00F83B6E" w:rsidRDefault="004B06C0" w:rsidP="00F27241">
      <w:pPr>
        <w:pStyle w:val="Heading2"/>
        <w:rPr>
          <w:color w:val="000000" w:themeColor="text1"/>
        </w:rPr>
      </w:pPr>
      <w:bookmarkStart w:id="20" w:name="_Toc146528287"/>
      <w:r w:rsidRPr="00F83B6E">
        <w:rPr>
          <w:color w:val="000000" w:themeColor="text1"/>
        </w:rPr>
        <w:t>Management</w:t>
      </w:r>
      <w:r w:rsidR="00170A62" w:rsidRPr="00F83B6E">
        <w:rPr>
          <w:color w:val="000000" w:themeColor="text1"/>
        </w:rPr>
        <w:t xml:space="preserve"> arrangements</w:t>
      </w:r>
      <w:bookmarkEnd w:id="20"/>
    </w:p>
    <w:p w14:paraId="66A11E66" w14:textId="12045687" w:rsidR="00C674C1" w:rsidRPr="00F83B6E" w:rsidRDefault="00C674C1" w:rsidP="00B91543">
      <w:pPr>
        <w:pStyle w:val="Heading3"/>
        <w:rPr>
          <w:color w:val="000000" w:themeColor="text1"/>
        </w:rPr>
      </w:pPr>
      <w:r w:rsidRPr="00F83B6E">
        <w:rPr>
          <w:color w:val="000000" w:themeColor="text1"/>
        </w:rPr>
        <w:t xml:space="preserve">DFAT </w:t>
      </w:r>
      <w:r w:rsidR="000867C9" w:rsidRPr="00F83B6E">
        <w:rPr>
          <w:color w:val="000000" w:themeColor="text1"/>
        </w:rPr>
        <w:t>o</w:t>
      </w:r>
      <w:r w:rsidRPr="00F83B6E">
        <w:rPr>
          <w:color w:val="000000" w:themeColor="text1"/>
        </w:rPr>
        <w:t xml:space="preserve">versight and </w:t>
      </w:r>
      <w:r w:rsidR="000867C9" w:rsidRPr="00F83B6E">
        <w:rPr>
          <w:color w:val="000000" w:themeColor="text1"/>
        </w:rPr>
        <w:t>m</w:t>
      </w:r>
      <w:r w:rsidRPr="00F83B6E">
        <w:rPr>
          <w:color w:val="000000" w:themeColor="text1"/>
        </w:rPr>
        <w:t>anagement</w:t>
      </w:r>
    </w:p>
    <w:p w14:paraId="6E731E4F" w14:textId="237941D6" w:rsidR="00756512" w:rsidRPr="00F83B6E" w:rsidRDefault="00611E5A" w:rsidP="00B91543">
      <w:pPr>
        <w:pStyle w:val="BodyText"/>
        <w:rPr>
          <w:color w:val="000000" w:themeColor="text1"/>
        </w:rPr>
      </w:pPr>
      <w:r w:rsidRPr="00F83B6E">
        <w:rPr>
          <w:color w:val="000000" w:themeColor="text1"/>
        </w:rPr>
        <w:t xml:space="preserve">The </w:t>
      </w:r>
      <w:r w:rsidR="007E673D" w:rsidRPr="00F83B6E">
        <w:rPr>
          <w:color w:val="000000" w:themeColor="text1"/>
        </w:rPr>
        <w:t>Jakarta Post Knowledge to Policy (K2P) U</w:t>
      </w:r>
      <w:r w:rsidRPr="00F83B6E">
        <w:rPr>
          <w:color w:val="000000" w:themeColor="text1"/>
        </w:rPr>
        <w:t>nit will</w:t>
      </w:r>
      <w:r w:rsidR="00756512" w:rsidRPr="00F83B6E">
        <w:rPr>
          <w:color w:val="000000" w:themeColor="text1"/>
        </w:rPr>
        <w:t xml:space="preserve"> maintain oversight of KPP implementation to ensure quality, visibility and compliance with DFAT standards, while focusing on policy advocacy and dialogue around key issues linked to KPP operations. These issues and respective strategy will be identified and developed by Post, based on advice received from KPP implementing partner and in line with the directions and priorities of relevant DFAT cooperation strategies in Indonesia. </w:t>
      </w:r>
      <w:r w:rsidR="00985D6B" w:rsidRPr="00F83B6E">
        <w:rPr>
          <w:color w:val="000000" w:themeColor="text1"/>
        </w:rPr>
        <w:t>The</w:t>
      </w:r>
      <w:r w:rsidR="00756512" w:rsidRPr="00F83B6E">
        <w:rPr>
          <w:color w:val="000000" w:themeColor="text1"/>
        </w:rPr>
        <w:t xml:space="preserve"> K2P unit </w:t>
      </w:r>
      <w:r w:rsidR="00DE2D43" w:rsidRPr="00F83B6E">
        <w:rPr>
          <w:color w:val="000000" w:themeColor="text1"/>
        </w:rPr>
        <w:t xml:space="preserve">will draw support from </w:t>
      </w:r>
      <w:r w:rsidR="007E673D" w:rsidRPr="00F83B6E">
        <w:rPr>
          <w:color w:val="000000" w:themeColor="text1"/>
        </w:rPr>
        <w:t xml:space="preserve">Jakarta </w:t>
      </w:r>
      <w:r w:rsidR="00DE2D43" w:rsidRPr="00F83B6E">
        <w:rPr>
          <w:color w:val="000000" w:themeColor="text1"/>
        </w:rPr>
        <w:t>Post’s Development Strategy Unit</w:t>
      </w:r>
      <w:r w:rsidR="007E673D" w:rsidRPr="00F83B6E">
        <w:rPr>
          <w:color w:val="000000" w:themeColor="text1"/>
        </w:rPr>
        <w:t xml:space="preserve"> (DSU)</w:t>
      </w:r>
      <w:r w:rsidR="00DE2D43" w:rsidRPr="00F83B6E">
        <w:rPr>
          <w:color w:val="000000" w:themeColor="text1"/>
        </w:rPr>
        <w:t xml:space="preserve"> to </w:t>
      </w:r>
      <w:r w:rsidR="00756512" w:rsidRPr="00F83B6E">
        <w:rPr>
          <w:color w:val="000000" w:themeColor="text1"/>
        </w:rPr>
        <w:t xml:space="preserve">direct the program in an adaptive manner, paying attention to the changing landscape of the Indonesian knowledge </w:t>
      </w:r>
      <w:r w:rsidR="00C773DB" w:rsidRPr="00F83B6E">
        <w:rPr>
          <w:color w:val="000000" w:themeColor="text1"/>
        </w:rPr>
        <w:t xml:space="preserve">and innovation </w:t>
      </w:r>
      <w:r w:rsidR="00756512" w:rsidRPr="00F83B6E">
        <w:rPr>
          <w:color w:val="000000" w:themeColor="text1"/>
        </w:rPr>
        <w:t>sector and the Australia-Indonesia bilateral partnership.</w:t>
      </w:r>
      <w:r w:rsidR="00985D6B" w:rsidRPr="00F83B6E">
        <w:rPr>
          <w:color w:val="000000" w:themeColor="text1"/>
        </w:rPr>
        <w:t xml:space="preserve"> </w:t>
      </w:r>
      <w:r w:rsidR="00264B5C" w:rsidRPr="00F83B6E">
        <w:rPr>
          <w:color w:val="000000" w:themeColor="text1"/>
        </w:rPr>
        <w:t xml:space="preserve">Given the nature of the KPP </w:t>
      </w:r>
      <w:r w:rsidR="005D713F" w:rsidRPr="00F83B6E">
        <w:rPr>
          <w:color w:val="000000" w:themeColor="text1"/>
        </w:rPr>
        <w:t>partnerships</w:t>
      </w:r>
      <w:r w:rsidR="00756512" w:rsidRPr="00F83B6E">
        <w:rPr>
          <w:color w:val="000000" w:themeColor="text1"/>
        </w:rPr>
        <w:t>,</w:t>
      </w:r>
      <w:r w:rsidR="00264B5C" w:rsidRPr="00F83B6E">
        <w:rPr>
          <w:color w:val="000000" w:themeColor="text1"/>
        </w:rPr>
        <w:t xml:space="preserve"> support from</w:t>
      </w:r>
      <w:r w:rsidR="00756512" w:rsidRPr="00F83B6E">
        <w:rPr>
          <w:color w:val="000000" w:themeColor="text1"/>
        </w:rPr>
        <w:t xml:space="preserve"> </w:t>
      </w:r>
      <w:r w:rsidR="00264B5C" w:rsidRPr="00F83B6E">
        <w:rPr>
          <w:color w:val="000000" w:themeColor="text1"/>
        </w:rPr>
        <w:t>DFAT Desk in Canberra will</w:t>
      </w:r>
      <w:r w:rsidR="00402C96" w:rsidRPr="00F83B6E">
        <w:rPr>
          <w:color w:val="000000" w:themeColor="text1"/>
        </w:rPr>
        <w:t xml:space="preserve"> </w:t>
      </w:r>
      <w:r w:rsidR="00264B5C" w:rsidRPr="00F83B6E">
        <w:rPr>
          <w:color w:val="000000" w:themeColor="text1"/>
        </w:rPr>
        <w:t>be required to engage with in-Australia stakeholders</w:t>
      </w:r>
      <w:r w:rsidR="00756512" w:rsidRPr="00F83B6E">
        <w:rPr>
          <w:color w:val="000000" w:themeColor="text1"/>
        </w:rPr>
        <w:t>.</w:t>
      </w:r>
      <w:r w:rsidR="00756512" w:rsidRPr="00F83B6E">
        <w:rPr>
          <w:color w:val="000000" w:themeColor="text1"/>
          <w:vertAlign w:val="superscript"/>
        </w:rPr>
        <w:t xml:space="preserve"> </w:t>
      </w:r>
    </w:p>
    <w:p w14:paraId="6859A643" w14:textId="31D05EE1" w:rsidR="00985D6B" w:rsidRPr="00F83B6E" w:rsidRDefault="002B704B" w:rsidP="00B91543">
      <w:pPr>
        <w:pStyle w:val="BodyText"/>
        <w:rPr>
          <w:color w:val="000000" w:themeColor="text1"/>
        </w:rPr>
      </w:pPr>
      <w:r w:rsidRPr="00F83B6E">
        <w:rPr>
          <w:color w:val="000000" w:themeColor="text1"/>
        </w:rPr>
        <w:t>T</w:t>
      </w:r>
      <w:r w:rsidR="004E0567" w:rsidRPr="00F83B6E">
        <w:rPr>
          <w:color w:val="000000" w:themeColor="text1"/>
        </w:rPr>
        <w:t xml:space="preserve">o support with the strategic oversight of the program, Post will access the services of an independent Strategic Advisory Team (SAT) </w:t>
      </w:r>
      <w:r w:rsidR="00105ABB" w:rsidRPr="00F83B6E">
        <w:rPr>
          <w:color w:val="000000" w:themeColor="text1"/>
        </w:rPr>
        <w:t xml:space="preserve">that </w:t>
      </w:r>
      <w:r w:rsidR="004E0567" w:rsidRPr="00F83B6E">
        <w:rPr>
          <w:color w:val="000000" w:themeColor="text1"/>
        </w:rPr>
        <w:t>compris</w:t>
      </w:r>
      <w:r w:rsidR="00105ABB" w:rsidRPr="00F83B6E">
        <w:rPr>
          <w:color w:val="000000" w:themeColor="text1"/>
        </w:rPr>
        <w:t>es</w:t>
      </w:r>
      <w:r w:rsidR="004E0567" w:rsidRPr="00F83B6E">
        <w:rPr>
          <w:color w:val="000000" w:themeColor="text1"/>
        </w:rPr>
        <w:t xml:space="preserve"> international and Indonesian senior adviser</w:t>
      </w:r>
      <w:r w:rsidR="007B2F63" w:rsidRPr="00F83B6E">
        <w:rPr>
          <w:color w:val="000000" w:themeColor="text1"/>
        </w:rPr>
        <w:t>s</w:t>
      </w:r>
      <w:r w:rsidR="004E0567" w:rsidRPr="00F83B6E">
        <w:rPr>
          <w:color w:val="000000" w:themeColor="text1"/>
        </w:rPr>
        <w:t xml:space="preserve"> with combined expertise across a range of functions relevant to </w:t>
      </w:r>
      <w:r w:rsidR="007B2F63" w:rsidRPr="00F83B6E">
        <w:rPr>
          <w:color w:val="000000" w:themeColor="text1"/>
        </w:rPr>
        <w:t>KPP</w:t>
      </w:r>
      <w:r w:rsidR="004E0567" w:rsidRPr="00F83B6E">
        <w:rPr>
          <w:color w:val="000000" w:themeColor="text1"/>
        </w:rPr>
        <w:t xml:space="preserve">. </w:t>
      </w:r>
      <w:r w:rsidR="00A36B85" w:rsidRPr="00F83B6E">
        <w:rPr>
          <w:color w:val="000000" w:themeColor="text1"/>
        </w:rPr>
        <w:t xml:space="preserve">The purpose of the SAT is to ensure sufficient relevant and credible performance information informs program strategic and operational decisions to maximise the chance of achieving KPP goal and objectives. </w:t>
      </w:r>
      <w:r w:rsidR="007B2F63" w:rsidRPr="00F83B6E">
        <w:rPr>
          <w:color w:val="000000" w:themeColor="text1"/>
        </w:rPr>
        <w:t xml:space="preserve">The SAT will be directly engaged by DFAT and </w:t>
      </w:r>
      <w:r w:rsidR="00105ABB" w:rsidRPr="00F83B6E">
        <w:rPr>
          <w:color w:val="000000" w:themeColor="text1"/>
        </w:rPr>
        <w:t xml:space="preserve">will </w:t>
      </w:r>
      <w:r w:rsidR="007B2F63" w:rsidRPr="00F83B6E">
        <w:rPr>
          <w:color w:val="000000" w:themeColor="text1"/>
        </w:rPr>
        <w:t>function as an ad</w:t>
      </w:r>
      <w:r w:rsidR="00170A62" w:rsidRPr="00F83B6E">
        <w:rPr>
          <w:color w:val="000000" w:themeColor="text1"/>
        </w:rPr>
        <w:t>-</w:t>
      </w:r>
      <w:r w:rsidR="007B2F63" w:rsidRPr="00F83B6E">
        <w:rPr>
          <w:color w:val="000000" w:themeColor="text1"/>
        </w:rPr>
        <w:t xml:space="preserve">hoc ‘help desk’ for enquiries related to issues </w:t>
      </w:r>
      <w:r w:rsidR="00A36B85" w:rsidRPr="00F83B6E">
        <w:rPr>
          <w:color w:val="000000" w:themeColor="text1"/>
        </w:rPr>
        <w:t xml:space="preserve">such as program governance mechanisms, strategic planning, MEL, resource allocation, stakeholders engagement, policy dialogue, and/or program image and public diplomacy. </w:t>
      </w:r>
    </w:p>
    <w:p w14:paraId="7C2802B7" w14:textId="1C6342F5" w:rsidR="00C905BA" w:rsidRPr="00F83B6E" w:rsidRDefault="00C905BA" w:rsidP="00B91543">
      <w:pPr>
        <w:pStyle w:val="Heading3"/>
        <w:rPr>
          <w:color w:val="000000" w:themeColor="text1"/>
          <w:lang w:eastAsia="en-AU"/>
        </w:rPr>
      </w:pPr>
      <w:r w:rsidRPr="00F83B6E">
        <w:rPr>
          <w:color w:val="000000" w:themeColor="text1"/>
          <w:lang w:eastAsia="en-AU"/>
        </w:rPr>
        <w:t xml:space="preserve">Platform </w:t>
      </w:r>
      <w:r w:rsidR="00170A62" w:rsidRPr="00F83B6E">
        <w:rPr>
          <w:color w:val="000000" w:themeColor="text1"/>
          <w:lang w:eastAsia="en-AU"/>
        </w:rPr>
        <w:t>Hub</w:t>
      </w:r>
    </w:p>
    <w:p w14:paraId="5CE56DA0" w14:textId="7B055401" w:rsidR="00C929AF" w:rsidRPr="00F83B6E" w:rsidRDefault="00886F45" w:rsidP="00B91543">
      <w:pPr>
        <w:pStyle w:val="BodyText"/>
        <w:rPr>
          <w:color w:val="000000" w:themeColor="text1"/>
        </w:rPr>
      </w:pPr>
      <w:r w:rsidRPr="00F83B6E">
        <w:rPr>
          <w:color w:val="000000" w:themeColor="text1"/>
        </w:rPr>
        <w:t xml:space="preserve">KPP activities will be coordinated and </w:t>
      </w:r>
      <w:r w:rsidR="00DC0238" w:rsidRPr="00F83B6E">
        <w:rPr>
          <w:color w:val="000000" w:themeColor="text1"/>
        </w:rPr>
        <w:t>manag</w:t>
      </w:r>
      <w:r w:rsidRPr="00F83B6E">
        <w:rPr>
          <w:color w:val="000000" w:themeColor="text1"/>
        </w:rPr>
        <w:t xml:space="preserve">ed from </w:t>
      </w:r>
      <w:r w:rsidR="00DC0238" w:rsidRPr="00F83B6E">
        <w:rPr>
          <w:color w:val="000000" w:themeColor="text1"/>
        </w:rPr>
        <w:t>a</w:t>
      </w:r>
      <w:r w:rsidRPr="00F83B6E">
        <w:rPr>
          <w:color w:val="000000" w:themeColor="text1"/>
        </w:rPr>
        <w:t xml:space="preserve"> Jakarta-based Platform Hub</w:t>
      </w:r>
      <w:r w:rsidR="00DC0238" w:rsidRPr="00F83B6E">
        <w:rPr>
          <w:color w:val="000000" w:themeColor="text1"/>
        </w:rPr>
        <w:t xml:space="preserve"> t</w:t>
      </w:r>
      <w:r w:rsidR="00170A62" w:rsidRPr="00F83B6E">
        <w:rPr>
          <w:color w:val="000000" w:themeColor="text1"/>
        </w:rPr>
        <w:t xml:space="preserve">hat will be </w:t>
      </w:r>
      <w:r w:rsidR="00F06442" w:rsidRPr="00F83B6E">
        <w:rPr>
          <w:color w:val="000000" w:themeColor="text1"/>
        </w:rPr>
        <w:t xml:space="preserve">led by a team leader and </w:t>
      </w:r>
      <w:r w:rsidR="00170A62" w:rsidRPr="00F83B6E">
        <w:rPr>
          <w:color w:val="000000" w:themeColor="text1"/>
        </w:rPr>
        <w:t>staffed by a core team of professionals with appropriate management and technical expertise</w:t>
      </w:r>
      <w:r w:rsidR="00264B5C" w:rsidRPr="00F83B6E">
        <w:rPr>
          <w:color w:val="000000" w:themeColor="text1"/>
        </w:rPr>
        <w:t>. Given the level of involvement of Australia-based organisations in the program</w:t>
      </w:r>
      <w:r w:rsidR="00A058A2" w:rsidRPr="00F83B6E">
        <w:rPr>
          <w:color w:val="000000" w:themeColor="text1"/>
        </w:rPr>
        <w:t xml:space="preserve">, consideration will be given to the placement of a partnerships </w:t>
      </w:r>
      <w:r w:rsidR="0099127E" w:rsidRPr="00F83B6E">
        <w:rPr>
          <w:color w:val="000000" w:themeColor="text1"/>
        </w:rPr>
        <w:t>coordinator</w:t>
      </w:r>
      <w:r w:rsidR="00A058A2" w:rsidRPr="00F83B6E">
        <w:rPr>
          <w:color w:val="000000" w:themeColor="text1"/>
        </w:rPr>
        <w:t xml:space="preserve"> in Australia to support engagement with Australian-based stakeholders. </w:t>
      </w:r>
    </w:p>
    <w:p w14:paraId="798E765C" w14:textId="652FF67B" w:rsidR="00C773DB" w:rsidRPr="00F83B6E" w:rsidRDefault="00170A62" w:rsidP="00B91543">
      <w:pPr>
        <w:pStyle w:val="BodyText"/>
        <w:rPr>
          <w:color w:val="000000" w:themeColor="text1"/>
        </w:rPr>
      </w:pPr>
      <w:r w:rsidRPr="00F83B6E">
        <w:rPr>
          <w:color w:val="000000" w:themeColor="text1"/>
        </w:rPr>
        <w:t xml:space="preserve">Intentional efforts will be made </w:t>
      </w:r>
      <w:r w:rsidR="00DC0238" w:rsidRPr="00F83B6E">
        <w:rPr>
          <w:color w:val="000000" w:themeColor="text1"/>
        </w:rPr>
        <w:t>to</w:t>
      </w:r>
      <w:r w:rsidRPr="00F83B6E">
        <w:rPr>
          <w:color w:val="000000" w:themeColor="text1"/>
        </w:rPr>
        <w:t xml:space="preserve"> </w:t>
      </w:r>
      <w:r w:rsidR="0099127E" w:rsidRPr="00F83B6E">
        <w:rPr>
          <w:color w:val="000000" w:themeColor="text1"/>
        </w:rPr>
        <w:t xml:space="preserve">mobilise a Platform Hub team that </w:t>
      </w:r>
      <w:r w:rsidR="00C929AF" w:rsidRPr="00F83B6E">
        <w:rPr>
          <w:color w:val="000000" w:themeColor="text1"/>
        </w:rPr>
        <w:t>models</w:t>
      </w:r>
      <w:r w:rsidR="0099127E" w:rsidRPr="00F83B6E">
        <w:rPr>
          <w:color w:val="000000" w:themeColor="text1"/>
        </w:rPr>
        <w:t xml:space="preserve"> inclusive practice and </w:t>
      </w:r>
      <w:r w:rsidRPr="00F83B6E">
        <w:rPr>
          <w:color w:val="000000" w:themeColor="text1"/>
        </w:rPr>
        <w:t>includ</w:t>
      </w:r>
      <w:r w:rsidR="00DC0238" w:rsidRPr="00F83B6E">
        <w:rPr>
          <w:color w:val="000000" w:themeColor="text1"/>
        </w:rPr>
        <w:t>e</w:t>
      </w:r>
      <w:r w:rsidR="0099127E" w:rsidRPr="00F83B6E">
        <w:rPr>
          <w:color w:val="000000" w:themeColor="text1"/>
        </w:rPr>
        <w:t>s</w:t>
      </w:r>
      <w:r w:rsidRPr="00F83B6E">
        <w:rPr>
          <w:color w:val="000000" w:themeColor="text1"/>
        </w:rPr>
        <w:t xml:space="preserve"> local advisers, women, and people with disability</w:t>
      </w:r>
      <w:r w:rsidR="002070B3" w:rsidRPr="00F83B6E">
        <w:rPr>
          <w:color w:val="000000" w:themeColor="text1"/>
        </w:rPr>
        <w:t>,</w:t>
      </w:r>
      <w:r w:rsidRPr="00F83B6E">
        <w:rPr>
          <w:color w:val="000000" w:themeColor="text1"/>
        </w:rPr>
        <w:t xml:space="preserve"> especially in key roles. The </w:t>
      </w:r>
      <w:r w:rsidR="000D1497" w:rsidRPr="00F83B6E">
        <w:rPr>
          <w:color w:val="000000" w:themeColor="text1"/>
        </w:rPr>
        <w:t xml:space="preserve">Platform Hub team </w:t>
      </w:r>
      <w:r w:rsidRPr="00F83B6E">
        <w:rPr>
          <w:color w:val="000000" w:themeColor="text1"/>
        </w:rPr>
        <w:t>will</w:t>
      </w:r>
      <w:r w:rsidR="00C773DB" w:rsidRPr="00F83B6E">
        <w:rPr>
          <w:color w:val="000000" w:themeColor="text1"/>
        </w:rPr>
        <w:t xml:space="preserve"> support DFAT and relevant </w:t>
      </w:r>
      <w:proofErr w:type="spellStart"/>
      <w:r w:rsidR="00C773DB" w:rsidRPr="00F83B6E">
        <w:rPr>
          <w:color w:val="000000" w:themeColor="text1"/>
        </w:rPr>
        <w:t>GoA</w:t>
      </w:r>
      <w:proofErr w:type="spellEnd"/>
      <w:r w:rsidR="00C773DB" w:rsidRPr="00F83B6E">
        <w:rPr>
          <w:color w:val="000000" w:themeColor="text1"/>
        </w:rPr>
        <w:t xml:space="preserve"> agencies in their broader policy dialogue effort with </w:t>
      </w:r>
      <w:proofErr w:type="spellStart"/>
      <w:r w:rsidR="00C773DB" w:rsidRPr="00F83B6E">
        <w:rPr>
          <w:color w:val="000000" w:themeColor="text1"/>
        </w:rPr>
        <w:t>GoI</w:t>
      </w:r>
      <w:proofErr w:type="spellEnd"/>
      <w:r w:rsidR="00C773DB" w:rsidRPr="00F83B6E">
        <w:rPr>
          <w:color w:val="000000" w:themeColor="text1"/>
        </w:rPr>
        <w:t xml:space="preserve">, and will </w:t>
      </w:r>
      <w:r w:rsidRPr="00F83B6E">
        <w:rPr>
          <w:color w:val="000000" w:themeColor="text1"/>
        </w:rPr>
        <w:t xml:space="preserve">engage in periodic meetings with DFAT </w:t>
      </w:r>
      <w:r w:rsidR="00DC0238" w:rsidRPr="00F83B6E">
        <w:rPr>
          <w:color w:val="000000" w:themeColor="text1"/>
        </w:rPr>
        <w:t>K2P</w:t>
      </w:r>
      <w:r w:rsidRPr="00F83B6E">
        <w:rPr>
          <w:color w:val="000000" w:themeColor="text1"/>
        </w:rPr>
        <w:t xml:space="preserve"> team at Post to discuss strategic and operational issues,</w:t>
      </w:r>
      <w:r w:rsidR="00C773DB" w:rsidRPr="00F83B6E">
        <w:rPr>
          <w:color w:val="000000" w:themeColor="text1"/>
        </w:rPr>
        <w:t xml:space="preserve"> including risks management</w:t>
      </w:r>
      <w:r w:rsidRPr="00F83B6E">
        <w:rPr>
          <w:color w:val="000000" w:themeColor="text1"/>
        </w:rPr>
        <w:t xml:space="preserve">. </w:t>
      </w:r>
      <w:r w:rsidR="00DC0238" w:rsidRPr="00F83B6E">
        <w:rPr>
          <w:color w:val="000000" w:themeColor="text1"/>
        </w:rPr>
        <w:t>They</w:t>
      </w:r>
      <w:r w:rsidRPr="00F83B6E">
        <w:rPr>
          <w:color w:val="000000" w:themeColor="text1"/>
        </w:rPr>
        <w:t xml:space="preserve"> will liaise regularly with a range of stakeholders in Indonesia and Australia, including PTC and PSC members, partners, other DFAT programs</w:t>
      </w:r>
      <w:r w:rsidR="00DC0238" w:rsidRPr="00F83B6E">
        <w:rPr>
          <w:color w:val="000000" w:themeColor="text1"/>
        </w:rPr>
        <w:t>’ teams</w:t>
      </w:r>
      <w:r w:rsidR="00F06442" w:rsidRPr="00F83B6E">
        <w:rPr>
          <w:color w:val="000000" w:themeColor="text1"/>
        </w:rPr>
        <w:t>,</w:t>
      </w:r>
      <w:r w:rsidRPr="00F83B6E">
        <w:rPr>
          <w:color w:val="000000" w:themeColor="text1"/>
        </w:rPr>
        <w:t xml:space="preserve"> and broader stakeholders of the Indonesian knowledge and innovation sector. As such, the </w:t>
      </w:r>
      <w:r w:rsidR="0029460E" w:rsidRPr="00F83B6E">
        <w:rPr>
          <w:color w:val="000000" w:themeColor="text1"/>
        </w:rPr>
        <w:t>Hub’s</w:t>
      </w:r>
      <w:r w:rsidRPr="00F83B6E">
        <w:rPr>
          <w:color w:val="000000" w:themeColor="text1"/>
        </w:rPr>
        <w:t xml:space="preserve"> team will need to demonstrate an ability to understand DFAT priorities and to form, nurture and consolidate effective relationships with key</w:t>
      </w:r>
      <w:r w:rsidR="00DC0238" w:rsidRPr="00F83B6E">
        <w:rPr>
          <w:color w:val="000000" w:themeColor="text1"/>
        </w:rPr>
        <w:t xml:space="preserve"> KPP</w:t>
      </w:r>
      <w:r w:rsidRPr="00F83B6E">
        <w:rPr>
          <w:color w:val="000000" w:themeColor="text1"/>
        </w:rPr>
        <w:t xml:space="preserve"> stakeholders.</w:t>
      </w:r>
      <w:r w:rsidR="00DC0238" w:rsidRPr="00F83B6E">
        <w:rPr>
          <w:color w:val="000000" w:themeColor="text1"/>
        </w:rPr>
        <w:t xml:space="preserve"> </w:t>
      </w:r>
      <w:r w:rsidR="00EE4414" w:rsidRPr="00F83B6E">
        <w:rPr>
          <w:color w:val="000000" w:themeColor="text1"/>
        </w:rPr>
        <w:t xml:space="preserve">Figure </w:t>
      </w:r>
      <w:r w:rsidRPr="00F83B6E">
        <w:rPr>
          <w:color w:val="000000" w:themeColor="text1"/>
        </w:rPr>
        <w:t>8</w:t>
      </w:r>
      <w:r w:rsidR="00EE4414" w:rsidRPr="00F83B6E">
        <w:rPr>
          <w:color w:val="000000" w:themeColor="text1"/>
        </w:rPr>
        <w:t xml:space="preserve"> summarise</w:t>
      </w:r>
      <w:r w:rsidRPr="00F83B6E">
        <w:rPr>
          <w:color w:val="000000" w:themeColor="text1"/>
        </w:rPr>
        <w:t>s</w:t>
      </w:r>
      <w:r w:rsidR="00EE4414" w:rsidRPr="00F83B6E">
        <w:rPr>
          <w:color w:val="000000" w:themeColor="text1"/>
        </w:rPr>
        <w:t xml:space="preserve"> the range of functions and resources envisaged for the Platform Hub. These will be confirmed during the Program’s inception stage.</w:t>
      </w:r>
    </w:p>
    <w:p w14:paraId="29FD1801" w14:textId="226F9698" w:rsidR="00DE1D6F" w:rsidRPr="00F83B6E" w:rsidRDefault="00DE1D6F" w:rsidP="00DE1D6F">
      <w:pPr>
        <w:pStyle w:val="Caption"/>
        <w:rPr>
          <w:color w:val="000000" w:themeColor="text1"/>
        </w:rPr>
      </w:pPr>
      <w:r w:rsidRPr="00F83B6E">
        <w:rPr>
          <w:color w:val="000000" w:themeColor="text1"/>
        </w:rPr>
        <w:lastRenderedPageBreak/>
        <w:t xml:space="preserve">Figure </w:t>
      </w:r>
      <w:r w:rsidRPr="00F83B6E">
        <w:rPr>
          <w:color w:val="000000" w:themeColor="text1"/>
        </w:rPr>
        <w:fldChar w:fldCharType="begin"/>
      </w:r>
      <w:r w:rsidRPr="00F83B6E">
        <w:rPr>
          <w:color w:val="000000" w:themeColor="text1"/>
        </w:rPr>
        <w:instrText xml:space="preserve"> SEQ Figure \* ARABIC </w:instrText>
      </w:r>
      <w:r w:rsidRPr="00F83B6E">
        <w:rPr>
          <w:color w:val="000000" w:themeColor="text1"/>
        </w:rPr>
        <w:fldChar w:fldCharType="separate"/>
      </w:r>
      <w:r w:rsidR="00A578DF">
        <w:rPr>
          <w:noProof/>
          <w:color w:val="000000" w:themeColor="text1"/>
        </w:rPr>
        <w:t>8</w:t>
      </w:r>
      <w:r w:rsidRPr="00F83B6E">
        <w:rPr>
          <w:color w:val="000000" w:themeColor="text1"/>
        </w:rPr>
        <w:fldChar w:fldCharType="end"/>
      </w:r>
      <w:r w:rsidRPr="00F83B6E">
        <w:rPr>
          <w:color w:val="000000" w:themeColor="text1"/>
          <w:lang w:val="en-AU"/>
        </w:rPr>
        <w:t xml:space="preserve"> </w:t>
      </w:r>
      <w:r w:rsidRPr="00F83B6E">
        <w:rPr>
          <w:color w:val="000000" w:themeColor="text1"/>
          <w:lang w:val="en-AU"/>
        </w:rPr>
        <w:tab/>
        <w:t>Indicative Platform Hub’s functions and human resources</w:t>
      </w:r>
    </w:p>
    <w:tbl>
      <w:tblPr>
        <w:tblStyle w:val="TableGrid1"/>
        <w:tblW w:w="5000" w:type="pct"/>
        <w:tblLook w:val="0420" w:firstRow="1" w:lastRow="0" w:firstColumn="0" w:lastColumn="0" w:noHBand="0" w:noVBand="1"/>
        <w:tblCaption w:val="Figure 8"/>
        <w:tblDescription w:val="Indicative Platform Hub's functions and human resources"/>
      </w:tblPr>
      <w:tblGrid>
        <w:gridCol w:w="1511"/>
        <w:gridCol w:w="8116"/>
      </w:tblGrid>
      <w:tr w:rsidR="00F83B6E" w:rsidRPr="00F83B6E" w14:paraId="1A7C0DF3" w14:textId="77777777" w:rsidTr="00B67220">
        <w:trPr>
          <w:trHeight w:val="397"/>
          <w:tblHeader/>
        </w:trPr>
        <w:tc>
          <w:tcPr>
            <w:tcW w:w="785" w:type="pct"/>
            <w:hideMark/>
          </w:tcPr>
          <w:p w14:paraId="7A072D3C" w14:textId="74E7460E" w:rsidR="00BB0E4C" w:rsidRPr="00F83B6E" w:rsidRDefault="00BB0E4C" w:rsidP="00AC5534">
            <w:pPr>
              <w:pStyle w:val="TableHeaderRow"/>
              <w:jc w:val="center"/>
              <w:rPr>
                <w:b w:val="0"/>
                <w:bCs/>
                <w:color w:val="000000" w:themeColor="text1"/>
              </w:rPr>
            </w:pPr>
            <w:r w:rsidRPr="00F83B6E">
              <w:rPr>
                <w:color w:val="000000" w:themeColor="text1"/>
              </w:rPr>
              <w:t>Support</w:t>
            </w:r>
          </w:p>
        </w:tc>
        <w:tc>
          <w:tcPr>
            <w:tcW w:w="4215" w:type="pct"/>
            <w:hideMark/>
          </w:tcPr>
          <w:p w14:paraId="005F4BFD" w14:textId="62964066" w:rsidR="00BB0E4C" w:rsidRPr="00F83B6E" w:rsidRDefault="00BB0E4C" w:rsidP="00AC5534">
            <w:pPr>
              <w:pStyle w:val="TableHeaderRow"/>
              <w:jc w:val="center"/>
              <w:rPr>
                <w:b w:val="0"/>
                <w:bCs/>
                <w:color w:val="000000" w:themeColor="text1"/>
              </w:rPr>
            </w:pPr>
            <w:r w:rsidRPr="00F83B6E">
              <w:rPr>
                <w:color w:val="000000" w:themeColor="text1"/>
              </w:rPr>
              <w:t>Functions</w:t>
            </w:r>
          </w:p>
        </w:tc>
      </w:tr>
      <w:tr w:rsidR="00F83B6E" w:rsidRPr="00F83B6E" w14:paraId="0A22103D" w14:textId="77777777" w:rsidTr="00B67220">
        <w:trPr>
          <w:trHeight w:val="397"/>
        </w:trPr>
        <w:tc>
          <w:tcPr>
            <w:tcW w:w="785" w:type="pct"/>
            <w:hideMark/>
          </w:tcPr>
          <w:p w14:paraId="242FEF2F" w14:textId="0C490C05" w:rsidR="00BB0E4C" w:rsidRPr="00F83B6E" w:rsidRDefault="00BB0E4C" w:rsidP="00612FE0">
            <w:pPr>
              <w:pStyle w:val="TableText"/>
              <w:rPr>
                <w:color w:val="000000" w:themeColor="text1"/>
                <w:lang w:val="en-AU"/>
              </w:rPr>
            </w:pPr>
            <w:r w:rsidRPr="00F83B6E">
              <w:rPr>
                <w:color w:val="000000" w:themeColor="text1"/>
                <w:lang w:val="en-AU"/>
              </w:rPr>
              <w:t>Management</w:t>
            </w:r>
          </w:p>
        </w:tc>
        <w:tc>
          <w:tcPr>
            <w:tcW w:w="4215" w:type="pct"/>
            <w:hideMark/>
          </w:tcPr>
          <w:p w14:paraId="5DF791A0" w14:textId="7DBA6602" w:rsidR="00BB0E4C" w:rsidRPr="00F83B6E" w:rsidRDefault="00BB0E4C" w:rsidP="00E74DD1">
            <w:pPr>
              <w:pStyle w:val="TableBullet1"/>
              <w:rPr>
                <w:color w:val="000000" w:themeColor="text1"/>
              </w:rPr>
            </w:pPr>
            <w:r w:rsidRPr="00F83B6E">
              <w:rPr>
                <w:color w:val="000000" w:themeColor="text1"/>
              </w:rPr>
              <w:t>Administration &amp; logistics</w:t>
            </w:r>
          </w:p>
          <w:p w14:paraId="7D9A7FC3" w14:textId="77777777" w:rsidR="00BB0E4C" w:rsidRPr="00F83B6E" w:rsidRDefault="00BB0E4C" w:rsidP="00E74DD1">
            <w:pPr>
              <w:pStyle w:val="TableBullet1"/>
              <w:rPr>
                <w:color w:val="000000" w:themeColor="text1"/>
              </w:rPr>
            </w:pPr>
            <w:r w:rsidRPr="00F83B6E">
              <w:rPr>
                <w:color w:val="000000" w:themeColor="text1"/>
              </w:rPr>
              <w:t xml:space="preserve">Finance </w:t>
            </w:r>
          </w:p>
          <w:p w14:paraId="2B245779" w14:textId="4F53F07A" w:rsidR="00BB0E4C" w:rsidRPr="00F83B6E" w:rsidRDefault="00BB0E4C" w:rsidP="00E74DD1">
            <w:pPr>
              <w:pStyle w:val="TableBullet1"/>
              <w:rPr>
                <w:color w:val="000000" w:themeColor="text1"/>
              </w:rPr>
            </w:pPr>
            <w:r w:rsidRPr="00F83B6E">
              <w:rPr>
                <w:color w:val="000000" w:themeColor="text1"/>
              </w:rPr>
              <w:t>Human Resource (HR)</w:t>
            </w:r>
          </w:p>
          <w:p w14:paraId="2C3C8BB5" w14:textId="77777777" w:rsidR="00BB0E4C" w:rsidRPr="00F83B6E" w:rsidRDefault="00BB0E4C" w:rsidP="00E74DD1">
            <w:pPr>
              <w:pStyle w:val="TableBullet1"/>
              <w:rPr>
                <w:color w:val="000000" w:themeColor="text1"/>
              </w:rPr>
            </w:pPr>
            <w:r w:rsidRPr="00F83B6E">
              <w:rPr>
                <w:color w:val="000000" w:themeColor="text1"/>
              </w:rPr>
              <w:t>Grant management</w:t>
            </w:r>
          </w:p>
          <w:p w14:paraId="29C874EC" w14:textId="77777777" w:rsidR="00BB0E4C" w:rsidRPr="00F83B6E" w:rsidRDefault="00BB0E4C" w:rsidP="00E74DD1">
            <w:pPr>
              <w:pStyle w:val="TableBullet1"/>
              <w:rPr>
                <w:color w:val="000000" w:themeColor="text1"/>
              </w:rPr>
            </w:pPr>
            <w:r w:rsidRPr="00F83B6E">
              <w:rPr>
                <w:color w:val="000000" w:themeColor="text1"/>
              </w:rPr>
              <w:t>Event management</w:t>
            </w:r>
          </w:p>
          <w:p w14:paraId="0A3A573B" w14:textId="77777777" w:rsidR="00BB0E4C" w:rsidRPr="00F83B6E" w:rsidRDefault="00BB0E4C" w:rsidP="00E74DD1">
            <w:pPr>
              <w:pStyle w:val="TableBullet1"/>
              <w:rPr>
                <w:color w:val="000000" w:themeColor="text1"/>
              </w:rPr>
            </w:pPr>
            <w:r w:rsidRPr="00F83B6E">
              <w:rPr>
                <w:color w:val="000000" w:themeColor="text1"/>
              </w:rPr>
              <w:t>Communication and outreach</w:t>
            </w:r>
          </w:p>
        </w:tc>
      </w:tr>
      <w:tr w:rsidR="00F83B6E" w:rsidRPr="00F83B6E" w14:paraId="50F8C7CE" w14:textId="77777777" w:rsidTr="00B67220">
        <w:trPr>
          <w:trHeight w:val="397"/>
        </w:trPr>
        <w:tc>
          <w:tcPr>
            <w:tcW w:w="785" w:type="pct"/>
            <w:hideMark/>
          </w:tcPr>
          <w:p w14:paraId="57D5BD37" w14:textId="7B15110D" w:rsidR="00BB0E4C" w:rsidRPr="00F83B6E" w:rsidRDefault="00BB0E4C" w:rsidP="00612FE0">
            <w:pPr>
              <w:pStyle w:val="TableText"/>
              <w:rPr>
                <w:color w:val="000000" w:themeColor="text1"/>
                <w:lang w:val="en-AU"/>
              </w:rPr>
            </w:pPr>
            <w:r w:rsidRPr="00F83B6E">
              <w:rPr>
                <w:color w:val="000000" w:themeColor="text1"/>
                <w:lang w:val="en-AU"/>
              </w:rPr>
              <w:t xml:space="preserve">Technical </w:t>
            </w:r>
          </w:p>
        </w:tc>
        <w:tc>
          <w:tcPr>
            <w:tcW w:w="4215" w:type="pct"/>
            <w:hideMark/>
          </w:tcPr>
          <w:p w14:paraId="3DC8C4A4" w14:textId="77777777" w:rsidR="00BB0E4C" w:rsidRPr="00F83B6E" w:rsidRDefault="00BB0E4C" w:rsidP="00E74DD1">
            <w:pPr>
              <w:pStyle w:val="TableBullet1"/>
              <w:rPr>
                <w:color w:val="000000" w:themeColor="text1"/>
              </w:rPr>
            </w:pPr>
            <w:r w:rsidRPr="00F83B6E">
              <w:rPr>
                <w:color w:val="000000" w:themeColor="text1"/>
              </w:rPr>
              <w:t xml:space="preserve">MEL </w:t>
            </w:r>
          </w:p>
          <w:p w14:paraId="5A2CA35D" w14:textId="77777777" w:rsidR="00BB0E4C" w:rsidRPr="00F83B6E" w:rsidRDefault="00BB0E4C" w:rsidP="00E74DD1">
            <w:pPr>
              <w:pStyle w:val="TableBullet1"/>
              <w:rPr>
                <w:color w:val="000000" w:themeColor="text1"/>
              </w:rPr>
            </w:pPr>
            <w:r w:rsidRPr="00F83B6E">
              <w:rPr>
                <w:color w:val="000000" w:themeColor="text1"/>
              </w:rPr>
              <w:t>GEDSI</w:t>
            </w:r>
          </w:p>
          <w:p w14:paraId="7D84142D" w14:textId="47C103DF" w:rsidR="00BB0E4C" w:rsidRPr="00F83B6E" w:rsidRDefault="00BB0E4C" w:rsidP="00E74DD1">
            <w:pPr>
              <w:pStyle w:val="TableBullet1"/>
              <w:rPr>
                <w:color w:val="000000" w:themeColor="text1"/>
              </w:rPr>
            </w:pPr>
            <w:r w:rsidRPr="00F83B6E">
              <w:rPr>
                <w:color w:val="000000" w:themeColor="text1"/>
              </w:rPr>
              <w:t>Partnership brokering and capacity development</w:t>
            </w:r>
          </w:p>
          <w:p w14:paraId="35D817FE" w14:textId="529A3F7E" w:rsidR="00BB0E4C" w:rsidRPr="00F83B6E" w:rsidRDefault="00BB0E4C" w:rsidP="00E74DD1">
            <w:pPr>
              <w:pStyle w:val="TableBullet1"/>
              <w:rPr>
                <w:color w:val="000000" w:themeColor="text1"/>
              </w:rPr>
            </w:pPr>
            <w:r w:rsidRPr="00F83B6E">
              <w:rPr>
                <w:color w:val="000000" w:themeColor="text1"/>
              </w:rPr>
              <w:t>Coalition building and private sector engagement</w:t>
            </w:r>
          </w:p>
          <w:p w14:paraId="4F070A0B" w14:textId="19EDF795" w:rsidR="00BB0E4C" w:rsidRPr="00F83B6E" w:rsidRDefault="00BB0E4C" w:rsidP="00E74DD1">
            <w:pPr>
              <w:pStyle w:val="TableBullet1"/>
              <w:rPr>
                <w:color w:val="000000" w:themeColor="text1"/>
              </w:rPr>
            </w:pPr>
            <w:r w:rsidRPr="00F83B6E">
              <w:rPr>
                <w:color w:val="000000" w:themeColor="text1"/>
              </w:rPr>
              <w:t>Grants selection</w:t>
            </w:r>
          </w:p>
          <w:p w14:paraId="5C192009" w14:textId="77777777" w:rsidR="00BB0E4C" w:rsidRPr="00F83B6E" w:rsidRDefault="00BB0E4C" w:rsidP="00E74DD1">
            <w:pPr>
              <w:pStyle w:val="TableBullet1"/>
              <w:rPr>
                <w:color w:val="000000" w:themeColor="text1"/>
              </w:rPr>
            </w:pPr>
            <w:r w:rsidRPr="00F83B6E">
              <w:rPr>
                <w:color w:val="000000" w:themeColor="text1"/>
              </w:rPr>
              <w:t>Knowledge dissemination</w:t>
            </w:r>
          </w:p>
          <w:p w14:paraId="4AEEE384" w14:textId="0A3B9F81" w:rsidR="00BB0E4C" w:rsidRPr="00F83B6E" w:rsidRDefault="00BB0E4C" w:rsidP="00E74DD1">
            <w:pPr>
              <w:pStyle w:val="TableBullet1"/>
              <w:rPr>
                <w:color w:val="000000" w:themeColor="text1"/>
              </w:rPr>
            </w:pPr>
            <w:r w:rsidRPr="00F83B6E">
              <w:rPr>
                <w:color w:val="000000" w:themeColor="text1"/>
              </w:rPr>
              <w:t>TA for targeted regulatory/sector reforms</w:t>
            </w:r>
          </w:p>
        </w:tc>
      </w:tr>
    </w:tbl>
    <w:p w14:paraId="2810E0E4" w14:textId="47BDC054" w:rsidR="00C674C1" w:rsidRPr="00F83B6E" w:rsidRDefault="00603D4C" w:rsidP="00B91543">
      <w:pPr>
        <w:pStyle w:val="BodyText"/>
        <w:rPr>
          <w:color w:val="000000" w:themeColor="text1"/>
        </w:rPr>
      </w:pPr>
      <w:r w:rsidRPr="00F83B6E">
        <w:rPr>
          <w:color w:val="000000" w:themeColor="text1"/>
        </w:rPr>
        <w:t xml:space="preserve">The provision of the Platform Hub services, including partnership grants, will be planned on an annual basis and be consolidated in an </w:t>
      </w:r>
      <w:r w:rsidR="002C2FA4" w:rsidRPr="00F83B6E">
        <w:rPr>
          <w:color w:val="000000" w:themeColor="text1"/>
        </w:rPr>
        <w:t>annual w</w:t>
      </w:r>
      <w:r w:rsidR="0029460E" w:rsidRPr="00F83B6E">
        <w:rPr>
          <w:color w:val="000000" w:themeColor="text1"/>
        </w:rPr>
        <w:t xml:space="preserve">ork </w:t>
      </w:r>
      <w:r w:rsidR="002C2FA4" w:rsidRPr="00F83B6E">
        <w:rPr>
          <w:color w:val="000000" w:themeColor="text1"/>
        </w:rPr>
        <w:t>p</w:t>
      </w:r>
      <w:r w:rsidRPr="00F83B6E">
        <w:rPr>
          <w:color w:val="000000" w:themeColor="text1"/>
        </w:rPr>
        <w:t xml:space="preserve">lan and </w:t>
      </w:r>
      <w:r w:rsidR="002C2FA4" w:rsidRPr="00F83B6E">
        <w:rPr>
          <w:color w:val="000000" w:themeColor="text1"/>
        </w:rPr>
        <w:t>b</w:t>
      </w:r>
      <w:r w:rsidRPr="00F83B6E">
        <w:rPr>
          <w:color w:val="000000" w:themeColor="text1"/>
        </w:rPr>
        <w:t xml:space="preserve">udget discussed and approved </w:t>
      </w:r>
      <w:r w:rsidR="00C773DB" w:rsidRPr="00F83B6E">
        <w:rPr>
          <w:color w:val="000000" w:themeColor="text1"/>
        </w:rPr>
        <w:t>by</w:t>
      </w:r>
      <w:r w:rsidRPr="00F83B6E">
        <w:rPr>
          <w:color w:val="000000" w:themeColor="text1"/>
        </w:rPr>
        <w:t xml:space="preserve"> the PSC. Given the multi-year nature of certain grants (</w:t>
      </w:r>
      <w:proofErr w:type="spellStart"/>
      <w:r w:rsidRPr="00F83B6E">
        <w:rPr>
          <w:i/>
          <w:iCs/>
          <w:color w:val="000000" w:themeColor="text1"/>
        </w:rPr>
        <w:t>Bertumbuh</w:t>
      </w:r>
      <w:proofErr w:type="spellEnd"/>
      <w:r w:rsidRPr="00F83B6E">
        <w:rPr>
          <w:color w:val="000000" w:themeColor="text1"/>
        </w:rPr>
        <w:t xml:space="preserve"> and </w:t>
      </w:r>
      <w:proofErr w:type="spellStart"/>
      <w:r w:rsidRPr="00F83B6E">
        <w:rPr>
          <w:i/>
          <w:iCs/>
          <w:color w:val="000000" w:themeColor="text1"/>
        </w:rPr>
        <w:t>Berbuah</w:t>
      </w:r>
      <w:proofErr w:type="spellEnd"/>
      <w:r w:rsidRPr="00F83B6E">
        <w:rPr>
          <w:color w:val="000000" w:themeColor="text1"/>
        </w:rPr>
        <w:t>), plan</w:t>
      </w:r>
      <w:r w:rsidR="0029460E" w:rsidRPr="00F83B6E">
        <w:rPr>
          <w:color w:val="000000" w:themeColor="text1"/>
        </w:rPr>
        <w:t>s</w:t>
      </w:r>
      <w:r w:rsidRPr="00F83B6E">
        <w:rPr>
          <w:color w:val="000000" w:themeColor="text1"/>
        </w:rPr>
        <w:t xml:space="preserve"> and budget</w:t>
      </w:r>
      <w:r w:rsidR="0029460E" w:rsidRPr="00F83B6E">
        <w:rPr>
          <w:color w:val="000000" w:themeColor="text1"/>
        </w:rPr>
        <w:t>s</w:t>
      </w:r>
      <w:r w:rsidRPr="00F83B6E">
        <w:rPr>
          <w:color w:val="000000" w:themeColor="text1"/>
        </w:rPr>
        <w:t xml:space="preserve"> will need to include multi-year projections to provide transparency on commitments and budget availability. The timing and scheduling of grant rounds will require frequent discussions with the PSC members. </w:t>
      </w:r>
      <w:r w:rsidR="00147C2A" w:rsidRPr="00F83B6E">
        <w:rPr>
          <w:color w:val="000000" w:themeColor="text1"/>
        </w:rPr>
        <w:t>For each round, t</w:t>
      </w:r>
      <w:r w:rsidRPr="00F83B6E">
        <w:rPr>
          <w:color w:val="000000" w:themeColor="text1"/>
        </w:rPr>
        <w:t>he allocation of funding across different grant types will be first discussed between DFAT and Hub team and then agreed on with the PSC members. These allocations will be reviewed annually during the annual planning process, based on proposals received, previous commitments and budget allocation (see more details in</w:t>
      </w:r>
      <w:r w:rsidR="009D7C10" w:rsidRPr="00F83B6E">
        <w:rPr>
          <w:color w:val="000000" w:themeColor="text1"/>
        </w:rPr>
        <w:t xml:space="preserve"> Section</w:t>
      </w:r>
      <w:r w:rsidRPr="00F83B6E">
        <w:rPr>
          <w:color w:val="000000" w:themeColor="text1"/>
        </w:rPr>
        <w:t xml:space="preserve"> </w:t>
      </w:r>
      <w:r w:rsidR="00F04E19" w:rsidRPr="00F83B6E">
        <w:rPr>
          <w:color w:val="000000" w:themeColor="text1"/>
        </w:rPr>
        <w:t>F</w:t>
      </w:r>
      <w:r w:rsidRPr="00F83B6E">
        <w:rPr>
          <w:color w:val="000000" w:themeColor="text1"/>
        </w:rPr>
        <w:t xml:space="preserve">). </w:t>
      </w:r>
    </w:p>
    <w:p w14:paraId="5BEDD1EA" w14:textId="1F27AC40" w:rsidR="00D837CB" w:rsidRPr="00F83B6E" w:rsidRDefault="00C905BA" w:rsidP="00B91543">
      <w:pPr>
        <w:pStyle w:val="Heading3"/>
        <w:rPr>
          <w:color w:val="000000" w:themeColor="text1"/>
          <w:sz w:val="24"/>
          <w:szCs w:val="24"/>
        </w:rPr>
      </w:pPr>
      <w:r w:rsidRPr="00F83B6E">
        <w:rPr>
          <w:color w:val="000000" w:themeColor="text1"/>
        </w:rPr>
        <w:t xml:space="preserve">Coordination with </w:t>
      </w:r>
      <w:r w:rsidR="00CF40E3" w:rsidRPr="00F83B6E">
        <w:rPr>
          <w:color w:val="000000" w:themeColor="text1"/>
        </w:rPr>
        <w:t xml:space="preserve">other </w:t>
      </w:r>
      <w:proofErr w:type="spellStart"/>
      <w:r w:rsidRPr="00F83B6E">
        <w:rPr>
          <w:color w:val="000000" w:themeColor="text1"/>
        </w:rPr>
        <w:t>GoA</w:t>
      </w:r>
      <w:proofErr w:type="spellEnd"/>
      <w:r w:rsidRPr="00F83B6E">
        <w:rPr>
          <w:color w:val="000000" w:themeColor="text1"/>
        </w:rPr>
        <w:t>-funded in</w:t>
      </w:r>
      <w:r w:rsidR="00CF40E3" w:rsidRPr="00F83B6E">
        <w:rPr>
          <w:color w:val="000000" w:themeColor="text1"/>
        </w:rPr>
        <w:t>vestments</w:t>
      </w:r>
    </w:p>
    <w:p w14:paraId="275F8C50" w14:textId="7BE45B88" w:rsidR="00E10094" w:rsidRPr="00F83B6E" w:rsidRDefault="0061309E" w:rsidP="00B91543">
      <w:pPr>
        <w:pStyle w:val="BodyText"/>
        <w:rPr>
          <w:color w:val="000000" w:themeColor="text1"/>
        </w:rPr>
      </w:pPr>
      <w:r w:rsidRPr="00F83B6E">
        <w:rPr>
          <w:color w:val="000000" w:themeColor="text1"/>
        </w:rPr>
        <w:t xml:space="preserve">KPP is designed as a vehicle to generate relevant knowledge that can be used to influence policies and technologies </w:t>
      </w:r>
      <w:r w:rsidR="0029460E" w:rsidRPr="00F83B6E">
        <w:rPr>
          <w:color w:val="000000" w:themeColor="text1"/>
        </w:rPr>
        <w:t xml:space="preserve">relevant to other </w:t>
      </w:r>
      <w:proofErr w:type="spellStart"/>
      <w:r w:rsidR="0029460E" w:rsidRPr="00F83B6E">
        <w:rPr>
          <w:color w:val="000000" w:themeColor="text1"/>
        </w:rPr>
        <w:t>GoA</w:t>
      </w:r>
      <w:proofErr w:type="spellEnd"/>
      <w:r w:rsidR="0029460E" w:rsidRPr="00F83B6E">
        <w:rPr>
          <w:color w:val="000000" w:themeColor="text1"/>
        </w:rPr>
        <w:t>-funded investments in Indonesia.</w:t>
      </w:r>
      <w:r w:rsidRPr="00F83B6E">
        <w:rPr>
          <w:color w:val="000000" w:themeColor="text1"/>
        </w:rPr>
        <w:t xml:space="preserve"> </w:t>
      </w:r>
      <w:r w:rsidR="00E10094" w:rsidRPr="00F83B6E">
        <w:rPr>
          <w:color w:val="000000" w:themeColor="text1"/>
        </w:rPr>
        <w:t>Given their engagement with policy improvement processes</w:t>
      </w:r>
      <w:r w:rsidR="0029460E" w:rsidRPr="00F83B6E">
        <w:rPr>
          <w:color w:val="000000" w:themeColor="text1"/>
        </w:rPr>
        <w:t xml:space="preserve"> and their natural alignment on priorities of mutual interest</w:t>
      </w:r>
      <w:r w:rsidR="00E10094" w:rsidRPr="00F83B6E">
        <w:rPr>
          <w:color w:val="000000" w:themeColor="text1"/>
        </w:rPr>
        <w:t xml:space="preserve">, </w:t>
      </w:r>
      <w:r w:rsidRPr="00F83B6E">
        <w:rPr>
          <w:color w:val="000000" w:themeColor="text1"/>
        </w:rPr>
        <w:t xml:space="preserve">other </w:t>
      </w:r>
      <w:r w:rsidR="00D607CA" w:rsidRPr="00F83B6E">
        <w:rPr>
          <w:color w:val="000000" w:themeColor="text1"/>
        </w:rPr>
        <w:t>DFAT programs in Indonesia (</w:t>
      </w:r>
      <w:r w:rsidR="002C2FA4" w:rsidRPr="00F83B6E">
        <w:rPr>
          <w:color w:val="000000" w:themeColor="text1"/>
        </w:rPr>
        <w:t>such as</w:t>
      </w:r>
      <w:r w:rsidR="00D607CA" w:rsidRPr="00F83B6E">
        <w:rPr>
          <w:color w:val="000000" w:themeColor="text1"/>
        </w:rPr>
        <w:t xml:space="preserve"> INKULSI, SKALA, PROSPERA, INOVASI, MAHKOTA, AIC PAIR, Indonesia Project)</w:t>
      </w:r>
      <w:r w:rsidR="00C929AF" w:rsidRPr="00F83B6E">
        <w:rPr>
          <w:color w:val="000000" w:themeColor="text1"/>
        </w:rPr>
        <w:t>, and OPD and gender / women’s rights focused organisations</w:t>
      </w:r>
      <w:r w:rsidR="00D607CA" w:rsidRPr="00F83B6E">
        <w:rPr>
          <w:color w:val="000000" w:themeColor="text1"/>
        </w:rPr>
        <w:t xml:space="preserve"> </w:t>
      </w:r>
      <w:r w:rsidR="00E10094" w:rsidRPr="00F83B6E">
        <w:rPr>
          <w:color w:val="000000" w:themeColor="text1"/>
        </w:rPr>
        <w:t>are</w:t>
      </w:r>
      <w:r w:rsidR="0029460E" w:rsidRPr="00F83B6E">
        <w:rPr>
          <w:color w:val="000000" w:themeColor="text1"/>
        </w:rPr>
        <w:t xml:space="preserve"> </w:t>
      </w:r>
      <w:r w:rsidR="00E10094" w:rsidRPr="00F83B6E">
        <w:rPr>
          <w:color w:val="000000" w:themeColor="text1"/>
        </w:rPr>
        <w:t xml:space="preserve">important </w:t>
      </w:r>
      <w:r w:rsidR="00603D4C" w:rsidRPr="00F83B6E">
        <w:rPr>
          <w:color w:val="000000" w:themeColor="text1"/>
        </w:rPr>
        <w:t>target</w:t>
      </w:r>
      <w:r w:rsidR="00147C2A" w:rsidRPr="00F83B6E">
        <w:rPr>
          <w:color w:val="000000" w:themeColor="text1"/>
        </w:rPr>
        <w:t>ed</w:t>
      </w:r>
      <w:r w:rsidR="00603D4C" w:rsidRPr="00F83B6E">
        <w:rPr>
          <w:color w:val="000000" w:themeColor="text1"/>
        </w:rPr>
        <w:t xml:space="preserve"> </w:t>
      </w:r>
      <w:r w:rsidR="00147C2A" w:rsidRPr="00F83B6E">
        <w:rPr>
          <w:color w:val="000000" w:themeColor="text1"/>
        </w:rPr>
        <w:t>users</w:t>
      </w:r>
      <w:r w:rsidR="00603D4C" w:rsidRPr="00F83B6E">
        <w:rPr>
          <w:color w:val="000000" w:themeColor="text1"/>
        </w:rPr>
        <w:t xml:space="preserve"> </w:t>
      </w:r>
      <w:r w:rsidR="0029460E" w:rsidRPr="00F83B6E">
        <w:rPr>
          <w:color w:val="000000" w:themeColor="text1"/>
        </w:rPr>
        <w:t>for</w:t>
      </w:r>
      <w:r w:rsidR="00E10094" w:rsidRPr="00F83B6E">
        <w:rPr>
          <w:color w:val="000000" w:themeColor="text1"/>
        </w:rPr>
        <w:t xml:space="preserve"> KPP generated knowledge</w:t>
      </w:r>
      <w:r w:rsidR="00D607CA" w:rsidRPr="00F83B6E">
        <w:rPr>
          <w:color w:val="000000" w:themeColor="text1"/>
        </w:rPr>
        <w:t>. Si</w:t>
      </w:r>
      <w:r w:rsidR="00603D4C" w:rsidRPr="00F83B6E">
        <w:rPr>
          <w:color w:val="000000" w:themeColor="text1"/>
        </w:rPr>
        <w:t>m</w:t>
      </w:r>
      <w:r w:rsidR="00D607CA" w:rsidRPr="00F83B6E">
        <w:rPr>
          <w:color w:val="000000" w:themeColor="text1"/>
        </w:rPr>
        <w:t>ilarly</w:t>
      </w:r>
      <w:r w:rsidR="00603D4C" w:rsidRPr="00F83B6E">
        <w:rPr>
          <w:color w:val="000000" w:themeColor="text1"/>
        </w:rPr>
        <w:t>, Australian agencies involved in the research and innovation sector in Indonesia, in particular the Department of Education (D</w:t>
      </w:r>
      <w:r w:rsidR="005C7C57" w:rsidRPr="00F83B6E">
        <w:rPr>
          <w:color w:val="000000" w:themeColor="text1"/>
        </w:rPr>
        <w:t>o</w:t>
      </w:r>
      <w:r w:rsidR="00603D4C" w:rsidRPr="00F83B6E">
        <w:rPr>
          <w:color w:val="000000" w:themeColor="text1"/>
        </w:rPr>
        <w:t xml:space="preserve">E) and the Department of </w:t>
      </w:r>
      <w:r w:rsidR="005C7C57" w:rsidRPr="00F83B6E">
        <w:rPr>
          <w:color w:val="000000" w:themeColor="text1"/>
        </w:rPr>
        <w:t xml:space="preserve">Climate Change, Energy, the Environment and Water </w:t>
      </w:r>
      <w:r w:rsidR="00603D4C" w:rsidRPr="00F83B6E">
        <w:rPr>
          <w:color w:val="000000" w:themeColor="text1"/>
        </w:rPr>
        <w:t>(D</w:t>
      </w:r>
      <w:r w:rsidR="005C7C57" w:rsidRPr="00F83B6E">
        <w:rPr>
          <w:color w:val="000000" w:themeColor="text1"/>
        </w:rPr>
        <w:t>CCEEW</w:t>
      </w:r>
      <w:r w:rsidR="00603D4C" w:rsidRPr="00F83B6E">
        <w:rPr>
          <w:color w:val="000000" w:themeColor="text1"/>
        </w:rPr>
        <w:t>)</w:t>
      </w:r>
      <w:r w:rsidR="0029460E" w:rsidRPr="00F83B6E">
        <w:rPr>
          <w:color w:val="000000" w:themeColor="text1"/>
        </w:rPr>
        <w:t>,</w:t>
      </w:r>
      <w:r w:rsidR="00603D4C" w:rsidRPr="00F83B6E">
        <w:rPr>
          <w:color w:val="000000" w:themeColor="text1"/>
        </w:rPr>
        <w:t xml:space="preserve"> are potential users of KPP generated knowledge. E</w:t>
      </w:r>
      <w:r w:rsidRPr="00F83B6E">
        <w:rPr>
          <w:color w:val="000000" w:themeColor="text1"/>
        </w:rPr>
        <w:t xml:space="preserve">ffective </w:t>
      </w:r>
      <w:r w:rsidR="00D607CA" w:rsidRPr="00F83B6E">
        <w:rPr>
          <w:color w:val="000000" w:themeColor="text1"/>
        </w:rPr>
        <w:t xml:space="preserve">engagement and coordination </w:t>
      </w:r>
      <w:r w:rsidRPr="00F83B6E">
        <w:rPr>
          <w:color w:val="000000" w:themeColor="text1"/>
        </w:rPr>
        <w:t>with these s</w:t>
      </w:r>
      <w:r w:rsidR="00603D4C" w:rsidRPr="00F83B6E">
        <w:rPr>
          <w:color w:val="000000" w:themeColor="text1"/>
        </w:rPr>
        <w:t>takeholders</w:t>
      </w:r>
      <w:r w:rsidRPr="00F83B6E">
        <w:rPr>
          <w:color w:val="000000" w:themeColor="text1"/>
        </w:rPr>
        <w:t xml:space="preserve"> will underpin </w:t>
      </w:r>
      <w:r w:rsidR="00E10094" w:rsidRPr="00F83B6E">
        <w:rPr>
          <w:color w:val="000000" w:themeColor="text1"/>
        </w:rPr>
        <w:t>KPP</w:t>
      </w:r>
      <w:r w:rsidRPr="00F83B6E">
        <w:rPr>
          <w:color w:val="000000" w:themeColor="text1"/>
        </w:rPr>
        <w:t xml:space="preserve"> impact.</w:t>
      </w:r>
      <w:r w:rsidR="00E10094" w:rsidRPr="00F83B6E">
        <w:rPr>
          <w:color w:val="000000" w:themeColor="text1"/>
        </w:rPr>
        <w:t xml:space="preserve"> </w:t>
      </w:r>
    </w:p>
    <w:p w14:paraId="294E1693" w14:textId="2EE26E73" w:rsidR="00147C2A" w:rsidRPr="00F83B6E" w:rsidRDefault="001E5BBA" w:rsidP="00B91543">
      <w:pPr>
        <w:pStyle w:val="BodyText"/>
        <w:rPr>
          <w:color w:val="000000" w:themeColor="text1"/>
        </w:rPr>
      </w:pPr>
      <w:r w:rsidRPr="00F83B6E">
        <w:rPr>
          <w:color w:val="000000" w:themeColor="text1"/>
        </w:rPr>
        <w:t xml:space="preserve">Research themes under the KPP will be of relevance to other </w:t>
      </w:r>
      <w:proofErr w:type="spellStart"/>
      <w:r w:rsidRPr="00F83B6E">
        <w:rPr>
          <w:color w:val="000000" w:themeColor="text1"/>
        </w:rPr>
        <w:t>GoA</w:t>
      </w:r>
      <w:proofErr w:type="spellEnd"/>
      <w:r w:rsidRPr="00F83B6E">
        <w:rPr>
          <w:color w:val="000000" w:themeColor="text1"/>
        </w:rPr>
        <w:t xml:space="preserve"> funded initiatives and cross-program collaboration will be encouraged.</w:t>
      </w:r>
      <w:r w:rsidR="00AA594B" w:rsidRPr="00F83B6E">
        <w:rPr>
          <w:rStyle w:val="FootnoteReference"/>
          <w:color w:val="000000" w:themeColor="text1"/>
        </w:rPr>
        <w:footnoteReference w:id="32"/>
      </w:r>
      <w:r w:rsidRPr="00F83B6E">
        <w:rPr>
          <w:color w:val="000000" w:themeColor="text1"/>
        </w:rPr>
        <w:t xml:space="preserve"> </w:t>
      </w:r>
      <w:r w:rsidR="00C905BA" w:rsidRPr="00F83B6E">
        <w:rPr>
          <w:color w:val="000000" w:themeColor="text1"/>
        </w:rPr>
        <w:t xml:space="preserve">This requires Post </w:t>
      </w:r>
      <w:r w:rsidR="00105ABB" w:rsidRPr="00F83B6E">
        <w:rPr>
          <w:color w:val="000000" w:themeColor="text1"/>
        </w:rPr>
        <w:t>K2P</w:t>
      </w:r>
      <w:r w:rsidR="00C905BA" w:rsidRPr="00F83B6E">
        <w:rPr>
          <w:color w:val="000000" w:themeColor="text1"/>
        </w:rPr>
        <w:t xml:space="preserve"> and </w:t>
      </w:r>
      <w:r w:rsidR="00105ABB" w:rsidRPr="00F83B6E">
        <w:rPr>
          <w:color w:val="000000" w:themeColor="text1"/>
        </w:rPr>
        <w:t xml:space="preserve">Platform </w:t>
      </w:r>
      <w:r w:rsidR="00170A62" w:rsidRPr="00F83B6E">
        <w:rPr>
          <w:color w:val="000000" w:themeColor="text1"/>
        </w:rPr>
        <w:t>Hub</w:t>
      </w:r>
      <w:r w:rsidR="00C905BA" w:rsidRPr="00F83B6E">
        <w:rPr>
          <w:color w:val="000000" w:themeColor="text1"/>
        </w:rPr>
        <w:t xml:space="preserve"> </w:t>
      </w:r>
      <w:r w:rsidR="00105ABB" w:rsidRPr="00F83B6E">
        <w:rPr>
          <w:color w:val="000000" w:themeColor="text1"/>
        </w:rPr>
        <w:t xml:space="preserve">teams </w:t>
      </w:r>
      <w:r w:rsidR="00C905BA" w:rsidRPr="00F83B6E">
        <w:rPr>
          <w:color w:val="000000" w:themeColor="text1"/>
        </w:rPr>
        <w:t xml:space="preserve">to liaise closely with </w:t>
      </w:r>
      <w:r w:rsidR="00105ABB" w:rsidRPr="00F83B6E">
        <w:rPr>
          <w:color w:val="000000" w:themeColor="text1"/>
        </w:rPr>
        <w:t xml:space="preserve">relevant </w:t>
      </w:r>
      <w:proofErr w:type="spellStart"/>
      <w:r w:rsidR="0029460E" w:rsidRPr="00F83B6E">
        <w:rPr>
          <w:color w:val="000000" w:themeColor="text1"/>
        </w:rPr>
        <w:t>GoA</w:t>
      </w:r>
      <w:proofErr w:type="spellEnd"/>
      <w:r w:rsidR="0029460E" w:rsidRPr="00F83B6E">
        <w:rPr>
          <w:color w:val="000000" w:themeColor="text1"/>
        </w:rPr>
        <w:t xml:space="preserve"> </w:t>
      </w:r>
      <w:r w:rsidR="00C905BA" w:rsidRPr="00F83B6E">
        <w:rPr>
          <w:color w:val="000000" w:themeColor="text1"/>
        </w:rPr>
        <w:t>program</w:t>
      </w:r>
      <w:r w:rsidR="0001720B" w:rsidRPr="00F83B6E">
        <w:rPr>
          <w:color w:val="000000" w:themeColor="text1"/>
        </w:rPr>
        <w:t>s</w:t>
      </w:r>
      <w:r w:rsidR="0054487F" w:rsidRPr="00F83B6E">
        <w:rPr>
          <w:color w:val="000000" w:themeColor="text1"/>
        </w:rPr>
        <w:t>’</w:t>
      </w:r>
      <w:r w:rsidR="002A51DB" w:rsidRPr="00F83B6E">
        <w:rPr>
          <w:color w:val="000000" w:themeColor="text1"/>
        </w:rPr>
        <w:t xml:space="preserve"> </w:t>
      </w:r>
      <w:r w:rsidR="00AB6667" w:rsidRPr="00F83B6E">
        <w:rPr>
          <w:color w:val="000000" w:themeColor="text1"/>
        </w:rPr>
        <w:t>management team</w:t>
      </w:r>
      <w:r w:rsidR="0054487F" w:rsidRPr="00F83B6E">
        <w:rPr>
          <w:color w:val="000000" w:themeColor="text1"/>
        </w:rPr>
        <w:t>s</w:t>
      </w:r>
      <w:r w:rsidR="00AB6667" w:rsidRPr="00F83B6E">
        <w:rPr>
          <w:color w:val="000000" w:themeColor="text1"/>
        </w:rPr>
        <w:t xml:space="preserve"> </w:t>
      </w:r>
      <w:r w:rsidR="00603D4C" w:rsidRPr="00F83B6E">
        <w:rPr>
          <w:color w:val="000000" w:themeColor="text1"/>
        </w:rPr>
        <w:t xml:space="preserve">through formal and informal mechanisms </w:t>
      </w:r>
      <w:r w:rsidR="00D607CA" w:rsidRPr="00F83B6E">
        <w:rPr>
          <w:color w:val="000000" w:themeColor="text1"/>
        </w:rPr>
        <w:t xml:space="preserve">and </w:t>
      </w:r>
      <w:r w:rsidR="00AC5534" w:rsidRPr="00F83B6E">
        <w:rPr>
          <w:color w:val="000000" w:themeColor="text1"/>
        </w:rPr>
        <w:t>secure</w:t>
      </w:r>
      <w:r w:rsidR="00603D4C" w:rsidRPr="00F83B6E">
        <w:rPr>
          <w:color w:val="000000" w:themeColor="text1"/>
        </w:rPr>
        <w:t xml:space="preserve"> their involvement in the </w:t>
      </w:r>
      <w:r w:rsidR="0001720B" w:rsidRPr="00F83B6E">
        <w:rPr>
          <w:color w:val="000000" w:themeColor="text1"/>
        </w:rPr>
        <w:t xml:space="preserve">KPP </w:t>
      </w:r>
      <w:r w:rsidR="00603D4C" w:rsidRPr="00F83B6E">
        <w:rPr>
          <w:color w:val="000000" w:themeColor="text1"/>
        </w:rPr>
        <w:t>grants agenda setting</w:t>
      </w:r>
      <w:r w:rsidR="0001720B" w:rsidRPr="00F83B6E">
        <w:rPr>
          <w:color w:val="000000" w:themeColor="text1"/>
        </w:rPr>
        <w:t>,</w:t>
      </w:r>
      <w:r w:rsidR="00603D4C" w:rsidRPr="00F83B6E">
        <w:rPr>
          <w:color w:val="000000" w:themeColor="text1"/>
        </w:rPr>
        <w:t xml:space="preserve"> knowledge dissemination and coalition-building activities. </w:t>
      </w:r>
      <w:r w:rsidR="00D607CA" w:rsidRPr="00F83B6E">
        <w:rPr>
          <w:color w:val="000000" w:themeColor="text1"/>
        </w:rPr>
        <w:t xml:space="preserve">To ensure respective priorities are aligned and coordinated upstream, relevant DFAT counsellors will be invited to participate in PSC and PTC meetings, and team leaders from relevant DFAT programs and representatives from </w:t>
      </w:r>
      <w:proofErr w:type="spellStart"/>
      <w:r w:rsidR="00D607CA" w:rsidRPr="00F83B6E">
        <w:rPr>
          <w:color w:val="000000" w:themeColor="text1"/>
        </w:rPr>
        <w:t>GoA</w:t>
      </w:r>
      <w:proofErr w:type="spellEnd"/>
      <w:r w:rsidR="00D607CA" w:rsidRPr="00F83B6E">
        <w:rPr>
          <w:color w:val="000000" w:themeColor="text1"/>
        </w:rPr>
        <w:t xml:space="preserve"> agencies (D</w:t>
      </w:r>
      <w:r w:rsidR="005C7C57" w:rsidRPr="00F83B6E">
        <w:rPr>
          <w:color w:val="000000" w:themeColor="text1"/>
        </w:rPr>
        <w:t>o</w:t>
      </w:r>
      <w:r w:rsidR="00D607CA" w:rsidRPr="00F83B6E">
        <w:rPr>
          <w:color w:val="000000" w:themeColor="text1"/>
        </w:rPr>
        <w:t>E, D</w:t>
      </w:r>
      <w:r w:rsidR="005C7C57" w:rsidRPr="00F83B6E">
        <w:rPr>
          <w:color w:val="000000" w:themeColor="text1"/>
        </w:rPr>
        <w:t>CCEEW</w:t>
      </w:r>
      <w:r w:rsidR="00D607CA" w:rsidRPr="00F83B6E">
        <w:rPr>
          <w:color w:val="000000" w:themeColor="text1"/>
        </w:rPr>
        <w:t xml:space="preserve">, ACIAR) will be invited in PTC meetings as observers. </w:t>
      </w:r>
      <w:r w:rsidR="00AB6667" w:rsidRPr="00F83B6E">
        <w:rPr>
          <w:color w:val="000000" w:themeColor="text1"/>
        </w:rPr>
        <w:t xml:space="preserve">DFAT representatives on KPP governance bodies will be able to </w:t>
      </w:r>
      <w:r w:rsidR="00AB6667" w:rsidRPr="00F83B6E">
        <w:rPr>
          <w:color w:val="000000" w:themeColor="text1"/>
        </w:rPr>
        <w:lastRenderedPageBreak/>
        <w:t>feed policy priorities and interest of other Australian ODA-funded programs into the KPP research agenda and to encourage coalition-building around shared policy engagement and reform processes.</w:t>
      </w:r>
    </w:p>
    <w:p w14:paraId="7AD5B399" w14:textId="1711DBBB" w:rsidR="00772D64" w:rsidRPr="00F83B6E" w:rsidRDefault="00D607CA" w:rsidP="00B91543">
      <w:pPr>
        <w:pStyle w:val="BodyText"/>
        <w:rPr>
          <w:color w:val="000000" w:themeColor="text1"/>
        </w:rPr>
      </w:pPr>
      <w:r w:rsidRPr="00F83B6E">
        <w:rPr>
          <w:color w:val="000000" w:themeColor="text1"/>
        </w:rPr>
        <w:t xml:space="preserve">In addition, </w:t>
      </w:r>
      <w:r w:rsidR="0061309E" w:rsidRPr="00F83B6E">
        <w:rPr>
          <w:color w:val="000000" w:themeColor="text1"/>
        </w:rPr>
        <w:t xml:space="preserve">Post K2P team will seek synergies between KPP and other </w:t>
      </w:r>
      <w:proofErr w:type="spellStart"/>
      <w:r w:rsidR="0001720B" w:rsidRPr="00F83B6E">
        <w:rPr>
          <w:color w:val="000000" w:themeColor="text1"/>
        </w:rPr>
        <w:t>GoA</w:t>
      </w:r>
      <w:proofErr w:type="spellEnd"/>
      <w:r w:rsidR="0061309E" w:rsidRPr="00F83B6E">
        <w:rPr>
          <w:color w:val="000000" w:themeColor="text1"/>
        </w:rPr>
        <w:t>-funded initiatives t</w:t>
      </w:r>
      <w:r w:rsidR="00C905BA" w:rsidRPr="00F83B6E">
        <w:rPr>
          <w:color w:val="000000" w:themeColor="text1"/>
        </w:rPr>
        <w:t xml:space="preserve">hrough its participation in the Embassy Education </w:t>
      </w:r>
      <w:r w:rsidR="0061309E" w:rsidRPr="00F83B6E">
        <w:rPr>
          <w:color w:val="000000" w:themeColor="text1"/>
        </w:rPr>
        <w:t xml:space="preserve">Roundtable - an existing whole-of-government coordination mechanism hosted by </w:t>
      </w:r>
      <w:r w:rsidR="000D2503" w:rsidRPr="00F83B6E">
        <w:rPr>
          <w:color w:val="000000" w:themeColor="text1"/>
        </w:rPr>
        <w:t>DOE</w:t>
      </w:r>
      <w:r w:rsidR="0061309E" w:rsidRPr="00F83B6E">
        <w:rPr>
          <w:color w:val="000000" w:themeColor="text1"/>
        </w:rPr>
        <w:t xml:space="preserve"> and chaired by </w:t>
      </w:r>
      <w:r w:rsidR="00F204DC" w:rsidRPr="00F83B6E">
        <w:rPr>
          <w:color w:val="000000" w:themeColor="text1"/>
        </w:rPr>
        <w:t xml:space="preserve">the </w:t>
      </w:r>
      <w:r w:rsidR="0061309E" w:rsidRPr="00F83B6E">
        <w:rPr>
          <w:color w:val="000000" w:themeColor="text1"/>
        </w:rPr>
        <w:t>DHOM</w:t>
      </w:r>
      <w:r w:rsidR="00C905BA" w:rsidRPr="00F83B6E">
        <w:rPr>
          <w:color w:val="000000" w:themeColor="text1"/>
        </w:rPr>
        <w:t xml:space="preserve">. Improved coordination </w:t>
      </w:r>
      <w:r w:rsidR="00E10094" w:rsidRPr="00F83B6E">
        <w:rPr>
          <w:color w:val="000000" w:themeColor="text1"/>
        </w:rPr>
        <w:t xml:space="preserve">of strategies and approaches </w:t>
      </w:r>
      <w:r w:rsidR="00C905BA" w:rsidRPr="00F83B6E">
        <w:rPr>
          <w:color w:val="000000" w:themeColor="text1"/>
        </w:rPr>
        <w:t xml:space="preserve">with those agencies at </w:t>
      </w:r>
      <w:r w:rsidR="0061309E" w:rsidRPr="00F83B6E">
        <w:rPr>
          <w:color w:val="000000" w:themeColor="text1"/>
        </w:rPr>
        <w:t>P</w:t>
      </w:r>
      <w:r w:rsidR="00C905BA" w:rsidRPr="00F83B6E">
        <w:rPr>
          <w:color w:val="000000" w:themeColor="text1"/>
        </w:rPr>
        <w:t xml:space="preserve">ost will clarify complementarities between </w:t>
      </w:r>
      <w:r w:rsidR="00105ABB" w:rsidRPr="00F83B6E">
        <w:rPr>
          <w:color w:val="000000" w:themeColor="text1"/>
        </w:rPr>
        <w:t>KPP</w:t>
      </w:r>
      <w:r w:rsidR="00C905BA" w:rsidRPr="00F83B6E">
        <w:rPr>
          <w:color w:val="000000" w:themeColor="text1"/>
        </w:rPr>
        <w:t xml:space="preserve"> and other Australian initiatives, particularly those targeting </w:t>
      </w:r>
      <w:r w:rsidR="00105ABB" w:rsidRPr="00F83B6E">
        <w:rPr>
          <w:color w:val="000000" w:themeColor="text1"/>
        </w:rPr>
        <w:t>research partnerships</w:t>
      </w:r>
      <w:r w:rsidR="00C905BA" w:rsidRPr="00F83B6E">
        <w:rPr>
          <w:color w:val="000000" w:themeColor="text1"/>
        </w:rPr>
        <w:t>.</w:t>
      </w:r>
      <w:r w:rsidR="00105ABB" w:rsidRPr="00F83B6E">
        <w:rPr>
          <w:color w:val="000000" w:themeColor="text1"/>
        </w:rPr>
        <w:t xml:space="preserve"> Consideration will be given to periodic participation by key </w:t>
      </w:r>
      <w:proofErr w:type="spellStart"/>
      <w:r w:rsidR="00105ABB" w:rsidRPr="00F83B6E">
        <w:rPr>
          <w:color w:val="000000" w:themeColor="text1"/>
        </w:rPr>
        <w:t>GoA</w:t>
      </w:r>
      <w:proofErr w:type="spellEnd"/>
      <w:r w:rsidR="00105ABB" w:rsidRPr="00F83B6E">
        <w:rPr>
          <w:color w:val="000000" w:themeColor="text1"/>
        </w:rPr>
        <w:t xml:space="preserve"> agencies without representation at the Embassy, such as D</w:t>
      </w:r>
      <w:r w:rsidR="005C7C57" w:rsidRPr="00F83B6E">
        <w:rPr>
          <w:color w:val="000000" w:themeColor="text1"/>
        </w:rPr>
        <w:t>CCEEW</w:t>
      </w:r>
      <w:r w:rsidR="00105ABB" w:rsidRPr="00F83B6E">
        <w:rPr>
          <w:color w:val="000000" w:themeColor="text1"/>
        </w:rPr>
        <w:t>.</w:t>
      </w:r>
      <w:r w:rsidR="0001720B" w:rsidRPr="00F83B6E">
        <w:rPr>
          <w:color w:val="000000" w:themeColor="text1"/>
        </w:rPr>
        <w:t xml:space="preserve"> </w:t>
      </w:r>
      <w:r w:rsidR="00260AF4" w:rsidRPr="00F83B6E">
        <w:rPr>
          <w:color w:val="000000" w:themeColor="text1"/>
        </w:rPr>
        <w:t xml:space="preserve"> </w:t>
      </w:r>
    </w:p>
    <w:p w14:paraId="2857EB17" w14:textId="77777777" w:rsidR="00C905BA" w:rsidRPr="00F83B6E" w:rsidRDefault="00C905BA" w:rsidP="00F27241">
      <w:pPr>
        <w:pStyle w:val="Heading2"/>
        <w:rPr>
          <w:color w:val="000000" w:themeColor="text1"/>
        </w:rPr>
      </w:pPr>
      <w:bookmarkStart w:id="21" w:name="_Toc146528288"/>
      <w:r w:rsidRPr="00F83B6E">
        <w:rPr>
          <w:color w:val="000000" w:themeColor="text1"/>
        </w:rPr>
        <w:t>Sustainability</w:t>
      </w:r>
      <w:bookmarkEnd w:id="21"/>
    </w:p>
    <w:p w14:paraId="4FE29145" w14:textId="02444927" w:rsidR="00C905BA" w:rsidRPr="00F83B6E" w:rsidRDefault="00C905BA" w:rsidP="00B91543">
      <w:pPr>
        <w:pStyle w:val="BodyText"/>
        <w:rPr>
          <w:color w:val="000000" w:themeColor="text1"/>
        </w:rPr>
      </w:pPr>
      <w:r w:rsidRPr="00F83B6E">
        <w:rPr>
          <w:color w:val="000000" w:themeColor="text1"/>
        </w:rPr>
        <w:t xml:space="preserve">The sustainability of </w:t>
      </w:r>
      <w:r w:rsidR="002C2FA4" w:rsidRPr="00F83B6E">
        <w:rPr>
          <w:color w:val="000000" w:themeColor="text1"/>
        </w:rPr>
        <w:t xml:space="preserve">KPP </w:t>
      </w:r>
      <w:r w:rsidRPr="00F83B6E">
        <w:rPr>
          <w:color w:val="000000" w:themeColor="text1"/>
        </w:rPr>
        <w:t xml:space="preserve">outcomes is determined by </w:t>
      </w:r>
      <w:r w:rsidR="00147C2A" w:rsidRPr="00F83B6E">
        <w:rPr>
          <w:color w:val="000000" w:themeColor="text1"/>
        </w:rPr>
        <w:t xml:space="preserve">the partnerships’ legacy in terms </w:t>
      </w:r>
      <w:r w:rsidRPr="00F83B6E">
        <w:rPr>
          <w:color w:val="000000" w:themeColor="text1"/>
        </w:rPr>
        <w:t xml:space="preserve">of commitment and ongoing engagement of </w:t>
      </w:r>
      <w:r w:rsidR="00603D4C" w:rsidRPr="00F83B6E">
        <w:rPr>
          <w:color w:val="000000" w:themeColor="text1"/>
        </w:rPr>
        <w:t>partners</w:t>
      </w:r>
      <w:r w:rsidR="00CF40E3" w:rsidRPr="00F83B6E">
        <w:rPr>
          <w:color w:val="000000" w:themeColor="text1"/>
        </w:rPr>
        <w:t xml:space="preserve"> beyond KPP support, and </w:t>
      </w:r>
      <w:r w:rsidR="00147C2A" w:rsidRPr="00F83B6E">
        <w:rPr>
          <w:color w:val="000000" w:themeColor="text1"/>
        </w:rPr>
        <w:t xml:space="preserve">the level </w:t>
      </w:r>
      <w:r w:rsidR="00CF40E3" w:rsidRPr="00F83B6E">
        <w:rPr>
          <w:color w:val="000000" w:themeColor="text1"/>
        </w:rPr>
        <w:t xml:space="preserve">of </w:t>
      </w:r>
      <w:r w:rsidR="002C2FA4" w:rsidRPr="00F83B6E">
        <w:rPr>
          <w:color w:val="000000" w:themeColor="text1"/>
        </w:rPr>
        <w:t xml:space="preserve">the uptake </w:t>
      </w:r>
      <w:r w:rsidR="00147C2A" w:rsidRPr="00F83B6E">
        <w:rPr>
          <w:color w:val="000000" w:themeColor="text1"/>
        </w:rPr>
        <w:t>o</w:t>
      </w:r>
      <w:r w:rsidR="002C2FA4" w:rsidRPr="00F83B6E">
        <w:rPr>
          <w:color w:val="000000" w:themeColor="text1"/>
        </w:rPr>
        <w:t xml:space="preserve">f </w:t>
      </w:r>
      <w:r w:rsidR="00147C2A" w:rsidRPr="00F83B6E">
        <w:rPr>
          <w:color w:val="000000" w:themeColor="text1"/>
        </w:rPr>
        <w:t xml:space="preserve">KPP-supported </w:t>
      </w:r>
      <w:r w:rsidR="002C2FA4" w:rsidRPr="00F83B6E">
        <w:rPr>
          <w:color w:val="000000" w:themeColor="text1"/>
        </w:rPr>
        <w:t>knowledge in</w:t>
      </w:r>
      <w:r w:rsidR="00CF40E3" w:rsidRPr="00F83B6E">
        <w:rPr>
          <w:color w:val="000000" w:themeColor="text1"/>
        </w:rPr>
        <w:t xml:space="preserve"> </w:t>
      </w:r>
      <w:r w:rsidR="00147C2A" w:rsidRPr="00F83B6E">
        <w:rPr>
          <w:color w:val="000000" w:themeColor="text1"/>
        </w:rPr>
        <w:t xml:space="preserve">relevant </w:t>
      </w:r>
      <w:r w:rsidR="00CF40E3" w:rsidRPr="00F83B6E">
        <w:rPr>
          <w:color w:val="000000" w:themeColor="text1"/>
        </w:rPr>
        <w:t xml:space="preserve">policies and technologies. </w:t>
      </w:r>
      <w:r w:rsidR="000074D2" w:rsidRPr="00F83B6E">
        <w:rPr>
          <w:color w:val="000000" w:themeColor="text1"/>
        </w:rPr>
        <w:t xml:space="preserve">The program long term impact will also be reflected in potential changes to the knowledge and innovation ecosystem and how they incentivise or constrain research production and uptake. </w:t>
      </w:r>
      <w:r w:rsidR="00B16A01" w:rsidRPr="00F83B6E">
        <w:rPr>
          <w:color w:val="000000" w:themeColor="text1"/>
        </w:rPr>
        <w:t>These legacies</w:t>
      </w:r>
      <w:r w:rsidR="00CF40E3" w:rsidRPr="00F83B6E">
        <w:rPr>
          <w:color w:val="000000" w:themeColor="text1"/>
        </w:rPr>
        <w:t xml:space="preserve"> are beyond the sphere of control and influence of </w:t>
      </w:r>
      <w:r w:rsidR="0001720B" w:rsidRPr="00F83B6E">
        <w:rPr>
          <w:color w:val="000000" w:themeColor="text1"/>
        </w:rPr>
        <w:t>the program</w:t>
      </w:r>
      <w:r w:rsidR="00CF40E3" w:rsidRPr="00F83B6E">
        <w:rPr>
          <w:color w:val="000000" w:themeColor="text1"/>
        </w:rPr>
        <w:t xml:space="preserve">. However, they </w:t>
      </w:r>
      <w:r w:rsidR="0001720B" w:rsidRPr="00F83B6E">
        <w:rPr>
          <w:color w:val="000000" w:themeColor="text1"/>
        </w:rPr>
        <w:t xml:space="preserve">are within its sphere of interest and </w:t>
      </w:r>
      <w:r w:rsidR="00CF40E3" w:rsidRPr="00F83B6E">
        <w:rPr>
          <w:color w:val="000000" w:themeColor="text1"/>
        </w:rPr>
        <w:t>will be</w:t>
      </w:r>
      <w:r w:rsidR="00C16C74" w:rsidRPr="00F83B6E">
        <w:rPr>
          <w:color w:val="000000" w:themeColor="text1"/>
        </w:rPr>
        <w:t xml:space="preserve"> </w:t>
      </w:r>
      <w:r w:rsidR="00CF40E3" w:rsidRPr="00F83B6E">
        <w:rPr>
          <w:color w:val="000000" w:themeColor="text1"/>
        </w:rPr>
        <w:t xml:space="preserve">investigated as part of the program MEL </w:t>
      </w:r>
      <w:r w:rsidR="000074D2" w:rsidRPr="00F83B6E">
        <w:rPr>
          <w:color w:val="000000" w:themeColor="text1"/>
        </w:rPr>
        <w:t xml:space="preserve">efforts </w:t>
      </w:r>
      <w:r w:rsidR="00CF40E3" w:rsidRPr="00F83B6E">
        <w:rPr>
          <w:color w:val="000000" w:themeColor="text1"/>
        </w:rPr>
        <w:t>to learn about factors of partnership strength and knowledge use</w:t>
      </w:r>
      <w:r w:rsidR="00F216E4" w:rsidRPr="00F83B6E">
        <w:rPr>
          <w:color w:val="000000" w:themeColor="text1"/>
        </w:rPr>
        <w:t xml:space="preserve"> (see section </w:t>
      </w:r>
      <w:r w:rsidR="002541A6" w:rsidRPr="00F83B6E">
        <w:rPr>
          <w:color w:val="000000" w:themeColor="text1"/>
        </w:rPr>
        <w:t>D</w:t>
      </w:r>
      <w:r w:rsidR="00F216E4" w:rsidRPr="00F83B6E">
        <w:rPr>
          <w:color w:val="000000" w:themeColor="text1"/>
        </w:rPr>
        <w:t>)</w:t>
      </w:r>
      <w:r w:rsidR="00CF40E3" w:rsidRPr="00F83B6E">
        <w:rPr>
          <w:color w:val="000000" w:themeColor="text1"/>
        </w:rPr>
        <w:t xml:space="preserve">. </w:t>
      </w:r>
      <w:r w:rsidRPr="00F83B6E">
        <w:rPr>
          <w:color w:val="000000" w:themeColor="text1"/>
        </w:rPr>
        <w:t xml:space="preserve">The </w:t>
      </w:r>
      <w:r w:rsidR="00F216E4" w:rsidRPr="00F83B6E">
        <w:rPr>
          <w:color w:val="000000" w:themeColor="text1"/>
        </w:rPr>
        <w:t xml:space="preserve">proposed </w:t>
      </w:r>
      <w:r w:rsidRPr="00F83B6E">
        <w:rPr>
          <w:color w:val="000000" w:themeColor="text1"/>
        </w:rPr>
        <w:t xml:space="preserve">approach </w:t>
      </w:r>
      <w:r w:rsidR="00CF40E3" w:rsidRPr="00F83B6E">
        <w:rPr>
          <w:color w:val="000000" w:themeColor="text1"/>
        </w:rPr>
        <w:t>encourages</w:t>
      </w:r>
      <w:r w:rsidRPr="00F83B6E">
        <w:rPr>
          <w:color w:val="000000" w:themeColor="text1"/>
        </w:rPr>
        <w:t xml:space="preserve"> the sustainability of program outcomes in the following ways:</w:t>
      </w:r>
    </w:p>
    <w:p w14:paraId="61D328E6" w14:textId="7470A2A7" w:rsidR="00B16A01" w:rsidRPr="00F83B6E" w:rsidRDefault="00E67EE9" w:rsidP="00E6202D">
      <w:pPr>
        <w:pStyle w:val="Bullet1"/>
        <w:rPr>
          <w:color w:val="000000" w:themeColor="text1"/>
        </w:rPr>
      </w:pPr>
      <w:r w:rsidRPr="00F83B6E">
        <w:rPr>
          <w:color w:val="000000" w:themeColor="text1"/>
        </w:rPr>
        <w:t>O</w:t>
      </w:r>
      <w:r w:rsidR="00B60E27" w:rsidRPr="00F83B6E">
        <w:rPr>
          <w:color w:val="000000" w:themeColor="text1"/>
        </w:rPr>
        <w:t xml:space="preserve">pportunities for KPP generated knowledge to be used </w:t>
      </w:r>
      <w:r w:rsidR="00B16A01" w:rsidRPr="00F83B6E">
        <w:rPr>
          <w:color w:val="000000" w:themeColor="text1"/>
        </w:rPr>
        <w:t xml:space="preserve">and for the benefits of research and innovation to last </w:t>
      </w:r>
      <w:r w:rsidR="00B60E27" w:rsidRPr="00F83B6E">
        <w:rPr>
          <w:color w:val="000000" w:themeColor="text1"/>
        </w:rPr>
        <w:t>will</w:t>
      </w:r>
      <w:r w:rsidR="00C16C74" w:rsidRPr="00F83B6E">
        <w:rPr>
          <w:color w:val="000000" w:themeColor="text1"/>
        </w:rPr>
        <w:t xml:space="preserve"> </w:t>
      </w:r>
      <w:r w:rsidR="00B60E27" w:rsidRPr="00F83B6E">
        <w:rPr>
          <w:color w:val="000000" w:themeColor="text1"/>
        </w:rPr>
        <w:t xml:space="preserve">be maximised by ensuring themes of mutual interest are </w:t>
      </w:r>
      <w:r w:rsidR="0001720B" w:rsidRPr="00F83B6E">
        <w:rPr>
          <w:color w:val="000000" w:themeColor="text1"/>
        </w:rPr>
        <w:t>identifi</w:t>
      </w:r>
      <w:r w:rsidR="00B60E27" w:rsidRPr="00F83B6E">
        <w:rPr>
          <w:color w:val="000000" w:themeColor="text1"/>
        </w:rPr>
        <w:t>ed</w:t>
      </w:r>
      <w:r w:rsidR="0001720B" w:rsidRPr="00F83B6E">
        <w:rPr>
          <w:color w:val="000000" w:themeColor="text1"/>
        </w:rPr>
        <w:t xml:space="preserve"> in an inclusive, informed and realistic manner</w:t>
      </w:r>
      <w:r w:rsidR="00B60E27" w:rsidRPr="00F83B6E">
        <w:rPr>
          <w:color w:val="000000" w:themeColor="text1"/>
        </w:rPr>
        <w:t xml:space="preserve">, </w:t>
      </w:r>
      <w:r w:rsidR="00147C2A" w:rsidRPr="00F83B6E">
        <w:rPr>
          <w:color w:val="000000" w:themeColor="text1"/>
        </w:rPr>
        <w:t xml:space="preserve">and </w:t>
      </w:r>
      <w:r w:rsidR="00B60E27" w:rsidRPr="00F83B6E">
        <w:rPr>
          <w:color w:val="000000" w:themeColor="text1"/>
        </w:rPr>
        <w:t xml:space="preserve">by engaging early on with potential users and interested parties, </w:t>
      </w:r>
      <w:r w:rsidR="0044682C" w:rsidRPr="00F83B6E">
        <w:rPr>
          <w:color w:val="000000" w:themeColor="text1"/>
        </w:rPr>
        <w:t>such as</w:t>
      </w:r>
      <w:r w:rsidR="00B60E27" w:rsidRPr="00F83B6E">
        <w:rPr>
          <w:color w:val="000000" w:themeColor="text1"/>
        </w:rPr>
        <w:t xml:space="preserve"> during </w:t>
      </w:r>
      <w:r w:rsidR="0044682C" w:rsidRPr="00F83B6E">
        <w:rPr>
          <w:color w:val="000000" w:themeColor="text1"/>
        </w:rPr>
        <w:t xml:space="preserve">an </w:t>
      </w:r>
      <w:r w:rsidR="00B60E27" w:rsidRPr="00F83B6E">
        <w:rPr>
          <w:color w:val="000000" w:themeColor="text1"/>
        </w:rPr>
        <w:t xml:space="preserve">ideation conference. </w:t>
      </w:r>
    </w:p>
    <w:p w14:paraId="52CA058D" w14:textId="1A8B75D5" w:rsidR="00B16A01" w:rsidRPr="00F83B6E" w:rsidRDefault="00B16A01" w:rsidP="00E6202D">
      <w:pPr>
        <w:pStyle w:val="Bullet1"/>
        <w:rPr>
          <w:color w:val="000000" w:themeColor="text1"/>
        </w:rPr>
      </w:pPr>
      <w:r w:rsidRPr="00F83B6E">
        <w:rPr>
          <w:color w:val="000000" w:themeColor="text1"/>
        </w:rPr>
        <w:t>T</w:t>
      </w:r>
      <w:r w:rsidR="00CF40E3" w:rsidRPr="00F83B6E">
        <w:rPr>
          <w:color w:val="000000" w:themeColor="text1"/>
        </w:rPr>
        <w:t xml:space="preserve">he development and strengthening </w:t>
      </w:r>
      <w:r w:rsidR="00B60E27" w:rsidRPr="00F83B6E">
        <w:rPr>
          <w:color w:val="000000" w:themeColor="text1"/>
        </w:rPr>
        <w:t xml:space="preserve">of </w:t>
      </w:r>
      <w:r w:rsidR="00A16BAA" w:rsidRPr="00F83B6E">
        <w:rPr>
          <w:color w:val="000000" w:themeColor="text1"/>
        </w:rPr>
        <w:t>collaborative</w:t>
      </w:r>
      <w:r w:rsidR="00CF40E3" w:rsidRPr="00F83B6E">
        <w:rPr>
          <w:color w:val="000000" w:themeColor="text1"/>
        </w:rPr>
        <w:t xml:space="preserve"> </w:t>
      </w:r>
      <w:r w:rsidR="00A16BAA" w:rsidRPr="00F83B6E">
        <w:rPr>
          <w:color w:val="000000" w:themeColor="text1"/>
        </w:rPr>
        <w:t>partnership</w:t>
      </w:r>
      <w:r w:rsidR="00CF40E3" w:rsidRPr="00F83B6E">
        <w:rPr>
          <w:color w:val="000000" w:themeColor="text1"/>
        </w:rPr>
        <w:t xml:space="preserve">s will provide benefits for </w:t>
      </w:r>
      <w:r w:rsidR="00A16BAA" w:rsidRPr="00F83B6E">
        <w:rPr>
          <w:color w:val="000000" w:themeColor="text1"/>
        </w:rPr>
        <w:t>partners beyond the lifetime of the research project</w:t>
      </w:r>
      <w:r w:rsidR="00CF40E3" w:rsidRPr="00F83B6E">
        <w:rPr>
          <w:color w:val="000000" w:themeColor="text1"/>
        </w:rPr>
        <w:t xml:space="preserve">. These relationships will enable partners to observe and learn about </w:t>
      </w:r>
      <w:r w:rsidR="00AB706C" w:rsidRPr="00F83B6E">
        <w:rPr>
          <w:color w:val="000000" w:themeColor="text1"/>
        </w:rPr>
        <w:t>each other’s</w:t>
      </w:r>
      <w:r w:rsidR="00A16BAA" w:rsidRPr="00F83B6E">
        <w:rPr>
          <w:color w:val="000000" w:themeColor="text1"/>
        </w:rPr>
        <w:t xml:space="preserve"> </w:t>
      </w:r>
      <w:r w:rsidR="00CF40E3" w:rsidRPr="00F83B6E">
        <w:rPr>
          <w:color w:val="000000" w:themeColor="text1"/>
        </w:rPr>
        <w:t xml:space="preserve">service provision </w:t>
      </w:r>
      <w:r w:rsidR="00B60E27" w:rsidRPr="00F83B6E">
        <w:rPr>
          <w:color w:val="000000" w:themeColor="text1"/>
        </w:rPr>
        <w:t xml:space="preserve">methods </w:t>
      </w:r>
      <w:r w:rsidR="00CF40E3" w:rsidRPr="00F83B6E">
        <w:rPr>
          <w:color w:val="000000" w:themeColor="text1"/>
        </w:rPr>
        <w:t>and management practices</w:t>
      </w:r>
      <w:r w:rsidRPr="00F83B6E">
        <w:rPr>
          <w:color w:val="000000" w:themeColor="text1"/>
        </w:rPr>
        <w:t>, and will lead to</w:t>
      </w:r>
      <w:r w:rsidR="004736A5" w:rsidRPr="00F83B6E">
        <w:rPr>
          <w:color w:val="000000" w:themeColor="text1"/>
        </w:rPr>
        <w:t xml:space="preserve"> </w:t>
      </w:r>
      <w:r w:rsidRPr="00F83B6E">
        <w:rPr>
          <w:color w:val="000000" w:themeColor="text1"/>
        </w:rPr>
        <w:t>sustained improvements in partners’ capacity to identify problems and develop solutions.</w:t>
      </w:r>
    </w:p>
    <w:p w14:paraId="50102BF5" w14:textId="0A5DAB56" w:rsidR="00A16BAA" w:rsidRPr="00F83B6E" w:rsidRDefault="00A16BAA" w:rsidP="00E6202D">
      <w:pPr>
        <w:pStyle w:val="Bullet1"/>
        <w:rPr>
          <w:color w:val="000000" w:themeColor="text1"/>
        </w:rPr>
      </w:pPr>
      <w:r w:rsidRPr="00F83B6E">
        <w:rPr>
          <w:color w:val="000000" w:themeColor="text1"/>
        </w:rPr>
        <w:t>The</w:t>
      </w:r>
      <w:r w:rsidR="00B16A01" w:rsidRPr="00F83B6E">
        <w:rPr>
          <w:color w:val="000000" w:themeColor="text1"/>
        </w:rPr>
        <w:t xml:space="preserve"> potential for KPP to leverage existing financial and in-kind resource – for instance through</w:t>
      </w:r>
      <w:r w:rsidR="004736A5" w:rsidRPr="00F83B6E">
        <w:rPr>
          <w:color w:val="000000" w:themeColor="text1"/>
        </w:rPr>
        <w:t xml:space="preserve"> </w:t>
      </w:r>
      <w:r w:rsidR="00B16A01" w:rsidRPr="00F83B6E">
        <w:rPr>
          <w:color w:val="000000" w:themeColor="text1"/>
        </w:rPr>
        <w:t xml:space="preserve">the </w:t>
      </w:r>
      <w:r w:rsidRPr="00F83B6E">
        <w:rPr>
          <w:color w:val="000000" w:themeColor="text1"/>
        </w:rPr>
        <w:t xml:space="preserve">co-funding requirement for </w:t>
      </w:r>
      <w:proofErr w:type="spellStart"/>
      <w:r w:rsidRPr="00F83B6E">
        <w:rPr>
          <w:i/>
          <w:iCs/>
          <w:color w:val="000000" w:themeColor="text1"/>
        </w:rPr>
        <w:t>Bertumbuh</w:t>
      </w:r>
      <w:proofErr w:type="spellEnd"/>
      <w:r w:rsidRPr="00F83B6E">
        <w:rPr>
          <w:color w:val="000000" w:themeColor="text1"/>
        </w:rPr>
        <w:t xml:space="preserve"> and </w:t>
      </w:r>
      <w:proofErr w:type="spellStart"/>
      <w:r w:rsidRPr="00F83B6E">
        <w:rPr>
          <w:i/>
          <w:iCs/>
          <w:color w:val="000000" w:themeColor="text1"/>
        </w:rPr>
        <w:t>Ber</w:t>
      </w:r>
      <w:r w:rsidR="00AB706C" w:rsidRPr="00F83B6E">
        <w:rPr>
          <w:i/>
          <w:iCs/>
          <w:color w:val="000000" w:themeColor="text1"/>
        </w:rPr>
        <w:t>b</w:t>
      </w:r>
      <w:r w:rsidRPr="00F83B6E">
        <w:rPr>
          <w:i/>
          <w:iCs/>
          <w:color w:val="000000" w:themeColor="text1"/>
        </w:rPr>
        <w:t>uah</w:t>
      </w:r>
      <w:proofErr w:type="spellEnd"/>
      <w:r w:rsidRPr="00F83B6E">
        <w:rPr>
          <w:i/>
          <w:iCs/>
          <w:color w:val="000000" w:themeColor="text1"/>
        </w:rPr>
        <w:t xml:space="preserve"> </w:t>
      </w:r>
      <w:r w:rsidRPr="00F83B6E">
        <w:rPr>
          <w:color w:val="000000" w:themeColor="text1"/>
        </w:rPr>
        <w:t xml:space="preserve">grant types </w:t>
      </w:r>
      <w:r w:rsidR="00B16A01" w:rsidRPr="00F83B6E">
        <w:rPr>
          <w:color w:val="000000" w:themeColor="text1"/>
        </w:rPr>
        <w:t xml:space="preserve">- </w:t>
      </w:r>
      <w:r w:rsidRPr="00F83B6E">
        <w:rPr>
          <w:color w:val="000000" w:themeColor="text1"/>
        </w:rPr>
        <w:t xml:space="preserve">will ensure </w:t>
      </w:r>
      <w:r w:rsidR="00B16A01" w:rsidRPr="00F83B6E">
        <w:rPr>
          <w:color w:val="000000" w:themeColor="text1"/>
        </w:rPr>
        <w:t>partners</w:t>
      </w:r>
      <w:r w:rsidRPr="00F83B6E">
        <w:rPr>
          <w:color w:val="000000" w:themeColor="text1"/>
        </w:rPr>
        <w:t xml:space="preserve"> have ‘skin in the game’</w:t>
      </w:r>
      <w:r w:rsidR="00B16A01" w:rsidRPr="00F83B6E">
        <w:rPr>
          <w:color w:val="000000" w:themeColor="text1"/>
        </w:rPr>
        <w:t xml:space="preserve">. The selection criteria will ensure partnerships </w:t>
      </w:r>
      <w:r w:rsidR="001D3A41" w:rsidRPr="00F83B6E">
        <w:rPr>
          <w:color w:val="000000" w:themeColor="text1"/>
        </w:rPr>
        <w:t xml:space="preserve">include diverse partners and stakeholders including private sector organisations, that they </w:t>
      </w:r>
      <w:r w:rsidR="00B16A01" w:rsidRPr="00F83B6E">
        <w:rPr>
          <w:color w:val="000000" w:themeColor="text1"/>
        </w:rPr>
        <w:t>demonstrate strength in the research process</w:t>
      </w:r>
      <w:r w:rsidR="001D3A41" w:rsidRPr="00F83B6E">
        <w:rPr>
          <w:color w:val="000000" w:themeColor="text1"/>
        </w:rPr>
        <w:t>,</w:t>
      </w:r>
      <w:r w:rsidR="00B16A01" w:rsidRPr="00F83B6E">
        <w:rPr>
          <w:color w:val="000000" w:themeColor="text1"/>
        </w:rPr>
        <w:t xml:space="preserve"> and that partners understand, value and commit to the collaborative process</w:t>
      </w:r>
      <w:r w:rsidRPr="00F83B6E">
        <w:rPr>
          <w:color w:val="000000" w:themeColor="text1"/>
        </w:rPr>
        <w:t>.</w:t>
      </w:r>
      <w:r w:rsidR="00EF0E36" w:rsidRPr="00F83B6E">
        <w:rPr>
          <w:color w:val="000000" w:themeColor="text1"/>
        </w:rPr>
        <w:t xml:space="preserve"> KPP will also collect data on changes in the composition of funding to partnerships and potentially to institutions to better quantify </w:t>
      </w:r>
      <w:r w:rsidR="001D3A41" w:rsidRPr="00F83B6E">
        <w:rPr>
          <w:color w:val="000000" w:themeColor="text1"/>
        </w:rPr>
        <w:t>its</w:t>
      </w:r>
      <w:r w:rsidR="00EF0E36" w:rsidRPr="00F83B6E">
        <w:rPr>
          <w:color w:val="000000" w:themeColor="text1"/>
        </w:rPr>
        <w:t xml:space="preserve"> </w:t>
      </w:r>
      <w:r w:rsidR="00F518CF" w:rsidRPr="00F83B6E">
        <w:rPr>
          <w:color w:val="000000" w:themeColor="text1"/>
        </w:rPr>
        <w:t xml:space="preserve">financial </w:t>
      </w:r>
      <w:r w:rsidR="00EF0E36" w:rsidRPr="00F83B6E">
        <w:rPr>
          <w:color w:val="000000" w:themeColor="text1"/>
        </w:rPr>
        <w:t xml:space="preserve">leverage </w:t>
      </w:r>
      <w:r w:rsidR="00F518CF" w:rsidRPr="00F83B6E">
        <w:rPr>
          <w:color w:val="000000" w:themeColor="text1"/>
        </w:rPr>
        <w:t>capacity</w:t>
      </w:r>
      <w:r w:rsidR="00EF0E36" w:rsidRPr="00F83B6E">
        <w:rPr>
          <w:color w:val="000000" w:themeColor="text1"/>
        </w:rPr>
        <w:t>.</w:t>
      </w:r>
    </w:p>
    <w:p w14:paraId="31EFC039" w14:textId="1D324033" w:rsidR="00B16A01" w:rsidRPr="00F83B6E" w:rsidRDefault="00B16A01" w:rsidP="00B16A01">
      <w:pPr>
        <w:pStyle w:val="Bullet1"/>
        <w:rPr>
          <w:color w:val="000000" w:themeColor="text1"/>
        </w:rPr>
      </w:pPr>
      <w:r w:rsidRPr="00F83B6E">
        <w:rPr>
          <w:color w:val="000000" w:themeColor="text1"/>
        </w:rPr>
        <w:t>The Platform Hub’s effort to support knowledge dissemination and networking activities will provide opportunities for partners to develop links with a range of stakeholders, before, during and after their research project.</w:t>
      </w:r>
    </w:p>
    <w:p w14:paraId="6417C68D" w14:textId="13618F92" w:rsidR="00B16A01" w:rsidRPr="00F83B6E" w:rsidRDefault="00A16BAA" w:rsidP="00E6202D">
      <w:pPr>
        <w:pStyle w:val="Bullet1"/>
        <w:rPr>
          <w:color w:val="000000" w:themeColor="text1"/>
        </w:rPr>
      </w:pPr>
      <w:r w:rsidRPr="00F83B6E">
        <w:rPr>
          <w:color w:val="000000" w:themeColor="text1"/>
        </w:rPr>
        <w:t>KPP</w:t>
      </w:r>
      <w:r w:rsidR="00B16A01" w:rsidRPr="00F83B6E">
        <w:rPr>
          <w:color w:val="000000" w:themeColor="text1"/>
        </w:rPr>
        <w:t xml:space="preserve"> support to specific reforms in the knowledge and innovation ecosystem will be </w:t>
      </w:r>
      <w:r w:rsidR="001C4592" w:rsidRPr="00F83B6E">
        <w:rPr>
          <w:color w:val="000000" w:themeColor="text1"/>
        </w:rPr>
        <w:t xml:space="preserve">targeted and </w:t>
      </w:r>
      <w:r w:rsidR="00B16A01" w:rsidRPr="00F83B6E">
        <w:rPr>
          <w:color w:val="000000" w:themeColor="text1"/>
        </w:rPr>
        <w:t>delivered to ensure direct benefits for KPP activities but also to bring longer and wider impact on research collaboration and partnerships beyond KPP activities.</w:t>
      </w:r>
      <w:r w:rsidR="001C4592" w:rsidRPr="00F83B6E">
        <w:rPr>
          <w:color w:val="000000" w:themeColor="text1"/>
        </w:rPr>
        <w:t xml:space="preserve"> The Platform Hub will periodically review the level and landscape of research financing </w:t>
      </w:r>
      <w:r w:rsidR="00AC567B" w:rsidRPr="00F83B6E">
        <w:rPr>
          <w:color w:val="000000" w:themeColor="text1"/>
        </w:rPr>
        <w:t xml:space="preserve">schemes </w:t>
      </w:r>
      <w:r w:rsidR="001C4592" w:rsidRPr="00F83B6E">
        <w:rPr>
          <w:color w:val="000000" w:themeColor="text1"/>
        </w:rPr>
        <w:t xml:space="preserve">from </w:t>
      </w:r>
      <w:proofErr w:type="spellStart"/>
      <w:r w:rsidR="001C4592" w:rsidRPr="00F83B6E">
        <w:rPr>
          <w:color w:val="000000" w:themeColor="text1"/>
        </w:rPr>
        <w:t>GoI</w:t>
      </w:r>
      <w:proofErr w:type="spellEnd"/>
      <w:r w:rsidR="001C4592" w:rsidRPr="00F83B6E">
        <w:rPr>
          <w:color w:val="000000" w:themeColor="text1"/>
        </w:rPr>
        <w:t xml:space="preserve"> and </w:t>
      </w:r>
      <w:proofErr w:type="spellStart"/>
      <w:r w:rsidR="001C4592" w:rsidRPr="00F83B6E">
        <w:rPr>
          <w:color w:val="000000" w:themeColor="text1"/>
        </w:rPr>
        <w:t>GoA</w:t>
      </w:r>
      <w:proofErr w:type="spellEnd"/>
      <w:r w:rsidR="00AC567B" w:rsidRPr="00F83B6E">
        <w:rPr>
          <w:color w:val="000000" w:themeColor="text1"/>
        </w:rPr>
        <w:t>,</w:t>
      </w:r>
      <w:r w:rsidR="001C4592" w:rsidRPr="00F83B6E">
        <w:rPr>
          <w:color w:val="000000" w:themeColor="text1"/>
        </w:rPr>
        <w:t xml:space="preserve"> both in terms of </w:t>
      </w:r>
      <w:r w:rsidR="00AC567B" w:rsidRPr="00F83B6E">
        <w:rPr>
          <w:color w:val="000000" w:themeColor="text1"/>
        </w:rPr>
        <w:t xml:space="preserve">potential support for </w:t>
      </w:r>
      <w:r w:rsidR="001C4592" w:rsidRPr="00F83B6E">
        <w:rPr>
          <w:color w:val="000000" w:themeColor="text1"/>
        </w:rPr>
        <w:t>KPP partnerships and relevant changes in the enabling environment for international research partnerships.</w:t>
      </w:r>
      <w:r w:rsidR="001C4592" w:rsidRPr="00F83B6E">
        <w:rPr>
          <w:rStyle w:val="FootnoteReference"/>
          <w:color w:val="000000" w:themeColor="text1"/>
        </w:rPr>
        <w:footnoteReference w:id="33"/>
      </w:r>
    </w:p>
    <w:p w14:paraId="5541116B" w14:textId="06F46EB7" w:rsidR="004B06C0" w:rsidRPr="00F83B6E" w:rsidRDefault="004C4A4D" w:rsidP="00E6202D">
      <w:pPr>
        <w:pStyle w:val="Bullet1"/>
        <w:rPr>
          <w:color w:val="000000" w:themeColor="text1"/>
        </w:rPr>
      </w:pPr>
      <w:r w:rsidRPr="00F83B6E">
        <w:rPr>
          <w:color w:val="000000" w:themeColor="text1"/>
        </w:rPr>
        <w:lastRenderedPageBreak/>
        <w:t>KPP</w:t>
      </w:r>
      <w:r w:rsidR="00B16A01" w:rsidRPr="00F83B6E">
        <w:rPr>
          <w:color w:val="000000" w:themeColor="text1"/>
        </w:rPr>
        <w:t xml:space="preserve"> </w:t>
      </w:r>
      <w:r w:rsidR="00F216E4" w:rsidRPr="00F83B6E">
        <w:rPr>
          <w:color w:val="000000" w:themeColor="text1"/>
        </w:rPr>
        <w:t>ability to</w:t>
      </w:r>
      <w:r w:rsidR="00B16A01" w:rsidRPr="00F83B6E">
        <w:rPr>
          <w:color w:val="000000" w:themeColor="text1"/>
        </w:rPr>
        <w:t xml:space="preserve"> </w:t>
      </w:r>
      <w:r w:rsidR="00CF40E3" w:rsidRPr="00F83B6E">
        <w:rPr>
          <w:color w:val="000000" w:themeColor="text1"/>
        </w:rPr>
        <w:t>remain agile and resilient in an evolving context is a critical element of the program’s sustainability.</w:t>
      </w:r>
      <w:r w:rsidR="00A16BAA" w:rsidRPr="00F83B6E">
        <w:rPr>
          <w:color w:val="000000" w:themeColor="text1"/>
        </w:rPr>
        <w:t xml:space="preserve"> T</w:t>
      </w:r>
      <w:r w:rsidR="00CF40E3" w:rsidRPr="00F83B6E">
        <w:rPr>
          <w:color w:val="000000" w:themeColor="text1"/>
        </w:rPr>
        <w:t>he program i</w:t>
      </w:r>
      <w:r w:rsidR="00B60E27" w:rsidRPr="00F83B6E">
        <w:rPr>
          <w:color w:val="000000" w:themeColor="text1"/>
        </w:rPr>
        <w:t xml:space="preserve">ncludes </w:t>
      </w:r>
      <w:r w:rsidR="00CF40E3" w:rsidRPr="00F83B6E">
        <w:rPr>
          <w:color w:val="000000" w:themeColor="text1"/>
        </w:rPr>
        <w:t>mechanisms that provide flexibility to absorb shocks and learn lessons</w:t>
      </w:r>
      <w:r w:rsidR="00B60E27" w:rsidRPr="00F83B6E">
        <w:rPr>
          <w:color w:val="000000" w:themeColor="text1"/>
        </w:rPr>
        <w:t xml:space="preserve">, such as an annual cycle of agenda setting and research topics’ definition, a flexible activity budget that can offer different grant types tailored to needs and resources, a MEL system that includes a flexible analytical agenda, and the plan for a </w:t>
      </w:r>
      <w:r w:rsidR="0044682C" w:rsidRPr="00F83B6E">
        <w:rPr>
          <w:color w:val="000000" w:themeColor="text1"/>
        </w:rPr>
        <w:t>mid</w:t>
      </w:r>
      <w:r w:rsidR="00B60E27" w:rsidRPr="00F83B6E">
        <w:rPr>
          <w:color w:val="000000" w:themeColor="text1"/>
        </w:rPr>
        <w:t>-</w:t>
      </w:r>
      <w:r w:rsidR="0044682C" w:rsidRPr="00F83B6E">
        <w:rPr>
          <w:color w:val="000000" w:themeColor="text1"/>
        </w:rPr>
        <w:t>t</w:t>
      </w:r>
      <w:r w:rsidR="00B60E27" w:rsidRPr="00F83B6E">
        <w:rPr>
          <w:color w:val="000000" w:themeColor="text1"/>
        </w:rPr>
        <w:t xml:space="preserve">erm </w:t>
      </w:r>
      <w:r w:rsidR="0044682C" w:rsidRPr="00F83B6E">
        <w:rPr>
          <w:color w:val="000000" w:themeColor="text1"/>
        </w:rPr>
        <w:t>r</w:t>
      </w:r>
      <w:r w:rsidR="00B60E27" w:rsidRPr="00F83B6E">
        <w:rPr>
          <w:color w:val="000000" w:themeColor="text1"/>
        </w:rPr>
        <w:t>eview</w:t>
      </w:r>
      <w:r w:rsidR="0001720B" w:rsidRPr="00F83B6E">
        <w:rPr>
          <w:color w:val="000000" w:themeColor="text1"/>
        </w:rPr>
        <w:t xml:space="preserve"> in 2025</w:t>
      </w:r>
      <w:r w:rsidR="00B60E27" w:rsidRPr="00F83B6E">
        <w:rPr>
          <w:color w:val="000000" w:themeColor="text1"/>
        </w:rPr>
        <w:t>.</w:t>
      </w:r>
    </w:p>
    <w:p w14:paraId="7904AC2A" w14:textId="6A48240A" w:rsidR="004C4A4D" w:rsidRPr="00F83B6E" w:rsidRDefault="00B16A01" w:rsidP="00AD057D">
      <w:pPr>
        <w:pStyle w:val="BodyText"/>
        <w:rPr>
          <w:color w:val="000000" w:themeColor="text1"/>
        </w:rPr>
      </w:pPr>
      <w:r w:rsidRPr="00F83B6E">
        <w:rPr>
          <w:color w:val="000000" w:themeColor="text1"/>
        </w:rPr>
        <w:t>The Platform Hub will develop and submit a sustainability plan at the mid-point of the program (2025) to ensure these (and other) measures are put in place and are effective.</w:t>
      </w:r>
    </w:p>
    <w:p w14:paraId="55A30EB8" w14:textId="77777777" w:rsidR="00F518CF" w:rsidRPr="00F83B6E" w:rsidRDefault="00F518CF" w:rsidP="00AD057D">
      <w:pPr>
        <w:pStyle w:val="BodyText"/>
        <w:rPr>
          <w:color w:val="000000" w:themeColor="text1"/>
        </w:rPr>
      </w:pPr>
    </w:p>
    <w:p w14:paraId="59F75F55" w14:textId="5B0BF18B" w:rsidR="00C905BA" w:rsidRPr="00F83B6E" w:rsidRDefault="00A32858" w:rsidP="00147C2A">
      <w:pPr>
        <w:pStyle w:val="Heading1"/>
        <w:spacing w:line="281" w:lineRule="auto"/>
        <w:rPr>
          <w:color w:val="000000" w:themeColor="text1"/>
        </w:rPr>
      </w:pPr>
      <w:bookmarkStart w:id="22" w:name="_Toc146528289"/>
      <w:r w:rsidRPr="00F83B6E">
        <w:rPr>
          <w:color w:val="000000" w:themeColor="text1"/>
        </w:rPr>
        <w:t>Monitoring and Evaluation</w:t>
      </w:r>
      <w:bookmarkEnd w:id="22"/>
      <w:r w:rsidRPr="00F83B6E">
        <w:rPr>
          <w:color w:val="000000" w:themeColor="text1"/>
        </w:rPr>
        <w:t xml:space="preserve"> </w:t>
      </w:r>
    </w:p>
    <w:p w14:paraId="3CFE16DA" w14:textId="6DDA2979" w:rsidR="00AC1A42" w:rsidRPr="00F83B6E" w:rsidRDefault="00A26047" w:rsidP="00F27241">
      <w:pPr>
        <w:pStyle w:val="Heading2"/>
        <w:rPr>
          <w:color w:val="000000" w:themeColor="text1"/>
        </w:rPr>
      </w:pPr>
      <w:bookmarkStart w:id="23" w:name="_Toc146528290"/>
      <w:r w:rsidRPr="00F83B6E">
        <w:rPr>
          <w:color w:val="000000" w:themeColor="text1"/>
        </w:rPr>
        <w:t>MEL approach</w:t>
      </w:r>
      <w:bookmarkEnd w:id="23"/>
    </w:p>
    <w:p w14:paraId="12B2305C" w14:textId="1B92D9CC" w:rsidR="005A4BD1" w:rsidRPr="00F83B6E" w:rsidRDefault="004A536A" w:rsidP="00B91543">
      <w:pPr>
        <w:pStyle w:val="Heading3"/>
        <w:rPr>
          <w:color w:val="000000" w:themeColor="text1"/>
        </w:rPr>
      </w:pPr>
      <w:r w:rsidRPr="00F83B6E">
        <w:rPr>
          <w:color w:val="000000" w:themeColor="text1"/>
        </w:rPr>
        <w:t>Objectives</w:t>
      </w:r>
    </w:p>
    <w:p w14:paraId="7ABF82BB" w14:textId="78E0129C" w:rsidR="00AC1A42" w:rsidRPr="00F83B6E" w:rsidRDefault="00AC1A42" w:rsidP="00B91543">
      <w:pPr>
        <w:pStyle w:val="BodyText"/>
        <w:rPr>
          <w:color w:val="000000" w:themeColor="text1"/>
        </w:rPr>
      </w:pPr>
      <w:r w:rsidRPr="00F83B6E">
        <w:rPr>
          <w:color w:val="000000" w:themeColor="text1"/>
        </w:rPr>
        <w:t xml:space="preserve">KPP’s monitoring, evaluation, and learning (MEL) </w:t>
      </w:r>
      <w:r w:rsidR="003B33B7" w:rsidRPr="00F83B6E">
        <w:rPr>
          <w:color w:val="000000" w:themeColor="text1"/>
        </w:rPr>
        <w:t>approach</w:t>
      </w:r>
      <w:r w:rsidRPr="00F83B6E">
        <w:rPr>
          <w:color w:val="000000" w:themeColor="text1"/>
        </w:rPr>
        <w:t xml:space="preserve"> will be user</w:t>
      </w:r>
      <w:r w:rsidR="003B33B7" w:rsidRPr="00F83B6E">
        <w:rPr>
          <w:color w:val="000000" w:themeColor="text1"/>
        </w:rPr>
        <w:t>-</w:t>
      </w:r>
      <w:r w:rsidRPr="00F83B6E">
        <w:rPr>
          <w:color w:val="000000" w:themeColor="text1"/>
        </w:rPr>
        <w:t>driven and focus</w:t>
      </w:r>
      <w:r w:rsidR="00AB706C" w:rsidRPr="00F83B6E">
        <w:rPr>
          <w:color w:val="000000" w:themeColor="text1"/>
        </w:rPr>
        <w:t>ed</w:t>
      </w:r>
      <w:r w:rsidRPr="00F83B6E">
        <w:rPr>
          <w:color w:val="000000" w:themeColor="text1"/>
        </w:rPr>
        <w:t xml:space="preserve"> on delivering on-time information for </w:t>
      </w:r>
      <w:r w:rsidR="00E73C62" w:rsidRPr="00F83B6E">
        <w:rPr>
          <w:color w:val="000000" w:themeColor="text1"/>
        </w:rPr>
        <w:t xml:space="preserve">decision makers </w:t>
      </w:r>
      <w:r w:rsidR="005B69BA" w:rsidRPr="00F83B6E">
        <w:rPr>
          <w:color w:val="000000" w:themeColor="text1"/>
        </w:rPr>
        <w:t>(DFAT, PST and PTC members) and knowledge users</w:t>
      </w:r>
      <w:r w:rsidRPr="00F83B6E">
        <w:rPr>
          <w:color w:val="000000" w:themeColor="text1"/>
        </w:rPr>
        <w:t>. It will serve three main</w:t>
      </w:r>
      <w:r w:rsidR="004A536A" w:rsidRPr="00F83B6E">
        <w:rPr>
          <w:color w:val="000000" w:themeColor="text1"/>
        </w:rPr>
        <w:t xml:space="preserve"> objectives</w:t>
      </w:r>
      <w:r w:rsidRPr="00F83B6E">
        <w:rPr>
          <w:color w:val="000000" w:themeColor="text1"/>
        </w:rPr>
        <w:t xml:space="preserve">: </w:t>
      </w:r>
    </w:p>
    <w:p w14:paraId="20074276" w14:textId="6B16E5F2" w:rsidR="00AC1A42" w:rsidRPr="00F83B6E" w:rsidRDefault="00AC1A42" w:rsidP="00E6202D">
      <w:pPr>
        <w:pStyle w:val="Bullet1"/>
        <w:rPr>
          <w:color w:val="000000" w:themeColor="text1"/>
        </w:rPr>
      </w:pPr>
      <w:r w:rsidRPr="00F83B6E">
        <w:rPr>
          <w:color w:val="000000" w:themeColor="text1"/>
        </w:rPr>
        <w:t xml:space="preserve">Enable strategic decision-making: </w:t>
      </w:r>
      <w:r w:rsidR="003B33B7" w:rsidRPr="00F83B6E">
        <w:rPr>
          <w:color w:val="000000" w:themeColor="text1"/>
        </w:rPr>
        <w:t>h</w:t>
      </w:r>
      <w:r w:rsidRPr="00F83B6E">
        <w:rPr>
          <w:color w:val="000000" w:themeColor="text1"/>
        </w:rPr>
        <w:t xml:space="preserve">igh level monitoring of the </w:t>
      </w:r>
      <w:r w:rsidR="003B33B7" w:rsidRPr="00F83B6E">
        <w:rPr>
          <w:color w:val="000000" w:themeColor="text1"/>
        </w:rPr>
        <w:t xml:space="preserve">program’s </w:t>
      </w:r>
      <w:r w:rsidRPr="00F83B6E">
        <w:rPr>
          <w:color w:val="000000" w:themeColor="text1"/>
        </w:rPr>
        <w:t xml:space="preserve">context, political economy, and policy and innovation opportunities will </w:t>
      </w:r>
      <w:r w:rsidR="005B69BA" w:rsidRPr="00F83B6E">
        <w:rPr>
          <w:color w:val="000000" w:themeColor="text1"/>
        </w:rPr>
        <w:t>enable</w:t>
      </w:r>
      <w:r w:rsidRPr="00F83B6E">
        <w:rPr>
          <w:color w:val="000000" w:themeColor="text1"/>
        </w:rPr>
        <w:t xml:space="preserve"> </w:t>
      </w:r>
      <w:r w:rsidR="005B69BA" w:rsidRPr="00F83B6E">
        <w:rPr>
          <w:color w:val="000000" w:themeColor="text1"/>
        </w:rPr>
        <w:t>PSC and PTC members</w:t>
      </w:r>
      <w:r w:rsidRPr="00F83B6E">
        <w:rPr>
          <w:color w:val="000000" w:themeColor="text1"/>
        </w:rPr>
        <w:t xml:space="preserve"> to determine priorities for grant windows and </w:t>
      </w:r>
      <w:r w:rsidR="003B33B7" w:rsidRPr="00F83B6E">
        <w:rPr>
          <w:color w:val="000000" w:themeColor="text1"/>
        </w:rPr>
        <w:t>themes</w:t>
      </w:r>
      <w:r w:rsidRPr="00F83B6E">
        <w:rPr>
          <w:color w:val="000000" w:themeColor="text1"/>
        </w:rPr>
        <w:t xml:space="preserve"> and ensure </w:t>
      </w:r>
      <w:r w:rsidR="005B69BA" w:rsidRPr="00F83B6E">
        <w:rPr>
          <w:color w:val="000000" w:themeColor="text1"/>
        </w:rPr>
        <w:t xml:space="preserve">engagement with </w:t>
      </w:r>
      <w:r w:rsidRPr="00F83B6E">
        <w:rPr>
          <w:color w:val="000000" w:themeColor="text1"/>
        </w:rPr>
        <w:t xml:space="preserve">potential knowledge users. </w:t>
      </w:r>
    </w:p>
    <w:p w14:paraId="518D6C87" w14:textId="7C22101F" w:rsidR="00AC1A42" w:rsidRPr="00F83B6E" w:rsidRDefault="007527A0" w:rsidP="00E6202D">
      <w:pPr>
        <w:pStyle w:val="Bullet1"/>
        <w:rPr>
          <w:color w:val="000000" w:themeColor="text1"/>
        </w:rPr>
      </w:pPr>
      <w:r w:rsidRPr="00F83B6E">
        <w:rPr>
          <w:color w:val="000000" w:themeColor="text1"/>
        </w:rPr>
        <w:t xml:space="preserve">Understand </w:t>
      </w:r>
      <w:r w:rsidR="00AC1A42" w:rsidRPr="00F83B6E">
        <w:rPr>
          <w:color w:val="000000" w:themeColor="text1"/>
        </w:rPr>
        <w:t xml:space="preserve">and </w:t>
      </w:r>
      <w:r w:rsidR="005B69BA" w:rsidRPr="00F83B6E">
        <w:rPr>
          <w:color w:val="000000" w:themeColor="text1"/>
        </w:rPr>
        <w:t xml:space="preserve">learn from </w:t>
      </w:r>
      <w:r w:rsidRPr="00F83B6E">
        <w:rPr>
          <w:color w:val="000000" w:themeColor="text1"/>
        </w:rPr>
        <w:t>results</w:t>
      </w:r>
      <w:r w:rsidR="00AC1A42" w:rsidRPr="00F83B6E">
        <w:rPr>
          <w:color w:val="000000" w:themeColor="text1"/>
        </w:rPr>
        <w:t xml:space="preserve">: </w:t>
      </w:r>
      <w:r w:rsidR="003B33B7" w:rsidRPr="00F83B6E">
        <w:rPr>
          <w:color w:val="000000" w:themeColor="text1"/>
        </w:rPr>
        <w:t>m</w:t>
      </w:r>
      <w:r w:rsidR="00AC1A42" w:rsidRPr="00F83B6E">
        <w:rPr>
          <w:color w:val="000000" w:themeColor="text1"/>
        </w:rPr>
        <w:t xml:space="preserve">uch of </w:t>
      </w:r>
      <w:r w:rsidR="00D90E9D" w:rsidRPr="00F83B6E">
        <w:rPr>
          <w:color w:val="000000" w:themeColor="text1"/>
        </w:rPr>
        <w:t>KPP</w:t>
      </w:r>
      <w:r w:rsidRPr="00F83B6E">
        <w:rPr>
          <w:color w:val="000000" w:themeColor="text1"/>
        </w:rPr>
        <w:t>’s</w:t>
      </w:r>
      <w:r w:rsidR="00AC1A42" w:rsidRPr="00F83B6E">
        <w:rPr>
          <w:color w:val="000000" w:themeColor="text1"/>
        </w:rPr>
        <w:t xml:space="preserve"> MEL</w:t>
      </w:r>
      <w:r w:rsidRPr="00F83B6E">
        <w:rPr>
          <w:color w:val="000000" w:themeColor="text1"/>
        </w:rPr>
        <w:t xml:space="preserve"> efforts</w:t>
      </w:r>
      <w:r w:rsidR="00AC1A42" w:rsidRPr="00F83B6E">
        <w:rPr>
          <w:color w:val="000000" w:themeColor="text1"/>
        </w:rPr>
        <w:t xml:space="preserve">, including </w:t>
      </w:r>
      <w:r w:rsidR="003B33B7" w:rsidRPr="00F83B6E">
        <w:rPr>
          <w:color w:val="000000" w:themeColor="text1"/>
        </w:rPr>
        <w:t>at</w:t>
      </w:r>
      <w:r w:rsidR="00AC1A42" w:rsidRPr="00F83B6E">
        <w:rPr>
          <w:color w:val="000000" w:themeColor="text1"/>
        </w:rPr>
        <w:t xml:space="preserve"> partnerships</w:t>
      </w:r>
      <w:r w:rsidR="003B33B7" w:rsidRPr="00F83B6E">
        <w:rPr>
          <w:color w:val="000000" w:themeColor="text1"/>
        </w:rPr>
        <w:t xml:space="preserve"> level</w:t>
      </w:r>
      <w:r w:rsidR="00AC1A42" w:rsidRPr="00F83B6E">
        <w:rPr>
          <w:color w:val="000000" w:themeColor="text1"/>
        </w:rPr>
        <w:t xml:space="preserve">, will focus </w:t>
      </w:r>
      <w:r w:rsidR="003B33B7" w:rsidRPr="00F83B6E">
        <w:rPr>
          <w:color w:val="000000" w:themeColor="text1"/>
        </w:rPr>
        <w:t xml:space="preserve">on </w:t>
      </w:r>
      <w:r w:rsidR="00AB706C" w:rsidRPr="00F83B6E">
        <w:rPr>
          <w:color w:val="000000" w:themeColor="text1"/>
        </w:rPr>
        <w:t>assessing</w:t>
      </w:r>
      <w:r w:rsidRPr="00F83B6E">
        <w:rPr>
          <w:color w:val="000000" w:themeColor="text1"/>
        </w:rPr>
        <w:t xml:space="preserve"> the</w:t>
      </w:r>
      <w:r w:rsidR="003B33B7" w:rsidRPr="00F83B6E">
        <w:rPr>
          <w:color w:val="000000" w:themeColor="text1"/>
        </w:rPr>
        <w:t xml:space="preserve"> achievement of </w:t>
      </w:r>
      <w:r w:rsidR="00AC1A42" w:rsidRPr="00F83B6E">
        <w:rPr>
          <w:color w:val="000000" w:themeColor="text1"/>
        </w:rPr>
        <w:t xml:space="preserve">outcomes. While KPP accountability is to the level of knowledge production, tracking and learning from examples of </w:t>
      </w:r>
      <w:r w:rsidRPr="00F83B6E">
        <w:rPr>
          <w:color w:val="000000" w:themeColor="text1"/>
        </w:rPr>
        <w:t xml:space="preserve">knowledge </w:t>
      </w:r>
      <w:r w:rsidR="00AC1A42" w:rsidRPr="00F83B6E">
        <w:rPr>
          <w:color w:val="000000" w:themeColor="text1"/>
        </w:rPr>
        <w:t xml:space="preserve">uptake </w:t>
      </w:r>
      <w:r w:rsidRPr="00F83B6E">
        <w:rPr>
          <w:color w:val="000000" w:themeColor="text1"/>
        </w:rPr>
        <w:t>will be important to</w:t>
      </w:r>
      <w:r w:rsidR="00AC1A42" w:rsidRPr="00F83B6E">
        <w:rPr>
          <w:color w:val="000000" w:themeColor="text1"/>
        </w:rPr>
        <w:t xml:space="preserve"> inform </w:t>
      </w:r>
      <w:r w:rsidRPr="00F83B6E">
        <w:rPr>
          <w:color w:val="000000" w:themeColor="text1"/>
        </w:rPr>
        <w:t>continuous improvement</w:t>
      </w:r>
      <w:r w:rsidR="00AC1A42" w:rsidRPr="00F83B6E">
        <w:rPr>
          <w:color w:val="000000" w:themeColor="text1"/>
        </w:rPr>
        <w:t>.</w:t>
      </w:r>
    </w:p>
    <w:p w14:paraId="398951B5" w14:textId="78FCD8DF" w:rsidR="00AC1A42" w:rsidRPr="00F83B6E" w:rsidRDefault="00AC1A42" w:rsidP="00E6202D">
      <w:pPr>
        <w:pStyle w:val="Bullet1"/>
        <w:rPr>
          <w:color w:val="000000" w:themeColor="text1"/>
        </w:rPr>
      </w:pPr>
      <w:r w:rsidRPr="00F83B6E">
        <w:rPr>
          <w:color w:val="000000" w:themeColor="text1"/>
        </w:rPr>
        <w:t xml:space="preserve">Ensure efficient management: </w:t>
      </w:r>
      <w:r w:rsidR="003B33B7" w:rsidRPr="00F83B6E">
        <w:rPr>
          <w:color w:val="000000" w:themeColor="text1"/>
        </w:rPr>
        <w:t>KPP</w:t>
      </w:r>
      <w:r w:rsidR="0044682C" w:rsidRPr="00F83B6E">
        <w:rPr>
          <w:color w:val="000000" w:themeColor="text1"/>
        </w:rPr>
        <w:t>’s</w:t>
      </w:r>
      <w:r w:rsidR="003B33B7" w:rsidRPr="00F83B6E">
        <w:rPr>
          <w:color w:val="000000" w:themeColor="text1"/>
        </w:rPr>
        <w:t xml:space="preserve"> </w:t>
      </w:r>
      <w:r w:rsidRPr="00F83B6E">
        <w:rPr>
          <w:color w:val="000000" w:themeColor="text1"/>
        </w:rPr>
        <w:t xml:space="preserve">MEL </w:t>
      </w:r>
      <w:r w:rsidR="003B33B7" w:rsidRPr="00F83B6E">
        <w:rPr>
          <w:color w:val="000000" w:themeColor="text1"/>
        </w:rPr>
        <w:t xml:space="preserve">function </w:t>
      </w:r>
      <w:r w:rsidRPr="00F83B6E">
        <w:rPr>
          <w:color w:val="000000" w:themeColor="text1"/>
        </w:rPr>
        <w:t>will provide information on inputs, activities, and outputs as required for to fulfil resource accountability requirements, ensure value for money, manage risk, and prepare annual plans and budgets.</w:t>
      </w:r>
    </w:p>
    <w:p w14:paraId="64105E59" w14:textId="14A50626" w:rsidR="00AC1A42" w:rsidRPr="00F83B6E" w:rsidRDefault="005A4BD1" w:rsidP="00B91543">
      <w:pPr>
        <w:pStyle w:val="Heading3"/>
        <w:rPr>
          <w:color w:val="000000" w:themeColor="text1"/>
        </w:rPr>
      </w:pPr>
      <w:r w:rsidRPr="00F83B6E">
        <w:rPr>
          <w:color w:val="000000" w:themeColor="text1"/>
        </w:rPr>
        <w:t>Methodology</w:t>
      </w:r>
    </w:p>
    <w:p w14:paraId="6300751D" w14:textId="49F8B6AE" w:rsidR="00AC1A42" w:rsidRPr="00F83B6E" w:rsidRDefault="007527A0" w:rsidP="00B91543">
      <w:pPr>
        <w:pStyle w:val="BodyText"/>
        <w:rPr>
          <w:color w:val="000000" w:themeColor="text1"/>
        </w:rPr>
      </w:pPr>
      <w:r w:rsidRPr="00F83B6E">
        <w:rPr>
          <w:color w:val="000000" w:themeColor="text1"/>
        </w:rPr>
        <w:t>KPP’s</w:t>
      </w:r>
      <w:r w:rsidR="00AC1A42" w:rsidRPr="00F83B6E">
        <w:rPr>
          <w:color w:val="000000" w:themeColor="text1"/>
        </w:rPr>
        <w:t xml:space="preserve"> MEL </w:t>
      </w:r>
      <w:r w:rsidRPr="00F83B6E">
        <w:rPr>
          <w:color w:val="000000" w:themeColor="text1"/>
        </w:rPr>
        <w:t>function</w:t>
      </w:r>
      <w:r w:rsidR="00AC1A42" w:rsidRPr="00F83B6E">
        <w:rPr>
          <w:color w:val="000000" w:themeColor="text1"/>
        </w:rPr>
        <w:t xml:space="preserve"> will be detailed in a MEL framework and plan, produced </w:t>
      </w:r>
      <w:r w:rsidR="003B33B7" w:rsidRPr="00F83B6E">
        <w:rPr>
          <w:color w:val="000000" w:themeColor="text1"/>
        </w:rPr>
        <w:t>during</w:t>
      </w:r>
      <w:r w:rsidR="00AC1A42" w:rsidRPr="00F83B6E">
        <w:rPr>
          <w:color w:val="000000" w:themeColor="text1"/>
        </w:rPr>
        <w:t xml:space="preserve"> the </w:t>
      </w:r>
      <w:r w:rsidR="003B33B7" w:rsidRPr="00F83B6E">
        <w:rPr>
          <w:color w:val="000000" w:themeColor="text1"/>
        </w:rPr>
        <w:t xml:space="preserve">program’s </w:t>
      </w:r>
      <w:r w:rsidR="005B69BA" w:rsidRPr="00F83B6E">
        <w:rPr>
          <w:color w:val="000000" w:themeColor="text1"/>
        </w:rPr>
        <w:t>inception period</w:t>
      </w:r>
      <w:r w:rsidR="00AC1A42" w:rsidRPr="00F83B6E">
        <w:rPr>
          <w:color w:val="000000" w:themeColor="text1"/>
        </w:rPr>
        <w:t xml:space="preserve">. The framework will describe the overall </w:t>
      </w:r>
      <w:r w:rsidR="003B33B7" w:rsidRPr="00F83B6E">
        <w:rPr>
          <w:color w:val="000000" w:themeColor="text1"/>
        </w:rPr>
        <w:t>methodology</w:t>
      </w:r>
      <w:r w:rsidR="00AC1A42" w:rsidRPr="00F83B6E">
        <w:rPr>
          <w:color w:val="000000" w:themeColor="text1"/>
        </w:rPr>
        <w:t xml:space="preserve"> to </w:t>
      </w:r>
      <w:r w:rsidRPr="00F83B6E">
        <w:rPr>
          <w:color w:val="000000" w:themeColor="text1"/>
        </w:rPr>
        <w:t>assess</w:t>
      </w:r>
      <w:r w:rsidR="00AC1A42" w:rsidRPr="00F83B6E">
        <w:rPr>
          <w:color w:val="000000" w:themeColor="text1"/>
        </w:rPr>
        <w:t xml:space="preserve"> progress at each level of the program logic, common tools, and expected </w:t>
      </w:r>
      <w:r w:rsidR="003B33B7" w:rsidRPr="00F83B6E">
        <w:rPr>
          <w:color w:val="000000" w:themeColor="text1"/>
        </w:rPr>
        <w:t>processes</w:t>
      </w:r>
      <w:r w:rsidR="00AC1A42" w:rsidRPr="00F83B6E">
        <w:rPr>
          <w:color w:val="000000" w:themeColor="text1"/>
        </w:rPr>
        <w:t xml:space="preserve">. </w:t>
      </w:r>
      <w:r w:rsidR="00FC5E00" w:rsidRPr="00F83B6E">
        <w:rPr>
          <w:color w:val="000000" w:themeColor="text1"/>
        </w:rPr>
        <w:t xml:space="preserve">It will include a list of deliverables, including periodic reports for DFAT and the PSC. </w:t>
      </w:r>
      <w:r w:rsidR="00AC1A42" w:rsidRPr="00F83B6E">
        <w:rPr>
          <w:color w:val="000000" w:themeColor="text1"/>
        </w:rPr>
        <w:t xml:space="preserve">The plan will outline MEL activities, resources and budget to be undertaken each year, including a schedule of learning and information sharing events, and any analytical </w:t>
      </w:r>
      <w:r w:rsidR="003B33B7" w:rsidRPr="00F83B6E">
        <w:rPr>
          <w:color w:val="000000" w:themeColor="text1"/>
        </w:rPr>
        <w:t>studies</w:t>
      </w:r>
      <w:r w:rsidR="00AC1A42" w:rsidRPr="00F83B6E">
        <w:rPr>
          <w:color w:val="000000" w:themeColor="text1"/>
        </w:rPr>
        <w:t xml:space="preserve"> that can be identified in advance. It is expected that some analytical work will be mobilised quickly outside of the planning cycle to </w:t>
      </w:r>
      <w:r w:rsidR="00456F74" w:rsidRPr="00F83B6E">
        <w:rPr>
          <w:color w:val="000000" w:themeColor="text1"/>
        </w:rPr>
        <w:t xml:space="preserve">respond </w:t>
      </w:r>
      <w:r w:rsidR="00AC1A42" w:rsidRPr="00F83B6E">
        <w:rPr>
          <w:color w:val="000000" w:themeColor="text1"/>
        </w:rPr>
        <w:t xml:space="preserve">to policy windows </w:t>
      </w:r>
      <w:r w:rsidR="005B69BA" w:rsidRPr="00F83B6E">
        <w:rPr>
          <w:color w:val="000000" w:themeColor="text1"/>
        </w:rPr>
        <w:t>and</w:t>
      </w:r>
      <w:r w:rsidR="00AC1A42" w:rsidRPr="00F83B6E">
        <w:rPr>
          <w:color w:val="000000" w:themeColor="text1"/>
        </w:rPr>
        <w:t xml:space="preserve"> information needs. </w:t>
      </w:r>
      <w:r w:rsidRPr="00F83B6E">
        <w:rPr>
          <w:color w:val="000000" w:themeColor="text1"/>
        </w:rPr>
        <w:t xml:space="preserve">The plan will be updated each year as part of the annual planning process. </w:t>
      </w:r>
      <w:r w:rsidR="00603C55" w:rsidRPr="00F83B6E">
        <w:rPr>
          <w:color w:val="000000" w:themeColor="text1"/>
        </w:rPr>
        <w:t xml:space="preserve">The agreed MEL framework will be shared with the PTC during the first year of implementation, while </w:t>
      </w:r>
      <w:r w:rsidR="00A63FBA" w:rsidRPr="00F83B6E">
        <w:rPr>
          <w:color w:val="000000" w:themeColor="text1"/>
        </w:rPr>
        <w:t xml:space="preserve">the </w:t>
      </w:r>
      <w:r w:rsidR="00603C55" w:rsidRPr="00F83B6E">
        <w:rPr>
          <w:color w:val="000000" w:themeColor="text1"/>
        </w:rPr>
        <w:t>MEL progress report will be submitted to PTC prior to each meeting, every six months.</w:t>
      </w:r>
    </w:p>
    <w:p w14:paraId="5F238643" w14:textId="151BAEF0" w:rsidR="00AC1A42" w:rsidRPr="00F83B6E" w:rsidRDefault="00E532C0" w:rsidP="00B91543">
      <w:pPr>
        <w:pStyle w:val="BodyText"/>
        <w:rPr>
          <w:color w:val="000000" w:themeColor="text1"/>
        </w:rPr>
      </w:pPr>
      <w:r w:rsidRPr="00F83B6E">
        <w:rPr>
          <w:color w:val="000000" w:themeColor="text1"/>
        </w:rPr>
        <w:t xml:space="preserve">The MEL framework will </w:t>
      </w:r>
      <w:r w:rsidR="004F4C0E" w:rsidRPr="00F83B6E">
        <w:rPr>
          <w:color w:val="000000" w:themeColor="text1"/>
        </w:rPr>
        <w:t>include</w:t>
      </w:r>
      <w:r w:rsidRPr="00F83B6E">
        <w:rPr>
          <w:color w:val="000000" w:themeColor="text1"/>
        </w:rPr>
        <w:t xml:space="preserve"> k</w:t>
      </w:r>
      <w:r w:rsidR="00AC1A42" w:rsidRPr="00F83B6E">
        <w:rPr>
          <w:color w:val="000000" w:themeColor="text1"/>
        </w:rPr>
        <w:t xml:space="preserve">ey </w:t>
      </w:r>
      <w:r w:rsidRPr="00F83B6E">
        <w:rPr>
          <w:color w:val="000000" w:themeColor="text1"/>
        </w:rPr>
        <w:t>performance</w:t>
      </w:r>
      <w:r w:rsidR="00AC1A42" w:rsidRPr="00F83B6E">
        <w:rPr>
          <w:color w:val="000000" w:themeColor="text1"/>
        </w:rPr>
        <w:t xml:space="preserve"> questions to guide </w:t>
      </w:r>
      <w:r w:rsidR="004F4C0E" w:rsidRPr="00F83B6E">
        <w:rPr>
          <w:color w:val="000000" w:themeColor="text1"/>
        </w:rPr>
        <w:t xml:space="preserve">the </w:t>
      </w:r>
      <w:r w:rsidRPr="00F83B6E">
        <w:rPr>
          <w:color w:val="000000" w:themeColor="text1"/>
        </w:rPr>
        <w:t>analysis and synthesis</w:t>
      </w:r>
      <w:r w:rsidR="00AC1A42" w:rsidRPr="00F83B6E">
        <w:rPr>
          <w:color w:val="000000" w:themeColor="text1"/>
        </w:rPr>
        <w:t xml:space="preserve"> of </w:t>
      </w:r>
      <w:r w:rsidR="00FC5E00" w:rsidRPr="00F83B6E">
        <w:rPr>
          <w:color w:val="000000" w:themeColor="text1"/>
        </w:rPr>
        <w:t xml:space="preserve">performance </w:t>
      </w:r>
      <w:r w:rsidR="00AC1A42" w:rsidRPr="00F83B6E">
        <w:rPr>
          <w:color w:val="000000" w:themeColor="text1"/>
        </w:rPr>
        <w:t>information across KPP</w:t>
      </w:r>
      <w:r w:rsidR="00603C55" w:rsidRPr="00F83B6E">
        <w:rPr>
          <w:color w:val="000000" w:themeColor="text1"/>
        </w:rPr>
        <w:t xml:space="preserve"> activities</w:t>
      </w:r>
      <w:r w:rsidR="00AC1A42" w:rsidRPr="00F83B6E">
        <w:rPr>
          <w:color w:val="000000" w:themeColor="text1"/>
        </w:rPr>
        <w:t>. The</w:t>
      </w:r>
      <w:r w:rsidR="00FC5E00" w:rsidRPr="00F83B6E">
        <w:rPr>
          <w:color w:val="000000" w:themeColor="text1"/>
        </w:rPr>
        <w:t xml:space="preserve">se </w:t>
      </w:r>
      <w:r w:rsidR="00AC1A42" w:rsidRPr="00F83B6E">
        <w:rPr>
          <w:color w:val="000000" w:themeColor="text1"/>
        </w:rPr>
        <w:t xml:space="preserve">will provide a structure for </w:t>
      </w:r>
      <w:r w:rsidR="00603C55" w:rsidRPr="00F83B6E">
        <w:rPr>
          <w:color w:val="000000" w:themeColor="text1"/>
        </w:rPr>
        <w:t xml:space="preserve">the program’s </w:t>
      </w:r>
      <w:r w:rsidR="00AC1A42" w:rsidRPr="00F83B6E">
        <w:rPr>
          <w:color w:val="000000" w:themeColor="text1"/>
        </w:rPr>
        <w:t>annual report</w:t>
      </w:r>
      <w:r w:rsidR="00603C55" w:rsidRPr="00F83B6E">
        <w:rPr>
          <w:color w:val="000000" w:themeColor="text1"/>
        </w:rPr>
        <w:t>,</w:t>
      </w:r>
      <w:r w:rsidR="00AC1A42" w:rsidRPr="00F83B6E">
        <w:rPr>
          <w:color w:val="000000" w:themeColor="text1"/>
        </w:rPr>
        <w:t xml:space="preserve"> and any learning or reflection events. The </w:t>
      </w:r>
      <w:r w:rsidR="004F4C0E" w:rsidRPr="00F83B6E">
        <w:rPr>
          <w:color w:val="000000" w:themeColor="text1"/>
        </w:rPr>
        <w:t>preliminary</w:t>
      </w:r>
      <w:r w:rsidR="00AC1A42" w:rsidRPr="00F83B6E">
        <w:rPr>
          <w:color w:val="000000" w:themeColor="text1"/>
        </w:rPr>
        <w:t xml:space="preserve"> questions </w:t>
      </w:r>
      <w:r w:rsidR="00FC5E00" w:rsidRPr="00F83B6E">
        <w:rPr>
          <w:color w:val="000000" w:themeColor="text1"/>
        </w:rPr>
        <w:t xml:space="preserve">suggested in Figure </w:t>
      </w:r>
      <w:r w:rsidR="003B33B7" w:rsidRPr="00F83B6E">
        <w:rPr>
          <w:color w:val="000000" w:themeColor="text1"/>
        </w:rPr>
        <w:t>9</w:t>
      </w:r>
      <w:r w:rsidR="00FC5E00" w:rsidRPr="00F83B6E">
        <w:rPr>
          <w:color w:val="000000" w:themeColor="text1"/>
        </w:rPr>
        <w:t xml:space="preserve"> </w:t>
      </w:r>
      <w:r w:rsidR="003B33B7" w:rsidRPr="00F83B6E">
        <w:rPr>
          <w:color w:val="000000" w:themeColor="text1"/>
        </w:rPr>
        <w:t xml:space="preserve">reflect the six </w:t>
      </w:r>
      <w:r w:rsidR="00E300F7" w:rsidRPr="00F83B6E">
        <w:rPr>
          <w:color w:val="000000" w:themeColor="text1"/>
        </w:rPr>
        <w:t>Organisation for Economic Co-</w:t>
      </w:r>
      <w:r w:rsidR="00E300F7" w:rsidRPr="00F83B6E">
        <w:rPr>
          <w:color w:val="000000" w:themeColor="text1"/>
        </w:rPr>
        <w:lastRenderedPageBreak/>
        <w:t>operation and Development Assistance Committee</w:t>
      </w:r>
      <w:r w:rsidR="007D2FC9" w:rsidRPr="00F83B6E">
        <w:rPr>
          <w:color w:val="000000" w:themeColor="text1"/>
        </w:rPr>
        <w:t xml:space="preserve"> (</w:t>
      </w:r>
      <w:r w:rsidR="003B33B7" w:rsidRPr="00F83B6E">
        <w:rPr>
          <w:color w:val="000000" w:themeColor="text1"/>
        </w:rPr>
        <w:t>OECD DAC</w:t>
      </w:r>
      <w:r w:rsidR="007D2FC9" w:rsidRPr="00F83B6E">
        <w:rPr>
          <w:color w:val="000000" w:themeColor="text1"/>
        </w:rPr>
        <w:t>)</w:t>
      </w:r>
      <w:r w:rsidR="003B33B7" w:rsidRPr="00F83B6E">
        <w:rPr>
          <w:color w:val="000000" w:themeColor="text1"/>
        </w:rPr>
        <w:t xml:space="preserve"> Network on Development Evaluation criteri</w:t>
      </w:r>
      <w:r w:rsidR="007527A0" w:rsidRPr="00F83B6E">
        <w:rPr>
          <w:color w:val="000000" w:themeColor="text1"/>
        </w:rPr>
        <w:t>a</w:t>
      </w:r>
      <w:r w:rsidR="003B33B7" w:rsidRPr="00F83B6E">
        <w:rPr>
          <w:color w:val="000000" w:themeColor="text1"/>
        </w:rPr>
        <w:t xml:space="preserve"> and </w:t>
      </w:r>
      <w:r w:rsidR="007527A0" w:rsidRPr="00F83B6E">
        <w:rPr>
          <w:color w:val="000000" w:themeColor="text1"/>
        </w:rPr>
        <w:t>the five</w:t>
      </w:r>
      <w:r w:rsidR="003B33B7" w:rsidRPr="00F83B6E">
        <w:rPr>
          <w:color w:val="000000" w:themeColor="text1"/>
        </w:rPr>
        <w:t xml:space="preserve"> KPP principles. They will </w:t>
      </w:r>
      <w:r w:rsidR="00AC1A42" w:rsidRPr="00F83B6E">
        <w:rPr>
          <w:color w:val="000000" w:themeColor="text1"/>
        </w:rPr>
        <w:t xml:space="preserve">be refined and agreed </w:t>
      </w:r>
      <w:r w:rsidR="003B33B7" w:rsidRPr="00F83B6E">
        <w:rPr>
          <w:color w:val="000000" w:themeColor="text1"/>
        </w:rPr>
        <w:t xml:space="preserve">during the development of </w:t>
      </w:r>
      <w:r w:rsidR="00AC1A42" w:rsidRPr="00F83B6E">
        <w:rPr>
          <w:color w:val="000000" w:themeColor="text1"/>
        </w:rPr>
        <w:t>the MEL framework</w:t>
      </w:r>
      <w:r w:rsidR="00FC5E00" w:rsidRPr="00F83B6E">
        <w:rPr>
          <w:color w:val="000000" w:themeColor="text1"/>
        </w:rPr>
        <w:t>.</w:t>
      </w:r>
      <w:r w:rsidR="00AC1A42" w:rsidRPr="00F83B6E">
        <w:rPr>
          <w:color w:val="000000" w:themeColor="text1"/>
        </w:rPr>
        <w:t xml:space="preserve"> </w:t>
      </w:r>
    </w:p>
    <w:p w14:paraId="6EA0FB18" w14:textId="77777777" w:rsidR="003773B8" w:rsidRPr="00F83B6E" w:rsidRDefault="003773B8" w:rsidP="00B91543">
      <w:pPr>
        <w:pStyle w:val="BodyText"/>
        <w:rPr>
          <w:color w:val="000000" w:themeColor="text1"/>
        </w:rPr>
      </w:pPr>
    </w:p>
    <w:p w14:paraId="623F4730" w14:textId="7BC339B6" w:rsidR="00DE1D6F" w:rsidRPr="00F83B6E" w:rsidRDefault="00525542" w:rsidP="00DE1D6F">
      <w:pPr>
        <w:pStyle w:val="Caption"/>
        <w:rPr>
          <w:color w:val="000000" w:themeColor="text1"/>
          <w:lang w:val="en-AU"/>
        </w:rPr>
      </w:pPr>
      <w:r w:rsidRPr="00F83B6E">
        <w:rPr>
          <w:color w:val="000000" w:themeColor="text1"/>
        </w:rPr>
        <w:t>F</w:t>
      </w:r>
      <w:r w:rsidR="00DE1D6F" w:rsidRPr="00F83B6E">
        <w:rPr>
          <w:color w:val="000000" w:themeColor="text1"/>
        </w:rPr>
        <w:t xml:space="preserve">igure </w:t>
      </w:r>
      <w:r w:rsidR="00DE1D6F" w:rsidRPr="00F83B6E">
        <w:rPr>
          <w:color w:val="000000" w:themeColor="text1"/>
        </w:rPr>
        <w:fldChar w:fldCharType="begin"/>
      </w:r>
      <w:r w:rsidR="00DE1D6F" w:rsidRPr="00F83B6E">
        <w:rPr>
          <w:color w:val="000000" w:themeColor="text1"/>
        </w:rPr>
        <w:instrText xml:space="preserve"> SEQ Figure \* ARABIC </w:instrText>
      </w:r>
      <w:r w:rsidR="00DE1D6F" w:rsidRPr="00F83B6E">
        <w:rPr>
          <w:color w:val="000000" w:themeColor="text1"/>
        </w:rPr>
        <w:fldChar w:fldCharType="separate"/>
      </w:r>
      <w:r w:rsidR="00A578DF">
        <w:rPr>
          <w:noProof/>
          <w:color w:val="000000" w:themeColor="text1"/>
        </w:rPr>
        <w:t>9</w:t>
      </w:r>
      <w:r w:rsidR="00DE1D6F" w:rsidRPr="00F83B6E">
        <w:rPr>
          <w:color w:val="000000" w:themeColor="text1"/>
        </w:rPr>
        <w:fldChar w:fldCharType="end"/>
      </w:r>
      <w:r w:rsidR="00DE1D6F" w:rsidRPr="00F83B6E">
        <w:rPr>
          <w:color w:val="000000" w:themeColor="text1"/>
          <w:lang w:val="en-AU"/>
        </w:rPr>
        <w:t xml:space="preserve"> </w:t>
      </w:r>
      <w:r w:rsidR="00DE1D6F" w:rsidRPr="00F83B6E">
        <w:rPr>
          <w:color w:val="000000" w:themeColor="text1"/>
          <w:lang w:val="en-AU"/>
        </w:rPr>
        <w:tab/>
        <w:t>Key performance questions</w:t>
      </w:r>
    </w:p>
    <w:p w14:paraId="0993E253" w14:textId="7E23A67C" w:rsidR="00E56E32" w:rsidRPr="00F83B6E" w:rsidRDefault="00E56E32" w:rsidP="00E56E32">
      <w:pPr>
        <w:rPr>
          <w:color w:val="000000" w:themeColor="text1"/>
        </w:rPr>
      </w:pPr>
    </w:p>
    <w:tbl>
      <w:tblPr>
        <w:tblStyle w:val="TableGrid1"/>
        <w:tblW w:w="5000" w:type="pct"/>
        <w:tblLayout w:type="fixed"/>
        <w:tblLook w:val="04A0" w:firstRow="1" w:lastRow="0" w:firstColumn="1" w:lastColumn="0" w:noHBand="0" w:noVBand="1"/>
      </w:tblPr>
      <w:tblGrid>
        <w:gridCol w:w="4564"/>
        <w:gridCol w:w="1590"/>
        <w:gridCol w:w="695"/>
        <w:gridCol w:w="695"/>
        <w:gridCol w:w="695"/>
        <w:gridCol w:w="695"/>
        <w:gridCol w:w="693"/>
      </w:tblGrid>
      <w:tr w:rsidR="00F83B6E" w:rsidRPr="00F83B6E" w14:paraId="4904B5E9" w14:textId="77777777" w:rsidTr="00EB4044">
        <w:trPr>
          <w:trHeight w:val="1602"/>
        </w:trPr>
        <w:tc>
          <w:tcPr>
            <w:tcW w:w="2370" w:type="pct"/>
          </w:tcPr>
          <w:p w14:paraId="1A23F7C9" w14:textId="345709C9" w:rsidR="00764A3E" w:rsidRPr="00F83B6E" w:rsidRDefault="00E8531A" w:rsidP="003E6036">
            <w:pPr>
              <w:pStyle w:val="TableHeaderRow"/>
              <w:spacing w:before="0"/>
              <w:jc w:val="center"/>
              <w:rPr>
                <w:color w:val="000000" w:themeColor="text1"/>
                <w:lang w:val="en-AU"/>
              </w:rPr>
            </w:pPr>
            <w:r w:rsidRPr="00F83B6E">
              <w:rPr>
                <w:color w:val="000000" w:themeColor="text1"/>
                <w:lang w:val="en-AU"/>
              </w:rPr>
              <w:t>Key Performance Question</w:t>
            </w:r>
          </w:p>
        </w:tc>
        <w:tc>
          <w:tcPr>
            <w:tcW w:w="826" w:type="pct"/>
          </w:tcPr>
          <w:p w14:paraId="70E59BE1" w14:textId="1966DC0A" w:rsidR="00764A3E" w:rsidRPr="00F83B6E" w:rsidRDefault="00E8531A" w:rsidP="003E6036">
            <w:pPr>
              <w:pStyle w:val="TableHeaderRow"/>
              <w:spacing w:before="0"/>
              <w:jc w:val="center"/>
              <w:rPr>
                <w:color w:val="000000" w:themeColor="text1"/>
                <w:lang w:val="en-AU"/>
              </w:rPr>
            </w:pPr>
            <w:r w:rsidRPr="00F83B6E">
              <w:rPr>
                <w:color w:val="000000" w:themeColor="text1"/>
                <w:lang w:val="en-AU"/>
              </w:rPr>
              <w:t>Performance criteria</w:t>
            </w:r>
          </w:p>
        </w:tc>
        <w:tc>
          <w:tcPr>
            <w:tcW w:w="361" w:type="pct"/>
            <w:textDirection w:val="btLr"/>
          </w:tcPr>
          <w:p w14:paraId="3399F9FB" w14:textId="77777777" w:rsidR="00764A3E" w:rsidRPr="00F83B6E" w:rsidRDefault="00764A3E" w:rsidP="003E6036">
            <w:pPr>
              <w:pStyle w:val="TableHeaderRow"/>
              <w:spacing w:before="0"/>
              <w:ind w:left="57"/>
              <w:rPr>
                <w:color w:val="000000" w:themeColor="text1"/>
                <w:lang w:val="en-AU"/>
              </w:rPr>
            </w:pPr>
            <w:r w:rsidRPr="00F83B6E">
              <w:rPr>
                <w:color w:val="000000" w:themeColor="text1"/>
                <w:lang w:val="en-AU"/>
              </w:rPr>
              <w:t>Mutual interest and application</w:t>
            </w:r>
          </w:p>
        </w:tc>
        <w:tc>
          <w:tcPr>
            <w:tcW w:w="361" w:type="pct"/>
            <w:textDirection w:val="btLr"/>
          </w:tcPr>
          <w:p w14:paraId="3517D3BF" w14:textId="77777777" w:rsidR="00764A3E" w:rsidRPr="00F83B6E" w:rsidRDefault="00764A3E" w:rsidP="003E6036">
            <w:pPr>
              <w:pStyle w:val="TableHeaderRow"/>
              <w:spacing w:before="0"/>
              <w:ind w:left="57"/>
              <w:rPr>
                <w:color w:val="000000" w:themeColor="text1"/>
                <w:lang w:val="en-AU"/>
              </w:rPr>
            </w:pPr>
            <w:r w:rsidRPr="00F83B6E">
              <w:rPr>
                <w:color w:val="000000" w:themeColor="text1"/>
                <w:lang w:val="en-AU"/>
              </w:rPr>
              <w:t>Transparency and accountability</w:t>
            </w:r>
          </w:p>
        </w:tc>
        <w:tc>
          <w:tcPr>
            <w:tcW w:w="361" w:type="pct"/>
            <w:textDirection w:val="btLr"/>
          </w:tcPr>
          <w:p w14:paraId="6E231DC0" w14:textId="77777777" w:rsidR="00764A3E" w:rsidRPr="00F83B6E" w:rsidRDefault="00764A3E" w:rsidP="003E6036">
            <w:pPr>
              <w:pStyle w:val="TableHeaderRow"/>
              <w:spacing w:before="0"/>
              <w:ind w:left="57"/>
              <w:rPr>
                <w:color w:val="000000" w:themeColor="text1"/>
                <w:lang w:val="en-AU"/>
              </w:rPr>
            </w:pPr>
            <w:r w:rsidRPr="00F83B6E">
              <w:rPr>
                <w:color w:val="000000" w:themeColor="text1"/>
                <w:lang w:val="en-AU"/>
              </w:rPr>
              <w:t>GEDSI responsive</w:t>
            </w:r>
          </w:p>
        </w:tc>
        <w:tc>
          <w:tcPr>
            <w:tcW w:w="361" w:type="pct"/>
            <w:textDirection w:val="btLr"/>
          </w:tcPr>
          <w:p w14:paraId="54394702" w14:textId="77777777" w:rsidR="00764A3E" w:rsidRPr="00F83B6E" w:rsidRDefault="00764A3E" w:rsidP="003E6036">
            <w:pPr>
              <w:pStyle w:val="TableHeaderRow"/>
              <w:spacing w:before="0"/>
              <w:ind w:left="57"/>
              <w:rPr>
                <w:color w:val="000000" w:themeColor="text1"/>
                <w:lang w:val="en-AU"/>
              </w:rPr>
            </w:pPr>
            <w:r w:rsidRPr="00F83B6E">
              <w:rPr>
                <w:color w:val="000000" w:themeColor="text1"/>
                <w:lang w:val="en-AU"/>
              </w:rPr>
              <w:t>Problem and solution driven</w:t>
            </w:r>
          </w:p>
        </w:tc>
        <w:tc>
          <w:tcPr>
            <w:tcW w:w="360" w:type="pct"/>
            <w:textDirection w:val="btLr"/>
          </w:tcPr>
          <w:p w14:paraId="34660619" w14:textId="77777777" w:rsidR="00764A3E" w:rsidRPr="00F83B6E" w:rsidRDefault="00764A3E" w:rsidP="003E6036">
            <w:pPr>
              <w:pStyle w:val="TableHeaderRow"/>
              <w:spacing w:before="0"/>
              <w:ind w:left="57"/>
              <w:rPr>
                <w:color w:val="000000" w:themeColor="text1"/>
                <w:lang w:val="en-AU"/>
              </w:rPr>
            </w:pPr>
            <w:r w:rsidRPr="00F83B6E">
              <w:rPr>
                <w:color w:val="000000" w:themeColor="text1"/>
                <w:lang w:val="en-AU"/>
              </w:rPr>
              <w:t>Collaborative and fit for purpose</w:t>
            </w:r>
          </w:p>
        </w:tc>
      </w:tr>
      <w:tr w:rsidR="00F83B6E" w:rsidRPr="00F83B6E" w14:paraId="0A30121D" w14:textId="77777777" w:rsidTr="00EB4044">
        <w:tc>
          <w:tcPr>
            <w:tcW w:w="2370" w:type="pct"/>
          </w:tcPr>
          <w:p w14:paraId="54C39AC3" w14:textId="77777777" w:rsidR="00764A3E" w:rsidRPr="00F83B6E" w:rsidRDefault="00764A3E" w:rsidP="003E6036">
            <w:pPr>
              <w:pStyle w:val="TableText"/>
              <w:numPr>
                <w:ilvl w:val="0"/>
                <w:numId w:val="34"/>
              </w:numPr>
              <w:spacing w:after="60"/>
              <w:ind w:left="248" w:hanging="248"/>
              <w:rPr>
                <w:color w:val="000000" w:themeColor="text1"/>
                <w:lang w:val="en-AU"/>
              </w:rPr>
            </w:pPr>
            <w:r w:rsidRPr="00F83B6E">
              <w:rPr>
                <w:color w:val="000000" w:themeColor="text1"/>
                <w:lang w:val="en-AU"/>
              </w:rPr>
              <w:t>How well is KPP tracking and responding to mutually relevant knowledge priorities and opportunities in Indonesia’s development context?</w:t>
            </w:r>
          </w:p>
        </w:tc>
        <w:tc>
          <w:tcPr>
            <w:tcW w:w="826" w:type="pct"/>
          </w:tcPr>
          <w:p w14:paraId="6F1512FD" w14:textId="77777777" w:rsidR="00764A3E" w:rsidRPr="00F83B6E" w:rsidRDefault="00764A3E" w:rsidP="003E6036">
            <w:pPr>
              <w:pStyle w:val="TableText"/>
              <w:rPr>
                <w:color w:val="000000" w:themeColor="text1"/>
                <w:lang w:val="en-AU"/>
              </w:rPr>
            </w:pPr>
            <w:r w:rsidRPr="00F83B6E">
              <w:rPr>
                <w:color w:val="000000" w:themeColor="text1"/>
                <w:lang w:val="en-AU"/>
              </w:rPr>
              <w:t>Relevance</w:t>
            </w:r>
          </w:p>
        </w:tc>
        <w:tc>
          <w:tcPr>
            <w:tcW w:w="361" w:type="pct"/>
          </w:tcPr>
          <w:p w14:paraId="1686602F"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c>
          <w:tcPr>
            <w:tcW w:w="361" w:type="pct"/>
          </w:tcPr>
          <w:p w14:paraId="3C24B0AF" w14:textId="77777777" w:rsidR="00764A3E" w:rsidRPr="00F83B6E" w:rsidRDefault="00764A3E" w:rsidP="003E6036">
            <w:pPr>
              <w:pStyle w:val="TableText"/>
              <w:jc w:val="center"/>
              <w:rPr>
                <w:b/>
                <w:bCs/>
                <w:color w:val="000000" w:themeColor="text1"/>
                <w:lang w:val="en-AU"/>
              </w:rPr>
            </w:pPr>
          </w:p>
        </w:tc>
        <w:tc>
          <w:tcPr>
            <w:tcW w:w="361" w:type="pct"/>
          </w:tcPr>
          <w:p w14:paraId="669AF998" w14:textId="77777777" w:rsidR="00764A3E" w:rsidRPr="00F83B6E" w:rsidRDefault="00764A3E" w:rsidP="003E6036">
            <w:pPr>
              <w:pStyle w:val="TableText"/>
              <w:jc w:val="center"/>
              <w:rPr>
                <w:b/>
                <w:bCs/>
                <w:color w:val="000000" w:themeColor="text1"/>
                <w:lang w:val="en-AU"/>
              </w:rPr>
            </w:pPr>
          </w:p>
        </w:tc>
        <w:tc>
          <w:tcPr>
            <w:tcW w:w="361" w:type="pct"/>
          </w:tcPr>
          <w:p w14:paraId="62663C1F"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c>
          <w:tcPr>
            <w:tcW w:w="360" w:type="pct"/>
          </w:tcPr>
          <w:p w14:paraId="071D4D6D" w14:textId="77777777" w:rsidR="00764A3E" w:rsidRPr="00F83B6E" w:rsidRDefault="00764A3E" w:rsidP="003E6036">
            <w:pPr>
              <w:pStyle w:val="TableText"/>
              <w:jc w:val="center"/>
              <w:rPr>
                <w:b/>
                <w:bCs/>
                <w:color w:val="000000" w:themeColor="text1"/>
                <w:lang w:val="en-AU"/>
              </w:rPr>
            </w:pPr>
          </w:p>
        </w:tc>
      </w:tr>
      <w:tr w:rsidR="00F83B6E" w:rsidRPr="00F83B6E" w14:paraId="03A57605" w14:textId="77777777" w:rsidTr="00EB4044">
        <w:tc>
          <w:tcPr>
            <w:tcW w:w="2370" w:type="pct"/>
          </w:tcPr>
          <w:p w14:paraId="713388E5" w14:textId="77777777" w:rsidR="00764A3E" w:rsidRPr="00F83B6E" w:rsidRDefault="00764A3E" w:rsidP="003E6036">
            <w:pPr>
              <w:pStyle w:val="TableText"/>
              <w:numPr>
                <w:ilvl w:val="0"/>
                <w:numId w:val="34"/>
              </w:numPr>
              <w:spacing w:after="60"/>
              <w:ind w:left="248" w:hanging="248"/>
              <w:rPr>
                <w:color w:val="000000" w:themeColor="text1"/>
                <w:lang w:val="en-AU"/>
              </w:rPr>
            </w:pPr>
            <w:r w:rsidRPr="00F83B6E">
              <w:rPr>
                <w:color w:val="000000" w:themeColor="text1"/>
                <w:lang w:val="en-AU"/>
              </w:rPr>
              <w:t>Is KPP providing the right resources and services at the right time and in the right way to achieve the intended outcomes?</w:t>
            </w:r>
          </w:p>
        </w:tc>
        <w:tc>
          <w:tcPr>
            <w:tcW w:w="826" w:type="pct"/>
          </w:tcPr>
          <w:p w14:paraId="6117B964" w14:textId="77777777" w:rsidR="00764A3E" w:rsidRPr="00F83B6E" w:rsidRDefault="00764A3E" w:rsidP="003E6036">
            <w:pPr>
              <w:pStyle w:val="TableText"/>
              <w:rPr>
                <w:color w:val="000000" w:themeColor="text1"/>
                <w:lang w:val="en-AU"/>
              </w:rPr>
            </w:pPr>
            <w:r w:rsidRPr="00F83B6E">
              <w:rPr>
                <w:color w:val="000000" w:themeColor="text1"/>
                <w:lang w:val="en-AU"/>
              </w:rPr>
              <w:t>Efficiency</w:t>
            </w:r>
          </w:p>
        </w:tc>
        <w:tc>
          <w:tcPr>
            <w:tcW w:w="361" w:type="pct"/>
          </w:tcPr>
          <w:p w14:paraId="66302970" w14:textId="77777777" w:rsidR="00764A3E" w:rsidRPr="00F83B6E" w:rsidRDefault="00764A3E" w:rsidP="003E6036">
            <w:pPr>
              <w:pStyle w:val="TableText"/>
              <w:jc w:val="center"/>
              <w:rPr>
                <w:b/>
                <w:bCs/>
                <w:color w:val="000000" w:themeColor="text1"/>
                <w:lang w:val="en-AU"/>
              </w:rPr>
            </w:pPr>
          </w:p>
        </w:tc>
        <w:tc>
          <w:tcPr>
            <w:tcW w:w="361" w:type="pct"/>
          </w:tcPr>
          <w:p w14:paraId="60B28E0B"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c>
          <w:tcPr>
            <w:tcW w:w="361" w:type="pct"/>
          </w:tcPr>
          <w:p w14:paraId="3D002C77" w14:textId="77777777" w:rsidR="00764A3E" w:rsidRPr="00F83B6E" w:rsidRDefault="00764A3E" w:rsidP="003E6036">
            <w:pPr>
              <w:pStyle w:val="TableText"/>
              <w:jc w:val="center"/>
              <w:rPr>
                <w:b/>
                <w:bCs/>
                <w:color w:val="000000" w:themeColor="text1"/>
                <w:lang w:val="en-AU"/>
              </w:rPr>
            </w:pPr>
          </w:p>
        </w:tc>
        <w:tc>
          <w:tcPr>
            <w:tcW w:w="361" w:type="pct"/>
          </w:tcPr>
          <w:p w14:paraId="4AB69D5B" w14:textId="77777777" w:rsidR="00764A3E" w:rsidRPr="00F83B6E" w:rsidRDefault="00764A3E" w:rsidP="003E6036">
            <w:pPr>
              <w:pStyle w:val="TableText"/>
              <w:jc w:val="center"/>
              <w:rPr>
                <w:b/>
                <w:bCs/>
                <w:color w:val="000000" w:themeColor="text1"/>
                <w:lang w:val="en-AU"/>
              </w:rPr>
            </w:pPr>
          </w:p>
        </w:tc>
        <w:tc>
          <w:tcPr>
            <w:tcW w:w="360" w:type="pct"/>
          </w:tcPr>
          <w:p w14:paraId="5ABF9AE0"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r>
      <w:tr w:rsidR="00F83B6E" w:rsidRPr="00F83B6E" w14:paraId="578DC277" w14:textId="77777777" w:rsidTr="00EB4044">
        <w:tc>
          <w:tcPr>
            <w:tcW w:w="2370" w:type="pct"/>
          </w:tcPr>
          <w:p w14:paraId="7DAD4DD8" w14:textId="77777777" w:rsidR="00764A3E" w:rsidRPr="00F83B6E" w:rsidRDefault="00764A3E" w:rsidP="003E6036">
            <w:pPr>
              <w:pStyle w:val="TableText"/>
              <w:numPr>
                <w:ilvl w:val="0"/>
                <w:numId w:val="34"/>
              </w:numPr>
              <w:spacing w:after="60"/>
              <w:ind w:left="248" w:hanging="248"/>
              <w:rPr>
                <w:color w:val="000000" w:themeColor="text1"/>
                <w:lang w:val="en-AU"/>
              </w:rPr>
            </w:pPr>
            <w:r w:rsidRPr="00F83B6E">
              <w:rPr>
                <w:color w:val="000000" w:themeColor="text1"/>
                <w:lang w:val="en-AU"/>
              </w:rPr>
              <w:t>How well is KPP achieving its intermediate and end of investment outcomes?</w:t>
            </w:r>
            <w:r w:rsidRPr="00F83B6E">
              <w:rPr>
                <w:rStyle w:val="FootnoteReference"/>
                <w:color w:val="000000" w:themeColor="text1"/>
                <w:lang w:val="en-AU"/>
              </w:rPr>
              <w:footnoteReference w:id="34"/>
            </w:r>
          </w:p>
        </w:tc>
        <w:tc>
          <w:tcPr>
            <w:tcW w:w="826" w:type="pct"/>
          </w:tcPr>
          <w:p w14:paraId="7C9041DD" w14:textId="77777777" w:rsidR="00764A3E" w:rsidRPr="00F83B6E" w:rsidRDefault="00764A3E" w:rsidP="003E6036">
            <w:pPr>
              <w:pStyle w:val="TableText"/>
              <w:rPr>
                <w:color w:val="000000" w:themeColor="text1"/>
                <w:lang w:val="en-AU"/>
              </w:rPr>
            </w:pPr>
            <w:r w:rsidRPr="00F83B6E">
              <w:rPr>
                <w:color w:val="000000" w:themeColor="text1"/>
                <w:lang w:val="en-AU"/>
              </w:rPr>
              <w:t>Effectiveness</w:t>
            </w:r>
          </w:p>
        </w:tc>
        <w:tc>
          <w:tcPr>
            <w:tcW w:w="361" w:type="pct"/>
          </w:tcPr>
          <w:p w14:paraId="453BB8CA"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c>
          <w:tcPr>
            <w:tcW w:w="361" w:type="pct"/>
          </w:tcPr>
          <w:p w14:paraId="1F2D00D1" w14:textId="77777777" w:rsidR="00764A3E" w:rsidRPr="00F83B6E" w:rsidRDefault="00764A3E" w:rsidP="003E6036">
            <w:pPr>
              <w:pStyle w:val="TableText"/>
              <w:jc w:val="center"/>
              <w:rPr>
                <w:b/>
                <w:bCs/>
                <w:color w:val="000000" w:themeColor="text1"/>
                <w:lang w:val="en-AU"/>
              </w:rPr>
            </w:pPr>
          </w:p>
        </w:tc>
        <w:tc>
          <w:tcPr>
            <w:tcW w:w="361" w:type="pct"/>
          </w:tcPr>
          <w:p w14:paraId="1C8506D4" w14:textId="77777777" w:rsidR="00764A3E" w:rsidRPr="00F83B6E" w:rsidRDefault="00764A3E" w:rsidP="003E6036">
            <w:pPr>
              <w:pStyle w:val="TableText"/>
              <w:jc w:val="center"/>
              <w:rPr>
                <w:b/>
                <w:bCs/>
                <w:color w:val="000000" w:themeColor="text1"/>
                <w:lang w:val="en-AU"/>
              </w:rPr>
            </w:pPr>
          </w:p>
        </w:tc>
        <w:tc>
          <w:tcPr>
            <w:tcW w:w="361" w:type="pct"/>
          </w:tcPr>
          <w:p w14:paraId="3663AFA2" w14:textId="77777777" w:rsidR="00764A3E" w:rsidRPr="00F83B6E" w:rsidRDefault="00764A3E" w:rsidP="003E6036">
            <w:pPr>
              <w:pStyle w:val="TableText"/>
              <w:jc w:val="center"/>
              <w:rPr>
                <w:b/>
                <w:bCs/>
                <w:color w:val="000000" w:themeColor="text1"/>
                <w:lang w:val="en-AU"/>
              </w:rPr>
            </w:pPr>
          </w:p>
        </w:tc>
        <w:tc>
          <w:tcPr>
            <w:tcW w:w="360" w:type="pct"/>
          </w:tcPr>
          <w:p w14:paraId="2955B1AB"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r>
      <w:tr w:rsidR="00F83B6E" w:rsidRPr="00F83B6E" w14:paraId="29AD5478" w14:textId="77777777" w:rsidTr="00EB4044">
        <w:tc>
          <w:tcPr>
            <w:tcW w:w="2370" w:type="pct"/>
          </w:tcPr>
          <w:p w14:paraId="746A24CC" w14:textId="77777777" w:rsidR="00764A3E" w:rsidRPr="00F83B6E" w:rsidRDefault="00764A3E" w:rsidP="003E6036">
            <w:pPr>
              <w:pStyle w:val="TableText"/>
              <w:numPr>
                <w:ilvl w:val="0"/>
                <w:numId w:val="34"/>
              </w:numPr>
              <w:spacing w:after="60"/>
              <w:ind w:left="248" w:hanging="248"/>
              <w:rPr>
                <w:color w:val="000000" w:themeColor="text1"/>
                <w:lang w:val="en-AU"/>
              </w:rPr>
            </w:pPr>
            <w:r w:rsidRPr="00F83B6E">
              <w:rPr>
                <w:color w:val="000000" w:themeColor="text1"/>
                <w:lang w:val="en-AU"/>
              </w:rPr>
              <w:t>To what extent is KPP identifying and addressing gaps in and opportunities for promoting gender equality, disability, and social inclusion?</w:t>
            </w:r>
          </w:p>
        </w:tc>
        <w:tc>
          <w:tcPr>
            <w:tcW w:w="826" w:type="pct"/>
          </w:tcPr>
          <w:p w14:paraId="27129096" w14:textId="77777777" w:rsidR="00764A3E" w:rsidRPr="00F83B6E" w:rsidRDefault="00764A3E" w:rsidP="003E6036">
            <w:pPr>
              <w:pStyle w:val="TableText"/>
              <w:rPr>
                <w:color w:val="000000" w:themeColor="text1"/>
                <w:lang w:val="en-AU"/>
              </w:rPr>
            </w:pPr>
            <w:r w:rsidRPr="00F83B6E">
              <w:rPr>
                <w:color w:val="000000" w:themeColor="text1"/>
                <w:lang w:val="en-AU"/>
              </w:rPr>
              <w:t>GEDSI</w:t>
            </w:r>
          </w:p>
        </w:tc>
        <w:tc>
          <w:tcPr>
            <w:tcW w:w="361" w:type="pct"/>
          </w:tcPr>
          <w:p w14:paraId="0E418251" w14:textId="77777777" w:rsidR="00764A3E" w:rsidRPr="00F83B6E" w:rsidRDefault="00764A3E" w:rsidP="003E6036">
            <w:pPr>
              <w:pStyle w:val="TableText"/>
              <w:jc w:val="center"/>
              <w:rPr>
                <w:b/>
                <w:bCs/>
                <w:color w:val="000000" w:themeColor="text1"/>
                <w:lang w:val="en-AU"/>
              </w:rPr>
            </w:pPr>
          </w:p>
        </w:tc>
        <w:tc>
          <w:tcPr>
            <w:tcW w:w="361" w:type="pct"/>
          </w:tcPr>
          <w:p w14:paraId="02311D45" w14:textId="77777777" w:rsidR="00764A3E" w:rsidRPr="00F83B6E" w:rsidRDefault="00764A3E" w:rsidP="003E6036">
            <w:pPr>
              <w:pStyle w:val="TableText"/>
              <w:jc w:val="center"/>
              <w:rPr>
                <w:b/>
                <w:bCs/>
                <w:color w:val="000000" w:themeColor="text1"/>
                <w:lang w:val="en-AU"/>
              </w:rPr>
            </w:pPr>
          </w:p>
        </w:tc>
        <w:tc>
          <w:tcPr>
            <w:tcW w:w="361" w:type="pct"/>
          </w:tcPr>
          <w:p w14:paraId="313C8A41"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c>
          <w:tcPr>
            <w:tcW w:w="361" w:type="pct"/>
          </w:tcPr>
          <w:p w14:paraId="7A909D34"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c>
          <w:tcPr>
            <w:tcW w:w="360" w:type="pct"/>
          </w:tcPr>
          <w:p w14:paraId="18EBD093" w14:textId="77777777" w:rsidR="00764A3E" w:rsidRPr="00F83B6E" w:rsidRDefault="00764A3E" w:rsidP="003E6036">
            <w:pPr>
              <w:pStyle w:val="TableText"/>
              <w:jc w:val="center"/>
              <w:rPr>
                <w:b/>
                <w:bCs/>
                <w:color w:val="000000" w:themeColor="text1"/>
                <w:lang w:val="en-AU"/>
              </w:rPr>
            </w:pPr>
          </w:p>
        </w:tc>
      </w:tr>
      <w:tr w:rsidR="00F83B6E" w:rsidRPr="00F83B6E" w14:paraId="1946DCF6" w14:textId="77777777" w:rsidTr="00EB4044">
        <w:tc>
          <w:tcPr>
            <w:tcW w:w="2370" w:type="pct"/>
          </w:tcPr>
          <w:p w14:paraId="798E5ADA" w14:textId="77777777" w:rsidR="00764A3E" w:rsidRPr="00F83B6E" w:rsidRDefault="00764A3E" w:rsidP="003E6036">
            <w:pPr>
              <w:pStyle w:val="TableText"/>
              <w:numPr>
                <w:ilvl w:val="0"/>
                <w:numId w:val="34"/>
              </w:numPr>
              <w:spacing w:after="60"/>
              <w:ind w:left="248" w:hanging="248"/>
              <w:rPr>
                <w:color w:val="000000" w:themeColor="text1"/>
                <w:lang w:val="en-AU"/>
              </w:rPr>
            </w:pPr>
            <w:r w:rsidRPr="00F83B6E">
              <w:rPr>
                <w:color w:val="000000" w:themeColor="text1"/>
                <w:lang w:val="en-AU"/>
              </w:rPr>
              <w:t>How well is KPP coordinating and integrating with other relevant DFAT and WOG initiatives?</w:t>
            </w:r>
          </w:p>
        </w:tc>
        <w:tc>
          <w:tcPr>
            <w:tcW w:w="826" w:type="pct"/>
          </w:tcPr>
          <w:p w14:paraId="65406689" w14:textId="77777777" w:rsidR="00764A3E" w:rsidRPr="00F83B6E" w:rsidRDefault="00764A3E" w:rsidP="003E6036">
            <w:pPr>
              <w:pStyle w:val="TableText"/>
              <w:rPr>
                <w:color w:val="000000" w:themeColor="text1"/>
                <w:lang w:val="en-AU"/>
              </w:rPr>
            </w:pPr>
            <w:r w:rsidRPr="00F83B6E">
              <w:rPr>
                <w:color w:val="000000" w:themeColor="text1"/>
                <w:lang w:val="en-AU"/>
              </w:rPr>
              <w:t>Coherence</w:t>
            </w:r>
          </w:p>
        </w:tc>
        <w:tc>
          <w:tcPr>
            <w:tcW w:w="361" w:type="pct"/>
          </w:tcPr>
          <w:p w14:paraId="72AA9405"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c>
          <w:tcPr>
            <w:tcW w:w="361" w:type="pct"/>
          </w:tcPr>
          <w:p w14:paraId="14FD867F" w14:textId="77777777" w:rsidR="00764A3E" w:rsidRPr="00F83B6E" w:rsidRDefault="00764A3E" w:rsidP="003E6036">
            <w:pPr>
              <w:pStyle w:val="TableText"/>
              <w:jc w:val="center"/>
              <w:rPr>
                <w:b/>
                <w:bCs/>
                <w:color w:val="000000" w:themeColor="text1"/>
                <w:lang w:val="en-AU"/>
              </w:rPr>
            </w:pPr>
          </w:p>
        </w:tc>
        <w:tc>
          <w:tcPr>
            <w:tcW w:w="361" w:type="pct"/>
          </w:tcPr>
          <w:p w14:paraId="5D1D6138" w14:textId="77777777" w:rsidR="00764A3E" w:rsidRPr="00F83B6E" w:rsidRDefault="00764A3E" w:rsidP="003E6036">
            <w:pPr>
              <w:pStyle w:val="TableText"/>
              <w:jc w:val="center"/>
              <w:rPr>
                <w:b/>
                <w:bCs/>
                <w:color w:val="000000" w:themeColor="text1"/>
                <w:lang w:val="en-AU"/>
              </w:rPr>
            </w:pPr>
          </w:p>
        </w:tc>
        <w:tc>
          <w:tcPr>
            <w:tcW w:w="361" w:type="pct"/>
          </w:tcPr>
          <w:p w14:paraId="4B278C31"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c>
          <w:tcPr>
            <w:tcW w:w="360" w:type="pct"/>
          </w:tcPr>
          <w:p w14:paraId="473A0E64"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r>
      <w:tr w:rsidR="00F83B6E" w:rsidRPr="00F83B6E" w14:paraId="29325A82" w14:textId="77777777" w:rsidTr="00EB4044">
        <w:tc>
          <w:tcPr>
            <w:tcW w:w="2370" w:type="pct"/>
          </w:tcPr>
          <w:p w14:paraId="4E97798C" w14:textId="77777777" w:rsidR="00764A3E" w:rsidRPr="00F83B6E" w:rsidRDefault="00764A3E" w:rsidP="003E6036">
            <w:pPr>
              <w:pStyle w:val="TableText"/>
              <w:numPr>
                <w:ilvl w:val="0"/>
                <w:numId w:val="34"/>
              </w:numPr>
              <w:spacing w:after="60"/>
              <w:ind w:left="248" w:hanging="248"/>
              <w:rPr>
                <w:color w:val="000000" w:themeColor="text1"/>
                <w:lang w:val="en-AU"/>
              </w:rPr>
            </w:pPr>
            <w:r w:rsidRPr="00F83B6E">
              <w:rPr>
                <w:color w:val="000000" w:themeColor="text1"/>
                <w:lang w:val="en-AU"/>
              </w:rPr>
              <w:t>What evidence is there that partnerships and knowledge supported by KPP will last beyond the KPP timeframe?</w:t>
            </w:r>
          </w:p>
        </w:tc>
        <w:tc>
          <w:tcPr>
            <w:tcW w:w="826" w:type="pct"/>
          </w:tcPr>
          <w:p w14:paraId="241EC1D5" w14:textId="77777777" w:rsidR="00764A3E" w:rsidRPr="00F83B6E" w:rsidRDefault="00764A3E" w:rsidP="003E6036">
            <w:pPr>
              <w:pStyle w:val="TableText"/>
              <w:rPr>
                <w:color w:val="000000" w:themeColor="text1"/>
                <w:lang w:val="en-AU"/>
              </w:rPr>
            </w:pPr>
            <w:r w:rsidRPr="00F83B6E">
              <w:rPr>
                <w:color w:val="000000" w:themeColor="text1"/>
                <w:lang w:val="en-AU"/>
              </w:rPr>
              <w:t>Sustainability</w:t>
            </w:r>
          </w:p>
        </w:tc>
        <w:tc>
          <w:tcPr>
            <w:tcW w:w="361" w:type="pct"/>
          </w:tcPr>
          <w:p w14:paraId="4AFED747"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c>
          <w:tcPr>
            <w:tcW w:w="361" w:type="pct"/>
          </w:tcPr>
          <w:p w14:paraId="2D95A2E6" w14:textId="77777777" w:rsidR="00764A3E" w:rsidRPr="00F83B6E" w:rsidRDefault="00764A3E" w:rsidP="003E6036">
            <w:pPr>
              <w:pStyle w:val="TableText"/>
              <w:jc w:val="center"/>
              <w:rPr>
                <w:b/>
                <w:bCs/>
                <w:color w:val="000000" w:themeColor="text1"/>
                <w:lang w:val="en-AU"/>
              </w:rPr>
            </w:pPr>
          </w:p>
        </w:tc>
        <w:tc>
          <w:tcPr>
            <w:tcW w:w="361" w:type="pct"/>
          </w:tcPr>
          <w:p w14:paraId="60971ECE" w14:textId="77777777" w:rsidR="00764A3E" w:rsidRPr="00F83B6E" w:rsidRDefault="00764A3E" w:rsidP="003E6036">
            <w:pPr>
              <w:pStyle w:val="TableText"/>
              <w:jc w:val="center"/>
              <w:rPr>
                <w:b/>
                <w:bCs/>
                <w:color w:val="000000" w:themeColor="text1"/>
                <w:lang w:val="en-AU"/>
              </w:rPr>
            </w:pPr>
          </w:p>
        </w:tc>
        <w:tc>
          <w:tcPr>
            <w:tcW w:w="361" w:type="pct"/>
          </w:tcPr>
          <w:p w14:paraId="2085A918"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c>
          <w:tcPr>
            <w:tcW w:w="360" w:type="pct"/>
          </w:tcPr>
          <w:p w14:paraId="42B4B28B"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r>
      <w:tr w:rsidR="00764A3E" w:rsidRPr="00F83B6E" w14:paraId="3A49C204" w14:textId="77777777" w:rsidTr="00EB4044">
        <w:tc>
          <w:tcPr>
            <w:tcW w:w="2370" w:type="pct"/>
          </w:tcPr>
          <w:p w14:paraId="0BC7092B" w14:textId="77777777" w:rsidR="00764A3E" w:rsidRPr="00F83B6E" w:rsidRDefault="00764A3E" w:rsidP="003E6036">
            <w:pPr>
              <w:pStyle w:val="TableText"/>
              <w:numPr>
                <w:ilvl w:val="0"/>
                <w:numId w:val="34"/>
              </w:numPr>
              <w:spacing w:after="60"/>
              <w:ind w:left="248" w:hanging="248"/>
              <w:rPr>
                <w:color w:val="000000" w:themeColor="text1"/>
                <w:lang w:val="en-AU"/>
              </w:rPr>
            </w:pPr>
            <w:r w:rsidRPr="00F83B6E">
              <w:rPr>
                <w:color w:val="000000" w:themeColor="text1"/>
                <w:lang w:val="en-AU"/>
              </w:rPr>
              <w:t>What examples are there of uptake of KPP supported knowledge in policy and innovation? What factors have brought this about?</w:t>
            </w:r>
          </w:p>
        </w:tc>
        <w:tc>
          <w:tcPr>
            <w:tcW w:w="826" w:type="pct"/>
          </w:tcPr>
          <w:p w14:paraId="6DB76539" w14:textId="77777777" w:rsidR="00764A3E" w:rsidRPr="00F83B6E" w:rsidRDefault="00764A3E" w:rsidP="003E6036">
            <w:pPr>
              <w:pStyle w:val="TableText"/>
              <w:rPr>
                <w:color w:val="000000" w:themeColor="text1"/>
                <w:lang w:val="en-AU"/>
              </w:rPr>
            </w:pPr>
            <w:r w:rsidRPr="00F83B6E">
              <w:rPr>
                <w:color w:val="000000" w:themeColor="text1"/>
                <w:lang w:val="en-AU"/>
              </w:rPr>
              <w:t>Impact</w:t>
            </w:r>
            <w:r w:rsidRPr="00F83B6E">
              <w:rPr>
                <w:color w:val="000000" w:themeColor="text1"/>
                <w:vertAlign w:val="superscript"/>
                <w:lang w:val="en-AU"/>
              </w:rPr>
              <w:footnoteReference w:id="35"/>
            </w:r>
          </w:p>
        </w:tc>
        <w:tc>
          <w:tcPr>
            <w:tcW w:w="361" w:type="pct"/>
          </w:tcPr>
          <w:p w14:paraId="2FB33B29"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c>
          <w:tcPr>
            <w:tcW w:w="361" w:type="pct"/>
          </w:tcPr>
          <w:p w14:paraId="09F16CB0"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c>
          <w:tcPr>
            <w:tcW w:w="361" w:type="pct"/>
          </w:tcPr>
          <w:p w14:paraId="0DE358C8" w14:textId="77777777" w:rsidR="00764A3E" w:rsidRPr="00F83B6E" w:rsidRDefault="00764A3E" w:rsidP="003E6036">
            <w:pPr>
              <w:pStyle w:val="TableText"/>
              <w:jc w:val="center"/>
              <w:rPr>
                <w:b/>
                <w:bCs/>
                <w:color w:val="000000" w:themeColor="text1"/>
                <w:lang w:val="en-AU"/>
              </w:rPr>
            </w:pPr>
          </w:p>
        </w:tc>
        <w:tc>
          <w:tcPr>
            <w:tcW w:w="361" w:type="pct"/>
          </w:tcPr>
          <w:p w14:paraId="65D1B703"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c>
          <w:tcPr>
            <w:tcW w:w="360" w:type="pct"/>
          </w:tcPr>
          <w:p w14:paraId="3966DD6F" w14:textId="77777777" w:rsidR="00764A3E" w:rsidRPr="00F83B6E" w:rsidRDefault="00764A3E" w:rsidP="003E6036">
            <w:pPr>
              <w:pStyle w:val="TableText"/>
              <w:jc w:val="center"/>
              <w:rPr>
                <w:b/>
                <w:bCs/>
                <w:color w:val="000000" w:themeColor="text1"/>
                <w:lang w:val="en-AU"/>
              </w:rPr>
            </w:pPr>
            <w:r w:rsidRPr="00F83B6E">
              <w:rPr>
                <w:b/>
                <w:bCs/>
                <w:color w:val="000000" w:themeColor="text1"/>
                <w:lang w:val="en-AU"/>
              </w:rPr>
              <w:sym w:font="Symbol" w:char="F0D6"/>
            </w:r>
          </w:p>
        </w:tc>
      </w:tr>
    </w:tbl>
    <w:p w14:paraId="59BA9145" w14:textId="4C82EE3D" w:rsidR="00E56E32" w:rsidRPr="00F83B6E" w:rsidRDefault="00E56E32" w:rsidP="002E1A92">
      <w:pPr>
        <w:jc w:val="center"/>
        <w:rPr>
          <w:color w:val="000000" w:themeColor="text1"/>
          <w:lang w:val="en-AU"/>
        </w:rPr>
      </w:pPr>
    </w:p>
    <w:p w14:paraId="1110FCAB" w14:textId="52DE631F" w:rsidR="00A63FBA" w:rsidRPr="00F83B6E" w:rsidRDefault="00335B83" w:rsidP="00B91543">
      <w:pPr>
        <w:pStyle w:val="BodyText"/>
        <w:rPr>
          <w:color w:val="000000" w:themeColor="text1"/>
        </w:rPr>
      </w:pPr>
      <w:r w:rsidRPr="00F83B6E">
        <w:rPr>
          <w:color w:val="000000" w:themeColor="text1"/>
        </w:rPr>
        <w:t>To answer these questions, monitoring d</w:t>
      </w:r>
      <w:r w:rsidR="00AC1A42" w:rsidRPr="00F83B6E">
        <w:rPr>
          <w:color w:val="000000" w:themeColor="text1"/>
        </w:rPr>
        <w:t xml:space="preserve">ata will be </w:t>
      </w:r>
      <w:r w:rsidRPr="00F83B6E">
        <w:rPr>
          <w:color w:val="000000" w:themeColor="text1"/>
        </w:rPr>
        <w:t xml:space="preserve">routinely </w:t>
      </w:r>
      <w:r w:rsidR="00AC1A42" w:rsidRPr="00F83B6E">
        <w:rPr>
          <w:color w:val="000000" w:themeColor="text1"/>
        </w:rPr>
        <w:t>collected against a small set of key performance indicators</w:t>
      </w:r>
      <w:r w:rsidR="00AB706C" w:rsidRPr="00F83B6E">
        <w:rPr>
          <w:color w:val="000000" w:themeColor="text1"/>
        </w:rPr>
        <w:t xml:space="preserve"> compiled in a results framework</w:t>
      </w:r>
      <w:r w:rsidR="00AC1A42" w:rsidRPr="00F83B6E">
        <w:rPr>
          <w:color w:val="000000" w:themeColor="text1"/>
        </w:rPr>
        <w:t xml:space="preserve">. Some of these will be common across </w:t>
      </w:r>
      <w:r w:rsidR="00603C55" w:rsidRPr="00F83B6E">
        <w:rPr>
          <w:color w:val="000000" w:themeColor="text1"/>
        </w:rPr>
        <w:t xml:space="preserve">individual </w:t>
      </w:r>
      <w:r w:rsidR="00AC1A42" w:rsidRPr="00F83B6E">
        <w:rPr>
          <w:color w:val="000000" w:themeColor="text1"/>
        </w:rPr>
        <w:t xml:space="preserve">partnerships to enable aggregation. </w:t>
      </w:r>
      <w:r w:rsidR="00603C55" w:rsidRPr="00F83B6E">
        <w:rPr>
          <w:color w:val="000000" w:themeColor="text1"/>
        </w:rPr>
        <w:t>A</w:t>
      </w:r>
      <w:r w:rsidR="00AC1A42" w:rsidRPr="00F83B6E">
        <w:rPr>
          <w:color w:val="000000" w:themeColor="text1"/>
        </w:rPr>
        <w:t xml:space="preserve">ll data and </w:t>
      </w:r>
      <w:r w:rsidR="000D0CA3" w:rsidRPr="00F83B6E">
        <w:rPr>
          <w:color w:val="000000" w:themeColor="text1"/>
        </w:rPr>
        <w:t xml:space="preserve">analyses </w:t>
      </w:r>
      <w:r w:rsidR="00AC1A42" w:rsidRPr="00F83B6E">
        <w:rPr>
          <w:color w:val="000000" w:themeColor="text1"/>
        </w:rPr>
        <w:t>will be disaggregated</w:t>
      </w:r>
      <w:r w:rsidR="00603C55" w:rsidRPr="00F83B6E">
        <w:rPr>
          <w:color w:val="000000" w:themeColor="text1"/>
        </w:rPr>
        <w:t xml:space="preserve"> as relevant</w:t>
      </w:r>
      <w:r w:rsidR="00610DBB" w:rsidRPr="00F83B6E">
        <w:rPr>
          <w:color w:val="000000" w:themeColor="text1"/>
        </w:rPr>
        <w:t>. It is recommended to incorporate a</w:t>
      </w:r>
      <w:r w:rsidR="00AC1A42" w:rsidRPr="00F83B6E">
        <w:rPr>
          <w:color w:val="000000" w:themeColor="text1"/>
        </w:rPr>
        <w:t xml:space="preserve">ppropriate data disaggregation </w:t>
      </w:r>
      <w:r w:rsidR="00D02464" w:rsidRPr="00F83B6E">
        <w:rPr>
          <w:color w:val="000000" w:themeColor="text1"/>
        </w:rPr>
        <w:t xml:space="preserve">(by gender, disability, geographic and other relevant characteristics) </w:t>
      </w:r>
      <w:r w:rsidR="00610DBB" w:rsidRPr="00F83B6E">
        <w:rPr>
          <w:color w:val="000000" w:themeColor="text1"/>
        </w:rPr>
        <w:t>as</w:t>
      </w:r>
      <w:r w:rsidR="00AC1A42" w:rsidRPr="00F83B6E">
        <w:rPr>
          <w:color w:val="000000" w:themeColor="text1"/>
        </w:rPr>
        <w:t xml:space="preserve"> </w:t>
      </w:r>
      <w:r w:rsidR="00D02464" w:rsidRPr="00F83B6E">
        <w:rPr>
          <w:color w:val="000000" w:themeColor="text1"/>
        </w:rPr>
        <w:t>a</w:t>
      </w:r>
      <w:r w:rsidR="00AC1A42" w:rsidRPr="00F83B6E">
        <w:rPr>
          <w:color w:val="000000" w:themeColor="text1"/>
        </w:rPr>
        <w:t xml:space="preserve"> requirement </w:t>
      </w:r>
      <w:r w:rsidR="00D02464" w:rsidRPr="00F83B6E">
        <w:rPr>
          <w:color w:val="000000" w:themeColor="text1"/>
        </w:rPr>
        <w:t>for</w:t>
      </w:r>
      <w:r w:rsidR="00AC1A42" w:rsidRPr="00F83B6E">
        <w:rPr>
          <w:color w:val="000000" w:themeColor="text1"/>
        </w:rPr>
        <w:t xml:space="preserve"> all partnership reporting, </w:t>
      </w:r>
      <w:r w:rsidR="00610DBB" w:rsidRPr="00F83B6E">
        <w:rPr>
          <w:color w:val="000000" w:themeColor="text1"/>
        </w:rPr>
        <w:t>linked to a</w:t>
      </w:r>
      <w:r w:rsidR="00D02464" w:rsidRPr="00F83B6E">
        <w:rPr>
          <w:color w:val="000000" w:themeColor="text1"/>
        </w:rPr>
        <w:t xml:space="preserve"> </w:t>
      </w:r>
      <w:r w:rsidR="00AC1A42" w:rsidRPr="00F83B6E">
        <w:rPr>
          <w:color w:val="000000" w:themeColor="text1"/>
        </w:rPr>
        <w:t>payment approval process.</w:t>
      </w:r>
      <w:r w:rsidR="00C16C74" w:rsidRPr="00F83B6E">
        <w:rPr>
          <w:color w:val="000000" w:themeColor="text1"/>
        </w:rPr>
        <w:t xml:space="preserve"> </w:t>
      </w:r>
    </w:p>
    <w:p w14:paraId="527C559C" w14:textId="6C9B915C" w:rsidR="0062000A" w:rsidRPr="00F83B6E" w:rsidRDefault="00D02464" w:rsidP="00B91543">
      <w:pPr>
        <w:pStyle w:val="BodyText"/>
        <w:rPr>
          <w:color w:val="000000" w:themeColor="text1"/>
        </w:rPr>
      </w:pPr>
      <w:r w:rsidRPr="00F83B6E">
        <w:rPr>
          <w:color w:val="000000" w:themeColor="text1"/>
        </w:rPr>
        <w:t>To host all this information, the Platform Hub will des</w:t>
      </w:r>
      <w:r w:rsidR="00167233" w:rsidRPr="00F83B6E">
        <w:rPr>
          <w:color w:val="000000" w:themeColor="text1"/>
        </w:rPr>
        <w:t>i</w:t>
      </w:r>
      <w:r w:rsidRPr="00F83B6E">
        <w:rPr>
          <w:color w:val="000000" w:themeColor="text1"/>
        </w:rPr>
        <w:t>gn and maintain a</w:t>
      </w:r>
      <w:r w:rsidR="00E532C0" w:rsidRPr="00F83B6E">
        <w:rPr>
          <w:color w:val="000000" w:themeColor="text1"/>
        </w:rPr>
        <w:t xml:space="preserve"> management information system t</w:t>
      </w:r>
      <w:r w:rsidRPr="00F83B6E">
        <w:rPr>
          <w:color w:val="000000" w:themeColor="text1"/>
        </w:rPr>
        <w:t>hat</w:t>
      </w:r>
      <w:r w:rsidR="00E532C0" w:rsidRPr="00F83B6E">
        <w:rPr>
          <w:color w:val="000000" w:themeColor="text1"/>
        </w:rPr>
        <w:t xml:space="preserve"> enable</w:t>
      </w:r>
      <w:r w:rsidRPr="00F83B6E">
        <w:rPr>
          <w:color w:val="000000" w:themeColor="text1"/>
        </w:rPr>
        <w:t>s</w:t>
      </w:r>
      <w:r w:rsidR="00E532C0" w:rsidRPr="00F83B6E">
        <w:rPr>
          <w:color w:val="000000" w:themeColor="text1"/>
        </w:rPr>
        <w:t xml:space="preserve"> efficient tracking and real-time visualisation of resources, activities, outputs, and general progress</w:t>
      </w:r>
      <w:r w:rsidR="000D0CA3" w:rsidRPr="00F83B6E">
        <w:rPr>
          <w:color w:val="000000" w:themeColor="text1"/>
        </w:rPr>
        <w:t>es</w:t>
      </w:r>
      <w:r w:rsidR="00E532C0" w:rsidRPr="00F83B6E">
        <w:rPr>
          <w:color w:val="000000" w:themeColor="text1"/>
        </w:rPr>
        <w:t xml:space="preserve"> against the different levels of the program logic. Ideally this will enable direct online submission of partnership reports and data against common indicators.</w:t>
      </w:r>
      <w:r w:rsidR="009A599D" w:rsidRPr="00F83B6E">
        <w:rPr>
          <w:color w:val="000000" w:themeColor="text1"/>
        </w:rPr>
        <w:t xml:space="preserve"> </w:t>
      </w:r>
    </w:p>
    <w:p w14:paraId="6DD7BD09" w14:textId="35588904" w:rsidR="00C2428D" w:rsidRPr="00F83B6E" w:rsidRDefault="00D02464" w:rsidP="00B91543">
      <w:pPr>
        <w:pStyle w:val="BodyText"/>
        <w:rPr>
          <w:color w:val="000000" w:themeColor="text1"/>
        </w:rPr>
      </w:pPr>
      <w:r w:rsidRPr="00F83B6E">
        <w:rPr>
          <w:color w:val="000000" w:themeColor="text1"/>
        </w:rPr>
        <w:lastRenderedPageBreak/>
        <w:t xml:space="preserve">The MEL framework will include </w:t>
      </w:r>
      <w:r w:rsidR="004A536A" w:rsidRPr="00F83B6E">
        <w:rPr>
          <w:color w:val="000000" w:themeColor="text1"/>
        </w:rPr>
        <w:t xml:space="preserve">processes to </w:t>
      </w:r>
      <w:r w:rsidR="0062000A" w:rsidRPr="00F83B6E">
        <w:rPr>
          <w:color w:val="000000" w:themeColor="text1"/>
        </w:rPr>
        <w:t xml:space="preserve">assess GEDSI and programmatic performance </w:t>
      </w:r>
      <w:r w:rsidR="004A536A" w:rsidRPr="00F83B6E">
        <w:rPr>
          <w:color w:val="000000" w:themeColor="text1"/>
        </w:rPr>
        <w:t xml:space="preserve">at </w:t>
      </w:r>
      <w:r w:rsidRPr="00F83B6E">
        <w:rPr>
          <w:color w:val="000000" w:themeColor="text1"/>
        </w:rPr>
        <w:t xml:space="preserve">two levels: 1) </w:t>
      </w:r>
      <w:r w:rsidR="004A536A" w:rsidRPr="00F83B6E">
        <w:rPr>
          <w:color w:val="000000" w:themeColor="text1"/>
        </w:rPr>
        <w:t xml:space="preserve">the </w:t>
      </w:r>
      <w:r w:rsidRPr="00F83B6E">
        <w:rPr>
          <w:color w:val="000000" w:themeColor="text1"/>
        </w:rPr>
        <w:t>Platform Hub</w:t>
      </w:r>
      <w:r w:rsidR="00603C55" w:rsidRPr="00F83B6E">
        <w:rPr>
          <w:color w:val="000000" w:themeColor="text1"/>
        </w:rPr>
        <w:t>,</w:t>
      </w:r>
      <w:r w:rsidRPr="00F83B6E">
        <w:rPr>
          <w:color w:val="000000" w:themeColor="text1"/>
        </w:rPr>
        <w:t xml:space="preserve"> and 2) </w:t>
      </w:r>
      <w:r w:rsidR="004A536A" w:rsidRPr="00F83B6E">
        <w:rPr>
          <w:color w:val="000000" w:themeColor="text1"/>
        </w:rPr>
        <w:t>the</w:t>
      </w:r>
      <w:r w:rsidRPr="00F83B6E">
        <w:rPr>
          <w:color w:val="000000" w:themeColor="text1"/>
        </w:rPr>
        <w:t xml:space="preserve"> individual partnership</w:t>
      </w:r>
      <w:r w:rsidR="004A536A" w:rsidRPr="00F83B6E">
        <w:rPr>
          <w:color w:val="000000" w:themeColor="text1"/>
        </w:rPr>
        <w:t xml:space="preserve"> level. </w:t>
      </w:r>
    </w:p>
    <w:p w14:paraId="34433463" w14:textId="11C4EBEF" w:rsidR="00FC5E00" w:rsidRPr="00F83B6E" w:rsidRDefault="00FC5E00" w:rsidP="009E1799">
      <w:pPr>
        <w:pStyle w:val="Heading4"/>
        <w:rPr>
          <w:color w:val="000000" w:themeColor="text1"/>
        </w:rPr>
      </w:pPr>
      <w:r w:rsidRPr="00F83B6E">
        <w:rPr>
          <w:color w:val="000000" w:themeColor="text1"/>
        </w:rPr>
        <w:t>MEL of Platform Hub services</w:t>
      </w:r>
    </w:p>
    <w:p w14:paraId="445103E7" w14:textId="029618AB" w:rsidR="000721D0" w:rsidRPr="00F83B6E" w:rsidRDefault="00C2428D" w:rsidP="00B91543">
      <w:pPr>
        <w:pStyle w:val="BodyText"/>
        <w:rPr>
          <w:color w:val="000000" w:themeColor="text1"/>
        </w:rPr>
      </w:pPr>
      <w:r w:rsidRPr="00F83B6E">
        <w:rPr>
          <w:color w:val="000000" w:themeColor="text1"/>
        </w:rPr>
        <w:t>At the Platform Hub level</w:t>
      </w:r>
      <w:r w:rsidR="00D02464" w:rsidRPr="00F83B6E">
        <w:rPr>
          <w:color w:val="000000" w:themeColor="text1"/>
        </w:rPr>
        <w:t xml:space="preserve">, </w:t>
      </w:r>
      <w:r w:rsidR="004A536A" w:rsidRPr="00F83B6E">
        <w:rPr>
          <w:color w:val="000000" w:themeColor="text1"/>
        </w:rPr>
        <w:t xml:space="preserve">the MEL framework will include </w:t>
      </w:r>
      <w:r w:rsidR="00BC6825" w:rsidRPr="00F83B6E">
        <w:rPr>
          <w:color w:val="000000" w:themeColor="text1"/>
        </w:rPr>
        <w:t>activitie</w:t>
      </w:r>
      <w:r w:rsidR="004A536A" w:rsidRPr="00F83B6E">
        <w:rPr>
          <w:color w:val="000000" w:themeColor="text1"/>
        </w:rPr>
        <w:t>s to assess and report the performance of Platform Hub services, as illustrated in Figure 10. It</w:t>
      </w:r>
      <w:r w:rsidRPr="00F83B6E">
        <w:rPr>
          <w:color w:val="000000" w:themeColor="text1"/>
        </w:rPr>
        <w:t xml:space="preserve"> will track completion of outputs and progress towards outcomes against the </w:t>
      </w:r>
      <w:r w:rsidR="004A536A" w:rsidRPr="00F83B6E">
        <w:rPr>
          <w:color w:val="000000" w:themeColor="text1"/>
        </w:rPr>
        <w:t xml:space="preserve">program’s </w:t>
      </w:r>
      <w:r w:rsidRPr="00F83B6E">
        <w:rPr>
          <w:color w:val="000000" w:themeColor="text1"/>
        </w:rPr>
        <w:t>workplan</w:t>
      </w:r>
      <w:r w:rsidR="004A536A" w:rsidRPr="00F83B6E">
        <w:rPr>
          <w:color w:val="000000" w:themeColor="text1"/>
        </w:rPr>
        <w:t>,</w:t>
      </w:r>
      <w:r w:rsidRPr="00F83B6E">
        <w:rPr>
          <w:color w:val="000000" w:themeColor="text1"/>
        </w:rPr>
        <w:t xml:space="preserve"> </w:t>
      </w:r>
      <w:r w:rsidR="007527A0" w:rsidRPr="00F83B6E">
        <w:rPr>
          <w:color w:val="000000" w:themeColor="text1"/>
        </w:rPr>
        <w:t xml:space="preserve">and </w:t>
      </w:r>
      <w:r w:rsidRPr="00F83B6E">
        <w:rPr>
          <w:color w:val="000000" w:themeColor="text1"/>
        </w:rPr>
        <w:t>with attention to unexpected outcomes or off-plan activities that respond to opportunities not fore</w:t>
      </w:r>
      <w:r w:rsidR="007527A0" w:rsidRPr="00F83B6E">
        <w:rPr>
          <w:color w:val="000000" w:themeColor="text1"/>
        </w:rPr>
        <w:t>seen</w:t>
      </w:r>
      <w:r w:rsidRPr="00F83B6E">
        <w:rPr>
          <w:color w:val="000000" w:themeColor="text1"/>
        </w:rPr>
        <w:t xml:space="preserve">. </w:t>
      </w:r>
      <w:r w:rsidR="004A536A" w:rsidRPr="00F83B6E">
        <w:rPr>
          <w:color w:val="000000" w:themeColor="text1"/>
        </w:rPr>
        <w:t>The framework will include</w:t>
      </w:r>
      <w:r w:rsidRPr="00F83B6E">
        <w:rPr>
          <w:color w:val="000000" w:themeColor="text1"/>
        </w:rPr>
        <w:t xml:space="preserve"> reflective, learning based methods </w:t>
      </w:r>
      <w:r w:rsidR="004A536A" w:rsidRPr="00F83B6E">
        <w:rPr>
          <w:color w:val="000000" w:themeColor="text1"/>
        </w:rPr>
        <w:t xml:space="preserve">to be used </w:t>
      </w:r>
      <w:r w:rsidR="00BC6825" w:rsidRPr="00F83B6E">
        <w:rPr>
          <w:color w:val="000000" w:themeColor="text1"/>
        </w:rPr>
        <w:t>by</w:t>
      </w:r>
      <w:r w:rsidRPr="00F83B6E">
        <w:rPr>
          <w:color w:val="000000" w:themeColor="text1"/>
        </w:rPr>
        <w:t xml:space="preserve"> the Platform Hub</w:t>
      </w:r>
      <w:r w:rsidR="004A536A" w:rsidRPr="00F83B6E">
        <w:rPr>
          <w:color w:val="000000" w:themeColor="text1"/>
        </w:rPr>
        <w:t xml:space="preserve">, such as </w:t>
      </w:r>
      <w:r w:rsidRPr="00F83B6E">
        <w:rPr>
          <w:color w:val="000000" w:themeColor="text1"/>
        </w:rPr>
        <w:t>regular (at least six-monthly) team workshops to compile, analyse, and discuss available data against the end of investment and intermediate outcomes. Representatives of OPD will be invited to participate in key events that provide an opportunity to reflect on how well KPP has upheld the ‘nothing about us without us’ principle.</w:t>
      </w:r>
      <w:r w:rsidRPr="00F83B6E">
        <w:rPr>
          <w:color w:val="000000" w:themeColor="text1"/>
          <w:vertAlign w:val="superscript"/>
        </w:rPr>
        <w:footnoteReference w:id="36"/>
      </w:r>
      <w:r w:rsidR="004A536A" w:rsidRPr="00F83B6E">
        <w:rPr>
          <w:color w:val="000000" w:themeColor="text1"/>
        </w:rPr>
        <w:t xml:space="preserve"> </w:t>
      </w:r>
    </w:p>
    <w:p w14:paraId="0B90494F" w14:textId="3226C23B" w:rsidR="00E73C62" w:rsidRPr="00F83B6E" w:rsidRDefault="004A536A" w:rsidP="00B91543">
      <w:pPr>
        <w:pStyle w:val="BodyText"/>
        <w:rPr>
          <w:color w:val="000000" w:themeColor="text1"/>
        </w:rPr>
      </w:pPr>
      <w:r w:rsidRPr="00F83B6E">
        <w:rPr>
          <w:color w:val="000000" w:themeColor="text1"/>
        </w:rPr>
        <w:t xml:space="preserve">In addition, the MEL framework will include an analytical agenda with dedicated resources, to be agreed as part of the annual planning process and reflecting KPP principles. This agenda will provide the Platform Hub with a capacity to investigate specific issues or topics of interest and carry out contextual and political economy analysis to identify appropriate research themes and/or maximise the chance of knowledge uptake. It will also enable additional rapid response or ‘just-in-time’ studies to be mobilised outside of the planning cycle to respond to ad-hoc opportunities or need. </w:t>
      </w:r>
      <w:r w:rsidR="00260AF4" w:rsidRPr="00F83B6E">
        <w:rPr>
          <w:color w:val="000000" w:themeColor="text1"/>
        </w:rPr>
        <w:t xml:space="preserve"> </w:t>
      </w:r>
    </w:p>
    <w:p w14:paraId="7C180C00" w14:textId="17D2041B" w:rsidR="00DE1D6F" w:rsidRPr="00F83B6E" w:rsidRDefault="00DE1D6F" w:rsidP="00DE1D6F">
      <w:pPr>
        <w:pStyle w:val="Caption"/>
        <w:rPr>
          <w:color w:val="000000" w:themeColor="text1"/>
        </w:rPr>
      </w:pPr>
      <w:r w:rsidRPr="00F83B6E">
        <w:rPr>
          <w:color w:val="000000" w:themeColor="text1"/>
        </w:rPr>
        <w:t xml:space="preserve">Figure </w:t>
      </w:r>
      <w:r w:rsidRPr="00F83B6E">
        <w:rPr>
          <w:color w:val="000000" w:themeColor="text1"/>
        </w:rPr>
        <w:fldChar w:fldCharType="begin"/>
      </w:r>
      <w:r w:rsidRPr="00F83B6E">
        <w:rPr>
          <w:color w:val="000000" w:themeColor="text1"/>
        </w:rPr>
        <w:instrText xml:space="preserve"> SEQ Figure \* ARABIC </w:instrText>
      </w:r>
      <w:r w:rsidRPr="00F83B6E">
        <w:rPr>
          <w:color w:val="000000" w:themeColor="text1"/>
        </w:rPr>
        <w:fldChar w:fldCharType="separate"/>
      </w:r>
      <w:r w:rsidR="00A578DF">
        <w:rPr>
          <w:noProof/>
          <w:color w:val="000000" w:themeColor="text1"/>
        </w:rPr>
        <w:t>10</w:t>
      </w:r>
      <w:r w:rsidRPr="00F83B6E">
        <w:rPr>
          <w:color w:val="000000" w:themeColor="text1"/>
        </w:rPr>
        <w:fldChar w:fldCharType="end"/>
      </w:r>
      <w:r w:rsidRPr="00F83B6E">
        <w:rPr>
          <w:color w:val="000000" w:themeColor="text1"/>
          <w:lang w:val="en-AU"/>
        </w:rPr>
        <w:t xml:space="preserve"> </w:t>
      </w:r>
      <w:r w:rsidRPr="00F83B6E">
        <w:rPr>
          <w:color w:val="000000" w:themeColor="text1"/>
          <w:lang w:val="en-AU"/>
        </w:rPr>
        <w:tab/>
        <w:t>MEL of Platform Hub services</w:t>
      </w:r>
    </w:p>
    <w:tbl>
      <w:tblPr>
        <w:tblStyle w:val="TableGrid1"/>
        <w:tblW w:w="5000" w:type="pct"/>
        <w:tblLook w:val="04A0" w:firstRow="1" w:lastRow="0" w:firstColumn="1" w:lastColumn="0" w:noHBand="0" w:noVBand="1"/>
        <w:tblCaption w:val="Figure 10 "/>
        <w:tblDescription w:val="MEL of Platform Hub Services"/>
      </w:tblPr>
      <w:tblGrid>
        <w:gridCol w:w="1997"/>
        <w:gridCol w:w="7630"/>
      </w:tblGrid>
      <w:tr w:rsidR="00F83B6E" w:rsidRPr="00F83B6E" w14:paraId="6B88AFCD" w14:textId="77777777" w:rsidTr="00EB4044">
        <w:trPr>
          <w:trHeight w:val="397"/>
          <w:tblHeader/>
        </w:trPr>
        <w:tc>
          <w:tcPr>
            <w:tcW w:w="1037" w:type="pct"/>
          </w:tcPr>
          <w:p w14:paraId="1D677ECD" w14:textId="22A6AC27" w:rsidR="00E73C62" w:rsidRPr="00F83B6E" w:rsidRDefault="00E73C62" w:rsidP="00BC6825">
            <w:pPr>
              <w:pStyle w:val="TableHeaderRow"/>
              <w:spacing w:before="0"/>
              <w:jc w:val="center"/>
              <w:rPr>
                <w:b w:val="0"/>
                <w:bCs/>
                <w:color w:val="000000" w:themeColor="text1"/>
                <w:lang w:val="en-AU"/>
              </w:rPr>
            </w:pPr>
            <w:r w:rsidRPr="00F83B6E">
              <w:rPr>
                <w:color w:val="000000" w:themeColor="text1"/>
                <w:lang w:val="en-AU"/>
              </w:rPr>
              <w:t xml:space="preserve">Platform </w:t>
            </w:r>
            <w:r w:rsidR="00612FE0" w:rsidRPr="00F83B6E">
              <w:rPr>
                <w:color w:val="000000" w:themeColor="text1"/>
                <w:lang w:val="en-AU"/>
              </w:rPr>
              <w:t>s</w:t>
            </w:r>
            <w:r w:rsidRPr="00F83B6E">
              <w:rPr>
                <w:color w:val="000000" w:themeColor="text1"/>
                <w:lang w:val="en-AU"/>
              </w:rPr>
              <w:t>ervice</w:t>
            </w:r>
            <w:r w:rsidR="00167233" w:rsidRPr="00F83B6E">
              <w:rPr>
                <w:color w:val="000000" w:themeColor="text1"/>
                <w:lang w:val="en-AU"/>
              </w:rPr>
              <w:t>s</w:t>
            </w:r>
          </w:p>
        </w:tc>
        <w:tc>
          <w:tcPr>
            <w:tcW w:w="3963" w:type="pct"/>
          </w:tcPr>
          <w:p w14:paraId="26782DFB" w14:textId="7E8F1072" w:rsidR="00E73C62" w:rsidRPr="00F83B6E" w:rsidRDefault="004A536A" w:rsidP="00BC6825">
            <w:pPr>
              <w:pStyle w:val="TableHeaderRow"/>
              <w:spacing w:before="0"/>
              <w:jc w:val="center"/>
              <w:rPr>
                <w:b w:val="0"/>
                <w:bCs/>
                <w:color w:val="000000" w:themeColor="text1"/>
                <w:lang w:val="en-AU"/>
              </w:rPr>
            </w:pPr>
            <w:r w:rsidRPr="00F83B6E">
              <w:rPr>
                <w:color w:val="000000" w:themeColor="text1"/>
                <w:lang w:val="en-AU"/>
              </w:rPr>
              <w:t xml:space="preserve">Suggested </w:t>
            </w:r>
            <w:r w:rsidR="00167233" w:rsidRPr="00F83B6E">
              <w:rPr>
                <w:color w:val="000000" w:themeColor="text1"/>
                <w:lang w:val="en-AU"/>
              </w:rPr>
              <w:t xml:space="preserve">MEL </w:t>
            </w:r>
            <w:r w:rsidR="00BC6825" w:rsidRPr="00F83B6E">
              <w:rPr>
                <w:color w:val="000000" w:themeColor="text1"/>
                <w:lang w:val="en-AU"/>
              </w:rPr>
              <w:t>activities</w:t>
            </w:r>
          </w:p>
        </w:tc>
      </w:tr>
      <w:tr w:rsidR="00F83B6E" w:rsidRPr="00F83B6E" w14:paraId="76C3C69D" w14:textId="77777777" w:rsidTr="00EB4044">
        <w:trPr>
          <w:trHeight w:val="397"/>
        </w:trPr>
        <w:tc>
          <w:tcPr>
            <w:tcW w:w="1037" w:type="pct"/>
          </w:tcPr>
          <w:p w14:paraId="75CD3F75" w14:textId="77777777" w:rsidR="00E73C62" w:rsidRPr="00F83B6E" w:rsidRDefault="00E73C62" w:rsidP="00612FE0">
            <w:pPr>
              <w:pStyle w:val="TableText"/>
              <w:rPr>
                <w:color w:val="000000" w:themeColor="text1"/>
                <w:lang w:val="en-AU"/>
              </w:rPr>
            </w:pPr>
            <w:r w:rsidRPr="00F83B6E">
              <w:rPr>
                <w:color w:val="000000" w:themeColor="text1"/>
                <w:lang w:val="en-AU"/>
              </w:rPr>
              <w:t>Collaborative Research Grants</w:t>
            </w:r>
          </w:p>
        </w:tc>
        <w:tc>
          <w:tcPr>
            <w:tcW w:w="3963" w:type="pct"/>
          </w:tcPr>
          <w:p w14:paraId="5E087299" w14:textId="77777777" w:rsidR="00E73C62" w:rsidRPr="00F83B6E" w:rsidRDefault="00E73C62" w:rsidP="00E74DD1">
            <w:pPr>
              <w:pStyle w:val="TableBullet1"/>
              <w:rPr>
                <w:color w:val="000000" w:themeColor="text1"/>
              </w:rPr>
            </w:pPr>
            <w:r w:rsidRPr="00F83B6E">
              <w:rPr>
                <w:color w:val="000000" w:themeColor="text1"/>
              </w:rPr>
              <w:t>Analysis of composition of partnerships and roles of different members</w:t>
            </w:r>
          </w:p>
          <w:p w14:paraId="0521449B" w14:textId="77777777" w:rsidR="00E73C62" w:rsidRPr="00F83B6E" w:rsidRDefault="00E73C62" w:rsidP="00E74DD1">
            <w:pPr>
              <w:pStyle w:val="TableBullet1"/>
              <w:rPr>
                <w:color w:val="000000" w:themeColor="text1"/>
              </w:rPr>
            </w:pPr>
            <w:r w:rsidRPr="00F83B6E">
              <w:rPr>
                <w:color w:val="000000" w:themeColor="text1"/>
              </w:rPr>
              <w:t>Tracking of number, size and duration of grants</w:t>
            </w:r>
          </w:p>
          <w:p w14:paraId="205EFAAF" w14:textId="77777777" w:rsidR="00E73C62" w:rsidRPr="00F83B6E" w:rsidRDefault="00E73C62" w:rsidP="00E74DD1">
            <w:pPr>
              <w:pStyle w:val="TableBullet1"/>
              <w:rPr>
                <w:color w:val="000000" w:themeColor="text1"/>
              </w:rPr>
            </w:pPr>
            <w:r w:rsidRPr="00F83B6E">
              <w:rPr>
                <w:color w:val="000000" w:themeColor="text1"/>
              </w:rPr>
              <w:t>Establishment and monitoring of internal partnership principles and ways of working, including mutual accountabilities, roles, and management of power dynamics</w:t>
            </w:r>
          </w:p>
        </w:tc>
      </w:tr>
      <w:tr w:rsidR="00F83B6E" w:rsidRPr="00F83B6E" w14:paraId="03DCE579" w14:textId="77777777" w:rsidTr="00EB4044">
        <w:trPr>
          <w:trHeight w:val="397"/>
        </w:trPr>
        <w:tc>
          <w:tcPr>
            <w:tcW w:w="1037" w:type="pct"/>
          </w:tcPr>
          <w:p w14:paraId="4FA77A55" w14:textId="77777777" w:rsidR="00E73C62" w:rsidRPr="00F83B6E" w:rsidRDefault="00E73C62" w:rsidP="00612FE0">
            <w:pPr>
              <w:pStyle w:val="TableText"/>
              <w:rPr>
                <w:color w:val="000000" w:themeColor="text1"/>
                <w:lang w:val="en-AU"/>
              </w:rPr>
            </w:pPr>
            <w:r w:rsidRPr="00F83B6E">
              <w:rPr>
                <w:color w:val="000000" w:themeColor="text1"/>
                <w:lang w:val="en-AU"/>
              </w:rPr>
              <w:t>Technical Assistance</w:t>
            </w:r>
          </w:p>
        </w:tc>
        <w:tc>
          <w:tcPr>
            <w:tcW w:w="3963" w:type="pct"/>
          </w:tcPr>
          <w:p w14:paraId="670CEE1C" w14:textId="0A7C8ED6" w:rsidR="00E73C62" w:rsidRPr="00F83B6E" w:rsidRDefault="00E73C62" w:rsidP="00E74DD1">
            <w:pPr>
              <w:pStyle w:val="TableBullet1"/>
              <w:rPr>
                <w:color w:val="000000" w:themeColor="text1"/>
              </w:rPr>
            </w:pPr>
            <w:r w:rsidRPr="00F83B6E">
              <w:rPr>
                <w:color w:val="000000" w:themeColor="text1"/>
              </w:rPr>
              <w:t>Tracking of support provided</w:t>
            </w:r>
            <w:r w:rsidR="00C16C74" w:rsidRPr="00F83B6E">
              <w:rPr>
                <w:color w:val="000000" w:themeColor="text1"/>
              </w:rPr>
              <w:t xml:space="preserve"> </w:t>
            </w:r>
            <w:r w:rsidR="00167233" w:rsidRPr="00F83B6E">
              <w:rPr>
                <w:color w:val="000000" w:themeColor="text1"/>
              </w:rPr>
              <w:t>to partnerships (</w:t>
            </w:r>
            <w:r w:rsidRPr="00F83B6E">
              <w:rPr>
                <w:color w:val="000000" w:themeColor="text1"/>
              </w:rPr>
              <w:t># of person days STA / sectoral or capacity areas</w:t>
            </w:r>
            <w:r w:rsidR="0062233E" w:rsidRPr="00F83B6E">
              <w:rPr>
                <w:color w:val="000000" w:themeColor="text1"/>
              </w:rPr>
              <w:t>,</w:t>
            </w:r>
            <w:r w:rsidRPr="00F83B6E">
              <w:rPr>
                <w:color w:val="000000" w:themeColor="text1"/>
              </w:rPr>
              <w:t xml:space="preserve"> training or mentoring events and participation</w:t>
            </w:r>
            <w:r w:rsidR="00167233" w:rsidRPr="00F83B6E">
              <w:rPr>
                <w:color w:val="000000" w:themeColor="text1"/>
              </w:rPr>
              <w:t>)</w:t>
            </w:r>
          </w:p>
          <w:p w14:paraId="3147E8F2" w14:textId="6780578B" w:rsidR="00167233" w:rsidRPr="00F83B6E" w:rsidRDefault="00167233" w:rsidP="00E74DD1">
            <w:pPr>
              <w:pStyle w:val="TableBullet1"/>
              <w:rPr>
                <w:color w:val="000000" w:themeColor="text1"/>
              </w:rPr>
            </w:pPr>
            <w:r w:rsidRPr="00F83B6E">
              <w:rPr>
                <w:color w:val="000000" w:themeColor="text1"/>
              </w:rPr>
              <w:t>Tracking of support provided</w:t>
            </w:r>
            <w:r w:rsidR="00C16C74" w:rsidRPr="00F83B6E">
              <w:rPr>
                <w:color w:val="000000" w:themeColor="text1"/>
              </w:rPr>
              <w:t xml:space="preserve"> </w:t>
            </w:r>
            <w:r w:rsidRPr="00F83B6E">
              <w:rPr>
                <w:color w:val="000000" w:themeColor="text1"/>
              </w:rPr>
              <w:t>to Indonesian knowledge and innovation sector (# of person days STA / sectoral or capacity areas</w:t>
            </w:r>
            <w:r w:rsidR="009C1146" w:rsidRPr="00F83B6E">
              <w:rPr>
                <w:color w:val="000000" w:themeColor="text1"/>
              </w:rPr>
              <w:t>,</w:t>
            </w:r>
            <w:r w:rsidRPr="00F83B6E">
              <w:rPr>
                <w:color w:val="000000" w:themeColor="text1"/>
              </w:rPr>
              <w:t xml:space="preserve"> training or mentoring events and participation)</w:t>
            </w:r>
          </w:p>
          <w:p w14:paraId="41857F15" w14:textId="1F31939F" w:rsidR="00167233" w:rsidRPr="00F83B6E" w:rsidRDefault="00167233" w:rsidP="00E74DD1">
            <w:pPr>
              <w:pStyle w:val="TableBullet1"/>
              <w:rPr>
                <w:color w:val="000000" w:themeColor="text1"/>
              </w:rPr>
            </w:pPr>
            <w:r w:rsidRPr="00F83B6E">
              <w:rPr>
                <w:color w:val="000000" w:themeColor="text1"/>
              </w:rPr>
              <w:t xml:space="preserve">Case studies on systemic issues supported </w:t>
            </w:r>
          </w:p>
          <w:p w14:paraId="7617A333" w14:textId="7BE2A94A" w:rsidR="00E73C62" w:rsidRPr="00F83B6E" w:rsidRDefault="00E73C62" w:rsidP="00E74DD1">
            <w:pPr>
              <w:pStyle w:val="TableBullet1"/>
              <w:rPr>
                <w:color w:val="000000" w:themeColor="text1"/>
              </w:rPr>
            </w:pPr>
            <w:r w:rsidRPr="00F83B6E">
              <w:rPr>
                <w:color w:val="000000" w:themeColor="text1"/>
              </w:rPr>
              <w:t>Capacity assessment and monitoring as relevant to the type of support provided</w:t>
            </w:r>
          </w:p>
        </w:tc>
      </w:tr>
      <w:tr w:rsidR="00F83B6E" w:rsidRPr="00F83B6E" w14:paraId="61E59D89" w14:textId="77777777" w:rsidTr="00EB4044">
        <w:trPr>
          <w:trHeight w:val="397"/>
        </w:trPr>
        <w:tc>
          <w:tcPr>
            <w:tcW w:w="1037" w:type="pct"/>
          </w:tcPr>
          <w:p w14:paraId="4C5C15DE" w14:textId="77777777" w:rsidR="00E73C62" w:rsidRPr="00F83B6E" w:rsidRDefault="00E73C62" w:rsidP="00612FE0">
            <w:pPr>
              <w:pStyle w:val="TableText"/>
              <w:rPr>
                <w:color w:val="000000" w:themeColor="text1"/>
                <w:lang w:val="en-AU"/>
              </w:rPr>
            </w:pPr>
            <w:r w:rsidRPr="00F83B6E">
              <w:rPr>
                <w:color w:val="000000" w:themeColor="text1"/>
                <w:lang w:val="en-AU"/>
              </w:rPr>
              <w:t>Knowledge Dissemination</w:t>
            </w:r>
          </w:p>
        </w:tc>
        <w:tc>
          <w:tcPr>
            <w:tcW w:w="3963" w:type="pct"/>
          </w:tcPr>
          <w:p w14:paraId="03BFC75C" w14:textId="77777777" w:rsidR="00E73C62" w:rsidRPr="00F83B6E" w:rsidRDefault="00E73C62" w:rsidP="00E74DD1">
            <w:pPr>
              <w:pStyle w:val="TableBullet1"/>
              <w:rPr>
                <w:color w:val="000000" w:themeColor="text1"/>
              </w:rPr>
            </w:pPr>
            <w:r w:rsidRPr="00F83B6E">
              <w:rPr>
                <w:color w:val="000000" w:themeColor="text1"/>
              </w:rPr>
              <w:t>KPP / partnership dissemination activities – participation in meetings / seminars / events; social / traditional media dissemination; # / type / quantity of publications or other information materials distributed / website data</w:t>
            </w:r>
          </w:p>
          <w:p w14:paraId="6F4FC280" w14:textId="77777777" w:rsidR="00E73C62" w:rsidRPr="00F83B6E" w:rsidRDefault="00E73C62" w:rsidP="00E74DD1">
            <w:pPr>
              <w:pStyle w:val="TableBullet1"/>
              <w:rPr>
                <w:color w:val="000000" w:themeColor="text1"/>
              </w:rPr>
            </w:pPr>
            <w:r w:rsidRPr="00F83B6E">
              <w:rPr>
                <w:color w:val="000000" w:themeColor="text1"/>
              </w:rPr>
              <w:t>Assessment of compliance with accessibility guidelines</w:t>
            </w:r>
          </w:p>
        </w:tc>
      </w:tr>
      <w:tr w:rsidR="00F83B6E" w:rsidRPr="00F83B6E" w14:paraId="45D5DA83" w14:textId="77777777" w:rsidTr="00EB4044">
        <w:trPr>
          <w:trHeight w:val="397"/>
        </w:trPr>
        <w:tc>
          <w:tcPr>
            <w:tcW w:w="1037" w:type="pct"/>
          </w:tcPr>
          <w:p w14:paraId="40D9867B" w14:textId="77777777" w:rsidR="00E73C62" w:rsidRPr="00F83B6E" w:rsidRDefault="00E73C62" w:rsidP="00612FE0">
            <w:pPr>
              <w:pStyle w:val="TableText"/>
              <w:rPr>
                <w:color w:val="000000" w:themeColor="text1"/>
                <w:lang w:val="en-AU"/>
              </w:rPr>
            </w:pPr>
            <w:r w:rsidRPr="00F83B6E">
              <w:rPr>
                <w:color w:val="000000" w:themeColor="text1"/>
                <w:lang w:val="en-AU"/>
              </w:rPr>
              <w:t>Networking and Coalition Building</w:t>
            </w:r>
          </w:p>
        </w:tc>
        <w:tc>
          <w:tcPr>
            <w:tcW w:w="3963" w:type="pct"/>
          </w:tcPr>
          <w:p w14:paraId="7409043B" w14:textId="77777777" w:rsidR="00E73C62" w:rsidRPr="00F83B6E" w:rsidRDefault="00E73C62" w:rsidP="00E74DD1">
            <w:pPr>
              <w:pStyle w:val="TableBullet1"/>
              <w:rPr>
                <w:color w:val="000000" w:themeColor="text1"/>
              </w:rPr>
            </w:pPr>
            <w:r w:rsidRPr="00F83B6E">
              <w:rPr>
                <w:color w:val="000000" w:themeColor="text1"/>
              </w:rPr>
              <w:t>Network analysis data requirements integrated into partnership reporting</w:t>
            </w:r>
          </w:p>
          <w:p w14:paraId="18F44CB0" w14:textId="77777777" w:rsidR="00E73C62" w:rsidRPr="00F83B6E" w:rsidRDefault="00E73C62" w:rsidP="00E74DD1">
            <w:pPr>
              <w:pStyle w:val="TableBullet1"/>
              <w:rPr>
                <w:color w:val="000000" w:themeColor="text1"/>
              </w:rPr>
            </w:pPr>
            <w:r w:rsidRPr="00F83B6E">
              <w:rPr>
                <w:color w:val="000000" w:themeColor="text1"/>
              </w:rPr>
              <w:t>Event monitoring and analysis</w:t>
            </w:r>
          </w:p>
          <w:p w14:paraId="6F2EBC26" w14:textId="77777777" w:rsidR="00E73C62" w:rsidRPr="00F83B6E" w:rsidRDefault="00E73C62" w:rsidP="00E74DD1">
            <w:pPr>
              <w:pStyle w:val="TableBullet1"/>
              <w:rPr>
                <w:color w:val="000000" w:themeColor="text1"/>
              </w:rPr>
            </w:pPr>
            <w:r w:rsidRPr="00F83B6E">
              <w:rPr>
                <w:color w:val="000000" w:themeColor="text1"/>
              </w:rPr>
              <w:t>Tracking of media and communications reporting and messaging</w:t>
            </w:r>
          </w:p>
          <w:p w14:paraId="6EF4F131" w14:textId="58AD0321" w:rsidR="00E73C62" w:rsidRPr="00F83B6E" w:rsidRDefault="00E73C62" w:rsidP="00E74DD1">
            <w:pPr>
              <w:pStyle w:val="TableBullet1"/>
              <w:rPr>
                <w:color w:val="000000" w:themeColor="text1"/>
              </w:rPr>
            </w:pPr>
            <w:r w:rsidRPr="00F83B6E">
              <w:rPr>
                <w:color w:val="000000" w:themeColor="text1"/>
              </w:rPr>
              <w:t xml:space="preserve">Attention to outreach and engagement with OPD, women / gender / other marginalised groups focused </w:t>
            </w:r>
            <w:r w:rsidR="007E673D" w:rsidRPr="00F83B6E">
              <w:rPr>
                <w:color w:val="000000" w:themeColor="text1"/>
              </w:rPr>
              <w:t>CSOs</w:t>
            </w:r>
            <w:r w:rsidRPr="00F83B6E">
              <w:rPr>
                <w:color w:val="000000" w:themeColor="text1"/>
              </w:rPr>
              <w:t>, academia, or activists</w:t>
            </w:r>
          </w:p>
        </w:tc>
      </w:tr>
    </w:tbl>
    <w:p w14:paraId="51B55CC0" w14:textId="503BD76C" w:rsidR="00FC5E00" w:rsidRPr="00F83B6E" w:rsidRDefault="00FC5E00" w:rsidP="009E1799">
      <w:pPr>
        <w:pStyle w:val="Heading4"/>
        <w:rPr>
          <w:color w:val="000000" w:themeColor="text1"/>
        </w:rPr>
      </w:pPr>
      <w:r w:rsidRPr="00F83B6E">
        <w:rPr>
          <w:color w:val="000000" w:themeColor="text1"/>
        </w:rPr>
        <w:lastRenderedPageBreak/>
        <w:t xml:space="preserve">MEL of </w:t>
      </w:r>
      <w:r w:rsidR="000867C9" w:rsidRPr="00F83B6E">
        <w:rPr>
          <w:color w:val="000000" w:themeColor="text1"/>
        </w:rPr>
        <w:t>p</w:t>
      </w:r>
      <w:r w:rsidR="005D72C7" w:rsidRPr="00F83B6E">
        <w:rPr>
          <w:color w:val="000000" w:themeColor="text1"/>
        </w:rPr>
        <w:t>artnerships</w:t>
      </w:r>
    </w:p>
    <w:p w14:paraId="0AF056FF" w14:textId="619C0A9C" w:rsidR="00FC5E00" w:rsidRPr="00F83B6E" w:rsidRDefault="00FC5E00" w:rsidP="00B91543">
      <w:pPr>
        <w:pStyle w:val="BodyText"/>
        <w:rPr>
          <w:color w:val="000000" w:themeColor="text1"/>
        </w:rPr>
      </w:pPr>
      <w:r w:rsidRPr="00F83B6E">
        <w:rPr>
          <w:color w:val="000000" w:themeColor="text1"/>
        </w:rPr>
        <w:t xml:space="preserve">At partnerships level, </w:t>
      </w:r>
      <w:r w:rsidR="004A536A" w:rsidRPr="00F83B6E">
        <w:rPr>
          <w:color w:val="000000" w:themeColor="text1"/>
        </w:rPr>
        <w:t xml:space="preserve">the </w:t>
      </w:r>
      <w:r w:rsidR="00591C0B" w:rsidRPr="00F83B6E">
        <w:rPr>
          <w:color w:val="000000" w:themeColor="text1"/>
        </w:rPr>
        <w:t xml:space="preserve">KPP </w:t>
      </w:r>
      <w:r w:rsidR="004A536A" w:rsidRPr="00F83B6E">
        <w:rPr>
          <w:color w:val="000000" w:themeColor="text1"/>
        </w:rPr>
        <w:t xml:space="preserve">MEL framework will </w:t>
      </w:r>
      <w:r w:rsidR="00B6057B" w:rsidRPr="00F83B6E">
        <w:rPr>
          <w:color w:val="000000" w:themeColor="text1"/>
        </w:rPr>
        <w:t>provide</w:t>
      </w:r>
      <w:r w:rsidR="004A536A" w:rsidRPr="00F83B6E">
        <w:rPr>
          <w:color w:val="000000" w:themeColor="text1"/>
        </w:rPr>
        <w:t xml:space="preserve"> guidance on minimum </w:t>
      </w:r>
      <w:r w:rsidR="00B6057B" w:rsidRPr="00F83B6E">
        <w:rPr>
          <w:color w:val="000000" w:themeColor="text1"/>
        </w:rPr>
        <w:t xml:space="preserve">MEL </w:t>
      </w:r>
      <w:r w:rsidR="004A536A" w:rsidRPr="00F83B6E">
        <w:rPr>
          <w:color w:val="000000" w:themeColor="text1"/>
        </w:rPr>
        <w:t xml:space="preserve">standards and expectations for grant recipients. </w:t>
      </w:r>
      <w:r w:rsidR="00B6057B" w:rsidRPr="00F83B6E">
        <w:rPr>
          <w:color w:val="000000" w:themeColor="text1"/>
        </w:rPr>
        <w:t>T</w:t>
      </w:r>
      <w:r w:rsidRPr="00F83B6E">
        <w:rPr>
          <w:color w:val="000000" w:themeColor="text1"/>
        </w:rPr>
        <w:t xml:space="preserve">he grants MEL requirements will reflect </w:t>
      </w:r>
      <w:r w:rsidR="00B6057B" w:rsidRPr="00F83B6E">
        <w:rPr>
          <w:color w:val="000000" w:themeColor="text1"/>
        </w:rPr>
        <w:t xml:space="preserve">KPP’s </w:t>
      </w:r>
      <w:r w:rsidRPr="00F83B6E">
        <w:rPr>
          <w:color w:val="000000" w:themeColor="text1"/>
        </w:rPr>
        <w:t xml:space="preserve">collaborative and fit-for-purpose principle and </w:t>
      </w:r>
      <w:r w:rsidR="00B6057B" w:rsidRPr="00F83B6E">
        <w:rPr>
          <w:color w:val="000000" w:themeColor="text1"/>
        </w:rPr>
        <w:t>differ by types of</w:t>
      </w:r>
      <w:r w:rsidRPr="00F83B6E">
        <w:rPr>
          <w:color w:val="000000" w:themeColor="text1"/>
        </w:rPr>
        <w:t xml:space="preserve"> grants</w:t>
      </w:r>
      <w:r w:rsidR="00B6057B" w:rsidRPr="00F83B6E">
        <w:rPr>
          <w:color w:val="000000" w:themeColor="text1"/>
        </w:rPr>
        <w:t xml:space="preserve"> (</w:t>
      </w:r>
      <w:r w:rsidR="009C1146" w:rsidRPr="00F83B6E">
        <w:rPr>
          <w:color w:val="000000" w:themeColor="text1"/>
        </w:rPr>
        <w:t>that is</w:t>
      </w:r>
      <w:r w:rsidR="00A63FBA" w:rsidRPr="00F83B6E">
        <w:rPr>
          <w:color w:val="000000" w:themeColor="text1"/>
        </w:rPr>
        <w:t>,</w:t>
      </w:r>
      <w:r w:rsidR="009C1146" w:rsidRPr="00F83B6E">
        <w:rPr>
          <w:color w:val="000000" w:themeColor="text1"/>
        </w:rPr>
        <w:t xml:space="preserve"> </w:t>
      </w:r>
      <w:r w:rsidR="00B6057B" w:rsidRPr="00F83B6E">
        <w:rPr>
          <w:color w:val="000000" w:themeColor="text1"/>
        </w:rPr>
        <w:t>stronger requirements for larger grants)</w:t>
      </w:r>
      <w:r w:rsidRPr="00F83B6E">
        <w:rPr>
          <w:color w:val="000000" w:themeColor="text1"/>
        </w:rPr>
        <w:t>. Common requirements will include</w:t>
      </w:r>
      <w:r w:rsidR="00A63FBA" w:rsidRPr="00F83B6E">
        <w:rPr>
          <w:color w:val="000000" w:themeColor="text1"/>
        </w:rPr>
        <w:t>:</w:t>
      </w:r>
      <w:r w:rsidRPr="00F83B6E">
        <w:rPr>
          <w:color w:val="000000" w:themeColor="text1"/>
        </w:rPr>
        <w:t xml:space="preserve"> reporting against key activities and outputs; contribution to partnership-specific and KPP outcomes; a reflection on the collaboration strengths and value add; networking and relationships (to provide data for a KPP network analysis); tracking of GEDSI responsiveness; lessons; and risks. Larger </w:t>
      </w:r>
      <w:proofErr w:type="spellStart"/>
      <w:r w:rsidR="001C1591" w:rsidRPr="00F83B6E">
        <w:rPr>
          <w:i/>
          <w:iCs/>
          <w:color w:val="000000" w:themeColor="text1"/>
        </w:rPr>
        <w:t>Berbuah</w:t>
      </w:r>
      <w:proofErr w:type="spellEnd"/>
      <w:r w:rsidR="001C1591" w:rsidRPr="00F83B6E">
        <w:rPr>
          <w:color w:val="000000" w:themeColor="text1"/>
        </w:rPr>
        <w:t xml:space="preserve"> and </w:t>
      </w:r>
      <w:proofErr w:type="spellStart"/>
      <w:r w:rsidR="001C1591" w:rsidRPr="00F83B6E">
        <w:rPr>
          <w:i/>
          <w:iCs/>
          <w:color w:val="000000" w:themeColor="text1"/>
        </w:rPr>
        <w:t>Bertumbuh</w:t>
      </w:r>
      <w:proofErr w:type="spellEnd"/>
      <w:r w:rsidR="001C1591" w:rsidRPr="00F83B6E">
        <w:rPr>
          <w:color w:val="000000" w:themeColor="text1"/>
        </w:rPr>
        <w:t xml:space="preserve"> </w:t>
      </w:r>
      <w:r w:rsidRPr="00F83B6E">
        <w:rPr>
          <w:color w:val="000000" w:themeColor="text1"/>
        </w:rPr>
        <w:t xml:space="preserve">grants will also </w:t>
      </w:r>
      <w:r w:rsidR="001C1591" w:rsidRPr="00F83B6E">
        <w:rPr>
          <w:color w:val="000000" w:themeColor="text1"/>
        </w:rPr>
        <w:t xml:space="preserve">include clear nested partnership logic, </w:t>
      </w:r>
      <w:r w:rsidRPr="00F83B6E">
        <w:rPr>
          <w:color w:val="000000" w:themeColor="text1"/>
        </w:rPr>
        <w:t>attention to sustainability and end-user engagement</w:t>
      </w:r>
      <w:r w:rsidR="00B6057B" w:rsidRPr="00F83B6E">
        <w:rPr>
          <w:color w:val="000000" w:themeColor="text1"/>
        </w:rPr>
        <w:t>,</w:t>
      </w:r>
      <w:r w:rsidRPr="00F83B6E">
        <w:rPr>
          <w:color w:val="000000" w:themeColor="text1"/>
        </w:rPr>
        <w:t xml:space="preserve"> including stakeholder acknowledgement of </w:t>
      </w:r>
      <w:r w:rsidR="00B6057B" w:rsidRPr="00F83B6E">
        <w:rPr>
          <w:color w:val="000000" w:themeColor="text1"/>
        </w:rPr>
        <w:t>and/</w:t>
      </w:r>
      <w:r w:rsidRPr="00F83B6E">
        <w:rPr>
          <w:color w:val="000000" w:themeColor="text1"/>
        </w:rPr>
        <w:t>or reference to knowledge product</w:t>
      </w:r>
      <w:r w:rsidR="00B6057B" w:rsidRPr="00F83B6E">
        <w:rPr>
          <w:color w:val="000000" w:themeColor="text1"/>
        </w:rPr>
        <w:t>s</w:t>
      </w:r>
      <w:r w:rsidRPr="00F83B6E">
        <w:rPr>
          <w:color w:val="000000" w:themeColor="text1"/>
        </w:rPr>
        <w:t xml:space="preserve"> in communications, meetings or seminars, public statements, or strategic and policy documents.</w:t>
      </w:r>
    </w:p>
    <w:p w14:paraId="1879292D" w14:textId="4090AC2A" w:rsidR="00AC1A42" w:rsidRPr="00F83B6E" w:rsidRDefault="00AC1A42" w:rsidP="00B91543">
      <w:pPr>
        <w:pStyle w:val="BodyText"/>
        <w:rPr>
          <w:color w:val="000000" w:themeColor="text1"/>
        </w:rPr>
      </w:pPr>
      <w:r w:rsidRPr="00F83B6E">
        <w:rPr>
          <w:color w:val="000000" w:themeColor="text1"/>
        </w:rPr>
        <w:t xml:space="preserve">KPP will facilitate a quality assurance process for key </w:t>
      </w:r>
      <w:r w:rsidR="00ED108B" w:rsidRPr="00F83B6E">
        <w:rPr>
          <w:color w:val="000000" w:themeColor="text1"/>
        </w:rPr>
        <w:t xml:space="preserve">partnerships </w:t>
      </w:r>
      <w:r w:rsidRPr="00F83B6E">
        <w:rPr>
          <w:color w:val="000000" w:themeColor="text1"/>
        </w:rPr>
        <w:t xml:space="preserve">outputs that will incorporate KPP principles. This will be conducted </w:t>
      </w:r>
      <w:r w:rsidR="001F77C4" w:rsidRPr="00F83B6E">
        <w:rPr>
          <w:color w:val="000000" w:themeColor="text1"/>
        </w:rPr>
        <w:t xml:space="preserve">in </w:t>
      </w:r>
      <w:r w:rsidRPr="00F83B6E">
        <w:rPr>
          <w:color w:val="000000" w:themeColor="text1"/>
        </w:rPr>
        <w:t xml:space="preserve">at least two points: </w:t>
      </w:r>
    </w:p>
    <w:p w14:paraId="7B2D5625" w14:textId="6F6748CF" w:rsidR="00AC1A42" w:rsidRPr="00F83B6E" w:rsidRDefault="00AC1A42" w:rsidP="00E6202D">
      <w:pPr>
        <w:pStyle w:val="Bullet1"/>
        <w:rPr>
          <w:color w:val="000000" w:themeColor="text1"/>
        </w:rPr>
      </w:pPr>
      <w:r w:rsidRPr="00F83B6E">
        <w:rPr>
          <w:color w:val="000000" w:themeColor="text1"/>
        </w:rPr>
        <w:t xml:space="preserve">The knowledge proposal – assessment of the foundational problem analysis and link to proposed solution; </w:t>
      </w:r>
      <w:r w:rsidR="001C1591" w:rsidRPr="00F83B6E">
        <w:rPr>
          <w:color w:val="000000" w:themeColor="text1"/>
        </w:rPr>
        <w:t xml:space="preserve">clarity of nested partnership logic; </w:t>
      </w:r>
      <w:r w:rsidRPr="00F83B6E">
        <w:rPr>
          <w:color w:val="000000" w:themeColor="text1"/>
        </w:rPr>
        <w:t>appropriateness of the methods; experience and diversity of the team; GEDSI responsiveness</w:t>
      </w:r>
      <w:r w:rsidR="00B91543" w:rsidRPr="00F83B6E">
        <w:rPr>
          <w:color w:val="000000" w:themeColor="text1"/>
        </w:rPr>
        <w:t xml:space="preserve"> using a purpose specific GEDSI rubric</w:t>
      </w:r>
      <w:r w:rsidR="00793723" w:rsidRPr="00F83B6E">
        <w:rPr>
          <w:color w:val="000000" w:themeColor="text1"/>
        </w:rPr>
        <w:t xml:space="preserve"> as described above</w:t>
      </w:r>
      <w:r w:rsidRPr="00F83B6E">
        <w:rPr>
          <w:color w:val="000000" w:themeColor="text1"/>
        </w:rPr>
        <w:t xml:space="preserve">; and the user engagement strategy. </w:t>
      </w:r>
    </w:p>
    <w:p w14:paraId="12A86597" w14:textId="351A9C5B" w:rsidR="00C21780" w:rsidRPr="00F83B6E" w:rsidRDefault="00AC1A42" w:rsidP="00E6202D">
      <w:pPr>
        <w:pStyle w:val="Bullet1"/>
        <w:rPr>
          <w:color w:val="000000" w:themeColor="text1"/>
        </w:rPr>
      </w:pPr>
      <w:r w:rsidRPr="00F83B6E">
        <w:rPr>
          <w:color w:val="000000" w:themeColor="text1"/>
        </w:rPr>
        <w:t xml:space="preserve">The knowledge product – robustness of evidence; </w:t>
      </w:r>
      <w:r w:rsidR="00B91543" w:rsidRPr="00F83B6E">
        <w:rPr>
          <w:color w:val="000000" w:themeColor="text1"/>
        </w:rPr>
        <w:t xml:space="preserve">fulfilment of GEDSI intentions in proposal; </w:t>
      </w:r>
      <w:r w:rsidRPr="00F83B6E">
        <w:rPr>
          <w:color w:val="000000" w:themeColor="text1"/>
        </w:rPr>
        <w:t xml:space="preserve">credibility and clarity of findings; attention to accessibility in dissemination; distribution achieved or planned. </w:t>
      </w:r>
    </w:p>
    <w:p w14:paraId="0B7AC69B" w14:textId="7E67128F" w:rsidR="00AC1A42" w:rsidRPr="00F83B6E" w:rsidRDefault="00C21780" w:rsidP="00FF3DBC">
      <w:pPr>
        <w:pStyle w:val="BodyText"/>
        <w:rPr>
          <w:color w:val="000000" w:themeColor="text1"/>
        </w:rPr>
      </w:pPr>
      <w:r w:rsidRPr="00F83B6E">
        <w:rPr>
          <w:color w:val="000000" w:themeColor="text1"/>
        </w:rPr>
        <w:t>Monitoring m</w:t>
      </w:r>
      <w:r w:rsidR="00AC1A42" w:rsidRPr="00F83B6E">
        <w:rPr>
          <w:color w:val="000000" w:themeColor="text1"/>
        </w:rPr>
        <w:t xml:space="preserve">edia </w:t>
      </w:r>
      <w:r w:rsidRPr="00F83B6E">
        <w:rPr>
          <w:color w:val="000000" w:themeColor="text1"/>
        </w:rPr>
        <w:t xml:space="preserve">referencing, </w:t>
      </w:r>
      <w:r w:rsidR="00AC1A42" w:rsidRPr="00F83B6E">
        <w:rPr>
          <w:color w:val="000000" w:themeColor="text1"/>
        </w:rPr>
        <w:t xml:space="preserve">citation </w:t>
      </w:r>
      <w:r w:rsidRPr="00F83B6E">
        <w:rPr>
          <w:color w:val="000000" w:themeColor="text1"/>
        </w:rPr>
        <w:t xml:space="preserve">and technology patents or copyrights </w:t>
      </w:r>
      <w:r w:rsidR="00AC1A42" w:rsidRPr="00F83B6E">
        <w:rPr>
          <w:color w:val="000000" w:themeColor="text1"/>
        </w:rPr>
        <w:t xml:space="preserve">will be used to track the dissemination and early signs of uptake of KPP supported knowledge development. </w:t>
      </w:r>
      <w:r w:rsidRPr="00F83B6E">
        <w:rPr>
          <w:color w:val="000000" w:themeColor="text1"/>
        </w:rPr>
        <w:t>The Platform Hub will</w:t>
      </w:r>
      <w:r w:rsidR="00AC1A42" w:rsidRPr="00F83B6E">
        <w:rPr>
          <w:color w:val="000000" w:themeColor="text1"/>
        </w:rPr>
        <w:t xml:space="preserve"> work with </w:t>
      </w:r>
      <w:r w:rsidRPr="00F83B6E">
        <w:rPr>
          <w:color w:val="000000" w:themeColor="text1"/>
        </w:rPr>
        <w:t xml:space="preserve">individual </w:t>
      </w:r>
      <w:r w:rsidR="00AC1A42" w:rsidRPr="00F83B6E">
        <w:rPr>
          <w:color w:val="000000" w:themeColor="text1"/>
        </w:rPr>
        <w:t>partnerships to periodically collate reference to KPP supported knowledge in communications and public statements. This will be important for understanding public engagement with the areas of knowledge and potential knowledge use outside of the K2P and K2I pathways.</w:t>
      </w:r>
    </w:p>
    <w:p w14:paraId="0021D3C5" w14:textId="34185327" w:rsidR="00AC1A42" w:rsidRPr="00F83B6E" w:rsidRDefault="00C21780" w:rsidP="00AA775C">
      <w:pPr>
        <w:pStyle w:val="BodyText"/>
        <w:rPr>
          <w:color w:val="000000" w:themeColor="text1"/>
        </w:rPr>
      </w:pPr>
      <w:r w:rsidRPr="00F83B6E">
        <w:rPr>
          <w:color w:val="000000" w:themeColor="text1"/>
        </w:rPr>
        <w:t>The Platform Hub</w:t>
      </w:r>
      <w:r w:rsidR="00AC1A42" w:rsidRPr="00F83B6E">
        <w:rPr>
          <w:color w:val="000000" w:themeColor="text1"/>
        </w:rPr>
        <w:t xml:space="preserve"> will </w:t>
      </w:r>
      <w:r w:rsidR="00ED108B" w:rsidRPr="00F83B6E">
        <w:rPr>
          <w:color w:val="000000" w:themeColor="text1"/>
        </w:rPr>
        <w:t>conduct</w:t>
      </w:r>
      <w:r w:rsidR="00AC1A42" w:rsidRPr="00F83B6E">
        <w:rPr>
          <w:color w:val="000000" w:themeColor="text1"/>
        </w:rPr>
        <w:t xml:space="preserve"> periodic health check</w:t>
      </w:r>
      <w:r w:rsidRPr="00F83B6E">
        <w:rPr>
          <w:color w:val="000000" w:themeColor="text1"/>
        </w:rPr>
        <w:t>s</w:t>
      </w:r>
      <w:r w:rsidR="00AC1A42" w:rsidRPr="00F83B6E">
        <w:rPr>
          <w:color w:val="000000" w:themeColor="text1"/>
        </w:rPr>
        <w:t xml:space="preserve"> for the </w:t>
      </w:r>
      <w:proofErr w:type="spellStart"/>
      <w:r w:rsidRPr="00F83B6E">
        <w:rPr>
          <w:i/>
          <w:iCs/>
          <w:color w:val="000000" w:themeColor="text1"/>
        </w:rPr>
        <w:t>Bertumbuh</w:t>
      </w:r>
      <w:proofErr w:type="spellEnd"/>
      <w:r w:rsidR="00AC1A42" w:rsidRPr="00F83B6E">
        <w:rPr>
          <w:color w:val="000000" w:themeColor="text1"/>
        </w:rPr>
        <w:t xml:space="preserve"> (recommended) and </w:t>
      </w:r>
      <w:proofErr w:type="spellStart"/>
      <w:r w:rsidRPr="00F83B6E">
        <w:rPr>
          <w:i/>
          <w:iCs/>
          <w:color w:val="000000" w:themeColor="text1"/>
        </w:rPr>
        <w:t>Berbuah</w:t>
      </w:r>
      <w:proofErr w:type="spellEnd"/>
      <w:r w:rsidR="00AC1A42" w:rsidRPr="00F83B6E">
        <w:rPr>
          <w:color w:val="000000" w:themeColor="text1"/>
        </w:rPr>
        <w:t xml:space="preserve"> (required) grants. Th</w:t>
      </w:r>
      <w:r w:rsidR="0073588C" w:rsidRPr="00F83B6E">
        <w:rPr>
          <w:color w:val="000000" w:themeColor="text1"/>
        </w:rPr>
        <w:t>e</w:t>
      </w:r>
      <w:r w:rsidR="00AC1A42" w:rsidRPr="00F83B6E">
        <w:rPr>
          <w:color w:val="000000" w:themeColor="text1"/>
        </w:rPr>
        <w:t>s</w:t>
      </w:r>
      <w:r w:rsidR="0073588C" w:rsidRPr="00F83B6E">
        <w:rPr>
          <w:color w:val="000000" w:themeColor="text1"/>
        </w:rPr>
        <w:t>e</w:t>
      </w:r>
      <w:r w:rsidR="00AC1A42" w:rsidRPr="00F83B6E">
        <w:rPr>
          <w:color w:val="000000" w:themeColor="text1"/>
        </w:rPr>
        <w:t xml:space="preserve"> will </w:t>
      </w:r>
      <w:r w:rsidRPr="00F83B6E">
        <w:rPr>
          <w:color w:val="000000" w:themeColor="text1"/>
        </w:rPr>
        <w:t xml:space="preserve">likely </w:t>
      </w:r>
      <w:r w:rsidR="00AC1A42" w:rsidRPr="00F83B6E">
        <w:rPr>
          <w:color w:val="000000" w:themeColor="text1"/>
        </w:rPr>
        <w:t xml:space="preserve">be facilitated by external </w:t>
      </w:r>
      <w:r w:rsidR="009C1146" w:rsidRPr="00F83B6E">
        <w:rPr>
          <w:color w:val="000000" w:themeColor="text1"/>
        </w:rPr>
        <w:t xml:space="preserve">short-term </w:t>
      </w:r>
      <w:r w:rsidRPr="00F83B6E">
        <w:rPr>
          <w:color w:val="000000" w:themeColor="text1"/>
        </w:rPr>
        <w:t>consultants</w:t>
      </w:r>
      <w:r w:rsidR="009C1146" w:rsidRPr="00F83B6E">
        <w:rPr>
          <w:color w:val="000000" w:themeColor="text1"/>
        </w:rPr>
        <w:t xml:space="preserve"> </w:t>
      </w:r>
      <w:r w:rsidR="00AC1A42" w:rsidRPr="00F83B6E">
        <w:rPr>
          <w:color w:val="000000" w:themeColor="text1"/>
        </w:rPr>
        <w:t>and focus on</w:t>
      </w:r>
      <w:r w:rsidR="0073588C" w:rsidRPr="00F83B6E">
        <w:rPr>
          <w:color w:val="000000" w:themeColor="text1"/>
        </w:rPr>
        <w:t xml:space="preserve"> the </w:t>
      </w:r>
      <w:r w:rsidR="00AC1A42" w:rsidRPr="00F83B6E">
        <w:rPr>
          <w:color w:val="000000" w:themeColor="text1"/>
        </w:rPr>
        <w:t xml:space="preserve">alignment of </w:t>
      </w:r>
      <w:r w:rsidR="0073588C" w:rsidRPr="00F83B6E">
        <w:rPr>
          <w:color w:val="000000" w:themeColor="text1"/>
        </w:rPr>
        <w:t>partnerships</w:t>
      </w:r>
      <w:r w:rsidR="009C1146" w:rsidRPr="00F83B6E">
        <w:rPr>
          <w:color w:val="000000" w:themeColor="text1"/>
        </w:rPr>
        <w:t>’</w:t>
      </w:r>
      <w:r w:rsidR="0073588C" w:rsidRPr="00F83B6E">
        <w:rPr>
          <w:color w:val="000000" w:themeColor="text1"/>
        </w:rPr>
        <w:t xml:space="preserve"> </w:t>
      </w:r>
      <w:r w:rsidR="00AC1A42" w:rsidRPr="00F83B6E">
        <w:rPr>
          <w:color w:val="000000" w:themeColor="text1"/>
        </w:rPr>
        <w:t>actual ways of working with agreed principles and expectations</w:t>
      </w:r>
      <w:r w:rsidR="0092470E" w:rsidRPr="00F83B6E">
        <w:rPr>
          <w:color w:val="000000" w:themeColor="text1"/>
        </w:rPr>
        <w:t xml:space="preserve"> and perceptions of the </w:t>
      </w:r>
      <w:proofErr w:type="spellStart"/>
      <w:r w:rsidR="00202768" w:rsidRPr="00F83B6E">
        <w:rPr>
          <w:color w:val="000000" w:themeColor="text1"/>
        </w:rPr>
        <w:t>diversityand</w:t>
      </w:r>
      <w:proofErr w:type="spellEnd"/>
      <w:r w:rsidR="00202768" w:rsidRPr="00F83B6E">
        <w:rPr>
          <w:color w:val="000000" w:themeColor="text1"/>
        </w:rPr>
        <w:t xml:space="preserve"> focus on gender equality, disability and social inclusion </w:t>
      </w:r>
      <w:r w:rsidR="0092470E" w:rsidRPr="00F83B6E">
        <w:rPr>
          <w:color w:val="000000" w:themeColor="text1"/>
        </w:rPr>
        <w:t>within partnership</w:t>
      </w:r>
      <w:r w:rsidR="00FF3DBC" w:rsidRPr="00F83B6E">
        <w:rPr>
          <w:color w:val="000000" w:themeColor="text1"/>
        </w:rPr>
        <w:t xml:space="preserve">. </w:t>
      </w:r>
      <w:r w:rsidR="00F518CF" w:rsidRPr="00F83B6E">
        <w:rPr>
          <w:color w:val="000000" w:themeColor="text1"/>
        </w:rPr>
        <w:t>They will</w:t>
      </w:r>
      <w:r w:rsidR="00FF3DBC" w:rsidRPr="00F83B6E">
        <w:rPr>
          <w:color w:val="000000" w:themeColor="text1"/>
        </w:rPr>
        <w:t xml:space="preserve"> </w:t>
      </w:r>
      <w:r w:rsidR="000721D0" w:rsidRPr="00F83B6E">
        <w:rPr>
          <w:color w:val="000000" w:themeColor="text1"/>
        </w:rPr>
        <w:t>assess</w:t>
      </w:r>
      <w:r w:rsidR="0092470E" w:rsidRPr="00F83B6E">
        <w:rPr>
          <w:color w:val="000000" w:themeColor="text1"/>
        </w:rPr>
        <w:t xml:space="preserve"> the</w:t>
      </w:r>
      <w:r w:rsidR="00FF3DBC" w:rsidRPr="00F83B6E">
        <w:rPr>
          <w:color w:val="000000" w:themeColor="text1"/>
        </w:rPr>
        <w:t xml:space="preserve"> </w:t>
      </w:r>
      <w:r w:rsidR="0092470E" w:rsidRPr="00F83B6E">
        <w:rPr>
          <w:color w:val="000000" w:themeColor="text1"/>
        </w:rPr>
        <w:t>nature</w:t>
      </w:r>
      <w:r w:rsidR="000721D0" w:rsidRPr="00F83B6E">
        <w:rPr>
          <w:color w:val="000000" w:themeColor="text1"/>
        </w:rPr>
        <w:t>, strength</w:t>
      </w:r>
      <w:r w:rsidR="0092470E" w:rsidRPr="00F83B6E">
        <w:rPr>
          <w:color w:val="000000" w:themeColor="text1"/>
        </w:rPr>
        <w:t xml:space="preserve"> and maturity of the partnerships (for example a genuine peer partnership and the balance of operational or capacity development oriented functions); </w:t>
      </w:r>
      <w:r w:rsidR="000721D0" w:rsidRPr="00F83B6E">
        <w:rPr>
          <w:color w:val="000000" w:themeColor="text1"/>
        </w:rPr>
        <w:t xml:space="preserve">the grant’s </w:t>
      </w:r>
      <w:r w:rsidR="00AC1A42" w:rsidRPr="00F83B6E">
        <w:rPr>
          <w:color w:val="000000" w:themeColor="text1"/>
        </w:rPr>
        <w:t xml:space="preserve">contribution to changes in </w:t>
      </w:r>
      <w:r w:rsidRPr="00F83B6E">
        <w:rPr>
          <w:color w:val="000000" w:themeColor="text1"/>
        </w:rPr>
        <w:t xml:space="preserve">partners’ </w:t>
      </w:r>
      <w:r w:rsidR="00AC1A42" w:rsidRPr="00F83B6E">
        <w:rPr>
          <w:color w:val="000000" w:themeColor="text1"/>
        </w:rPr>
        <w:t>capacity, including technical skills</w:t>
      </w:r>
      <w:r w:rsidR="00F518CF" w:rsidRPr="00F83B6E">
        <w:rPr>
          <w:color w:val="000000" w:themeColor="text1"/>
        </w:rPr>
        <w:t xml:space="preserve"> and</w:t>
      </w:r>
      <w:r w:rsidR="00AC1A42" w:rsidRPr="00F83B6E">
        <w:rPr>
          <w:color w:val="000000" w:themeColor="text1"/>
        </w:rPr>
        <w:t xml:space="preserve"> networks</w:t>
      </w:r>
      <w:r w:rsidR="00F518CF" w:rsidRPr="00F83B6E">
        <w:rPr>
          <w:color w:val="000000" w:themeColor="text1"/>
        </w:rPr>
        <w:t xml:space="preserve">; </w:t>
      </w:r>
      <w:r w:rsidR="00AC1A42" w:rsidRPr="00F83B6E">
        <w:rPr>
          <w:color w:val="000000" w:themeColor="text1"/>
        </w:rPr>
        <w:t xml:space="preserve"> </w:t>
      </w:r>
      <w:r w:rsidR="00F518CF" w:rsidRPr="00F83B6E">
        <w:rPr>
          <w:color w:val="000000" w:themeColor="text1"/>
        </w:rPr>
        <w:t xml:space="preserve">partnerships’ </w:t>
      </w:r>
      <w:r w:rsidR="00AC1A42" w:rsidRPr="00F83B6E">
        <w:rPr>
          <w:color w:val="000000" w:themeColor="text1"/>
        </w:rPr>
        <w:t>access to resources</w:t>
      </w:r>
      <w:r w:rsidR="0092470E" w:rsidRPr="00F83B6E">
        <w:rPr>
          <w:color w:val="000000" w:themeColor="text1"/>
        </w:rPr>
        <w:t xml:space="preserve"> </w:t>
      </w:r>
      <w:r w:rsidR="00F518CF" w:rsidRPr="00F83B6E">
        <w:rPr>
          <w:color w:val="000000" w:themeColor="text1"/>
        </w:rPr>
        <w:t>(</w:t>
      </w:r>
      <w:r w:rsidR="0092470E" w:rsidRPr="00F83B6E">
        <w:rPr>
          <w:color w:val="000000" w:themeColor="text1"/>
        </w:rPr>
        <w:t xml:space="preserve">including </w:t>
      </w:r>
      <w:r w:rsidR="00C34A57" w:rsidRPr="00F83B6E">
        <w:rPr>
          <w:color w:val="000000" w:themeColor="text1"/>
        </w:rPr>
        <w:t>in-kind</w:t>
      </w:r>
      <w:r w:rsidR="00F518CF" w:rsidRPr="00F83B6E">
        <w:rPr>
          <w:color w:val="000000" w:themeColor="text1"/>
        </w:rPr>
        <w:t>)</w:t>
      </w:r>
      <w:r w:rsidR="00C34A57" w:rsidRPr="00F83B6E">
        <w:rPr>
          <w:color w:val="000000" w:themeColor="text1"/>
        </w:rPr>
        <w:t xml:space="preserve"> and additional funding </w:t>
      </w:r>
      <w:r w:rsidR="00F518CF" w:rsidRPr="00F83B6E">
        <w:rPr>
          <w:color w:val="000000" w:themeColor="text1"/>
        </w:rPr>
        <w:t>(</w:t>
      </w:r>
      <w:r w:rsidR="00F518CF" w:rsidRPr="00F83B6E">
        <w:rPr>
          <w:rFonts w:eastAsiaTheme="majorEastAsia" w:cstheme="majorBidi"/>
          <w:bCs/>
          <w:iCs/>
          <w:color w:val="000000" w:themeColor="text1"/>
          <w:sz w:val="20"/>
          <w:szCs w:val="20"/>
        </w:rPr>
        <w:t>percentage of KPP funding versus other sources)</w:t>
      </w:r>
      <w:r w:rsidR="0092470E" w:rsidRPr="00F83B6E">
        <w:rPr>
          <w:color w:val="000000" w:themeColor="text1"/>
        </w:rPr>
        <w:t xml:space="preserve">; </w:t>
      </w:r>
      <w:r w:rsidR="00AC1A42" w:rsidRPr="00F83B6E">
        <w:rPr>
          <w:color w:val="000000" w:themeColor="text1"/>
        </w:rPr>
        <w:t>risks to the achievement and use of the planned knowledge</w:t>
      </w:r>
      <w:r w:rsidR="0092470E" w:rsidRPr="00F83B6E">
        <w:rPr>
          <w:color w:val="000000" w:themeColor="text1"/>
        </w:rPr>
        <w:t xml:space="preserve">; and the </w:t>
      </w:r>
      <w:r w:rsidR="00FF3DBC" w:rsidRPr="00F83B6E">
        <w:rPr>
          <w:color w:val="000000" w:themeColor="text1"/>
        </w:rPr>
        <w:t xml:space="preserve">potential </w:t>
      </w:r>
      <w:r w:rsidR="0092470E" w:rsidRPr="00F83B6E">
        <w:rPr>
          <w:color w:val="000000" w:themeColor="text1"/>
        </w:rPr>
        <w:t xml:space="preserve">for the partnership </w:t>
      </w:r>
      <w:r w:rsidR="00FF3DBC" w:rsidRPr="00F83B6E">
        <w:rPr>
          <w:color w:val="000000" w:themeColor="text1"/>
        </w:rPr>
        <w:t xml:space="preserve">to be self-sustaining without </w:t>
      </w:r>
      <w:r w:rsidR="0092470E" w:rsidRPr="00F83B6E">
        <w:rPr>
          <w:color w:val="000000" w:themeColor="text1"/>
        </w:rPr>
        <w:t xml:space="preserve">KPP or </w:t>
      </w:r>
      <w:r w:rsidR="00FF3DBC" w:rsidRPr="00F83B6E">
        <w:rPr>
          <w:color w:val="000000" w:themeColor="text1"/>
        </w:rPr>
        <w:t xml:space="preserve">ODA </w:t>
      </w:r>
      <w:r w:rsidR="00C34A57" w:rsidRPr="00F83B6E">
        <w:rPr>
          <w:color w:val="000000" w:themeColor="text1"/>
        </w:rPr>
        <w:t>support.</w:t>
      </w:r>
      <w:r w:rsidR="00FF3DBC" w:rsidRPr="00F83B6E">
        <w:rPr>
          <w:color w:val="000000" w:themeColor="text1"/>
        </w:rPr>
        <w:t xml:space="preserve">  </w:t>
      </w:r>
    </w:p>
    <w:p w14:paraId="1563B044" w14:textId="77777777" w:rsidR="00C34A57" w:rsidRPr="00F83B6E" w:rsidRDefault="00C21780" w:rsidP="00C34A57">
      <w:pPr>
        <w:pStyle w:val="BodyText"/>
        <w:rPr>
          <w:color w:val="000000" w:themeColor="text1"/>
        </w:rPr>
      </w:pPr>
      <w:r w:rsidRPr="00F83B6E">
        <w:rPr>
          <w:color w:val="000000" w:themeColor="text1"/>
        </w:rPr>
        <w:t>In addition, the Platform Hub will commission c</w:t>
      </w:r>
      <w:r w:rsidR="00AC1A42" w:rsidRPr="00F83B6E">
        <w:rPr>
          <w:color w:val="000000" w:themeColor="text1"/>
        </w:rPr>
        <w:t xml:space="preserve">ase studies </w:t>
      </w:r>
      <w:r w:rsidRPr="00F83B6E">
        <w:rPr>
          <w:color w:val="000000" w:themeColor="text1"/>
        </w:rPr>
        <w:t>at the completion of</w:t>
      </w:r>
      <w:r w:rsidR="00AC1A42" w:rsidRPr="00F83B6E">
        <w:rPr>
          <w:color w:val="000000" w:themeColor="text1"/>
        </w:rPr>
        <w:t xml:space="preserve"> each of the </w:t>
      </w:r>
      <w:proofErr w:type="spellStart"/>
      <w:r w:rsidR="00D56B59" w:rsidRPr="00F83B6E">
        <w:rPr>
          <w:i/>
          <w:iCs/>
          <w:color w:val="000000" w:themeColor="text1"/>
        </w:rPr>
        <w:t>Berbuah</w:t>
      </w:r>
      <w:proofErr w:type="spellEnd"/>
      <w:r w:rsidR="00D56B59" w:rsidRPr="00F83B6E">
        <w:rPr>
          <w:color w:val="000000" w:themeColor="text1"/>
        </w:rPr>
        <w:t xml:space="preserve"> </w:t>
      </w:r>
      <w:r w:rsidR="00AC1A42" w:rsidRPr="00F83B6E">
        <w:rPr>
          <w:color w:val="000000" w:themeColor="text1"/>
        </w:rPr>
        <w:t>grants and</w:t>
      </w:r>
      <w:r w:rsidR="0073588C" w:rsidRPr="00F83B6E">
        <w:rPr>
          <w:color w:val="000000" w:themeColor="text1"/>
        </w:rPr>
        <w:t xml:space="preserve"> of</w:t>
      </w:r>
      <w:r w:rsidR="00AC1A42" w:rsidRPr="00F83B6E">
        <w:rPr>
          <w:color w:val="000000" w:themeColor="text1"/>
        </w:rPr>
        <w:t xml:space="preserve"> a sample of the </w:t>
      </w:r>
      <w:proofErr w:type="spellStart"/>
      <w:r w:rsidR="00D56B59" w:rsidRPr="00F83B6E">
        <w:rPr>
          <w:i/>
          <w:iCs/>
          <w:color w:val="000000" w:themeColor="text1"/>
        </w:rPr>
        <w:t>Bertumbuh</w:t>
      </w:r>
      <w:proofErr w:type="spellEnd"/>
      <w:r w:rsidR="00D56B59" w:rsidRPr="00F83B6E">
        <w:rPr>
          <w:color w:val="000000" w:themeColor="text1"/>
        </w:rPr>
        <w:t xml:space="preserve"> </w:t>
      </w:r>
      <w:r w:rsidR="00AC1A42" w:rsidRPr="00F83B6E">
        <w:rPr>
          <w:color w:val="000000" w:themeColor="text1"/>
        </w:rPr>
        <w:t xml:space="preserve">and </w:t>
      </w:r>
      <w:proofErr w:type="spellStart"/>
      <w:r w:rsidR="00D56B59" w:rsidRPr="00F83B6E">
        <w:rPr>
          <w:i/>
          <w:iCs/>
          <w:color w:val="000000" w:themeColor="text1"/>
        </w:rPr>
        <w:t>Bertunas</w:t>
      </w:r>
      <w:proofErr w:type="spellEnd"/>
      <w:r w:rsidR="00D56B59" w:rsidRPr="00F83B6E">
        <w:rPr>
          <w:color w:val="000000" w:themeColor="text1"/>
        </w:rPr>
        <w:t xml:space="preserve"> </w:t>
      </w:r>
      <w:r w:rsidR="00AC1A42" w:rsidRPr="00F83B6E">
        <w:rPr>
          <w:color w:val="000000" w:themeColor="text1"/>
        </w:rPr>
        <w:t>grants. Case studies will respond to</w:t>
      </w:r>
      <w:r w:rsidR="0073588C" w:rsidRPr="00F83B6E">
        <w:rPr>
          <w:color w:val="000000" w:themeColor="text1"/>
        </w:rPr>
        <w:t xml:space="preserve"> the </w:t>
      </w:r>
      <w:r w:rsidR="00BC6825" w:rsidRPr="00F83B6E">
        <w:rPr>
          <w:color w:val="000000" w:themeColor="text1"/>
        </w:rPr>
        <w:t xml:space="preserve">analytical </w:t>
      </w:r>
      <w:r w:rsidR="0073588C" w:rsidRPr="00F83B6E">
        <w:rPr>
          <w:color w:val="000000" w:themeColor="text1"/>
        </w:rPr>
        <w:t>agenda</w:t>
      </w:r>
      <w:r w:rsidRPr="00F83B6E">
        <w:rPr>
          <w:color w:val="000000" w:themeColor="text1"/>
        </w:rPr>
        <w:t xml:space="preserve"> and/</w:t>
      </w:r>
      <w:r w:rsidR="00AC1A42" w:rsidRPr="00F83B6E">
        <w:rPr>
          <w:color w:val="000000" w:themeColor="text1"/>
        </w:rPr>
        <w:t xml:space="preserve">or </w:t>
      </w:r>
      <w:r w:rsidR="0073588C" w:rsidRPr="00F83B6E">
        <w:rPr>
          <w:color w:val="000000" w:themeColor="text1"/>
        </w:rPr>
        <w:t xml:space="preserve">specific </w:t>
      </w:r>
      <w:r w:rsidR="00BC6825" w:rsidRPr="00F83B6E">
        <w:rPr>
          <w:color w:val="000000" w:themeColor="text1"/>
        </w:rPr>
        <w:t xml:space="preserve">learning </w:t>
      </w:r>
      <w:r w:rsidR="0073588C" w:rsidRPr="00F83B6E">
        <w:rPr>
          <w:color w:val="000000" w:themeColor="text1"/>
        </w:rPr>
        <w:t>needs</w:t>
      </w:r>
      <w:r w:rsidR="00AC1A42" w:rsidRPr="00F83B6E">
        <w:rPr>
          <w:color w:val="000000" w:themeColor="text1"/>
        </w:rPr>
        <w:t xml:space="preserve">, including </w:t>
      </w:r>
      <w:r w:rsidRPr="00F83B6E">
        <w:rPr>
          <w:color w:val="000000" w:themeColor="text1"/>
        </w:rPr>
        <w:t xml:space="preserve">lessons on </w:t>
      </w:r>
      <w:r w:rsidR="00AC1A42" w:rsidRPr="00F83B6E">
        <w:rPr>
          <w:color w:val="000000" w:themeColor="text1"/>
        </w:rPr>
        <w:t>features of effective international partnerships, good practices in GEDSI responsive knowledge development, and facilitati</w:t>
      </w:r>
      <w:r w:rsidRPr="00F83B6E">
        <w:rPr>
          <w:color w:val="000000" w:themeColor="text1"/>
        </w:rPr>
        <w:t>on of</w:t>
      </w:r>
      <w:r w:rsidR="00AC1A42" w:rsidRPr="00F83B6E">
        <w:rPr>
          <w:color w:val="000000" w:themeColor="text1"/>
        </w:rPr>
        <w:t xml:space="preserve"> </w:t>
      </w:r>
      <w:r w:rsidRPr="00F83B6E">
        <w:rPr>
          <w:color w:val="000000" w:themeColor="text1"/>
        </w:rPr>
        <w:t xml:space="preserve">knowledge </w:t>
      </w:r>
      <w:r w:rsidR="00AC1A42" w:rsidRPr="00F83B6E">
        <w:rPr>
          <w:color w:val="000000" w:themeColor="text1"/>
        </w:rPr>
        <w:t xml:space="preserve">uptake for policy and </w:t>
      </w:r>
      <w:r w:rsidRPr="00F83B6E">
        <w:rPr>
          <w:color w:val="000000" w:themeColor="text1"/>
        </w:rPr>
        <w:t>techno</w:t>
      </w:r>
      <w:r w:rsidR="004D18CD" w:rsidRPr="00F83B6E">
        <w:rPr>
          <w:color w:val="000000" w:themeColor="text1"/>
        </w:rPr>
        <w:t>logy</w:t>
      </w:r>
      <w:r w:rsidR="00AC1A42" w:rsidRPr="00F83B6E">
        <w:rPr>
          <w:color w:val="000000" w:themeColor="text1"/>
        </w:rPr>
        <w:t xml:space="preserve">. </w:t>
      </w:r>
    </w:p>
    <w:p w14:paraId="2E49124C" w14:textId="77777777" w:rsidR="00D56B59" w:rsidRPr="00F83B6E" w:rsidRDefault="00D56B59" w:rsidP="00D56B59">
      <w:pPr>
        <w:pStyle w:val="Heading4"/>
        <w:rPr>
          <w:color w:val="000000" w:themeColor="text1"/>
        </w:rPr>
      </w:pPr>
      <w:r w:rsidRPr="00F83B6E">
        <w:rPr>
          <w:color w:val="000000" w:themeColor="text1"/>
        </w:rPr>
        <w:t>MEL of GEDSI</w:t>
      </w:r>
    </w:p>
    <w:p w14:paraId="444FAA3A" w14:textId="77777777" w:rsidR="00D56B59" w:rsidRPr="00F83B6E" w:rsidRDefault="00D56B59" w:rsidP="00D56B59">
      <w:pPr>
        <w:pStyle w:val="BodyText"/>
        <w:rPr>
          <w:color w:val="000000" w:themeColor="text1"/>
        </w:rPr>
      </w:pPr>
      <w:r w:rsidRPr="00F83B6E">
        <w:rPr>
          <w:color w:val="000000" w:themeColor="text1"/>
        </w:rPr>
        <w:t>KPP’s central commitment to GEDSI will require specific monitoring, evaluation, and learning activities. It also provides an opportunity for contributing to a wider knowledge base about effective strategies for elevating GEDSI attention in mainstream development agendas, and about GEDSI responsive or transformative solutions to development challenges. This will be explored as per key performance question #4 above, drawing on (</w:t>
      </w:r>
      <w:proofErr w:type="spellStart"/>
      <w:r w:rsidRPr="00F83B6E">
        <w:rPr>
          <w:color w:val="000000" w:themeColor="text1"/>
        </w:rPr>
        <w:t>i</w:t>
      </w:r>
      <w:proofErr w:type="spellEnd"/>
      <w:r w:rsidRPr="00F83B6E">
        <w:rPr>
          <w:color w:val="000000" w:themeColor="text1"/>
        </w:rPr>
        <w:t xml:space="preserve">) data from </w:t>
      </w:r>
      <w:r w:rsidRPr="00F83B6E">
        <w:rPr>
          <w:color w:val="000000" w:themeColor="text1"/>
        </w:rPr>
        <w:lastRenderedPageBreak/>
        <w:t>the grants management and Platform Hub monitoring systems and (ii) the results of a KPP GEDSI assessment that will be developed as part of the MEL framework and plan:</w:t>
      </w:r>
    </w:p>
    <w:p w14:paraId="3F424AE3" w14:textId="243AD018" w:rsidR="00D56B59" w:rsidRPr="00F83B6E" w:rsidRDefault="00D56B59" w:rsidP="00AD057D">
      <w:pPr>
        <w:pStyle w:val="BodyText"/>
        <w:numPr>
          <w:ilvl w:val="0"/>
          <w:numId w:val="35"/>
        </w:numPr>
        <w:tabs>
          <w:tab w:val="clear" w:pos="284"/>
        </w:tabs>
        <w:ind w:left="540" w:hanging="360"/>
        <w:rPr>
          <w:color w:val="000000" w:themeColor="text1"/>
        </w:rPr>
      </w:pPr>
      <w:r w:rsidRPr="00F83B6E">
        <w:rPr>
          <w:color w:val="000000" w:themeColor="text1"/>
        </w:rPr>
        <w:t xml:space="preserve">The </w:t>
      </w:r>
      <w:r w:rsidRPr="00F83B6E">
        <w:rPr>
          <w:i/>
          <w:iCs/>
          <w:color w:val="000000" w:themeColor="text1"/>
        </w:rPr>
        <w:t>grants management system</w:t>
      </w:r>
      <w:r w:rsidRPr="00F83B6E">
        <w:rPr>
          <w:color w:val="000000" w:themeColor="text1"/>
        </w:rPr>
        <w:t xml:space="preserve"> will collate data against core indicators relevant to the partnership composition, including: inclusion of people with disabilities and a balance of women and men in partnership teams and in leadership roles; partnerships that include or otherwise draw on gender and disability inclusion expertise (target = all); and the number and proportion of partnerships that include OPD and / or gender/women focused CSOs (target = 30% of </w:t>
      </w:r>
      <w:proofErr w:type="spellStart"/>
      <w:r w:rsidRPr="00F83B6E">
        <w:rPr>
          <w:i/>
          <w:iCs/>
          <w:color w:val="000000" w:themeColor="text1"/>
        </w:rPr>
        <w:t>Bertumbuh</w:t>
      </w:r>
      <w:proofErr w:type="spellEnd"/>
      <w:r w:rsidRPr="00F83B6E">
        <w:rPr>
          <w:i/>
          <w:iCs/>
          <w:color w:val="000000" w:themeColor="text1"/>
        </w:rPr>
        <w:t xml:space="preserve"> </w:t>
      </w:r>
      <w:r w:rsidRPr="00F83B6E">
        <w:rPr>
          <w:color w:val="000000" w:themeColor="text1"/>
        </w:rPr>
        <w:t xml:space="preserve">grants and 50% of </w:t>
      </w:r>
      <w:proofErr w:type="spellStart"/>
      <w:r w:rsidRPr="00F83B6E">
        <w:rPr>
          <w:i/>
          <w:iCs/>
          <w:color w:val="000000" w:themeColor="text1"/>
        </w:rPr>
        <w:t>Berbuah</w:t>
      </w:r>
      <w:proofErr w:type="spellEnd"/>
      <w:r w:rsidRPr="00F83B6E">
        <w:rPr>
          <w:i/>
          <w:iCs/>
          <w:color w:val="000000" w:themeColor="text1"/>
        </w:rPr>
        <w:t xml:space="preserve"> </w:t>
      </w:r>
      <w:r w:rsidRPr="00F83B6E">
        <w:rPr>
          <w:color w:val="000000" w:themeColor="text1"/>
        </w:rPr>
        <w:t xml:space="preserve">grants). </w:t>
      </w:r>
      <w:r w:rsidRPr="00F83B6E">
        <w:rPr>
          <w:i/>
          <w:iCs/>
          <w:color w:val="000000" w:themeColor="text1"/>
        </w:rPr>
        <w:t>Platform Hub monitoring</w:t>
      </w:r>
      <w:r w:rsidRPr="00F83B6E">
        <w:rPr>
          <w:color w:val="000000" w:themeColor="text1"/>
        </w:rPr>
        <w:t xml:space="preserve"> will include attention to the GEDSI dimensions of all services provided, and the participation in KPP supported events as audience members, keynote speakers, panel members, and moderators.</w:t>
      </w:r>
    </w:p>
    <w:p w14:paraId="6D3FBBCE" w14:textId="582AFB3C" w:rsidR="00D56B59" w:rsidRPr="00F83B6E" w:rsidRDefault="00D56B59" w:rsidP="00AD057D">
      <w:pPr>
        <w:pStyle w:val="BodyText"/>
        <w:numPr>
          <w:ilvl w:val="0"/>
          <w:numId w:val="35"/>
        </w:numPr>
        <w:tabs>
          <w:tab w:val="clear" w:pos="284"/>
        </w:tabs>
        <w:ind w:left="540" w:hanging="360"/>
        <w:rPr>
          <w:color w:val="000000" w:themeColor="text1"/>
        </w:rPr>
      </w:pPr>
      <w:r w:rsidRPr="00F83B6E">
        <w:rPr>
          <w:color w:val="000000" w:themeColor="text1"/>
        </w:rPr>
        <w:t>The KPP GEDSI assessment will be completed using a purpose specific rubric applied to proposals and knowledge products and their dissemination, that identifies the level of attention to each component of GEDSI from discriminatory / blind, through neutral, sensitive, responsive, and ultimately GEDSI transformative</w:t>
      </w:r>
      <w:r w:rsidR="00CD5C80" w:rsidRPr="00F83B6E">
        <w:rPr>
          <w:color w:val="000000" w:themeColor="text1"/>
        </w:rPr>
        <w:t xml:space="preserve">. </w:t>
      </w:r>
      <w:r w:rsidRPr="00F83B6E">
        <w:rPr>
          <w:color w:val="000000" w:themeColor="text1"/>
        </w:rPr>
        <w:t>The target is that no discriminatory / blind proposals will receive KPP grant funding; GEDSI neutral or sensitive proposals will only be funded in exceptional circumstances (such as that they are expected to open doors for more progressive work); and that almost all (90% or more) of grants will be allocated to proposals with a responsive or transformative intent in relation to gender equality and / or disability inclusion.</w:t>
      </w:r>
    </w:p>
    <w:p w14:paraId="525CFD74" w14:textId="2E62447A" w:rsidR="00D56B59" w:rsidRPr="00F83B6E" w:rsidRDefault="00D56B59" w:rsidP="00B91543">
      <w:pPr>
        <w:pStyle w:val="BodyText"/>
        <w:rPr>
          <w:color w:val="000000" w:themeColor="text1"/>
        </w:rPr>
      </w:pPr>
      <w:r w:rsidRPr="00F83B6E">
        <w:rPr>
          <w:color w:val="000000" w:themeColor="text1"/>
        </w:rPr>
        <w:t xml:space="preserve">GEDSI will also be required to be a feature of capacity assessment processes and tools, and all case studies or more detailed evaluation or reviews commissioned by KPP and within partnerships. Guiding questions for this will be developed as part of </w:t>
      </w:r>
      <w:r w:rsidR="004C1F9A" w:rsidRPr="00F83B6E">
        <w:rPr>
          <w:color w:val="000000" w:themeColor="text1"/>
        </w:rPr>
        <w:t>relevant terms of reference (</w:t>
      </w:r>
      <w:r w:rsidRPr="00F83B6E">
        <w:rPr>
          <w:color w:val="000000" w:themeColor="text1"/>
        </w:rPr>
        <w:t>TOR</w:t>
      </w:r>
      <w:r w:rsidR="004C1F9A" w:rsidRPr="00F83B6E">
        <w:rPr>
          <w:color w:val="000000" w:themeColor="text1"/>
        </w:rPr>
        <w:t>)</w:t>
      </w:r>
      <w:r w:rsidRPr="00F83B6E">
        <w:rPr>
          <w:color w:val="000000" w:themeColor="text1"/>
        </w:rPr>
        <w:t>.</w:t>
      </w:r>
    </w:p>
    <w:p w14:paraId="1CDCE7CA" w14:textId="1F1DF85F" w:rsidR="00C34A57" w:rsidRPr="00F83B6E" w:rsidRDefault="00C34A57" w:rsidP="00C34A57">
      <w:pPr>
        <w:pStyle w:val="Heading4"/>
        <w:rPr>
          <w:color w:val="000000" w:themeColor="text1"/>
        </w:rPr>
      </w:pPr>
      <w:r w:rsidRPr="00F83B6E">
        <w:rPr>
          <w:color w:val="000000" w:themeColor="text1"/>
        </w:rPr>
        <w:t>MEL of knowledge use</w:t>
      </w:r>
    </w:p>
    <w:p w14:paraId="107E90E1" w14:textId="4B71708A" w:rsidR="00C34A57" w:rsidRPr="00F83B6E" w:rsidRDefault="00A972EC" w:rsidP="00B91543">
      <w:pPr>
        <w:pStyle w:val="BodyText"/>
        <w:rPr>
          <w:color w:val="000000" w:themeColor="text1"/>
        </w:rPr>
      </w:pPr>
      <w:r w:rsidRPr="00F83B6E">
        <w:rPr>
          <w:color w:val="000000" w:themeColor="text1"/>
        </w:rPr>
        <w:t>While KPP’s accountability is set at the EOIO level, the MEL system will track the process and achievement of knowledge use</w:t>
      </w:r>
      <w:r w:rsidR="00C536A1" w:rsidRPr="00F83B6E">
        <w:rPr>
          <w:color w:val="000000" w:themeColor="text1"/>
        </w:rPr>
        <w:t xml:space="preserve"> (purpose level)</w:t>
      </w:r>
      <w:r w:rsidRPr="00F83B6E">
        <w:rPr>
          <w:color w:val="000000" w:themeColor="text1"/>
        </w:rPr>
        <w:t xml:space="preserve">. </w:t>
      </w:r>
      <w:r w:rsidR="00E77A31" w:rsidRPr="00F83B6E">
        <w:rPr>
          <w:color w:val="000000" w:themeColor="text1"/>
        </w:rPr>
        <w:t xml:space="preserve">As part of their nested program logic, </w:t>
      </w:r>
      <w:proofErr w:type="spellStart"/>
      <w:r w:rsidR="00573F5A" w:rsidRPr="00F83B6E">
        <w:rPr>
          <w:i/>
          <w:iCs/>
          <w:color w:val="000000" w:themeColor="text1"/>
        </w:rPr>
        <w:t>Bertumbuh</w:t>
      </w:r>
      <w:proofErr w:type="spellEnd"/>
      <w:r w:rsidR="00573F5A" w:rsidRPr="00F83B6E">
        <w:rPr>
          <w:color w:val="000000" w:themeColor="text1"/>
        </w:rPr>
        <w:t xml:space="preserve"> and </w:t>
      </w:r>
      <w:proofErr w:type="spellStart"/>
      <w:r w:rsidR="00573F5A" w:rsidRPr="00F83B6E">
        <w:rPr>
          <w:i/>
          <w:iCs/>
          <w:color w:val="000000" w:themeColor="text1"/>
        </w:rPr>
        <w:t>Bertunas</w:t>
      </w:r>
      <w:proofErr w:type="spellEnd"/>
      <w:r w:rsidR="00573F5A" w:rsidRPr="00F83B6E">
        <w:rPr>
          <w:color w:val="000000" w:themeColor="text1"/>
        </w:rPr>
        <w:t xml:space="preserve"> grants will identify expected pathways towards </w:t>
      </w:r>
      <w:r w:rsidR="00F518CF" w:rsidRPr="00F83B6E">
        <w:rPr>
          <w:color w:val="000000" w:themeColor="text1"/>
        </w:rPr>
        <w:t xml:space="preserve">knowledge </w:t>
      </w:r>
      <w:r w:rsidR="00573F5A" w:rsidRPr="00F83B6E">
        <w:rPr>
          <w:color w:val="000000" w:themeColor="text1"/>
        </w:rPr>
        <w:t>uptake in</w:t>
      </w:r>
      <w:r w:rsidR="00E77A31" w:rsidRPr="00F83B6E">
        <w:rPr>
          <w:color w:val="000000" w:themeColor="text1"/>
        </w:rPr>
        <w:t xml:space="preserve"> </w:t>
      </w:r>
      <w:r w:rsidR="00573F5A" w:rsidRPr="00F83B6E">
        <w:rPr>
          <w:color w:val="000000" w:themeColor="text1"/>
        </w:rPr>
        <w:t xml:space="preserve">policy </w:t>
      </w:r>
      <w:r w:rsidR="00F518CF" w:rsidRPr="00F83B6E">
        <w:rPr>
          <w:color w:val="000000" w:themeColor="text1"/>
        </w:rPr>
        <w:t>and/</w:t>
      </w:r>
      <w:r w:rsidR="00573F5A" w:rsidRPr="00F83B6E">
        <w:rPr>
          <w:color w:val="000000" w:themeColor="text1"/>
        </w:rPr>
        <w:t>or innovation. Case studies at the completion of these grants (see MEL of partnerships above) can explore any</w:t>
      </w:r>
      <w:r w:rsidR="00C34A57" w:rsidRPr="00F83B6E">
        <w:rPr>
          <w:color w:val="000000" w:themeColor="text1"/>
        </w:rPr>
        <w:t xml:space="preserve"> evidence of contribution to changes in policy</w:t>
      </w:r>
      <w:r w:rsidR="00C34A57" w:rsidRPr="00F83B6E">
        <w:rPr>
          <w:rStyle w:val="FootnoteReference"/>
          <w:color w:val="000000" w:themeColor="text1"/>
        </w:rPr>
        <w:footnoteReference w:id="37"/>
      </w:r>
      <w:r w:rsidR="00C34A57" w:rsidRPr="00F83B6E">
        <w:rPr>
          <w:color w:val="000000" w:themeColor="text1"/>
        </w:rPr>
        <w:t xml:space="preserve"> or technology</w:t>
      </w:r>
      <w:r w:rsidR="00573F5A" w:rsidRPr="00F83B6E">
        <w:rPr>
          <w:color w:val="000000" w:themeColor="text1"/>
        </w:rPr>
        <w:t>. These</w:t>
      </w:r>
      <w:r w:rsidR="00C34A57" w:rsidRPr="00F83B6E">
        <w:rPr>
          <w:color w:val="000000" w:themeColor="text1"/>
        </w:rPr>
        <w:t xml:space="preserve"> case studies may </w:t>
      </w:r>
      <w:r w:rsidR="00573F5A" w:rsidRPr="00F83B6E">
        <w:rPr>
          <w:color w:val="000000" w:themeColor="text1"/>
        </w:rPr>
        <w:t>include</w:t>
      </w:r>
      <w:r w:rsidR="00C34A57" w:rsidRPr="00F83B6E">
        <w:rPr>
          <w:color w:val="000000" w:themeColor="text1"/>
        </w:rPr>
        <w:t xml:space="preserve"> a significant (policy or other) change analytical approach and/or episode studies approach that can draw attention to the steps taken and assist to distil success factors.</w:t>
      </w:r>
      <w:r w:rsidR="00573F5A" w:rsidRPr="00F83B6E">
        <w:rPr>
          <w:color w:val="000000" w:themeColor="text1"/>
        </w:rPr>
        <w:t xml:space="preserve"> Exploration of uptake from smaller grants will be on an opportunistic basis.</w:t>
      </w:r>
    </w:p>
    <w:p w14:paraId="7C511736" w14:textId="28101FFD" w:rsidR="00AC1A42" w:rsidRPr="00F83B6E" w:rsidRDefault="00AC1A42" w:rsidP="00F27241">
      <w:pPr>
        <w:pStyle w:val="Heading2"/>
        <w:rPr>
          <w:color w:val="000000" w:themeColor="text1"/>
        </w:rPr>
      </w:pPr>
      <w:bookmarkStart w:id="24" w:name="_Toc146528291"/>
      <w:r w:rsidRPr="00F83B6E">
        <w:rPr>
          <w:color w:val="000000" w:themeColor="text1"/>
        </w:rPr>
        <w:t>Resourcing</w:t>
      </w:r>
      <w:bookmarkEnd w:id="24"/>
    </w:p>
    <w:p w14:paraId="4DF47F7B" w14:textId="1EB9B643" w:rsidR="00AC1A42" w:rsidRPr="00F83B6E" w:rsidRDefault="00ED108B" w:rsidP="00B91543">
      <w:pPr>
        <w:pStyle w:val="BodyText"/>
        <w:rPr>
          <w:color w:val="000000" w:themeColor="text1"/>
        </w:rPr>
      </w:pPr>
      <w:r w:rsidRPr="00F83B6E">
        <w:rPr>
          <w:color w:val="000000" w:themeColor="text1"/>
        </w:rPr>
        <w:t xml:space="preserve">To fulfil </w:t>
      </w:r>
      <w:r w:rsidR="004D18CD" w:rsidRPr="00F83B6E">
        <w:rPr>
          <w:color w:val="000000" w:themeColor="text1"/>
        </w:rPr>
        <w:t>the</w:t>
      </w:r>
      <w:r w:rsidR="005D72C7" w:rsidRPr="00F83B6E">
        <w:rPr>
          <w:color w:val="000000" w:themeColor="text1"/>
        </w:rPr>
        <w:t xml:space="preserve"> </w:t>
      </w:r>
      <w:r w:rsidRPr="00F83B6E">
        <w:rPr>
          <w:color w:val="000000" w:themeColor="text1"/>
        </w:rPr>
        <w:t xml:space="preserve">MEL </w:t>
      </w:r>
      <w:r w:rsidR="004D18CD" w:rsidRPr="00F83B6E">
        <w:rPr>
          <w:color w:val="000000" w:themeColor="text1"/>
        </w:rPr>
        <w:t>function</w:t>
      </w:r>
      <w:r w:rsidRPr="00F83B6E">
        <w:rPr>
          <w:color w:val="000000" w:themeColor="text1"/>
        </w:rPr>
        <w:t xml:space="preserve">, </w:t>
      </w:r>
      <w:r w:rsidR="004D18CD" w:rsidRPr="00F83B6E">
        <w:rPr>
          <w:color w:val="000000" w:themeColor="text1"/>
        </w:rPr>
        <w:t xml:space="preserve">all </w:t>
      </w:r>
      <w:r w:rsidR="00BC6825" w:rsidRPr="00F83B6E">
        <w:rPr>
          <w:color w:val="000000" w:themeColor="text1"/>
        </w:rPr>
        <w:t xml:space="preserve">Platform </w:t>
      </w:r>
      <w:r w:rsidR="004D18CD" w:rsidRPr="00F83B6E">
        <w:rPr>
          <w:color w:val="000000" w:themeColor="text1"/>
        </w:rPr>
        <w:t xml:space="preserve">Hub’s team members will be involved in MEL activities and tasks. In addition, </w:t>
      </w:r>
      <w:r w:rsidRPr="00F83B6E">
        <w:rPr>
          <w:color w:val="000000" w:themeColor="text1"/>
        </w:rPr>
        <w:t>t</w:t>
      </w:r>
      <w:r w:rsidR="00AC1A42" w:rsidRPr="00F83B6E">
        <w:rPr>
          <w:color w:val="000000" w:themeColor="text1"/>
        </w:rPr>
        <w:t>he</w:t>
      </w:r>
      <w:r w:rsidR="00C16C74" w:rsidRPr="00F83B6E">
        <w:rPr>
          <w:color w:val="000000" w:themeColor="text1"/>
        </w:rPr>
        <w:t xml:space="preserve"> </w:t>
      </w:r>
      <w:r w:rsidR="00BC6825" w:rsidRPr="00F83B6E">
        <w:rPr>
          <w:color w:val="000000" w:themeColor="text1"/>
        </w:rPr>
        <w:t xml:space="preserve">team </w:t>
      </w:r>
      <w:r w:rsidR="00AC1A42" w:rsidRPr="00F83B6E">
        <w:rPr>
          <w:color w:val="000000" w:themeColor="text1"/>
        </w:rPr>
        <w:t xml:space="preserve">will </w:t>
      </w:r>
      <w:r w:rsidR="00BC6825" w:rsidRPr="00F83B6E">
        <w:rPr>
          <w:color w:val="000000" w:themeColor="text1"/>
        </w:rPr>
        <w:t>include</w:t>
      </w:r>
      <w:r w:rsidRPr="00F83B6E">
        <w:rPr>
          <w:color w:val="000000" w:themeColor="text1"/>
        </w:rPr>
        <w:t xml:space="preserve"> dedicated </w:t>
      </w:r>
      <w:r w:rsidR="00BC6825" w:rsidRPr="00F83B6E">
        <w:rPr>
          <w:color w:val="000000" w:themeColor="text1"/>
        </w:rPr>
        <w:t>staff members</w:t>
      </w:r>
      <w:r w:rsidRPr="00F83B6E">
        <w:rPr>
          <w:color w:val="000000" w:themeColor="text1"/>
        </w:rPr>
        <w:t xml:space="preserve"> with specific MEL expertise</w:t>
      </w:r>
      <w:r w:rsidR="004D18CD" w:rsidRPr="00F83B6E">
        <w:rPr>
          <w:color w:val="000000" w:themeColor="text1"/>
        </w:rPr>
        <w:t xml:space="preserve"> to lead and oversee the MEL efforts</w:t>
      </w:r>
      <w:r w:rsidRPr="00F83B6E">
        <w:rPr>
          <w:color w:val="000000" w:themeColor="text1"/>
        </w:rPr>
        <w:t>. I</w:t>
      </w:r>
      <w:r w:rsidR="00AC1A42" w:rsidRPr="00F83B6E">
        <w:rPr>
          <w:color w:val="000000" w:themeColor="text1"/>
        </w:rPr>
        <w:t xml:space="preserve">t is expected </w:t>
      </w:r>
      <w:r w:rsidR="004D18CD" w:rsidRPr="00F83B6E">
        <w:rPr>
          <w:color w:val="000000" w:themeColor="text1"/>
        </w:rPr>
        <w:t>that at least</w:t>
      </w:r>
      <w:r w:rsidR="00AC1A42" w:rsidRPr="00F83B6E">
        <w:rPr>
          <w:color w:val="000000" w:themeColor="text1"/>
        </w:rPr>
        <w:t xml:space="preserve"> one full</w:t>
      </w:r>
      <w:r w:rsidRPr="00F83B6E">
        <w:rPr>
          <w:color w:val="000000" w:themeColor="text1"/>
        </w:rPr>
        <w:t xml:space="preserve"> </w:t>
      </w:r>
      <w:r w:rsidR="00AC1A42" w:rsidRPr="00F83B6E">
        <w:rPr>
          <w:color w:val="000000" w:themeColor="text1"/>
        </w:rPr>
        <w:t>time-equivalent</w:t>
      </w:r>
      <w:r w:rsidRPr="00F83B6E">
        <w:rPr>
          <w:color w:val="000000" w:themeColor="text1"/>
        </w:rPr>
        <w:t xml:space="preserve"> </w:t>
      </w:r>
      <w:r w:rsidR="00AC1A42" w:rsidRPr="00F83B6E">
        <w:rPr>
          <w:color w:val="000000" w:themeColor="text1"/>
        </w:rPr>
        <w:t xml:space="preserve">MEL manager </w:t>
      </w:r>
      <w:r w:rsidR="004D18CD" w:rsidRPr="00F83B6E">
        <w:rPr>
          <w:color w:val="000000" w:themeColor="text1"/>
        </w:rPr>
        <w:t>will be based in the</w:t>
      </w:r>
      <w:r w:rsidR="00BC6825" w:rsidRPr="00F83B6E">
        <w:rPr>
          <w:color w:val="000000" w:themeColor="text1"/>
        </w:rPr>
        <w:t xml:space="preserve"> Platform</w:t>
      </w:r>
      <w:r w:rsidR="004D18CD" w:rsidRPr="00F83B6E">
        <w:rPr>
          <w:color w:val="000000" w:themeColor="text1"/>
        </w:rPr>
        <w:t xml:space="preserve"> Hub to </w:t>
      </w:r>
      <w:r w:rsidR="00AC1A42" w:rsidRPr="00F83B6E">
        <w:rPr>
          <w:color w:val="000000" w:themeColor="text1"/>
        </w:rPr>
        <w:t xml:space="preserve">coordinate the regular MEL functions, and </w:t>
      </w:r>
      <w:r w:rsidR="00BC6825" w:rsidRPr="00F83B6E">
        <w:rPr>
          <w:color w:val="000000" w:themeColor="text1"/>
        </w:rPr>
        <w:t xml:space="preserve">a senior </w:t>
      </w:r>
      <w:r w:rsidR="004D18CD" w:rsidRPr="00F83B6E">
        <w:rPr>
          <w:color w:val="000000" w:themeColor="text1"/>
        </w:rPr>
        <w:t xml:space="preserve">STA </w:t>
      </w:r>
      <w:r w:rsidR="00AC1A42" w:rsidRPr="00F83B6E">
        <w:rPr>
          <w:color w:val="000000" w:themeColor="text1"/>
        </w:rPr>
        <w:t>specialist</w:t>
      </w:r>
      <w:r w:rsidR="009C1146" w:rsidRPr="00F83B6E">
        <w:rPr>
          <w:color w:val="000000" w:themeColor="text1"/>
        </w:rPr>
        <w:t xml:space="preserve"> </w:t>
      </w:r>
      <w:r w:rsidR="00AC1A42" w:rsidRPr="00F83B6E">
        <w:rPr>
          <w:color w:val="000000" w:themeColor="text1"/>
        </w:rPr>
        <w:t xml:space="preserve">(preferably with continuity) </w:t>
      </w:r>
      <w:r w:rsidR="004D18CD" w:rsidRPr="00F83B6E">
        <w:rPr>
          <w:color w:val="000000" w:themeColor="text1"/>
        </w:rPr>
        <w:t>will</w:t>
      </w:r>
      <w:r w:rsidR="00AC1A42" w:rsidRPr="00F83B6E">
        <w:rPr>
          <w:color w:val="000000" w:themeColor="text1"/>
        </w:rPr>
        <w:t xml:space="preserve"> oversee the </w:t>
      </w:r>
      <w:r w:rsidRPr="00F83B6E">
        <w:rPr>
          <w:color w:val="000000" w:themeColor="text1"/>
        </w:rPr>
        <w:t>design</w:t>
      </w:r>
      <w:r w:rsidR="00AC1A42" w:rsidRPr="00F83B6E">
        <w:rPr>
          <w:color w:val="000000" w:themeColor="text1"/>
        </w:rPr>
        <w:t xml:space="preserve"> of the MEL system, provide strategic advice and input for key MEL products </w:t>
      </w:r>
      <w:r w:rsidR="009C1146" w:rsidRPr="00F83B6E">
        <w:rPr>
          <w:color w:val="000000" w:themeColor="text1"/>
        </w:rPr>
        <w:t xml:space="preserve">including </w:t>
      </w:r>
      <w:r w:rsidR="00AC1A42" w:rsidRPr="00F83B6E">
        <w:rPr>
          <w:color w:val="000000" w:themeColor="text1"/>
        </w:rPr>
        <w:t xml:space="preserve">the analytical and learning agenda, and support partnership MEL as required. In addition, </w:t>
      </w:r>
      <w:r w:rsidR="00823907" w:rsidRPr="00F83B6E">
        <w:rPr>
          <w:color w:val="000000" w:themeColor="text1"/>
        </w:rPr>
        <w:t xml:space="preserve">as outlined in section </w:t>
      </w:r>
      <w:r w:rsidR="00F04E19" w:rsidRPr="00F83B6E">
        <w:rPr>
          <w:color w:val="000000" w:themeColor="text1"/>
        </w:rPr>
        <w:t>F</w:t>
      </w:r>
      <w:r w:rsidR="00823907" w:rsidRPr="00F83B6E">
        <w:rPr>
          <w:color w:val="000000" w:themeColor="text1"/>
        </w:rPr>
        <w:t xml:space="preserve">, </w:t>
      </w:r>
      <w:r w:rsidR="004D18CD" w:rsidRPr="00F83B6E">
        <w:rPr>
          <w:color w:val="000000" w:themeColor="text1"/>
        </w:rPr>
        <w:t xml:space="preserve">a </w:t>
      </w:r>
      <w:r w:rsidR="00BC6825" w:rsidRPr="00F83B6E">
        <w:rPr>
          <w:color w:val="000000" w:themeColor="text1"/>
        </w:rPr>
        <w:t xml:space="preserve">dedicated </w:t>
      </w:r>
      <w:r w:rsidR="004D18CD" w:rsidRPr="00F83B6E">
        <w:rPr>
          <w:color w:val="000000" w:themeColor="text1"/>
        </w:rPr>
        <w:t xml:space="preserve">MEL budget </w:t>
      </w:r>
      <w:r w:rsidR="00BC6825" w:rsidRPr="00F83B6E">
        <w:rPr>
          <w:color w:val="000000" w:themeColor="text1"/>
        </w:rPr>
        <w:t>will</w:t>
      </w:r>
      <w:r w:rsidR="004D18CD" w:rsidRPr="00F83B6E">
        <w:rPr>
          <w:color w:val="000000" w:themeColor="text1"/>
        </w:rPr>
        <w:t xml:space="preserve"> cover the cost of</w:t>
      </w:r>
      <w:r w:rsidR="008907D5" w:rsidRPr="00F83B6E">
        <w:rPr>
          <w:color w:val="000000" w:themeColor="text1"/>
        </w:rPr>
        <w:t xml:space="preserve"> </w:t>
      </w:r>
      <w:r w:rsidR="00BC6825" w:rsidRPr="00F83B6E">
        <w:rPr>
          <w:color w:val="000000" w:themeColor="text1"/>
        </w:rPr>
        <w:t xml:space="preserve">the Hub’s </w:t>
      </w:r>
      <w:r w:rsidR="00823907" w:rsidRPr="00F83B6E">
        <w:rPr>
          <w:color w:val="000000" w:themeColor="text1"/>
        </w:rPr>
        <w:t xml:space="preserve">MEL </w:t>
      </w:r>
      <w:r w:rsidR="004D18CD" w:rsidRPr="00F83B6E">
        <w:rPr>
          <w:color w:val="000000" w:themeColor="text1"/>
        </w:rPr>
        <w:t>activities</w:t>
      </w:r>
      <w:r w:rsidR="00AC1A42" w:rsidRPr="00F83B6E">
        <w:rPr>
          <w:color w:val="000000" w:themeColor="text1"/>
        </w:rPr>
        <w:t xml:space="preserve"> </w:t>
      </w:r>
      <w:r w:rsidR="009C1146" w:rsidRPr="00F83B6E">
        <w:rPr>
          <w:color w:val="000000" w:themeColor="text1"/>
        </w:rPr>
        <w:t>such as</w:t>
      </w:r>
      <w:r w:rsidR="00823907" w:rsidRPr="00F83B6E">
        <w:rPr>
          <w:color w:val="000000" w:themeColor="text1"/>
        </w:rPr>
        <w:t xml:space="preserve"> analytical and case studies and </w:t>
      </w:r>
      <w:r w:rsidR="00AC1A42" w:rsidRPr="00F83B6E">
        <w:rPr>
          <w:color w:val="000000" w:themeColor="text1"/>
        </w:rPr>
        <w:t>specialist technical inputs for partnership monitoring</w:t>
      </w:r>
      <w:r w:rsidR="00823907" w:rsidRPr="00F83B6E">
        <w:rPr>
          <w:color w:val="000000" w:themeColor="text1"/>
        </w:rPr>
        <w:t xml:space="preserve"> as required</w:t>
      </w:r>
      <w:r w:rsidR="00AC1A42" w:rsidRPr="00F83B6E">
        <w:rPr>
          <w:color w:val="000000" w:themeColor="text1"/>
        </w:rPr>
        <w:t xml:space="preserve">. </w:t>
      </w:r>
    </w:p>
    <w:p w14:paraId="37CB7E1B" w14:textId="33C14FB1" w:rsidR="00AC1A42" w:rsidRPr="00F83B6E" w:rsidRDefault="00ED108B" w:rsidP="00B91543">
      <w:pPr>
        <w:pStyle w:val="BodyText"/>
        <w:rPr>
          <w:color w:val="000000" w:themeColor="text1"/>
        </w:rPr>
      </w:pPr>
      <w:r w:rsidRPr="00F83B6E">
        <w:rPr>
          <w:color w:val="000000" w:themeColor="text1"/>
        </w:rPr>
        <w:lastRenderedPageBreak/>
        <w:t>Individual p</w:t>
      </w:r>
      <w:r w:rsidR="00AC1A42" w:rsidRPr="00F83B6E">
        <w:rPr>
          <w:color w:val="000000" w:themeColor="text1"/>
        </w:rPr>
        <w:t>artnerships will be required to cost and resource MEL activities from within their grant, with guidance of about five percent of the grant budget, including designated staff time.</w:t>
      </w:r>
    </w:p>
    <w:p w14:paraId="48308071" w14:textId="0C76ED2F" w:rsidR="008B7E5F" w:rsidRPr="00F83B6E" w:rsidRDefault="00A917F5" w:rsidP="00B91543">
      <w:pPr>
        <w:pStyle w:val="BodyText"/>
        <w:rPr>
          <w:color w:val="000000" w:themeColor="text1"/>
        </w:rPr>
      </w:pPr>
      <w:r w:rsidRPr="00F83B6E">
        <w:rPr>
          <w:color w:val="000000" w:themeColor="text1"/>
        </w:rPr>
        <w:t xml:space="preserve">Post K2P team will conduct periodic monitoring missions (TBD) to ensure the Platform Hub and contracted partners are meeting their contractual obligations and risk of fiduciary and fraud is mitigated. These may involve </w:t>
      </w:r>
      <w:r w:rsidR="008B7E5F" w:rsidRPr="00F83B6E">
        <w:rPr>
          <w:color w:val="000000" w:themeColor="text1"/>
        </w:rPr>
        <w:t xml:space="preserve">reviewing relevant documentation and </w:t>
      </w:r>
      <w:r w:rsidRPr="00F83B6E">
        <w:rPr>
          <w:color w:val="000000" w:themeColor="text1"/>
        </w:rPr>
        <w:t xml:space="preserve">visiting Platform Hub’s and partners’ office premises and/or research sites. </w:t>
      </w:r>
    </w:p>
    <w:p w14:paraId="1A1B0A9A" w14:textId="18A778F3" w:rsidR="00F204DC" w:rsidRPr="00F83B6E" w:rsidRDefault="00A917F5" w:rsidP="00B91543">
      <w:pPr>
        <w:pStyle w:val="BodyText"/>
        <w:rPr>
          <w:color w:val="000000" w:themeColor="text1"/>
        </w:rPr>
      </w:pPr>
      <w:r w:rsidRPr="00F83B6E">
        <w:rPr>
          <w:color w:val="000000" w:themeColor="text1"/>
        </w:rPr>
        <w:t>In addition, t</w:t>
      </w:r>
      <w:r w:rsidR="0082636F" w:rsidRPr="00F83B6E">
        <w:rPr>
          <w:color w:val="000000" w:themeColor="text1"/>
        </w:rPr>
        <w:t>he SAT will</w:t>
      </w:r>
      <w:r w:rsidR="004736A5" w:rsidRPr="00F83B6E">
        <w:rPr>
          <w:color w:val="000000" w:themeColor="text1"/>
        </w:rPr>
        <w:t xml:space="preserve"> </w:t>
      </w:r>
      <w:r w:rsidR="0082636F" w:rsidRPr="00F83B6E">
        <w:rPr>
          <w:color w:val="000000" w:themeColor="text1"/>
        </w:rPr>
        <w:t xml:space="preserve">play an important role in framing and interrogating KPP performance independently from the Platform Hub’s team. </w:t>
      </w:r>
      <w:r w:rsidR="00A36B85" w:rsidRPr="00F83B6E">
        <w:rPr>
          <w:color w:val="000000" w:themeColor="text1"/>
        </w:rPr>
        <w:t>It will provide DFAT with advice and feedback on issues which may significantly influence the program direction and performance.</w:t>
      </w:r>
      <w:r w:rsidR="004736A5" w:rsidRPr="00F83B6E">
        <w:rPr>
          <w:color w:val="000000" w:themeColor="text1"/>
        </w:rPr>
        <w:t xml:space="preserve"> </w:t>
      </w:r>
      <w:r w:rsidR="00260AF4" w:rsidRPr="00F83B6E">
        <w:rPr>
          <w:color w:val="000000" w:themeColor="text1"/>
        </w:rPr>
        <w:t xml:space="preserve"> </w:t>
      </w:r>
      <w:r w:rsidR="00930F86" w:rsidRPr="00F83B6E">
        <w:rPr>
          <w:color w:val="000000" w:themeColor="text1"/>
        </w:rPr>
        <w:t xml:space="preserve"> </w:t>
      </w:r>
      <w:r w:rsidR="00260AF4" w:rsidRPr="00F83B6E">
        <w:rPr>
          <w:color w:val="000000" w:themeColor="text1"/>
        </w:rPr>
        <w:t>T</w:t>
      </w:r>
      <w:r w:rsidR="00164C19" w:rsidRPr="00F83B6E">
        <w:rPr>
          <w:color w:val="000000" w:themeColor="text1"/>
        </w:rPr>
        <w:t>he SAT will</w:t>
      </w:r>
      <w:r w:rsidR="00953F85" w:rsidRPr="00F83B6E">
        <w:rPr>
          <w:color w:val="000000" w:themeColor="text1"/>
        </w:rPr>
        <w:t>,</w:t>
      </w:r>
      <w:r w:rsidR="00645228" w:rsidRPr="00F83B6E">
        <w:rPr>
          <w:color w:val="000000" w:themeColor="text1"/>
        </w:rPr>
        <w:t xml:space="preserve"> </w:t>
      </w:r>
      <w:r w:rsidR="00953F85" w:rsidRPr="00F83B6E">
        <w:rPr>
          <w:color w:val="000000" w:themeColor="text1"/>
        </w:rPr>
        <w:t xml:space="preserve">at the discretion of DFAT, </w:t>
      </w:r>
      <w:r w:rsidR="00C73D3D" w:rsidRPr="00F83B6E">
        <w:rPr>
          <w:color w:val="000000" w:themeColor="text1"/>
        </w:rPr>
        <w:t xml:space="preserve">review </w:t>
      </w:r>
      <w:r w:rsidR="00953F85" w:rsidRPr="00F83B6E">
        <w:rPr>
          <w:color w:val="000000" w:themeColor="text1"/>
        </w:rPr>
        <w:t xml:space="preserve">and validate </w:t>
      </w:r>
      <w:r w:rsidR="00C73D3D" w:rsidRPr="00F83B6E">
        <w:rPr>
          <w:color w:val="000000" w:themeColor="text1"/>
        </w:rPr>
        <w:t xml:space="preserve">the KPP </w:t>
      </w:r>
      <w:r w:rsidR="00164C19" w:rsidRPr="00F83B6E">
        <w:rPr>
          <w:color w:val="000000" w:themeColor="text1"/>
        </w:rPr>
        <w:t xml:space="preserve">MEL framework, </w:t>
      </w:r>
      <w:r w:rsidR="00C73D3D" w:rsidRPr="00F83B6E">
        <w:rPr>
          <w:color w:val="000000" w:themeColor="text1"/>
        </w:rPr>
        <w:t>plans</w:t>
      </w:r>
      <w:r w:rsidR="00164C19" w:rsidRPr="00F83B6E">
        <w:rPr>
          <w:color w:val="000000" w:themeColor="text1"/>
        </w:rPr>
        <w:t>,</w:t>
      </w:r>
      <w:r w:rsidR="00C73D3D" w:rsidRPr="00F83B6E">
        <w:rPr>
          <w:color w:val="000000" w:themeColor="text1"/>
        </w:rPr>
        <w:t xml:space="preserve"> and progress reports</w:t>
      </w:r>
      <w:r w:rsidR="00953F85" w:rsidRPr="00F83B6E">
        <w:rPr>
          <w:color w:val="000000" w:themeColor="text1"/>
        </w:rPr>
        <w:t xml:space="preserve"> and </w:t>
      </w:r>
      <w:r w:rsidR="00C73D3D" w:rsidRPr="00F83B6E">
        <w:rPr>
          <w:color w:val="000000" w:themeColor="text1"/>
        </w:rPr>
        <w:t>ensur</w:t>
      </w:r>
      <w:r w:rsidR="00953F85" w:rsidRPr="00F83B6E">
        <w:rPr>
          <w:color w:val="000000" w:themeColor="text1"/>
        </w:rPr>
        <w:t>e</w:t>
      </w:r>
      <w:r w:rsidR="00C73D3D" w:rsidRPr="00F83B6E">
        <w:rPr>
          <w:color w:val="000000" w:themeColor="text1"/>
        </w:rPr>
        <w:t xml:space="preserve"> sufficient </w:t>
      </w:r>
      <w:r w:rsidR="00175A70" w:rsidRPr="00F83B6E">
        <w:rPr>
          <w:color w:val="000000" w:themeColor="text1"/>
        </w:rPr>
        <w:t xml:space="preserve">evidence and </w:t>
      </w:r>
      <w:r w:rsidR="00C73D3D" w:rsidRPr="00F83B6E">
        <w:rPr>
          <w:color w:val="000000" w:themeColor="text1"/>
        </w:rPr>
        <w:t xml:space="preserve">analysis is presented. </w:t>
      </w:r>
      <w:r w:rsidR="00164C19" w:rsidRPr="00F83B6E">
        <w:rPr>
          <w:color w:val="000000" w:themeColor="text1"/>
        </w:rPr>
        <w:t>It will suggest discussion papers to be developed for the PSC and PTC and will review agenda, analysis and minutes</w:t>
      </w:r>
      <w:r w:rsidR="00175A70" w:rsidRPr="00F83B6E">
        <w:rPr>
          <w:color w:val="000000" w:themeColor="text1"/>
        </w:rPr>
        <w:t xml:space="preserve"> of relevant p</w:t>
      </w:r>
      <w:r w:rsidR="00164C19" w:rsidRPr="00F83B6E">
        <w:rPr>
          <w:color w:val="000000" w:themeColor="text1"/>
        </w:rPr>
        <w:t xml:space="preserve">rogram committees’ meetings. </w:t>
      </w:r>
      <w:r w:rsidR="00C73D3D" w:rsidRPr="00F83B6E">
        <w:rPr>
          <w:color w:val="000000" w:themeColor="text1"/>
        </w:rPr>
        <w:t xml:space="preserve">Informed by an ongoing engagement with the program and its stakeholders, it will suggest </w:t>
      </w:r>
      <w:r w:rsidR="00953F85" w:rsidRPr="00F83B6E">
        <w:rPr>
          <w:color w:val="000000" w:themeColor="text1"/>
        </w:rPr>
        <w:t>studies</w:t>
      </w:r>
      <w:r w:rsidR="00C73D3D" w:rsidRPr="00F83B6E">
        <w:rPr>
          <w:color w:val="000000" w:themeColor="text1"/>
        </w:rPr>
        <w:t xml:space="preserve"> </w:t>
      </w:r>
      <w:r w:rsidR="00164C19" w:rsidRPr="00F83B6E">
        <w:rPr>
          <w:color w:val="000000" w:themeColor="text1"/>
        </w:rPr>
        <w:t>to be included in the analytical agenda and advise on plan</w:t>
      </w:r>
      <w:r w:rsidR="00122DD0" w:rsidRPr="00F83B6E">
        <w:rPr>
          <w:color w:val="000000" w:themeColor="text1"/>
        </w:rPr>
        <w:t>s</w:t>
      </w:r>
      <w:r w:rsidR="00175A70" w:rsidRPr="00F83B6E">
        <w:rPr>
          <w:color w:val="000000" w:themeColor="text1"/>
        </w:rPr>
        <w:t xml:space="preserve"> </w:t>
      </w:r>
      <w:r w:rsidR="00164C19" w:rsidRPr="00F83B6E">
        <w:rPr>
          <w:color w:val="000000" w:themeColor="text1"/>
        </w:rPr>
        <w:t xml:space="preserve">and </w:t>
      </w:r>
      <w:r w:rsidR="00953F85" w:rsidRPr="00F83B6E">
        <w:rPr>
          <w:color w:val="000000" w:themeColor="text1"/>
        </w:rPr>
        <w:t>reports</w:t>
      </w:r>
      <w:r w:rsidR="00164C19" w:rsidRPr="00F83B6E">
        <w:rPr>
          <w:color w:val="000000" w:themeColor="text1"/>
        </w:rPr>
        <w:t xml:space="preserve"> </w:t>
      </w:r>
      <w:r w:rsidR="00122DD0" w:rsidRPr="00F83B6E">
        <w:rPr>
          <w:color w:val="000000" w:themeColor="text1"/>
        </w:rPr>
        <w:t>for</w:t>
      </w:r>
      <w:r w:rsidR="00164C19" w:rsidRPr="00F83B6E">
        <w:rPr>
          <w:color w:val="000000" w:themeColor="text1"/>
        </w:rPr>
        <w:t xml:space="preserve"> partnership</w:t>
      </w:r>
      <w:r w:rsidR="00645228" w:rsidRPr="00F83B6E">
        <w:rPr>
          <w:color w:val="000000" w:themeColor="text1"/>
        </w:rPr>
        <w:t>s’</w:t>
      </w:r>
      <w:r w:rsidR="00164C19" w:rsidRPr="00F83B6E">
        <w:rPr>
          <w:color w:val="000000" w:themeColor="text1"/>
        </w:rPr>
        <w:t xml:space="preserve"> reviews and case studies. </w:t>
      </w:r>
      <w:r w:rsidR="00C73D3D" w:rsidRPr="00F83B6E">
        <w:rPr>
          <w:color w:val="000000" w:themeColor="text1"/>
        </w:rPr>
        <w:t xml:space="preserve">It will also contribute to the framing and implementation of program independent reviews, as required. </w:t>
      </w:r>
      <w:r w:rsidR="00A36B85" w:rsidRPr="00F83B6E">
        <w:rPr>
          <w:color w:val="000000" w:themeColor="text1"/>
        </w:rPr>
        <w:t>The SAT will consist of a minimum of two permanent members, one with significant Indonesian knowledge sector experience and one with a broad based, long term and high-level consultancy track record with DFAT, including on MEL and performance management.</w:t>
      </w:r>
      <w:r w:rsidR="00B16A01" w:rsidRPr="00F83B6E">
        <w:rPr>
          <w:color w:val="000000" w:themeColor="text1"/>
        </w:rPr>
        <w:t xml:space="preserve"> Both will demonstrate</w:t>
      </w:r>
      <w:r w:rsidR="00A36B85" w:rsidRPr="00F83B6E">
        <w:rPr>
          <w:color w:val="000000" w:themeColor="text1"/>
        </w:rPr>
        <w:t xml:space="preserve"> </w:t>
      </w:r>
      <w:r w:rsidR="00B16A01" w:rsidRPr="00F83B6E">
        <w:rPr>
          <w:rFonts w:cstheme="minorHAnsi"/>
          <w:color w:val="000000" w:themeColor="text1"/>
          <w:sz w:val="20"/>
          <w:szCs w:val="20"/>
        </w:rPr>
        <w:t>strong personal commitment to GEDSI principles and the ability to effectively support the implementation of the program GEDSI requirements.</w:t>
      </w:r>
      <w:r w:rsidR="00B16A01" w:rsidRPr="00F83B6E">
        <w:rPr>
          <w:color w:val="000000" w:themeColor="text1"/>
        </w:rPr>
        <w:t xml:space="preserve"> </w:t>
      </w:r>
      <w:r w:rsidR="00A36B85" w:rsidRPr="00F83B6E">
        <w:rPr>
          <w:color w:val="000000" w:themeColor="text1"/>
        </w:rPr>
        <w:t>These members will provide in-country and remote inputs periodically and on a needs basis, through tasking requests. From time to time, at the direction of DFAT, specific expertise may be added to the SAT for discrete tasks.</w:t>
      </w:r>
    </w:p>
    <w:p w14:paraId="3A4FF54B" w14:textId="4ACA8993" w:rsidR="00C905BA" w:rsidRPr="00F83B6E" w:rsidRDefault="0001720B" w:rsidP="00F27241">
      <w:pPr>
        <w:pStyle w:val="Heading2"/>
        <w:rPr>
          <w:color w:val="000000" w:themeColor="text1"/>
        </w:rPr>
      </w:pPr>
      <w:bookmarkStart w:id="25" w:name="_Toc146528292"/>
      <w:r w:rsidRPr="00F83B6E">
        <w:rPr>
          <w:color w:val="000000" w:themeColor="text1"/>
        </w:rPr>
        <w:t>Independent</w:t>
      </w:r>
      <w:r w:rsidR="00E532C0" w:rsidRPr="00F83B6E">
        <w:rPr>
          <w:color w:val="000000" w:themeColor="text1"/>
        </w:rPr>
        <w:t xml:space="preserve"> </w:t>
      </w:r>
      <w:r w:rsidR="009C1146" w:rsidRPr="00F83B6E">
        <w:rPr>
          <w:color w:val="000000" w:themeColor="text1"/>
        </w:rPr>
        <w:t>r</w:t>
      </w:r>
      <w:r w:rsidR="00E532C0" w:rsidRPr="00F83B6E">
        <w:rPr>
          <w:color w:val="000000" w:themeColor="text1"/>
        </w:rPr>
        <w:t>eview</w:t>
      </w:r>
      <w:r w:rsidR="00FC5E00" w:rsidRPr="00F83B6E">
        <w:rPr>
          <w:color w:val="000000" w:themeColor="text1"/>
        </w:rPr>
        <w:t>s</w:t>
      </w:r>
      <w:bookmarkEnd w:id="25"/>
    </w:p>
    <w:p w14:paraId="29925C3F" w14:textId="277179DE" w:rsidR="006E3857" w:rsidRPr="00F83B6E" w:rsidRDefault="00ED108B" w:rsidP="00B91543">
      <w:pPr>
        <w:pStyle w:val="BodyText"/>
        <w:rPr>
          <w:color w:val="000000" w:themeColor="text1"/>
        </w:rPr>
      </w:pPr>
      <w:r w:rsidRPr="00F83B6E">
        <w:rPr>
          <w:color w:val="000000" w:themeColor="text1"/>
        </w:rPr>
        <w:t>I</w:t>
      </w:r>
      <w:r w:rsidR="00FC5E00" w:rsidRPr="00F83B6E">
        <w:rPr>
          <w:color w:val="000000" w:themeColor="text1"/>
        </w:rPr>
        <w:t xml:space="preserve">ndependent </w:t>
      </w:r>
      <w:r w:rsidRPr="00F83B6E">
        <w:rPr>
          <w:color w:val="000000" w:themeColor="text1"/>
        </w:rPr>
        <w:t xml:space="preserve">program </w:t>
      </w:r>
      <w:r w:rsidR="00FC5E00" w:rsidRPr="00F83B6E">
        <w:rPr>
          <w:color w:val="000000" w:themeColor="text1"/>
        </w:rPr>
        <w:t>reviews will be commissioned and managed by DFAT at two key points of the program lifecycle</w:t>
      </w:r>
      <w:r w:rsidR="00823907" w:rsidRPr="00F83B6E">
        <w:rPr>
          <w:color w:val="000000" w:themeColor="text1"/>
        </w:rPr>
        <w:t>:</w:t>
      </w:r>
      <w:r w:rsidR="00FC5E00" w:rsidRPr="00F83B6E">
        <w:rPr>
          <w:color w:val="000000" w:themeColor="text1"/>
        </w:rPr>
        <w:t xml:space="preserve"> </w:t>
      </w:r>
    </w:p>
    <w:p w14:paraId="0FB32B38" w14:textId="3B2959D0" w:rsidR="00823907" w:rsidRPr="00F83B6E" w:rsidRDefault="00E532C0" w:rsidP="00E6202D">
      <w:pPr>
        <w:pStyle w:val="Bullet1"/>
        <w:rPr>
          <w:color w:val="000000" w:themeColor="text1"/>
        </w:rPr>
      </w:pPr>
      <w:r w:rsidRPr="00F83B6E">
        <w:rPr>
          <w:color w:val="000000" w:themeColor="text1"/>
        </w:rPr>
        <w:t xml:space="preserve">A mid-term review </w:t>
      </w:r>
      <w:r w:rsidR="00CF27ED" w:rsidRPr="00F83B6E">
        <w:rPr>
          <w:color w:val="000000" w:themeColor="text1"/>
        </w:rPr>
        <w:t xml:space="preserve">(MTR) </w:t>
      </w:r>
      <w:r w:rsidRPr="00F83B6E">
        <w:rPr>
          <w:color w:val="000000" w:themeColor="text1"/>
        </w:rPr>
        <w:t xml:space="preserve">will </w:t>
      </w:r>
      <w:r w:rsidR="00FC5E00" w:rsidRPr="00F83B6E">
        <w:rPr>
          <w:color w:val="000000" w:themeColor="text1"/>
        </w:rPr>
        <w:t xml:space="preserve">take place in 2025 to </w:t>
      </w:r>
      <w:r w:rsidR="00823907" w:rsidRPr="00F83B6E">
        <w:rPr>
          <w:color w:val="000000" w:themeColor="text1"/>
        </w:rPr>
        <w:t>analyse</w:t>
      </w:r>
      <w:r w:rsidR="008907D5" w:rsidRPr="00F83B6E">
        <w:rPr>
          <w:color w:val="000000" w:themeColor="text1"/>
        </w:rPr>
        <w:t xml:space="preserve"> </w:t>
      </w:r>
      <w:r w:rsidR="00823907" w:rsidRPr="00F83B6E">
        <w:rPr>
          <w:color w:val="000000" w:themeColor="text1"/>
        </w:rPr>
        <w:t>contextual</w:t>
      </w:r>
      <w:r w:rsidR="008907D5" w:rsidRPr="00F83B6E">
        <w:rPr>
          <w:color w:val="000000" w:themeColor="text1"/>
        </w:rPr>
        <w:t xml:space="preserve"> </w:t>
      </w:r>
      <w:r w:rsidR="00823907" w:rsidRPr="00F83B6E">
        <w:rPr>
          <w:color w:val="000000" w:themeColor="text1"/>
        </w:rPr>
        <w:t>changes following the 2024 Indonesian election</w:t>
      </w:r>
      <w:r w:rsidR="006E3857" w:rsidRPr="00F83B6E">
        <w:rPr>
          <w:color w:val="000000" w:themeColor="text1"/>
        </w:rPr>
        <w:t>,</w:t>
      </w:r>
      <w:r w:rsidR="00823907" w:rsidRPr="00F83B6E">
        <w:rPr>
          <w:color w:val="000000" w:themeColor="text1"/>
        </w:rPr>
        <w:t xml:space="preserve"> </w:t>
      </w:r>
      <w:r w:rsidRPr="00F83B6E">
        <w:rPr>
          <w:color w:val="000000" w:themeColor="text1"/>
        </w:rPr>
        <w:t xml:space="preserve">check in on the ongoing relevance of the </w:t>
      </w:r>
      <w:r w:rsidR="00823907" w:rsidRPr="00F83B6E">
        <w:rPr>
          <w:color w:val="000000" w:themeColor="text1"/>
        </w:rPr>
        <w:t xml:space="preserve">KPP </w:t>
      </w:r>
      <w:r w:rsidRPr="00F83B6E">
        <w:rPr>
          <w:color w:val="000000" w:themeColor="text1"/>
        </w:rPr>
        <w:t xml:space="preserve">program </w:t>
      </w:r>
      <w:r w:rsidR="0062233E" w:rsidRPr="00F83B6E">
        <w:rPr>
          <w:color w:val="000000" w:themeColor="text1"/>
        </w:rPr>
        <w:t>logic</w:t>
      </w:r>
      <w:r w:rsidR="006E3857" w:rsidRPr="00F83B6E">
        <w:rPr>
          <w:color w:val="000000" w:themeColor="text1"/>
        </w:rPr>
        <w:t>,</w:t>
      </w:r>
      <w:r w:rsidR="0062233E" w:rsidRPr="00F83B6E">
        <w:rPr>
          <w:color w:val="000000" w:themeColor="text1"/>
        </w:rPr>
        <w:t xml:space="preserve"> and</w:t>
      </w:r>
      <w:r w:rsidRPr="00F83B6E">
        <w:rPr>
          <w:color w:val="000000" w:themeColor="text1"/>
        </w:rPr>
        <w:t xml:space="preserve"> assess</w:t>
      </w:r>
      <w:r w:rsidR="008907D5" w:rsidRPr="00F83B6E">
        <w:rPr>
          <w:color w:val="000000" w:themeColor="text1"/>
        </w:rPr>
        <w:t xml:space="preserve"> </w:t>
      </w:r>
      <w:r w:rsidRPr="00F83B6E">
        <w:rPr>
          <w:color w:val="000000" w:themeColor="text1"/>
        </w:rPr>
        <w:t xml:space="preserve">whether KPP is on track to achieving </w:t>
      </w:r>
      <w:r w:rsidR="00823907" w:rsidRPr="00F83B6E">
        <w:rPr>
          <w:color w:val="000000" w:themeColor="text1"/>
        </w:rPr>
        <w:t>its</w:t>
      </w:r>
      <w:r w:rsidRPr="00F83B6E">
        <w:rPr>
          <w:color w:val="000000" w:themeColor="text1"/>
        </w:rPr>
        <w:t xml:space="preserve"> intended outcomes.</w:t>
      </w:r>
      <w:r w:rsidR="00FC5E00" w:rsidRPr="00F83B6E">
        <w:rPr>
          <w:color w:val="000000" w:themeColor="text1"/>
        </w:rPr>
        <w:t xml:space="preserve"> </w:t>
      </w:r>
      <w:r w:rsidR="00823907" w:rsidRPr="00F83B6E">
        <w:rPr>
          <w:color w:val="000000" w:themeColor="text1"/>
        </w:rPr>
        <w:t>Specific terms of references with additional review questions will be developed in due course.</w:t>
      </w:r>
    </w:p>
    <w:p w14:paraId="6E186578" w14:textId="1C44CFDA" w:rsidR="0062000A" w:rsidRPr="00F83B6E" w:rsidRDefault="00FC5E00" w:rsidP="00815CC8">
      <w:pPr>
        <w:pStyle w:val="Bullet1"/>
        <w:rPr>
          <w:color w:val="000000" w:themeColor="text1"/>
        </w:rPr>
      </w:pPr>
      <w:r w:rsidRPr="00F83B6E">
        <w:rPr>
          <w:color w:val="000000" w:themeColor="text1"/>
        </w:rPr>
        <w:t>An end</w:t>
      </w:r>
      <w:r w:rsidR="00CF27ED" w:rsidRPr="00F83B6E">
        <w:rPr>
          <w:color w:val="000000" w:themeColor="text1"/>
        </w:rPr>
        <w:t>-</w:t>
      </w:r>
      <w:r w:rsidRPr="00F83B6E">
        <w:rPr>
          <w:color w:val="000000" w:themeColor="text1"/>
        </w:rPr>
        <w:t>of</w:t>
      </w:r>
      <w:r w:rsidR="00CF27ED" w:rsidRPr="00F83B6E">
        <w:rPr>
          <w:color w:val="000000" w:themeColor="text1"/>
        </w:rPr>
        <w:t>-</w:t>
      </w:r>
      <w:r w:rsidR="006E3857" w:rsidRPr="00F83B6E">
        <w:rPr>
          <w:color w:val="000000" w:themeColor="text1"/>
        </w:rPr>
        <w:t>program</w:t>
      </w:r>
      <w:r w:rsidRPr="00F83B6E">
        <w:rPr>
          <w:color w:val="000000" w:themeColor="text1"/>
        </w:rPr>
        <w:t xml:space="preserve"> review </w:t>
      </w:r>
      <w:r w:rsidR="00CF27ED" w:rsidRPr="00F83B6E">
        <w:rPr>
          <w:color w:val="000000" w:themeColor="text1"/>
        </w:rPr>
        <w:t xml:space="preserve">(EPR) </w:t>
      </w:r>
      <w:r w:rsidRPr="00F83B6E">
        <w:rPr>
          <w:color w:val="000000" w:themeColor="text1"/>
        </w:rPr>
        <w:t xml:space="preserve">will be commissioned by DFAT in the last year of KPP implementation to </w:t>
      </w:r>
      <w:r w:rsidR="00ED108B" w:rsidRPr="00F83B6E">
        <w:rPr>
          <w:color w:val="000000" w:themeColor="text1"/>
        </w:rPr>
        <w:t>document the evolution of the program’s objectives, assess their achievements</w:t>
      </w:r>
      <w:r w:rsidR="00823907" w:rsidRPr="00F83B6E">
        <w:rPr>
          <w:color w:val="000000" w:themeColor="text1"/>
        </w:rPr>
        <w:t xml:space="preserve">, </w:t>
      </w:r>
      <w:r w:rsidR="00ED108B" w:rsidRPr="00F83B6E">
        <w:rPr>
          <w:color w:val="000000" w:themeColor="text1"/>
        </w:rPr>
        <w:t>and more broadly investigat</w:t>
      </w:r>
      <w:r w:rsidR="00823907" w:rsidRPr="00F83B6E">
        <w:rPr>
          <w:color w:val="000000" w:themeColor="text1"/>
        </w:rPr>
        <w:t>e</w:t>
      </w:r>
      <w:r w:rsidR="00ED108B" w:rsidRPr="00F83B6E">
        <w:rPr>
          <w:color w:val="000000" w:themeColor="text1"/>
        </w:rPr>
        <w:t xml:space="preserve"> the extent to which the program has contributed to Australia’s relationship with Indonesia. The review will also synthesise lessons learned from KPP to feed into a future phase of investment and/or other relevant programs. </w:t>
      </w:r>
    </w:p>
    <w:p w14:paraId="16E6A767" w14:textId="77777777" w:rsidR="00254E11" w:rsidRPr="00F83B6E" w:rsidRDefault="00254E11" w:rsidP="00254E11">
      <w:pPr>
        <w:pStyle w:val="Bullet1"/>
        <w:numPr>
          <w:ilvl w:val="0"/>
          <w:numId w:val="0"/>
        </w:numPr>
        <w:rPr>
          <w:color w:val="000000" w:themeColor="text1"/>
        </w:rPr>
      </w:pPr>
    </w:p>
    <w:p w14:paraId="1A4693C5" w14:textId="398E2889" w:rsidR="00A32858" w:rsidRPr="00F83B6E" w:rsidRDefault="00A32858" w:rsidP="00E74DD1">
      <w:pPr>
        <w:pStyle w:val="Heading1"/>
        <w:rPr>
          <w:color w:val="000000" w:themeColor="text1"/>
        </w:rPr>
      </w:pPr>
      <w:bookmarkStart w:id="26" w:name="_Ref101559400"/>
      <w:bookmarkStart w:id="27" w:name="_Toc146528293"/>
      <w:r w:rsidRPr="00F83B6E">
        <w:rPr>
          <w:color w:val="000000" w:themeColor="text1"/>
        </w:rPr>
        <w:t>Cross Cutting Issues</w:t>
      </w:r>
      <w:bookmarkEnd w:id="26"/>
      <w:bookmarkEnd w:id="27"/>
    </w:p>
    <w:p w14:paraId="2CEEF9B4" w14:textId="77777777" w:rsidR="00975302" w:rsidRPr="00F83B6E" w:rsidRDefault="00975302" w:rsidP="00F27241">
      <w:pPr>
        <w:pStyle w:val="Heading2"/>
        <w:rPr>
          <w:color w:val="000000" w:themeColor="text1"/>
        </w:rPr>
      </w:pPr>
      <w:bookmarkStart w:id="28" w:name="_Toc146528294"/>
      <w:r w:rsidRPr="00F83B6E">
        <w:rPr>
          <w:color w:val="000000" w:themeColor="text1"/>
        </w:rPr>
        <w:t>Gender equality, disability, and social inclusion</w:t>
      </w:r>
      <w:bookmarkEnd w:id="28"/>
    </w:p>
    <w:p w14:paraId="18AE0F01" w14:textId="110418C5" w:rsidR="00240697" w:rsidRPr="00F83B6E" w:rsidRDefault="00384418" w:rsidP="00B91543">
      <w:pPr>
        <w:pStyle w:val="BodyText"/>
        <w:rPr>
          <w:color w:val="000000" w:themeColor="text1"/>
        </w:rPr>
      </w:pPr>
      <w:r w:rsidRPr="00F83B6E">
        <w:rPr>
          <w:color w:val="000000" w:themeColor="text1"/>
        </w:rPr>
        <w:t>The Indonesia-Australia Comprehensive Strategic Partnership (2020-2024) jointly prioritises ‘initiatives to promote women’s leadership and empowerment in the field of economic and social development’ and disability-inclusive development. This is furthered in Indonesia’s COVID-19 Development Response Plan, which prioritises ‘economic empowerment of women, people with disabilities and marginalised groups’ and commits to challenging gender norms that constrain women’s economic participation and contribution. The KPP design responds to DFAT’s leadership on GEDSI-responsive development in various ways</w:t>
      </w:r>
      <w:r w:rsidR="00D40D63" w:rsidRPr="00F83B6E">
        <w:rPr>
          <w:color w:val="000000" w:themeColor="text1"/>
        </w:rPr>
        <w:t>: a</w:t>
      </w:r>
      <w:r w:rsidRPr="00F83B6E">
        <w:rPr>
          <w:color w:val="000000" w:themeColor="text1"/>
        </w:rPr>
        <w:t xml:space="preserve">ttention to gender, disability and social inclusion </w:t>
      </w:r>
      <w:r w:rsidRPr="00F83B6E">
        <w:rPr>
          <w:color w:val="000000" w:themeColor="text1"/>
        </w:rPr>
        <w:lastRenderedPageBreak/>
        <w:t xml:space="preserve">underpins the program logic (see section </w:t>
      </w:r>
      <w:r w:rsidR="00821010" w:rsidRPr="00F83B6E">
        <w:rPr>
          <w:color w:val="000000" w:themeColor="text1"/>
        </w:rPr>
        <w:t>B</w:t>
      </w:r>
      <w:r w:rsidRPr="00F83B6E">
        <w:rPr>
          <w:color w:val="000000" w:themeColor="text1"/>
        </w:rPr>
        <w:t xml:space="preserve">), is a key part of the grants program (see section </w:t>
      </w:r>
      <w:r w:rsidR="00821010" w:rsidRPr="00F83B6E">
        <w:rPr>
          <w:color w:val="000000" w:themeColor="text1"/>
        </w:rPr>
        <w:t>F</w:t>
      </w:r>
      <w:r w:rsidRPr="00F83B6E">
        <w:rPr>
          <w:color w:val="000000" w:themeColor="text1"/>
        </w:rPr>
        <w:t xml:space="preserve">) and is central to the MEL framework (see section </w:t>
      </w:r>
      <w:r w:rsidR="00821010" w:rsidRPr="00F83B6E">
        <w:rPr>
          <w:color w:val="000000" w:themeColor="text1"/>
        </w:rPr>
        <w:t>D</w:t>
      </w:r>
      <w:r w:rsidR="00D40D63" w:rsidRPr="00F83B6E">
        <w:rPr>
          <w:color w:val="000000" w:themeColor="text1"/>
        </w:rPr>
        <w:t>);</w:t>
      </w:r>
      <w:r w:rsidRPr="00F83B6E">
        <w:rPr>
          <w:color w:val="000000" w:themeColor="text1"/>
        </w:rPr>
        <w:t xml:space="preserve"> GEDSI related staffing resources and recommendations for governance and coordination mechanisms are also included in section </w:t>
      </w:r>
      <w:r w:rsidR="00813026" w:rsidRPr="00F83B6E">
        <w:rPr>
          <w:color w:val="000000" w:themeColor="text1"/>
        </w:rPr>
        <w:t>C</w:t>
      </w:r>
      <w:r w:rsidRPr="00F83B6E">
        <w:rPr>
          <w:color w:val="000000" w:themeColor="text1"/>
        </w:rPr>
        <w:t xml:space="preserve">, and risks in section </w:t>
      </w:r>
      <w:r w:rsidR="00813026" w:rsidRPr="00F83B6E">
        <w:rPr>
          <w:color w:val="000000" w:themeColor="text1"/>
        </w:rPr>
        <w:t>H</w:t>
      </w:r>
      <w:r w:rsidRPr="00F83B6E">
        <w:rPr>
          <w:color w:val="000000" w:themeColor="text1"/>
        </w:rPr>
        <w:t xml:space="preserve">. </w:t>
      </w:r>
      <w:r w:rsidR="00260AF4" w:rsidRPr="00F83B6E">
        <w:rPr>
          <w:color w:val="000000" w:themeColor="text1"/>
        </w:rPr>
        <w:t xml:space="preserve"> </w:t>
      </w:r>
    </w:p>
    <w:p w14:paraId="1FE51F11" w14:textId="48F5CA22" w:rsidR="007C7E3E" w:rsidRPr="00F83B6E" w:rsidRDefault="007C7E3E" w:rsidP="00B91543">
      <w:pPr>
        <w:pStyle w:val="Heading3"/>
        <w:rPr>
          <w:color w:val="000000" w:themeColor="text1"/>
        </w:rPr>
      </w:pPr>
      <w:r w:rsidRPr="00F83B6E">
        <w:rPr>
          <w:color w:val="000000" w:themeColor="text1"/>
        </w:rPr>
        <w:t xml:space="preserve">GEDSI </w:t>
      </w:r>
      <w:r w:rsidR="0062233E" w:rsidRPr="00F83B6E">
        <w:rPr>
          <w:color w:val="000000" w:themeColor="text1"/>
        </w:rPr>
        <w:t>s</w:t>
      </w:r>
      <w:r w:rsidRPr="00F83B6E">
        <w:rPr>
          <w:color w:val="000000" w:themeColor="text1"/>
        </w:rPr>
        <w:t xml:space="preserve">trategy </w:t>
      </w:r>
    </w:p>
    <w:p w14:paraId="0E8C88A9" w14:textId="3B7EE2A2" w:rsidR="00274F31" w:rsidRPr="00F83B6E" w:rsidRDefault="00384418" w:rsidP="00274F31">
      <w:pPr>
        <w:pStyle w:val="BodyText"/>
        <w:rPr>
          <w:color w:val="000000" w:themeColor="text1"/>
        </w:rPr>
      </w:pPr>
      <w:r w:rsidRPr="00F83B6E">
        <w:rPr>
          <w:color w:val="000000" w:themeColor="text1"/>
        </w:rPr>
        <w:t xml:space="preserve">The Platform Hub will develop a KPP GEDSI strategy during the inception period. </w:t>
      </w:r>
      <w:r w:rsidR="005D72C7" w:rsidRPr="00F83B6E">
        <w:rPr>
          <w:color w:val="000000" w:themeColor="text1"/>
        </w:rPr>
        <w:t>As</w:t>
      </w:r>
      <w:r w:rsidR="009D0ACB" w:rsidRPr="00F83B6E">
        <w:rPr>
          <w:color w:val="000000" w:themeColor="text1"/>
        </w:rPr>
        <w:t xml:space="preserve"> </w:t>
      </w:r>
      <w:r w:rsidR="005D72C7" w:rsidRPr="00F83B6E">
        <w:rPr>
          <w:color w:val="000000" w:themeColor="text1"/>
        </w:rPr>
        <w:t>advocated in DFAT’s gender and disability strategies, KPP</w:t>
      </w:r>
      <w:r w:rsidR="0062233E" w:rsidRPr="00F83B6E">
        <w:rPr>
          <w:color w:val="000000" w:themeColor="text1"/>
        </w:rPr>
        <w:t>’s</w:t>
      </w:r>
      <w:r w:rsidR="005D72C7" w:rsidRPr="00F83B6E">
        <w:rPr>
          <w:color w:val="000000" w:themeColor="text1"/>
        </w:rPr>
        <w:t xml:space="preserve"> </w:t>
      </w:r>
      <w:r w:rsidR="007C7E3E" w:rsidRPr="00F83B6E">
        <w:rPr>
          <w:color w:val="000000" w:themeColor="text1"/>
        </w:rPr>
        <w:t xml:space="preserve">GEDSI strategy will follow </w:t>
      </w:r>
      <w:r w:rsidR="005D72C7" w:rsidRPr="00F83B6E">
        <w:rPr>
          <w:color w:val="000000" w:themeColor="text1"/>
        </w:rPr>
        <w:t>a twin-track approach, meaning that</w:t>
      </w:r>
      <w:r w:rsidR="00AF52A6" w:rsidRPr="00F83B6E">
        <w:rPr>
          <w:color w:val="000000" w:themeColor="text1"/>
        </w:rPr>
        <w:t>:</w:t>
      </w:r>
      <w:r w:rsidR="005D72C7" w:rsidRPr="00F83B6E">
        <w:rPr>
          <w:color w:val="000000" w:themeColor="text1"/>
        </w:rPr>
        <w:t xml:space="preserve"> </w:t>
      </w:r>
      <w:r w:rsidR="009E0FF6" w:rsidRPr="00F83B6E">
        <w:rPr>
          <w:color w:val="000000" w:themeColor="text1"/>
        </w:rPr>
        <w:t xml:space="preserve">1) </w:t>
      </w:r>
      <w:r w:rsidR="005D72C7" w:rsidRPr="00F83B6E">
        <w:rPr>
          <w:color w:val="000000" w:themeColor="text1"/>
        </w:rPr>
        <w:t xml:space="preserve">it will ensure all program activities consider and respond to the needs, interests, choices, and opportunities for different genders, and for people with disabilities (mainstreaming track), and </w:t>
      </w:r>
      <w:r w:rsidR="009E0FF6" w:rsidRPr="00F83B6E">
        <w:rPr>
          <w:color w:val="000000" w:themeColor="text1"/>
        </w:rPr>
        <w:t xml:space="preserve">2) it </w:t>
      </w:r>
      <w:r w:rsidR="005D72C7" w:rsidRPr="00F83B6E">
        <w:rPr>
          <w:color w:val="000000" w:themeColor="text1"/>
        </w:rPr>
        <w:t xml:space="preserve">will support interventions </w:t>
      </w:r>
      <w:r w:rsidR="009D0ACB" w:rsidRPr="00F83B6E">
        <w:rPr>
          <w:color w:val="000000" w:themeColor="text1"/>
        </w:rPr>
        <w:t>that</w:t>
      </w:r>
      <w:r w:rsidR="005D72C7" w:rsidRPr="00F83B6E">
        <w:rPr>
          <w:color w:val="000000" w:themeColor="text1"/>
        </w:rPr>
        <w:t xml:space="preserve"> address specific dimensions of gender equality and disability </w:t>
      </w:r>
      <w:r w:rsidR="009D0ACB" w:rsidRPr="00F83B6E">
        <w:rPr>
          <w:color w:val="000000" w:themeColor="text1"/>
        </w:rPr>
        <w:t xml:space="preserve">and social </w:t>
      </w:r>
      <w:r w:rsidR="005D72C7" w:rsidRPr="00F83B6E">
        <w:rPr>
          <w:color w:val="000000" w:themeColor="text1"/>
        </w:rPr>
        <w:t xml:space="preserve">inclusion (targeted track). </w:t>
      </w:r>
      <w:r w:rsidR="009D0ACB" w:rsidRPr="00F83B6E">
        <w:rPr>
          <w:color w:val="000000" w:themeColor="text1"/>
        </w:rPr>
        <w:t>T</w:t>
      </w:r>
      <w:r w:rsidR="005D72C7" w:rsidRPr="00F83B6E">
        <w:rPr>
          <w:color w:val="000000" w:themeColor="text1"/>
        </w:rPr>
        <w:t>he emphasis will be on the mainstreaming track, making sure that there is genuine and substantial attention</w:t>
      </w:r>
      <w:r w:rsidR="005D72C7" w:rsidRPr="00F83B6E">
        <w:rPr>
          <w:color w:val="000000" w:themeColor="text1"/>
          <w:vertAlign w:val="superscript"/>
        </w:rPr>
        <w:footnoteReference w:id="38"/>
      </w:r>
      <w:r w:rsidR="005D72C7" w:rsidRPr="00F83B6E">
        <w:rPr>
          <w:color w:val="000000" w:themeColor="text1"/>
        </w:rPr>
        <w:t xml:space="preserve"> to equality and inclusion, evidenced by specific targets, activities, and resources. Cursory attention to disaggregated data or pushing consideration of equality and inclusion into later stages of </w:t>
      </w:r>
      <w:r w:rsidR="00AA3ABC" w:rsidRPr="00F83B6E">
        <w:rPr>
          <w:color w:val="000000" w:themeColor="text1"/>
        </w:rPr>
        <w:t>the investment</w:t>
      </w:r>
      <w:r w:rsidR="005D72C7" w:rsidRPr="00F83B6E">
        <w:rPr>
          <w:color w:val="000000" w:themeColor="text1"/>
        </w:rPr>
        <w:t xml:space="preserve"> will not be sufficient. Targeted activities may be used to identify and test possible solutions or to raise the prominence of inequality and exclusion on mainstream agendas</w:t>
      </w:r>
      <w:r w:rsidR="006F4DB3" w:rsidRPr="00F83B6E">
        <w:rPr>
          <w:color w:val="000000" w:themeColor="text1"/>
        </w:rPr>
        <w:t>, including, if required through specific windows in entry level grants (</w:t>
      </w:r>
      <w:proofErr w:type="spellStart"/>
      <w:r w:rsidR="006F4DB3" w:rsidRPr="00F83B6E">
        <w:rPr>
          <w:color w:val="000000" w:themeColor="text1"/>
        </w:rPr>
        <w:t>Bertunas</w:t>
      </w:r>
      <w:proofErr w:type="spellEnd"/>
      <w:r w:rsidR="006F4DB3" w:rsidRPr="00F83B6E">
        <w:rPr>
          <w:color w:val="000000" w:themeColor="text1"/>
        </w:rPr>
        <w:t>)</w:t>
      </w:r>
      <w:r w:rsidR="005D72C7" w:rsidRPr="00F83B6E">
        <w:rPr>
          <w:color w:val="000000" w:themeColor="text1"/>
        </w:rPr>
        <w:t xml:space="preserve">. This emphasis on mainstreaming </w:t>
      </w:r>
      <w:r w:rsidR="009D0ACB" w:rsidRPr="00F83B6E">
        <w:rPr>
          <w:color w:val="000000" w:themeColor="text1"/>
        </w:rPr>
        <w:t>aligns with</w:t>
      </w:r>
      <w:r w:rsidR="005D72C7" w:rsidRPr="00F83B6E">
        <w:rPr>
          <w:color w:val="000000" w:themeColor="text1"/>
        </w:rPr>
        <w:t xml:space="preserve"> KPP’s overall approach to </w:t>
      </w:r>
      <w:r w:rsidR="009D0ACB" w:rsidRPr="00F83B6E">
        <w:rPr>
          <w:color w:val="000000" w:themeColor="text1"/>
        </w:rPr>
        <w:t>consider</w:t>
      </w:r>
      <w:r w:rsidR="005D72C7" w:rsidRPr="00F83B6E">
        <w:rPr>
          <w:color w:val="000000" w:themeColor="text1"/>
        </w:rPr>
        <w:t xml:space="preserve"> GEDSI responsiveness </w:t>
      </w:r>
      <w:r w:rsidR="009D0ACB" w:rsidRPr="00F83B6E">
        <w:rPr>
          <w:color w:val="000000" w:themeColor="text1"/>
        </w:rPr>
        <w:t>a</w:t>
      </w:r>
      <w:r w:rsidR="005D72C7" w:rsidRPr="00F83B6E">
        <w:rPr>
          <w:color w:val="000000" w:themeColor="text1"/>
        </w:rPr>
        <w:t xml:space="preserve">s </w:t>
      </w:r>
      <w:r w:rsidR="005D72C7" w:rsidRPr="00F83B6E">
        <w:rPr>
          <w:color w:val="000000" w:themeColor="text1"/>
          <w:u w:val="single"/>
        </w:rPr>
        <w:t>always</w:t>
      </w:r>
      <w:r w:rsidR="005D72C7" w:rsidRPr="00F83B6E">
        <w:rPr>
          <w:color w:val="000000" w:themeColor="text1"/>
        </w:rPr>
        <w:t xml:space="preserve"> relevant when research </w:t>
      </w:r>
      <w:r w:rsidR="009D0ACB" w:rsidRPr="00F83B6E">
        <w:rPr>
          <w:color w:val="000000" w:themeColor="text1"/>
        </w:rPr>
        <w:t>topics and/</w:t>
      </w:r>
      <w:r w:rsidR="005D72C7" w:rsidRPr="00F83B6E">
        <w:rPr>
          <w:color w:val="000000" w:themeColor="text1"/>
        </w:rPr>
        <w:t>or the polic</w:t>
      </w:r>
      <w:r w:rsidR="009D0ACB" w:rsidRPr="00F83B6E">
        <w:rPr>
          <w:color w:val="000000" w:themeColor="text1"/>
        </w:rPr>
        <w:t>ies</w:t>
      </w:r>
      <w:r w:rsidR="005D72C7" w:rsidRPr="00F83B6E">
        <w:rPr>
          <w:color w:val="000000" w:themeColor="text1"/>
        </w:rPr>
        <w:t xml:space="preserve"> </w:t>
      </w:r>
      <w:r w:rsidR="009D0ACB" w:rsidRPr="00F83B6E">
        <w:rPr>
          <w:color w:val="000000" w:themeColor="text1"/>
        </w:rPr>
        <w:t>and technologies they</w:t>
      </w:r>
      <w:r w:rsidR="005D72C7" w:rsidRPr="00F83B6E">
        <w:rPr>
          <w:color w:val="000000" w:themeColor="text1"/>
        </w:rPr>
        <w:t xml:space="preserve"> seek to influence intersect with people.</w:t>
      </w:r>
    </w:p>
    <w:p w14:paraId="1CCE7BF1" w14:textId="6A023074" w:rsidR="00522009" w:rsidRPr="00F83B6E" w:rsidRDefault="00522009" w:rsidP="00522009">
      <w:pPr>
        <w:pStyle w:val="BodyText"/>
        <w:rPr>
          <w:color w:val="000000" w:themeColor="text1"/>
        </w:rPr>
      </w:pPr>
      <w:r w:rsidRPr="00F83B6E">
        <w:rPr>
          <w:color w:val="000000" w:themeColor="text1"/>
        </w:rPr>
        <w:t xml:space="preserve">The KPP </w:t>
      </w:r>
      <w:r w:rsidR="00A22E4E" w:rsidRPr="00F83B6E">
        <w:rPr>
          <w:color w:val="000000" w:themeColor="text1"/>
        </w:rPr>
        <w:t>design</w:t>
      </w:r>
      <w:r w:rsidRPr="00F83B6E">
        <w:rPr>
          <w:color w:val="000000" w:themeColor="text1"/>
        </w:rPr>
        <w:t xml:space="preserve"> does not recommend a focus on any pre-identified marginalised groups where there are very specific and narrow determinants of exclusion, such as extreme poverty or marginalisation on the basis of gender identity, sexuality, or cultural or religious beliefs. Rather, KPP will emphasise a do no harm approach, which still requires some analysis and monitoring. KPP can also engage with or refer to specialist initiatives such as </w:t>
      </w:r>
      <w:r w:rsidR="007E673D" w:rsidRPr="00F83B6E">
        <w:rPr>
          <w:color w:val="000000" w:themeColor="text1"/>
        </w:rPr>
        <w:t xml:space="preserve">the Australia-Indonesia Partnership Towards an Inclusive Society (INKLUSI) </w:t>
      </w:r>
      <w:r w:rsidRPr="00F83B6E">
        <w:rPr>
          <w:color w:val="000000" w:themeColor="text1"/>
        </w:rPr>
        <w:t xml:space="preserve">and specialist CSOs as required. </w:t>
      </w:r>
      <w:r w:rsidR="00A22E4E" w:rsidRPr="00F83B6E">
        <w:rPr>
          <w:color w:val="000000" w:themeColor="text1"/>
        </w:rPr>
        <w:t xml:space="preserve">If deemed appropriate, </w:t>
      </w:r>
      <w:r w:rsidRPr="00F83B6E">
        <w:rPr>
          <w:color w:val="000000" w:themeColor="text1"/>
        </w:rPr>
        <w:t>focus</w:t>
      </w:r>
      <w:r w:rsidR="00A22E4E" w:rsidRPr="00F83B6E">
        <w:rPr>
          <w:color w:val="000000" w:themeColor="text1"/>
        </w:rPr>
        <w:t>ing</w:t>
      </w:r>
      <w:r w:rsidRPr="00F83B6E">
        <w:rPr>
          <w:color w:val="000000" w:themeColor="text1"/>
        </w:rPr>
        <w:t xml:space="preserve"> on regional outreach as an inclusion strategy will need to be coordinated with DFAT’s SKALA (regional disparities) program, due to commence in 2022. The grants program will encourage attention to inclusion of regional organisations, and to agendas with regional relevance.</w:t>
      </w:r>
    </w:p>
    <w:p w14:paraId="48267C41" w14:textId="0643F2BE" w:rsidR="00AE0471" w:rsidRPr="00F83B6E" w:rsidRDefault="00260AF4" w:rsidP="001B7A01">
      <w:pPr>
        <w:pStyle w:val="BodyText"/>
        <w:keepNext/>
        <w:rPr>
          <w:color w:val="000000" w:themeColor="text1"/>
        </w:rPr>
      </w:pPr>
      <w:r w:rsidRPr="00F83B6E">
        <w:rPr>
          <w:color w:val="000000" w:themeColor="text1"/>
        </w:rPr>
        <w:t>A</w:t>
      </w:r>
      <w:r w:rsidR="00AE0471" w:rsidRPr="00F83B6E">
        <w:rPr>
          <w:color w:val="000000" w:themeColor="text1"/>
        </w:rPr>
        <w:t xml:space="preserve"> possible </w:t>
      </w:r>
      <w:r w:rsidR="009D0ACB" w:rsidRPr="00F83B6E">
        <w:rPr>
          <w:color w:val="000000" w:themeColor="text1"/>
        </w:rPr>
        <w:t xml:space="preserve">structure for the </w:t>
      </w:r>
      <w:r w:rsidR="00AE0471" w:rsidRPr="00F83B6E">
        <w:rPr>
          <w:color w:val="000000" w:themeColor="text1"/>
        </w:rPr>
        <w:t xml:space="preserve">GEDSI strategy, </w:t>
      </w:r>
      <w:r w:rsidR="0062233E" w:rsidRPr="00F83B6E">
        <w:rPr>
          <w:color w:val="000000" w:themeColor="text1"/>
        </w:rPr>
        <w:t xml:space="preserve">aligned </w:t>
      </w:r>
      <w:r w:rsidR="00AE0471" w:rsidRPr="00F83B6E">
        <w:rPr>
          <w:color w:val="000000" w:themeColor="text1"/>
        </w:rPr>
        <w:t>to the following domains:</w:t>
      </w:r>
    </w:p>
    <w:p w14:paraId="0779A57B" w14:textId="6212DE57" w:rsidR="00AE0471" w:rsidRPr="00F83B6E" w:rsidRDefault="00AE0471" w:rsidP="00E6202D">
      <w:pPr>
        <w:pStyle w:val="Bullet1"/>
        <w:rPr>
          <w:color w:val="000000" w:themeColor="text1"/>
        </w:rPr>
      </w:pPr>
      <w:r w:rsidRPr="00F83B6E">
        <w:rPr>
          <w:color w:val="000000" w:themeColor="text1"/>
          <w:u w:val="single"/>
        </w:rPr>
        <w:t>What</w:t>
      </w:r>
      <w:r w:rsidRPr="00F83B6E">
        <w:rPr>
          <w:color w:val="000000" w:themeColor="text1"/>
        </w:rPr>
        <w:t xml:space="preserve">? </w:t>
      </w:r>
      <w:r w:rsidR="0062233E" w:rsidRPr="00F83B6E">
        <w:rPr>
          <w:i/>
          <w:iCs/>
          <w:color w:val="000000" w:themeColor="text1"/>
        </w:rPr>
        <w:t>T</w:t>
      </w:r>
      <w:r w:rsidRPr="00F83B6E">
        <w:rPr>
          <w:i/>
          <w:iCs/>
          <w:color w:val="000000" w:themeColor="text1"/>
        </w:rPr>
        <w:t>he type of knowledge generated</w:t>
      </w:r>
      <w:r w:rsidR="0062233E" w:rsidRPr="00F83B6E">
        <w:rPr>
          <w:color w:val="000000" w:themeColor="text1"/>
        </w:rPr>
        <w:t>:</w:t>
      </w:r>
      <w:r w:rsidRPr="00F83B6E">
        <w:rPr>
          <w:color w:val="000000" w:themeColor="text1"/>
        </w:rPr>
        <w:t xml:space="preserve"> GEDSI considerations will be a key part of setting the agendas of KPP’s grants and other activities. Themes and topics that speak directly to issues of inequality and exclusion will be favoured</w:t>
      </w:r>
      <w:r w:rsidR="003E06C6" w:rsidRPr="00F83B6E">
        <w:rPr>
          <w:color w:val="000000" w:themeColor="text1"/>
        </w:rPr>
        <w:t>,</w:t>
      </w:r>
      <w:r w:rsidR="00522009" w:rsidRPr="00F83B6E">
        <w:rPr>
          <w:color w:val="000000" w:themeColor="text1"/>
        </w:rPr>
        <w:t xml:space="preserve"> as it is more effective to promote equality and inclusion </w:t>
      </w:r>
      <w:r w:rsidR="00932C87" w:rsidRPr="00F83B6E">
        <w:rPr>
          <w:color w:val="000000" w:themeColor="text1"/>
        </w:rPr>
        <w:t xml:space="preserve">when </w:t>
      </w:r>
      <w:r w:rsidR="003E06C6" w:rsidRPr="00F83B6E">
        <w:rPr>
          <w:color w:val="000000" w:themeColor="text1"/>
        </w:rPr>
        <w:t xml:space="preserve">these are </w:t>
      </w:r>
      <w:r w:rsidR="00932C87" w:rsidRPr="00F83B6E">
        <w:rPr>
          <w:color w:val="000000" w:themeColor="text1"/>
        </w:rPr>
        <w:t xml:space="preserve">central to </w:t>
      </w:r>
      <w:r w:rsidR="00522009" w:rsidRPr="00F83B6E">
        <w:rPr>
          <w:color w:val="000000" w:themeColor="text1"/>
        </w:rPr>
        <w:t xml:space="preserve">the activity </w:t>
      </w:r>
      <w:r w:rsidR="003E06C6" w:rsidRPr="00F83B6E">
        <w:rPr>
          <w:color w:val="000000" w:themeColor="text1"/>
        </w:rPr>
        <w:t>rationale r</w:t>
      </w:r>
      <w:r w:rsidR="00522009" w:rsidRPr="00F83B6E">
        <w:rPr>
          <w:color w:val="000000" w:themeColor="text1"/>
        </w:rPr>
        <w:t>ather than forced in</w:t>
      </w:r>
      <w:r w:rsidRPr="00F83B6E">
        <w:rPr>
          <w:color w:val="000000" w:themeColor="text1"/>
        </w:rPr>
        <w:t>.</w:t>
      </w:r>
      <w:r w:rsidR="00C16C74" w:rsidRPr="00F83B6E">
        <w:rPr>
          <w:color w:val="000000" w:themeColor="text1"/>
        </w:rPr>
        <w:t xml:space="preserve"> </w:t>
      </w:r>
      <w:r w:rsidR="00C62666" w:rsidRPr="00F83B6E">
        <w:rPr>
          <w:color w:val="000000" w:themeColor="text1"/>
        </w:rPr>
        <w:t xml:space="preserve">It is important that research that may impact employment </w:t>
      </w:r>
      <w:r w:rsidR="000E7F80" w:rsidRPr="00F83B6E">
        <w:rPr>
          <w:color w:val="000000" w:themeColor="text1"/>
        </w:rPr>
        <w:t xml:space="preserve">practices </w:t>
      </w:r>
      <w:r w:rsidR="00C536A1" w:rsidRPr="00F83B6E">
        <w:rPr>
          <w:color w:val="000000" w:themeColor="text1"/>
        </w:rPr>
        <w:t xml:space="preserve">(through technological advances or otherwise) </w:t>
      </w:r>
      <w:r w:rsidR="00C62666" w:rsidRPr="00F83B6E">
        <w:rPr>
          <w:color w:val="000000" w:themeColor="text1"/>
        </w:rPr>
        <w:t>have a strong GEDSI analysis as the</w:t>
      </w:r>
      <w:r w:rsidR="00C536A1" w:rsidRPr="00F83B6E">
        <w:rPr>
          <w:color w:val="000000" w:themeColor="text1"/>
        </w:rPr>
        <w:t xml:space="preserve">y </w:t>
      </w:r>
      <w:r w:rsidR="00254E11" w:rsidRPr="00F83B6E">
        <w:rPr>
          <w:color w:val="000000" w:themeColor="text1"/>
        </w:rPr>
        <w:t>may also lead to a</w:t>
      </w:r>
      <w:r w:rsidR="00C62666" w:rsidRPr="00F83B6E">
        <w:rPr>
          <w:color w:val="000000" w:themeColor="text1"/>
        </w:rPr>
        <w:t xml:space="preserve"> loss of employment for women and some of the most vulnerable members of society.</w:t>
      </w:r>
      <w:r w:rsidR="00C55B16" w:rsidRPr="00F83B6E">
        <w:rPr>
          <w:color w:val="000000" w:themeColor="text1"/>
        </w:rPr>
        <w:t xml:space="preserve"> Women and people with disabilities are also active users of technology, and will have different views on what is important along with appropriate design.</w:t>
      </w:r>
    </w:p>
    <w:p w14:paraId="60CE0752" w14:textId="350573C2" w:rsidR="00AE0471" w:rsidRPr="00F83B6E" w:rsidRDefault="00AE0471" w:rsidP="00E6202D">
      <w:pPr>
        <w:pStyle w:val="Bullet1"/>
        <w:rPr>
          <w:color w:val="000000" w:themeColor="text1"/>
        </w:rPr>
      </w:pPr>
      <w:r w:rsidRPr="00F83B6E">
        <w:rPr>
          <w:color w:val="000000" w:themeColor="text1"/>
          <w:u w:val="single"/>
        </w:rPr>
        <w:t>How</w:t>
      </w:r>
      <w:r w:rsidRPr="00F83B6E">
        <w:rPr>
          <w:color w:val="000000" w:themeColor="text1"/>
        </w:rPr>
        <w:t xml:space="preserve">? </w:t>
      </w:r>
      <w:r w:rsidR="0062233E" w:rsidRPr="00F83B6E">
        <w:rPr>
          <w:i/>
          <w:iCs/>
          <w:color w:val="000000" w:themeColor="text1"/>
        </w:rPr>
        <w:t>T</w:t>
      </w:r>
      <w:r w:rsidRPr="00F83B6E">
        <w:rPr>
          <w:i/>
          <w:iCs/>
          <w:color w:val="000000" w:themeColor="text1"/>
        </w:rPr>
        <w:t>he ways and methods through which knowledge is produced and disseminated</w:t>
      </w:r>
      <w:r w:rsidR="0062233E" w:rsidRPr="00F83B6E">
        <w:rPr>
          <w:color w:val="000000" w:themeColor="text1"/>
        </w:rPr>
        <w:t>:</w:t>
      </w:r>
      <w:r w:rsidR="009D0ACB" w:rsidRPr="00F83B6E">
        <w:rPr>
          <w:color w:val="000000" w:themeColor="text1"/>
        </w:rPr>
        <w:t xml:space="preserve"> A</w:t>
      </w:r>
      <w:r w:rsidRPr="00F83B6E">
        <w:rPr>
          <w:color w:val="000000" w:themeColor="text1"/>
        </w:rPr>
        <w:t xml:space="preserve">ttention to GEDSI will need to be demonstrated in research proposals’ methodology, </w:t>
      </w:r>
      <w:r w:rsidR="00600E3B" w:rsidRPr="00F83B6E">
        <w:rPr>
          <w:color w:val="000000" w:themeColor="text1"/>
        </w:rPr>
        <w:t xml:space="preserve">and in </w:t>
      </w:r>
      <w:r w:rsidRPr="00F83B6E">
        <w:rPr>
          <w:color w:val="000000" w:themeColor="text1"/>
        </w:rPr>
        <w:t>networking and coalitions building activities</w:t>
      </w:r>
      <w:r w:rsidR="00600E3B" w:rsidRPr="00F83B6E">
        <w:rPr>
          <w:color w:val="000000" w:themeColor="text1"/>
        </w:rPr>
        <w:t xml:space="preserve">. For instance, </w:t>
      </w:r>
      <w:r w:rsidRPr="00F83B6E">
        <w:rPr>
          <w:color w:val="000000" w:themeColor="text1"/>
        </w:rPr>
        <w:t>t</w:t>
      </w:r>
      <w:r w:rsidR="00600E3B" w:rsidRPr="00F83B6E">
        <w:rPr>
          <w:color w:val="000000" w:themeColor="text1"/>
        </w:rPr>
        <w:t>his</w:t>
      </w:r>
      <w:r w:rsidRPr="00F83B6E">
        <w:rPr>
          <w:color w:val="000000" w:themeColor="text1"/>
        </w:rPr>
        <w:t xml:space="preserve"> will entail ensuring accessibility requirements are met for events, products, and general ways of working</w:t>
      </w:r>
      <w:r w:rsidR="00F778F2" w:rsidRPr="00F83B6E">
        <w:rPr>
          <w:color w:val="000000" w:themeColor="text1"/>
        </w:rPr>
        <w:t>, and attention to barriers to engagement of women</w:t>
      </w:r>
      <w:r w:rsidR="00BA6B94" w:rsidRPr="00F83B6E">
        <w:rPr>
          <w:color w:val="000000" w:themeColor="text1"/>
        </w:rPr>
        <w:t xml:space="preserve"> and people with disabilities </w:t>
      </w:r>
      <w:r w:rsidR="00F778F2" w:rsidRPr="00F83B6E">
        <w:rPr>
          <w:color w:val="000000" w:themeColor="text1"/>
        </w:rPr>
        <w:t>in research teams and as research leaders</w:t>
      </w:r>
      <w:r w:rsidRPr="00F83B6E">
        <w:rPr>
          <w:color w:val="000000" w:themeColor="text1"/>
        </w:rPr>
        <w:t xml:space="preserve">. KPP funded activities, including partnerships grants, will align with Post’s commitments to strive for gender-balanced panels, gender-balanced invitation lists, and to amplify </w:t>
      </w:r>
      <w:r w:rsidRPr="00F83B6E">
        <w:rPr>
          <w:color w:val="000000" w:themeColor="text1"/>
        </w:rPr>
        <w:lastRenderedPageBreak/>
        <w:t>women’s voices through events, speakers’ series or policy dialogues</w:t>
      </w:r>
      <w:r w:rsidR="00932C87" w:rsidRPr="00F83B6E">
        <w:rPr>
          <w:color w:val="000000" w:themeColor="text1"/>
        </w:rPr>
        <w:t>. Diverse knowledge perspectives and systems (such as indigenous knowledge systems) will be encouraged in grant proposals</w:t>
      </w:r>
      <w:r w:rsidR="00F778F2" w:rsidRPr="00F83B6E">
        <w:rPr>
          <w:color w:val="000000" w:themeColor="text1"/>
        </w:rPr>
        <w:t>.</w:t>
      </w:r>
    </w:p>
    <w:p w14:paraId="5AFBB200" w14:textId="7109C0A8" w:rsidR="00AE0471" w:rsidRPr="00F83B6E" w:rsidRDefault="00AE0471" w:rsidP="00E6202D">
      <w:pPr>
        <w:pStyle w:val="Bullet1"/>
        <w:rPr>
          <w:color w:val="000000" w:themeColor="text1"/>
        </w:rPr>
      </w:pPr>
      <w:r w:rsidRPr="00F83B6E">
        <w:rPr>
          <w:color w:val="000000" w:themeColor="text1"/>
          <w:u w:val="single"/>
        </w:rPr>
        <w:t>Who</w:t>
      </w:r>
      <w:r w:rsidRPr="00F83B6E">
        <w:rPr>
          <w:color w:val="000000" w:themeColor="text1"/>
        </w:rPr>
        <w:t xml:space="preserve">? </w:t>
      </w:r>
      <w:r w:rsidR="0062233E" w:rsidRPr="00F83B6E">
        <w:rPr>
          <w:i/>
          <w:iCs/>
          <w:color w:val="000000" w:themeColor="text1"/>
        </w:rPr>
        <w:t>T</w:t>
      </w:r>
      <w:r w:rsidRPr="00F83B6E">
        <w:rPr>
          <w:i/>
          <w:iCs/>
          <w:color w:val="000000" w:themeColor="text1"/>
        </w:rPr>
        <w:t>he partners who lead and implement the research projects</w:t>
      </w:r>
      <w:r w:rsidR="0062233E" w:rsidRPr="00F83B6E">
        <w:rPr>
          <w:color w:val="000000" w:themeColor="text1"/>
        </w:rPr>
        <w:t>:</w:t>
      </w:r>
      <w:r w:rsidRPr="00F83B6E">
        <w:rPr>
          <w:color w:val="000000" w:themeColor="text1"/>
        </w:rPr>
        <w:t xml:space="preserve"> </w:t>
      </w:r>
      <w:r w:rsidR="00600E3B" w:rsidRPr="00F83B6E">
        <w:rPr>
          <w:color w:val="000000" w:themeColor="text1"/>
        </w:rPr>
        <w:t>P</w:t>
      </w:r>
      <w:r w:rsidRPr="00F83B6E">
        <w:rPr>
          <w:color w:val="000000" w:themeColor="text1"/>
        </w:rPr>
        <w:t>artnerships will necessarily be diverse, at both organisational (especially for larger, multi-actor partnerships) and individual level</w:t>
      </w:r>
      <w:r w:rsidR="00F528A4" w:rsidRPr="00F83B6E">
        <w:rPr>
          <w:color w:val="000000" w:themeColor="text1"/>
        </w:rPr>
        <w:t>s</w:t>
      </w:r>
      <w:r w:rsidRPr="00F83B6E">
        <w:rPr>
          <w:color w:val="000000" w:themeColor="text1"/>
        </w:rPr>
        <w:t>, maximising opportunities for women, people with disabilities, indigenous researchers and others who may be traditionally excluded from these roles.</w:t>
      </w:r>
      <w:r w:rsidR="00EC5671" w:rsidRPr="00F83B6E">
        <w:rPr>
          <w:color w:val="000000" w:themeColor="text1"/>
        </w:rPr>
        <w:t xml:space="preserve"> Larger partnerships will be expected to include or specifically engage with gender / women’s rights focused organisations and/or OPD. </w:t>
      </w:r>
      <w:r w:rsidR="00A216A4" w:rsidRPr="00F83B6E">
        <w:rPr>
          <w:color w:val="000000" w:themeColor="text1"/>
        </w:rPr>
        <w:t xml:space="preserve">This </w:t>
      </w:r>
      <w:r w:rsidR="000E7F80" w:rsidRPr="00F83B6E">
        <w:rPr>
          <w:color w:val="000000" w:themeColor="text1"/>
        </w:rPr>
        <w:t>domain</w:t>
      </w:r>
      <w:r w:rsidR="00A216A4" w:rsidRPr="00F83B6E">
        <w:rPr>
          <w:color w:val="000000" w:themeColor="text1"/>
        </w:rPr>
        <w:t xml:space="preserve"> will </w:t>
      </w:r>
      <w:r w:rsidR="000E7F80" w:rsidRPr="00F83B6E">
        <w:rPr>
          <w:color w:val="000000" w:themeColor="text1"/>
        </w:rPr>
        <w:t xml:space="preserve">aim to raise the profile and </w:t>
      </w:r>
      <w:r w:rsidR="00A216A4" w:rsidRPr="00F83B6E">
        <w:rPr>
          <w:color w:val="000000" w:themeColor="text1"/>
        </w:rPr>
        <w:t xml:space="preserve">ensure access </w:t>
      </w:r>
      <w:r w:rsidR="000E7F80" w:rsidRPr="00F83B6E">
        <w:rPr>
          <w:color w:val="000000" w:themeColor="text1"/>
        </w:rPr>
        <w:t xml:space="preserve">of diverse researchers </w:t>
      </w:r>
      <w:r w:rsidR="00A216A4" w:rsidRPr="00F83B6E">
        <w:rPr>
          <w:color w:val="000000" w:themeColor="text1"/>
        </w:rPr>
        <w:t>to KPP supported opportunities, not just in GEDSI related research.</w:t>
      </w:r>
    </w:p>
    <w:p w14:paraId="477DDFE2" w14:textId="3AB18D1F" w:rsidR="00240697" w:rsidRPr="00F83B6E" w:rsidRDefault="00AE0471" w:rsidP="00B91543">
      <w:pPr>
        <w:pStyle w:val="BodyText"/>
        <w:rPr>
          <w:color w:val="000000" w:themeColor="text1"/>
        </w:rPr>
      </w:pPr>
      <w:r w:rsidRPr="00F83B6E">
        <w:rPr>
          <w:color w:val="000000" w:themeColor="text1"/>
        </w:rPr>
        <w:t>In developing the GEDSI strategy, it is important to consider each of gender equality, disability inclusion, and social inclusion themes as separate issues with different implications for KPP’s agenda setting, partnerships, and implementation</w:t>
      </w:r>
      <w:r w:rsidR="00600E3B" w:rsidRPr="00F83B6E">
        <w:rPr>
          <w:color w:val="000000" w:themeColor="text1"/>
        </w:rPr>
        <w:t>. It is equally important</w:t>
      </w:r>
      <w:r w:rsidR="008907D5" w:rsidRPr="00F83B6E">
        <w:rPr>
          <w:color w:val="000000" w:themeColor="text1"/>
        </w:rPr>
        <w:t xml:space="preserve"> </w:t>
      </w:r>
      <w:r w:rsidR="00600E3B" w:rsidRPr="00F83B6E">
        <w:rPr>
          <w:color w:val="000000" w:themeColor="text1"/>
        </w:rPr>
        <w:t xml:space="preserve">to consider </w:t>
      </w:r>
      <w:r w:rsidRPr="00F83B6E">
        <w:rPr>
          <w:color w:val="000000" w:themeColor="text1"/>
        </w:rPr>
        <w:t>the interplay between different determinants of exclusion and inequality (the basis of the concept of intersectionality). This requires KPP to proactively integrate gender equality and disability</w:t>
      </w:r>
      <w:r w:rsidR="00600E3B" w:rsidRPr="00F83B6E">
        <w:rPr>
          <w:color w:val="000000" w:themeColor="text1"/>
        </w:rPr>
        <w:t xml:space="preserve"> and social</w:t>
      </w:r>
      <w:r w:rsidRPr="00F83B6E">
        <w:rPr>
          <w:color w:val="000000" w:themeColor="text1"/>
        </w:rPr>
        <w:t xml:space="preserve"> inclusion in all initiatives, aiming for a minimum of a responsive approach. </w:t>
      </w:r>
      <w:r w:rsidR="00600E3B" w:rsidRPr="00F83B6E">
        <w:rPr>
          <w:color w:val="000000" w:themeColor="text1"/>
        </w:rPr>
        <w:t>The following paragraphs provide some initial considerations for the KPP GEDSI strategy.</w:t>
      </w:r>
    </w:p>
    <w:p w14:paraId="771A3907" w14:textId="2F22A5DF" w:rsidR="005D72C7" w:rsidRPr="00F83B6E" w:rsidRDefault="005D72C7" w:rsidP="00E6202D">
      <w:pPr>
        <w:pStyle w:val="Heading4"/>
        <w:rPr>
          <w:color w:val="000000" w:themeColor="text1"/>
        </w:rPr>
      </w:pPr>
      <w:r w:rsidRPr="00F83B6E">
        <w:rPr>
          <w:color w:val="000000" w:themeColor="text1"/>
        </w:rPr>
        <w:t xml:space="preserve">Gender </w:t>
      </w:r>
      <w:r w:rsidR="00975302" w:rsidRPr="00F83B6E">
        <w:rPr>
          <w:color w:val="000000" w:themeColor="text1"/>
        </w:rPr>
        <w:t>e</w:t>
      </w:r>
      <w:r w:rsidRPr="00F83B6E">
        <w:rPr>
          <w:color w:val="000000" w:themeColor="text1"/>
        </w:rPr>
        <w:t>quality</w:t>
      </w:r>
    </w:p>
    <w:p w14:paraId="699566B4" w14:textId="39C93E24" w:rsidR="005D72C7" w:rsidRPr="00F83B6E" w:rsidRDefault="005D72C7" w:rsidP="00B91543">
      <w:pPr>
        <w:pStyle w:val="BodyText"/>
        <w:rPr>
          <w:color w:val="000000" w:themeColor="text1"/>
        </w:rPr>
      </w:pPr>
      <w:r w:rsidRPr="00F83B6E">
        <w:rPr>
          <w:color w:val="000000" w:themeColor="text1"/>
        </w:rPr>
        <w:t>The OECD/DAC gender policy ma</w:t>
      </w:r>
      <w:r w:rsidR="007C7E3E" w:rsidRPr="00F83B6E">
        <w:rPr>
          <w:color w:val="000000" w:themeColor="text1"/>
        </w:rPr>
        <w:t>r</w:t>
      </w:r>
      <w:r w:rsidRPr="00F83B6E">
        <w:rPr>
          <w:color w:val="000000" w:themeColor="text1"/>
        </w:rPr>
        <w:t xml:space="preserve">ker for this investment is </w:t>
      </w:r>
      <w:r w:rsidR="00600E3B" w:rsidRPr="00F83B6E">
        <w:rPr>
          <w:color w:val="000000" w:themeColor="text1"/>
        </w:rPr>
        <w:t>s</w:t>
      </w:r>
      <w:r w:rsidRPr="00F83B6E">
        <w:rPr>
          <w:color w:val="000000" w:themeColor="text1"/>
        </w:rPr>
        <w:t>ignificant,</w:t>
      </w:r>
      <w:r w:rsidR="00600E3B" w:rsidRPr="00F83B6E">
        <w:rPr>
          <w:rStyle w:val="FootnoteReference"/>
          <w:color w:val="000000" w:themeColor="text1"/>
        </w:rPr>
        <w:footnoteReference w:id="39"/>
      </w:r>
      <w:r w:rsidRPr="00F83B6E">
        <w:rPr>
          <w:color w:val="000000" w:themeColor="text1"/>
        </w:rPr>
        <w:t xml:space="preserve"> meaning that gender equality is an important and deliberate objective, but not the principal reason for KPP. KPP meets the minimum criteria for this marker in full.</w:t>
      </w:r>
      <w:r w:rsidRPr="00F83B6E">
        <w:rPr>
          <w:color w:val="000000" w:themeColor="text1"/>
          <w:vertAlign w:val="superscript"/>
        </w:rPr>
        <w:footnoteReference w:id="40"/>
      </w:r>
      <w:r w:rsidRPr="00F83B6E">
        <w:rPr>
          <w:color w:val="000000" w:themeColor="text1"/>
          <w:vertAlign w:val="superscript"/>
        </w:rPr>
        <w:t xml:space="preserve"> </w:t>
      </w:r>
      <w:r w:rsidRPr="00F83B6E">
        <w:rPr>
          <w:color w:val="000000" w:themeColor="text1"/>
        </w:rPr>
        <w:t>There is potential for individual grant projects to be assessed as having a principal focus on gender equality.</w:t>
      </w:r>
      <w:r w:rsidRPr="00F83B6E">
        <w:rPr>
          <w:color w:val="000000" w:themeColor="text1"/>
          <w:vertAlign w:val="superscript"/>
        </w:rPr>
        <w:footnoteReference w:id="41"/>
      </w:r>
    </w:p>
    <w:p w14:paraId="1E5B803A" w14:textId="733DC2ED" w:rsidR="000E7F80" w:rsidRPr="00F83B6E" w:rsidRDefault="00260AF4" w:rsidP="00B91543">
      <w:pPr>
        <w:pStyle w:val="BodyText"/>
        <w:rPr>
          <w:color w:val="000000" w:themeColor="text1"/>
        </w:rPr>
      </w:pPr>
      <w:r w:rsidRPr="00F83B6E">
        <w:rPr>
          <w:color w:val="000000" w:themeColor="text1"/>
        </w:rPr>
        <w:t>T</w:t>
      </w:r>
      <w:r w:rsidR="00F528A4" w:rsidRPr="00F83B6E">
        <w:rPr>
          <w:color w:val="000000" w:themeColor="text1"/>
        </w:rPr>
        <w:t xml:space="preserve">he participation of women in STEM, manufacturing and construction education is about a third of that of men, and </w:t>
      </w:r>
      <w:r w:rsidR="000E7F80" w:rsidRPr="00F83B6E">
        <w:rPr>
          <w:color w:val="000000" w:themeColor="text1"/>
        </w:rPr>
        <w:t>women and people with disabilities are under-represented in Indonesian academic and</w:t>
      </w:r>
      <w:r w:rsidR="0068347E" w:rsidRPr="00F83B6E">
        <w:rPr>
          <w:color w:val="000000" w:themeColor="text1"/>
        </w:rPr>
        <w:t xml:space="preserve"> </w:t>
      </w:r>
      <w:r w:rsidR="000E7F80" w:rsidRPr="00F83B6E">
        <w:rPr>
          <w:color w:val="000000" w:themeColor="text1"/>
        </w:rPr>
        <w:t>non-academic research teams. Barriers to more concrete attention to GEDSI in mainstream research include the perceived gender neutrality of research practices and a lack of appropriate understanding of GEDSI issues, particularly (but not exclusively) outside of GEDSI</w:t>
      </w:r>
      <w:r w:rsidR="00F528A4" w:rsidRPr="00F83B6E">
        <w:rPr>
          <w:color w:val="000000" w:themeColor="text1"/>
        </w:rPr>
        <w:t>-</w:t>
      </w:r>
      <w:r w:rsidR="000E7F80" w:rsidRPr="00F83B6E">
        <w:rPr>
          <w:color w:val="000000" w:themeColor="text1"/>
        </w:rPr>
        <w:t>focused research.</w:t>
      </w:r>
      <w:r w:rsidR="0068347E" w:rsidRPr="00F83B6E">
        <w:rPr>
          <w:color w:val="000000" w:themeColor="text1"/>
        </w:rPr>
        <w:t xml:space="preserve"> </w:t>
      </w:r>
      <w:r w:rsidR="00F528A4" w:rsidRPr="00F83B6E">
        <w:rPr>
          <w:color w:val="000000" w:themeColor="text1"/>
        </w:rPr>
        <w:t>Should the digital economy be a focus for KPP grants, there are also important GEDSI considerations – both as a enabling and risk factor of exclusion.</w:t>
      </w:r>
      <w:r w:rsidR="00F528A4" w:rsidRPr="00F83B6E">
        <w:rPr>
          <w:rStyle w:val="FootnoteReference"/>
          <w:color w:val="000000" w:themeColor="text1"/>
        </w:rPr>
        <w:footnoteReference w:id="42"/>
      </w:r>
      <w:r w:rsidR="00F528A4" w:rsidRPr="00F83B6E">
        <w:rPr>
          <w:color w:val="000000" w:themeColor="text1"/>
        </w:rPr>
        <w:t xml:space="preserve"> </w:t>
      </w:r>
      <w:r w:rsidR="0068347E" w:rsidRPr="00F83B6E">
        <w:rPr>
          <w:color w:val="000000" w:themeColor="text1"/>
        </w:rPr>
        <w:t>For instance, ILO research suggests that approximately 56 percent of all employment in the five biggest ASEAN nations, including Indonesia, is at high risk of displacement over the next 10-20 years due to technological advancements, and that women are 20 percent more likely than men to lose their job as a consequence of automation.</w:t>
      </w:r>
      <w:r w:rsidR="0068347E" w:rsidRPr="00F83B6E">
        <w:rPr>
          <w:rStyle w:val="FootnoteReference"/>
          <w:color w:val="000000" w:themeColor="text1"/>
        </w:rPr>
        <w:footnoteReference w:id="43"/>
      </w:r>
      <w:r w:rsidR="0068347E" w:rsidRPr="00F83B6E">
        <w:rPr>
          <w:color w:val="000000" w:themeColor="text1"/>
        </w:rPr>
        <w:t xml:space="preserve"> </w:t>
      </w:r>
    </w:p>
    <w:p w14:paraId="2391F77C" w14:textId="77B81A21" w:rsidR="005D72C7" w:rsidRPr="00F83B6E" w:rsidRDefault="005D72C7" w:rsidP="00B91543">
      <w:pPr>
        <w:pStyle w:val="BodyText"/>
        <w:rPr>
          <w:color w:val="000000" w:themeColor="text1"/>
        </w:rPr>
      </w:pPr>
      <w:r w:rsidRPr="00F83B6E">
        <w:rPr>
          <w:color w:val="000000" w:themeColor="text1"/>
        </w:rPr>
        <w:t>KPP responds directly to the first two pillars of DFAT’s Gender Equality and Women’s Empowerment Strategy (DFAT, 2016). Relevant to pillar</w:t>
      </w:r>
      <w:r w:rsidR="00600E3B" w:rsidRPr="00F83B6E">
        <w:rPr>
          <w:color w:val="000000" w:themeColor="text1"/>
        </w:rPr>
        <w:t xml:space="preserve"> </w:t>
      </w:r>
      <w:r w:rsidR="001316CF" w:rsidRPr="00F83B6E">
        <w:rPr>
          <w:color w:val="000000" w:themeColor="text1"/>
        </w:rPr>
        <w:t xml:space="preserve">1 </w:t>
      </w:r>
      <w:r w:rsidR="00600E3B" w:rsidRPr="00F83B6E">
        <w:rPr>
          <w:color w:val="000000" w:themeColor="text1"/>
        </w:rPr>
        <w:t>(</w:t>
      </w:r>
      <w:r w:rsidRPr="00F83B6E">
        <w:rPr>
          <w:color w:val="000000" w:themeColor="text1"/>
        </w:rPr>
        <w:t>enhancing women’s voice in decision-making and leadership</w:t>
      </w:r>
      <w:r w:rsidR="00600E3B" w:rsidRPr="00F83B6E">
        <w:rPr>
          <w:color w:val="000000" w:themeColor="text1"/>
        </w:rPr>
        <w:t>)</w:t>
      </w:r>
      <w:r w:rsidR="002C45C8" w:rsidRPr="00F83B6E">
        <w:rPr>
          <w:color w:val="000000" w:themeColor="text1"/>
        </w:rPr>
        <w:t>,</w:t>
      </w:r>
      <w:r w:rsidRPr="00F83B6E">
        <w:rPr>
          <w:color w:val="000000" w:themeColor="text1"/>
        </w:rPr>
        <w:t xml:space="preserve"> KPP will require representation of women in senior roles in the lead partner organisations</w:t>
      </w:r>
      <w:r w:rsidR="001316CF" w:rsidRPr="00F83B6E">
        <w:rPr>
          <w:color w:val="000000" w:themeColor="text1"/>
        </w:rPr>
        <w:t xml:space="preserve"> and their inclusion </w:t>
      </w:r>
      <w:r w:rsidRPr="00F83B6E">
        <w:rPr>
          <w:color w:val="000000" w:themeColor="text1"/>
        </w:rPr>
        <w:t>in research teams and activities t</w:t>
      </w:r>
      <w:r w:rsidR="001316CF" w:rsidRPr="00F83B6E">
        <w:rPr>
          <w:color w:val="000000" w:themeColor="text1"/>
        </w:rPr>
        <w:t>hat</w:t>
      </w:r>
      <w:r w:rsidRPr="00F83B6E">
        <w:rPr>
          <w:color w:val="000000" w:themeColor="text1"/>
        </w:rPr>
        <w:t xml:space="preserve"> increase the demand and use</w:t>
      </w:r>
      <w:r w:rsidR="001316CF" w:rsidRPr="00F83B6E">
        <w:rPr>
          <w:color w:val="000000" w:themeColor="text1"/>
        </w:rPr>
        <w:t xml:space="preserve"> of</w:t>
      </w:r>
      <w:r w:rsidRPr="00F83B6E">
        <w:rPr>
          <w:color w:val="000000" w:themeColor="text1"/>
        </w:rPr>
        <w:t xml:space="preserve"> knowledge. In relation to pillar </w:t>
      </w:r>
      <w:r w:rsidR="00600E3B" w:rsidRPr="00F83B6E">
        <w:rPr>
          <w:color w:val="000000" w:themeColor="text1"/>
        </w:rPr>
        <w:t>2 (</w:t>
      </w:r>
      <w:r w:rsidRPr="00F83B6E">
        <w:rPr>
          <w:color w:val="000000" w:themeColor="text1"/>
        </w:rPr>
        <w:t xml:space="preserve">promoting women’s economic </w:t>
      </w:r>
      <w:r w:rsidRPr="00F83B6E">
        <w:rPr>
          <w:color w:val="000000" w:themeColor="text1"/>
        </w:rPr>
        <w:lastRenderedPageBreak/>
        <w:t>empowerment</w:t>
      </w:r>
      <w:r w:rsidR="00600E3B" w:rsidRPr="00F83B6E">
        <w:rPr>
          <w:color w:val="000000" w:themeColor="text1"/>
        </w:rPr>
        <w:t>)</w:t>
      </w:r>
      <w:r w:rsidRPr="00F83B6E">
        <w:rPr>
          <w:color w:val="000000" w:themeColor="text1"/>
        </w:rPr>
        <w:t>, KPP will prioritise knowledge agendas that respond to gender gaps in economic opportunity as this is a significant area of inequality in Indonesia. KPP will take a do no harm approach to pillar 3 (eliminating violence against women and girls) and ensure appropriate protocols are in place to assess and minimise risks.</w:t>
      </w:r>
    </w:p>
    <w:p w14:paraId="31D01FB2" w14:textId="5F4FDBAD" w:rsidR="005D72C7" w:rsidRPr="00F83B6E" w:rsidRDefault="005D72C7" w:rsidP="00E6202D">
      <w:pPr>
        <w:pStyle w:val="Heading4"/>
        <w:rPr>
          <w:color w:val="000000" w:themeColor="text1"/>
        </w:rPr>
      </w:pPr>
      <w:r w:rsidRPr="00F83B6E">
        <w:rPr>
          <w:color w:val="000000" w:themeColor="text1"/>
        </w:rPr>
        <w:t>D</w:t>
      </w:r>
      <w:r w:rsidR="00253EA2" w:rsidRPr="00F83B6E">
        <w:rPr>
          <w:color w:val="000000" w:themeColor="text1"/>
        </w:rPr>
        <w:t>i</w:t>
      </w:r>
      <w:r w:rsidRPr="00F83B6E">
        <w:rPr>
          <w:color w:val="000000" w:themeColor="text1"/>
        </w:rPr>
        <w:t xml:space="preserve">sability </w:t>
      </w:r>
      <w:r w:rsidR="00975302" w:rsidRPr="00F83B6E">
        <w:rPr>
          <w:color w:val="000000" w:themeColor="text1"/>
        </w:rPr>
        <w:t>i</w:t>
      </w:r>
      <w:r w:rsidRPr="00F83B6E">
        <w:rPr>
          <w:color w:val="000000" w:themeColor="text1"/>
        </w:rPr>
        <w:t>nclusi</w:t>
      </w:r>
      <w:r w:rsidR="00253EA2" w:rsidRPr="00F83B6E">
        <w:rPr>
          <w:color w:val="000000" w:themeColor="text1"/>
        </w:rPr>
        <w:t>on</w:t>
      </w:r>
    </w:p>
    <w:p w14:paraId="3E9E8E5C" w14:textId="394BCC9F" w:rsidR="00E670FA" w:rsidRPr="00F83B6E" w:rsidRDefault="00E670FA" w:rsidP="00B91543">
      <w:pPr>
        <w:pStyle w:val="BodyText"/>
        <w:rPr>
          <w:color w:val="000000" w:themeColor="text1"/>
        </w:rPr>
      </w:pPr>
      <w:r w:rsidRPr="00F83B6E">
        <w:rPr>
          <w:color w:val="000000" w:themeColor="text1"/>
        </w:rPr>
        <w:t xml:space="preserve">The disability policy marker for this investment is </w:t>
      </w:r>
      <w:r w:rsidR="00600E3B" w:rsidRPr="00F83B6E">
        <w:rPr>
          <w:color w:val="000000" w:themeColor="text1"/>
        </w:rPr>
        <w:t>s</w:t>
      </w:r>
      <w:r w:rsidRPr="00F83B6E">
        <w:rPr>
          <w:color w:val="000000" w:themeColor="text1"/>
        </w:rPr>
        <w:t>ignificant</w:t>
      </w:r>
      <w:r w:rsidR="00E6202D" w:rsidRPr="00F83B6E">
        <w:rPr>
          <w:color w:val="000000" w:themeColor="text1"/>
        </w:rPr>
        <w:t>,</w:t>
      </w:r>
      <w:r w:rsidR="00600E3B" w:rsidRPr="00F83B6E">
        <w:rPr>
          <w:color w:val="000000" w:themeColor="text1"/>
          <w:vertAlign w:val="superscript"/>
        </w:rPr>
        <w:footnoteReference w:id="44"/>
      </w:r>
      <w:r w:rsidR="001316CF" w:rsidRPr="00F83B6E">
        <w:rPr>
          <w:color w:val="000000" w:themeColor="text1"/>
        </w:rPr>
        <w:t xml:space="preserve"> in that </w:t>
      </w:r>
      <w:r w:rsidRPr="00F83B6E">
        <w:rPr>
          <w:color w:val="000000" w:themeColor="text1"/>
        </w:rPr>
        <w:t xml:space="preserve">there is a deliberate objective to ensure that people with disabilities are included and are able to share the benefits, on an equal basis to people without disabilities. There is potential for KPP grant projects to have a </w:t>
      </w:r>
      <w:r w:rsidR="00600E3B" w:rsidRPr="00F83B6E">
        <w:rPr>
          <w:color w:val="000000" w:themeColor="text1"/>
        </w:rPr>
        <w:t>p</w:t>
      </w:r>
      <w:r w:rsidRPr="00F83B6E">
        <w:rPr>
          <w:color w:val="000000" w:themeColor="text1"/>
        </w:rPr>
        <w:t>rincipal marker (as per the above gender equality discussion).</w:t>
      </w:r>
    </w:p>
    <w:p w14:paraId="3B26C5FA" w14:textId="75ADC48E" w:rsidR="005D72C7" w:rsidRPr="00F83B6E" w:rsidRDefault="005D72C7" w:rsidP="00B91543">
      <w:pPr>
        <w:pStyle w:val="BodyText"/>
        <w:rPr>
          <w:color w:val="000000" w:themeColor="text1"/>
        </w:rPr>
      </w:pPr>
      <w:r w:rsidRPr="00F83B6E">
        <w:rPr>
          <w:color w:val="000000" w:themeColor="text1"/>
        </w:rPr>
        <w:t xml:space="preserve">Barriers to disability inclusion </w:t>
      </w:r>
      <w:r w:rsidR="00600E3B" w:rsidRPr="00F83B6E">
        <w:rPr>
          <w:color w:val="000000" w:themeColor="text1"/>
        </w:rPr>
        <w:t>need to be considered at</w:t>
      </w:r>
      <w:r w:rsidRPr="00F83B6E">
        <w:rPr>
          <w:color w:val="000000" w:themeColor="text1"/>
        </w:rPr>
        <w:t xml:space="preserve"> multiple levels </w:t>
      </w:r>
      <w:r w:rsidR="00600E3B" w:rsidRPr="00F83B6E">
        <w:rPr>
          <w:color w:val="000000" w:themeColor="text1"/>
        </w:rPr>
        <w:t>of</w:t>
      </w:r>
      <w:r w:rsidR="00253EA2" w:rsidRPr="00F83B6E">
        <w:rPr>
          <w:color w:val="000000" w:themeColor="text1"/>
        </w:rPr>
        <w:t xml:space="preserve"> the</w:t>
      </w:r>
      <w:r w:rsidR="00600E3B" w:rsidRPr="00F83B6E">
        <w:rPr>
          <w:color w:val="000000" w:themeColor="text1"/>
        </w:rPr>
        <w:t xml:space="preserve"> grant lifecycle, and indicative</w:t>
      </w:r>
      <w:r w:rsidRPr="00F83B6E">
        <w:rPr>
          <w:color w:val="000000" w:themeColor="text1"/>
        </w:rPr>
        <w:t xml:space="preserve"> </w:t>
      </w:r>
      <w:r w:rsidR="00600E3B" w:rsidRPr="00F83B6E">
        <w:rPr>
          <w:color w:val="000000" w:themeColor="text1"/>
        </w:rPr>
        <w:t xml:space="preserve">programmatic </w:t>
      </w:r>
      <w:r w:rsidRPr="00F83B6E">
        <w:rPr>
          <w:color w:val="000000" w:themeColor="text1"/>
        </w:rPr>
        <w:t>responses include:</w:t>
      </w:r>
    </w:p>
    <w:p w14:paraId="5985C975" w14:textId="25F72C1B" w:rsidR="005D72C7" w:rsidRPr="00F83B6E" w:rsidRDefault="005D72C7" w:rsidP="00E6202D">
      <w:pPr>
        <w:pStyle w:val="Bullet1"/>
        <w:rPr>
          <w:color w:val="000000" w:themeColor="text1"/>
        </w:rPr>
      </w:pPr>
      <w:r w:rsidRPr="00F83B6E">
        <w:rPr>
          <w:i/>
          <w:iCs/>
          <w:color w:val="000000" w:themeColor="text1"/>
        </w:rPr>
        <w:t xml:space="preserve">In </w:t>
      </w:r>
      <w:r w:rsidR="00253EA2" w:rsidRPr="00F83B6E">
        <w:rPr>
          <w:i/>
          <w:iCs/>
          <w:color w:val="000000" w:themeColor="text1"/>
        </w:rPr>
        <w:t xml:space="preserve">research </w:t>
      </w:r>
      <w:r w:rsidRPr="00F83B6E">
        <w:rPr>
          <w:i/>
          <w:iCs/>
          <w:color w:val="000000" w:themeColor="text1"/>
        </w:rPr>
        <w:t>agendas</w:t>
      </w:r>
      <w:r w:rsidRPr="00F83B6E">
        <w:rPr>
          <w:color w:val="000000" w:themeColor="text1"/>
        </w:rPr>
        <w:t xml:space="preserve">: </w:t>
      </w:r>
      <w:r w:rsidR="00253EA2" w:rsidRPr="00F83B6E">
        <w:rPr>
          <w:color w:val="000000" w:themeColor="text1"/>
        </w:rPr>
        <w:t>KPP</w:t>
      </w:r>
      <w:r w:rsidRPr="00F83B6E">
        <w:rPr>
          <w:color w:val="000000" w:themeColor="text1"/>
        </w:rPr>
        <w:t xml:space="preserve"> will ensure agenda setting includes foundational attention to disability inclusion</w:t>
      </w:r>
      <w:r w:rsidR="00253EA2" w:rsidRPr="00F83B6E">
        <w:rPr>
          <w:color w:val="000000" w:themeColor="text1"/>
        </w:rPr>
        <w:t>, particularly on issues where people with disabilities may be less visible</w:t>
      </w:r>
      <w:r w:rsidRPr="00F83B6E">
        <w:rPr>
          <w:color w:val="000000" w:themeColor="text1"/>
        </w:rPr>
        <w:t xml:space="preserve">. </w:t>
      </w:r>
      <w:r w:rsidR="007C7E3E" w:rsidRPr="00F83B6E">
        <w:rPr>
          <w:color w:val="000000" w:themeColor="text1"/>
        </w:rPr>
        <w:t>Organisations of people with disabilities</w:t>
      </w:r>
      <w:r w:rsidRPr="00F83B6E">
        <w:rPr>
          <w:color w:val="000000" w:themeColor="text1"/>
        </w:rPr>
        <w:t xml:space="preserve"> may be supported through the grants mechanism to raise the profile of disability issues and inclusion opportunities.</w:t>
      </w:r>
    </w:p>
    <w:p w14:paraId="5949528D" w14:textId="55940DEC" w:rsidR="00240697" w:rsidRPr="00F83B6E" w:rsidRDefault="005D72C7" w:rsidP="00E6202D">
      <w:pPr>
        <w:pStyle w:val="Bullet1"/>
        <w:rPr>
          <w:color w:val="000000" w:themeColor="text1"/>
        </w:rPr>
      </w:pPr>
      <w:r w:rsidRPr="00F83B6E">
        <w:rPr>
          <w:i/>
          <w:iCs/>
          <w:color w:val="000000" w:themeColor="text1"/>
        </w:rPr>
        <w:t>In partnerships:</w:t>
      </w:r>
      <w:r w:rsidRPr="00F83B6E">
        <w:rPr>
          <w:color w:val="000000" w:themeColor="text1"/>
        </w:rPr>
        <w:t xml:space="preserve"> </w:t>
      </w:r>
      <w:r w:rsidR="00002F0C" w:rsidRPr="00F83B6E">
        <w:rPr>
          <w:color w:val="000000" w:themeColor="text1"/>
        </w:rPr>
        <w:t>KPP will encourage participation of OPD</w:t>
      </w:r>
      <w:r w:rsidR="00493F28" w:rsidRPr="00F83B6E">
        <w:rPr>
          <w:color w:val="000000" w:themeColor="text1"/>
        </w:rPr>
        <w:t xml:space="preserve"> in</w:t>
      </w:r>
      <w:r w:rsidR="00002F0C" w:rsidRPr="00F83B6E">
        <w:rPr>
          <w:color w:val="000000" w:themeColor="text1"/>
        </w:rPr>
        <w:t xml:space="preserve"> partnerships and assist to broker, as necessary, </w:t>
      </w:r>
      <w:r w:rsidR="00493F28" w:rsidRPr="00F83B6E">
        <w:rPr>
          <w:color w:val="000000" w:themeColor="text1"/>
        </w:rPr>
        <w:t xml:space="preserve">partnerships’ </w:t>
      </w:r>
      <w:r w:rsidR="00002F0C" w:rsidRPr="00F83B6E">
        <w:rPr>
          <w:color w:val="000000" w:themeColor="text1"/>
        </w:rPr>
        <w:t>engagement with OPD</w:t>
      </w:r>
      <w:r w:rsidRPr="00F83B6E">
        <w:rPr>
          <w:color w:val="000000" w:themeColor="text1"/>
        </w:rPr>
        <w:t xml:space="preserve">, based on mutual interests and acknowledgement of the strengths of each partner. KPP may </w:t>
      </w:r>
      <w:r w:rsidR="00493F28" w:rsidRPr="00F83B6E">
        <w:rPr>
          <w:color w:val="000000" w:themeColor="text1"/>
        </w:rPr>
        <w:t xml:space="preserve">also </w:t>
      </w:r>
      <w:r w:rsidRPr="00F83B6E">
        <w:rPr>
          <w:color w:val="000000" w:themeColor="text1"/>
        </w:rPr>
        <w:t>support identification of relevant shared agendas and complementary expertise.</w:t>
      </w:r>
      <w:r w:rsidR="003B5AE8" w:rsidRPr="00F83B6E">
        <w:rPr>
          <w:color w:val="000000" w:themeColor="text1"/>
        </w:rPr>
        <w:t xml:space="preserve"> This assistance may be extended to broader coalitions of change.</w:t>
      </w:r>
    </w:p>
    <w:p w14:paraId="7ECBE4E1" w14:textId="0AA423D3" w:rsidR="005D72C7" w:rsidRPr="00F83B6E" w:rsidRDefault="005D72C7" w:rsidP="00E6202D">
      <w:pPr>
        <w:pStyle w:val="Bullet1"/>
        <w:rPr>
          <w:color w:val="000000" w:themeColor="text1"/>
        </w:rPr>
      </w:pPr>
      <w:r w:rsidRPr="00F83B6E">
        <w:rPr>
          <w:i/>
          <w:iCs/>
          <w:color w:val="000000" w:themeColor="text1"/>
        </w:rPr>
        <w:t>In research implementation</w:t>
      </w:r>
      <w:r w:rsidRPr="00F83B6E">
        <w:rPr>
          <w:color w:val="000000" w:themeColor="text1"/>
        </w:rPr>
        <w:t xml:space="preserve">: </w:t>
      </w:r>
      <w:r w:rsidR="00493F28" w:rsidRPr="00F83B6E">
        <w:rPr>
          <w:color w:val="000000" w:themeColor="text1"/>
        </w:rPr>
        <w:t xml:space="preserve">KPP will actively seek and facilitate engagement of people with disabilities across the program, and not just </w:t>
      </w:r>
      <w:r w:rsidR="003D5A80" w:rsidRPr="00F83B6E">
        <w:rPr>
          <w:color w:val="000000" w:themeColor="text1"/>
        </w:rPr>
        <w:t>for</w:t>
      </w:r>
      <w:r w:rsidR="00493F28" w:rsidRPr="00F83B6E">
        <w:rPr>
          <w:color w:val="000000" w:themeColor="text1"/>
        </w:rPr>
        <w:t xml:space="preserve"> disability inclusion work</w:t>
      </w:r>
      <w:r w:rsidR="003D5A80" w:rsidRPr="00F83B6E">
        <w:rPr>
          <w:rStyle w:val="FootnoteReference"/>
          <w:color w:val="000000" w:themeColor="text1"/>
        </w:rPr>
        <w:footnoteReference w:id="45"/>
      </w:r>
      <w:r w:rsidR="00493F28" w:rsidRPr="00F83B6E">
        <w:rPr>
          <w:color w:val="000000" w:themeColor="text1"/>
        </w:rPr>
        <w:t xml:space="preserve"> </w:t>
      </w:r>
      <w:r w:rsidR="003D5A80" w:rsidRPr="00F83B6E">
        <w:rPr>
          <w:color w:val="000000" w:themeColor="text1"/>
        </w:rPr>
        <w:t>, and</w:t>
      </w:r>
      <w:r w:rsidRPr="00F83B6E">
        <w:rPr>
          <w:color w:val="000000" w:themeColor="text1"/>
        </w:rPr>
        <w:t xml:space="preserve"> </w:t>
      </w:r>
      <w:r w:rsidR="00493F28" w:rsidRPr="00F83B6E">
        <w:rPr>
          <w:color w:val="000000" w:themeColor="text1"/>
        </w:rPr>
        <w:t xml:space="preserve">encourage selected partnerships to </w:t>
      </w:r>
      <w:r w:rsidRPr="00F83B6E">
        <w:rPr>
          <w:color w:val="000000" w:themeColor="text1"/>
        </w:rPr>
        <w:t xml:space="preserve">build </w:t>
      </w:r>
      <w:r w:rsidR="003D5A80" w:rsidRPr="00F83B6E">
        <w:rPr>
          <w:color w:val="000000" w:themeColor="text1"/>
        </w:rPr>
        <w:t xml:space="preserve">the </w:t>
      </w:r>
      <w:r w:rsidR="00493F28" w:rsidRPr="00F83B6E">
        <w:rPr>
          <w:color w:val="000000" w:themeColor="text1"/>
        </w:rPr>
        <w:t xml:space="preserve">leadership </w:t>
      </w:r>
      <w:r w:rsidRPr="00F83B6E">
        <w:rPr>
          <w:color w:val="000000" w:themeColor="text1"/>
        </w:rPr>
        <w:t>and capacity of team members to foster more equitable and productive engagement</w:t>
      </w:r>
      <w:r w:rsidR="00493F28" w:rsidRPr="00F83B6E">
        <w:rPr>
          <w:color w:val="000000" w:themeColor="text1"/>
        </w:rPr>
        <w:t xml:space="preserve"> with people with disabilities. </w:t>
      </w:r>
      <w:r w:rsidRPr="00F83B6E">
        <w:rPr>
          <w:color w:val="000000" w:themeColor="text1"/>
        </w:rPr>
        <w:t xml:space="preserve">KPP </w:t>
      </w:r>
      <w:r w:rsidR="007C7E3E" w:rsidRPr="00F83B6E">
        <w:rPr>
          <w:color w:val="000000" w:themeColor="text1"/>
        </w:rPr>
        <w:t xml:space="preserve">budget includes a dedicated line for additional accessibility costs </w:t>
      </w:r>
      <w:r w:rsidR="00493F28" w:rsidRPr="00F83B6E">
        <w:rPr>
          <w:color w:val="000000" w:themeColor="text1"/>
        </w:rPr>
        <w:t xml:space="preserve">(see section </w:t>
      </w:r>
      <w:r w:rsidR="00813026" w:rsidRPr="00F83B6E">
        <w:rPr>
          <w:color w:val="000000" w:themeColor="text1"/>
        </w:rPr>
        <w:t>F</w:t>
      </w:r>
      <w:r w:rsidR="00493F28" w:rsidRPr="00F83B6E">
        <w:rPr>
          <w:color w:val="000000" w:themeColor="text1"/>
        </w:rPr>
        <w:t xml:space="preserve">) </w:t>
      </w:r>
      <w:r w:rsidR="007C7E3E" w:rsidRPr="00F83B6E">
        <w:rPr>
          <w:color w:val="000000" w:themeColor="text1"/>
        </w:rPr>
        <w:t xml:space="preserve">and the program </w:t>
      </w:r>
      <w:r w:rsidRPr="00F83B6E">
        <w:rPr>
          <w:color w:val="000000" w:themeColor="text1"/>
        </w:rPr>
        <w:t>will develop tools and processes to ensure meaningful inclusion of people with different disabilities</w:t>
      </w:r>
      <w:r w:rsidR="00493F28" w:rsidRPr="00F83B6E">
        <w:rPr>
          <w:color w:val="000000" w:themeColor="text1"/>
        </w:rPr>
        <w:t xml:space="preserve"> in all Platform Hub</w:t>
      </w:r>
      <w:r w:rsidR="001316CF" w:rsidRPr="00F83B6E">
        <w:rPr>
          <w:color w:val="000000" w:themeColor="text1"/>
        </w:rPr>
        <w:t>’s</w:t>
      </w:r>
      <w:r w:rsidR="00493F28" w:rsidRPr="00F83B6E">
        <w:rPr>
          <w:color w:val="000000" w:themeColor="text1"/>
        </w:rPr>
        <w:t xml:space="preserve"> activities</w:t>
      </w:r>
      <w:r w:rsidRPr="00F83B6E">
        <w:rPr>
          <w:color w:val="000000" w:themeColor="text1"/>
        </w:rPr>
        <w:t>.</w:t>
      </w:r>
      <w:r w:rsidRPr="00F83B6E">
        <w:rPr>
          <w:color w:val="000000" w:themeColor="text1"/>
          <w:vertAlign w:val="superscript"/>
        </w:rPr>
        <w:footnoteReference w:id="46"/>
      </w:r>
    </w:p>
    <w:p w14:paraId="47C6716A" w14:textId="248CA809" w:rsidR="00BF0307" w:rsidRPr="00F83B6E" w:rsidRDefault="0099301A" w:rsidP="00907F0B">
      <w:pPr>
        <w:pStyle w:val="BodyText"/>
        <w:rPr>
          <w:color w:val="000000" w:themeColor="text1"/>
        </w:rPr>
      </w:pPr>
      <w:r w:rsidRPr="00F83B6E">
        <w:rPr>
          <w:color w:val="000000" w:themeColor="text1"/>
        </w:rPr>
        <w:t>Existing</w:t>
      </w:r>
      <w:r w:rsidR="008A06B7" w:rsidRPr="00F83B6E">
        <w:rPr>
          <w:color w:val="000000" w:themeColor="text1"/>
        </w:rPr>
        <w:t xml:space="preserve"> alongside these barriers </w:t>
      </w:r>
      <w:r w:rsidR="00BF0307" w:rsidRPr="00F83B6E">
        <w:rPr>
          <w:color w:val="000000" w:themeColor="text1"/>
        </w:rPr>
        <w:t>are strong entry points for disability inclusion in agenda setting</w:t>
      </w:r>
      <w:r w:rsidR="004C061C" w:rsidRPr="00F83B6E">
        <w:rPr>
          <w:color w:val="000000" w:themeColor="text1"/>
        </w:rPr>
        <w:t>.</w:t>
      </w:r>
      <w:r w:rsidR="00BF0307" w:rsidRPr="00F83B6E">
        <w:rPr>
          <w:color w:val="000000" w:themeColor="text1"/>
        </w:rPr>
        <w:t xml:space="preserve"> </w:t>
      </w:r>
      <w:r w:rsidR="007E63B9" w:rsidRPr="00F83B6E">
        <w:rPr>
          <w:color w:val="000000" w:themeColor="text1"/>
        </w:rPr>
        <w:t xml:space="preserve">Disability knowledge and policy is a comparative advantage for Australia and Indonesian and Australian organisations, and particularly people with disabilities, have strong knowledge and relationships with the potential to grow further. </w:t>
      </w:r>
      <w:r w:rsidR="004C061C" w:rsidRPr="00F83B6E">
        <w:rPr>
          <w:color w:val="000000" w:themeColor="text1"/>
        </w:rPr>
        <w:t>F</w:t>
      </w:r>
      <w:r w:rsidR="00BF0307" w:rsidRPr="00F83B6E">
        <w:rPr>
          <w:color w:val="000000" w:themeColor="text1"/>
        </w:rPr>
        <w:t>or example</w:t>
      </w:r>
      <w:r w:rsidR="004C061C" w:rsidRPr="00F83B6E">
        <w:rPr>
          <w:color w:val="000000" w:themeColor="text1"/>
        </w:rPr>
        <w:t>,</w:t>
      </w:r>
      <w:r w:rsidR="00BF0307" w:rsidRPr="00F83B6E">
        <w:rPr>
          <w:color w:val="000000" w:themeColor="text1"/>
        </w:rPr>
        <w:t xml:space="preserve"> </w:t>
      </w:r>
      <w:r w:rsidR="0082636F" w:rsidRPr="00F83B6E">
        <w:rPr>
          <w:color w:val="000000" w:themeColor="text1"/>
        </w:rPr>
        <w:t xml:space="preserve">research proposals </w:t>
      </w:r>
      <w:r w:rsidR="00BF0307" w:rsidRPr="00F83B6E">
        <w:rPr>
          <w:color w:val="000000" w:themeColor="text1"/>
        </w:rPr>
        <w:t xml:space="preserve">have the potential to provide </w:t>
      </w:r>
      <w:r w:rsidR="00F528A4" w:rsidRPr="00F83B6E">
        <w:rPr>
          <w:color w:val="000000" w:themeColor="text1"/>
        </w:rPr>
        <w:t>solutions to</w:t>
      </w:r>
      <w:r w:rsidR="00BF0307" w:rsidRPr="00F83B6E">
        <w:rPr>
          <w:color w:val="000000" w:themeColor="text1"/>
        </w:rPr>
        <w:t xml:space="preserve"> promot</w:t>
      </w:r>
      <w:r w:rsidR="00F528A4" w:rsidRPr="00F83B6E">
        <w:rPr>
          <w:color w:val="000000" w:themeColor="text1"/>
        </w:rPr>
        <w:t>e</w:t>
      </w:r>
      <w:r w:rsidR="00BF0307" w:rsidRPr="00F83B6E">
        <w:rPr>
          <w:color w:val="000000" w:themeColor="text1"/>
        </w:rPr>
        <w:t xml:space="preserve"> broad inclusions</w:t>
      </w:r>
      <w:r w:rsidR="0082636F" w:rsidRPr="00F83B6E">
        <w:rPr>
          <w:color w:val="000000" w:themeColor="text1"/>
        </w:rPr>
        <w:t xml:space="preserve"> in relevant policies </w:t>
      </w:r>
      <w:r w:rsidR="00BF0307" w:rsidRPr="00F83B6E">
        <w:rPr>
          <w:color w:val="000000" w:themeColor="text1"/>
        </w:rPr>
        <w:t xml:space="preserve">that can leapfrog some barriers to inclusion through improving assistive devices and technologies (including digital and online technologies) and changes to physical infrastructure. </w:t>
      </w:r>
    </w:p>
    <w:p w14:paraId="00B6FE2E" w14:textId="1713E71D" w:rsidR="00975302" w:rsidRPr="00F83B6E" w:rsidRDefault="00975302" w:rsidP="00F27241">
      <w:pPr>
        <w:pStyle w:val="Heading2"/>
        <w:rPr>
          <w:color w:val="000000" w:themeColor="text1"/>
        </w:rPr>
      </w:pPr>
      <w:bookmarkStart w:id="29" w:name="_Toc146528295"/>
      <w:r w:rsidRPr="00F83B6E">
        <w:rPr>
          <w:color w:val="000000" w:themeColor="text1"/>
        </w:rPr>
        <w:lastRenderedPageBreak/>
        <w:t>Other cross cutting issues</w:t>
      </w:r>
      <w:bookmarkEnd w:id="29"/>
    </w:p>
    <w:p w14:paraId="321C11F0" w14:textId="72CE7FBB" w:rsidR="005D72C7" w:rsidRPr="00F83B6E" w:rsidRDefault="005D72C7" w:rsidP="00E6202D">
      <w:pPr>
        <w:pStyle w:val="Heading3"/>
        <w:rPr>
          <w:color w:val="000000" w:themeColor="text1"/>
        </w:rPr>
      </w:pPr>
      <w:r w:rsidRPr="00F83B6E">
        <w:rPr>
          <w:color w:val="000000" w:themeColor="text1"/>
        </w:rPr>
        <w:t xml:space="preserve">Climate </w:t>
      </w:r>
      <w:r w:rsidR="00975302" w:rsidRPr="00F83B6E">
        <w:rPr>
          <w:color w:val="000000" w:themeColor="text1"/>
        </w:rPr>
        <w:t>c</w:t>
      </w:r>
      <w:r w:rsidRPr="00F83B6E">
        <w:rPr>
          <w:color w:val="000000" w:themeColor="text1"/>
        </w:rPr>
        <w:t>hange</w:t>
      </w:r>
    </w:p>
    <w:p w14:paraId="05132CD6" w14:textId="17CFF5CB" w:rsidR="00E670FA" w:rsidRPr="00F83B6E" w:rsidRDefault="005D72C7" w:rsidP="00B91543">
      <w:pPr>
        <w:pStyle w:val="BodyText"/>
        <w:rPr>
          <w:color w:val="000000" w:themeColor="text1"/>
        </w:rPr>
      </w:pPr>
      <w:r w:rsidRPr="00F83B6E">
        <w:rPr>
          <w:color w:val="000000" w:themeColor="text1"/>
        </w:rPr>
        <w:t>Indonesia is highly vulnerable to climate change impacts. It is classified as a high-risk country in the World Risk Index</w:t>
      </w:r>
      <w:r w:rsidR="00E670FA" w:rsidRPr="00F83B6E">
        <w:rPr>
          <w:color w:val="000000" w:themeColor="text1"/>
        </w:rPr>
        <w:t xml:space="preserve"> </w:t>
      </w:r>
      <w:r w:rsidRPr="00F83B6E">
        <w:rPr>
          <w:color w:val="000000" w:themeColor="text1"/>
          <w:vertAlign w:val="superscript"/>
        </w:rPr>
        <w:footnoteReference w:id="47"/>
      </w:r>
      <w:r w:rsidR="00E670FA" w:rsidRPr="00F83B6E">
        <w:rPr>
          <w:color w:val="000000" w:themeColor="text1"/>
        </w:rPr>
        <w:t>,</w:t>
      </w:r>
      <w:r w:rsidRPr="00F83B6E">
        <w:rPr>
          <w:color w:val="000000" w:themeColor="text1"/>
        </w:rPr>
        <w:t xml:space="preserve"> particularly due to its exposure </w:t>
      </w:r>
      <w:r w:rsidR="00E670FA" w:rsidRPr="00F83B6E">
        <w:rPr>
          <w:color w:val="000000" w:themeColor="text1"/>
        </w:rPr>
        <w:t xml:space="preserve">to </w:t>
      </w:r>
      <w:r w:rsidRPr="00F83B6E">
        <w:rPr>
          <w:color w:val="000000" w:themeColor="text1"/>
        </w:rPr>
        <w:t>natural hazards and extreme weather events that affect areas of high population density. Climate change impacts across multiple sectors, particularly those that are natural resource based</w:t>
      </w:r>
      <w:r w:rsidR="00D67FB7" w:rsidRPr="00F83B6E">
        <w:rPr>
          <w:color w:val="000000" w:themeColor="text1"/>
        </w:rPr>
        <w:t>.</w:t>
      </w:r>
      <w:r w:rsidR="00E670FA" w:rsidRPr="00F83B6E">
        <w:rPr>
          <w:color w:val="000000" w:themeColor="text1"/>
          <w:vertAlign w:val="superscript"/>
        </w:rPr>
        <w:footnoteReference w:id="48"/>
      </w:r>
      <w:r w:rsidRPr="00F83B6E">
        <w:rPr>
          <w:color w:val="000000" w:themeColor="text1"/>
        </w:rPr>
        <w:t xml:space="preserve"> The poor, coastal communities, and those engaged in agriculture (often women) are all most vulnerable. </w:t>
      </w:r>
      <w:proofErr w:type="spellStart"/>
      <w:r w:rsidR="001316CF" w:rsidRPr="00F83B6E">
        <w:rPr>
          <w:color w:val="000000" w:themeColor="text1"/>
        </w:rPr>
        <w:t>GoI</w:t>
      </w:r>
      <w:proofErr w:type="spellEnd"/>
      <w:r w:rsidRPr="00F83B6E">
        <w:rPr>
          <w:color w:val="000000" w:themeColor="text1"/>
        </w:rPr>
        <w:t xml:space="preserve"> is committed to reducing greenhouse gas emissions, which predominantly stem from land use change, particularly conversion of peatlands into agricultural plantations, and the energy sector</w:t>
      </w:r>
      <w:r w:rsidR="00D67FB7" w:rsidRPr="00F83B6E">
        <w:rPr>
          <w:color w:val="000000" w:themeColor="text1"/>
        </w:rPr>
        <w:t>.</w:t>
      </w:r>
      <w:r w:rsidR="00E670FA" w:rsidRPr="00F83B6E">
        <w:rPr>
          <w:color w:val="000000" w:themeColor="text1"/>
          <w:vertAlign w:val="superscript"/>
        </w:rPr>
        <w:footnoteReference w:id="49"/>
      </w:r>
      <w:r w:rsidRPr="00F83B6E">
        <w:rPr>
          <w:color w:val="000000" w:themeColor="text1"/>
        </w:rPr>
        <w:t xml:space="preserve"> Strengthening the environment and improving resilience against natural disasters and climate change is a focus of Indonesia’s </w:t>
      </w:r>
      <w:r w:rsidR="007D2FC9" w:rsidRPr="00F83B6E">
        <w:rPr>
          <w:color w:val="000000" w:themeColor="text1"/>
        </w:rPr>
        <w:t>M</w:t>
      </w:r>
      <w:r w:rsidRPr="00F83B6E">
        <w:rPr>
          <w:color w:val="000000" w:themeColor="text1"/>
        </w:rPr>
        <w:t>edium</w:t>
      </w:r>
      <w:r w:rsidR="007D2FC9" w:rsidRPr="00F83B6E">
        <w:rPr>
          <w:color w:val="000000" w:themeColor="text1"/>
        </w:rPr>
        <w:t>-T</w:t>
      </w:r>
      <w:r w:rsidRPr="00F83B6E">
        <w:rPr>
          <w:color w:val="000000" w:themeColor="text1"/>
        </w:rPr>
        <w:t xml:space="preserve">erm </w:t>
      </w:r>
      <w:r w:rsidR="007D2FC9" w:rsidRPr="00F83B6E">
        <w:rPr>
          <w:color w:val="000000" w:themeColor="text1"/>
        </w:rPr>
        <w:t>D</w:t>
      </w:r>
      <w:r w:rsidRPr="00F83B6E">
        <w:rPr>
          <w:color w:val="000000" w:themeColor="text1"/>
        </w:rPr>
        <w:t xml:space="preserve">evelopment </w:t>
      </w:r>
      <w:r w:rsidR="007D2FC9" w:rsidRPr="00F83B6E">
        <w:rPr>
          <w:color w:val="000000" w:themeColor="text1"/>
        </w:rPr>
        <w:t>P</w:t>
      </w:r>
      <w:r w:rsidRPr="00F83B6E">
        <w:rPr>
          <w:color w:val="000000" w:themeColor="text1"/>
        </w:rPr>
        <w:t xml:space="preserve">lan 2020-2024, and a key part of </w:t>
      </w:r>
      <w:r w:rsidR="002109FD" w:rsidRPr="00F83B6E">
        <w:rPr>
          <w:color w:val="000000" w:themeColor="text1"/>
        </w:rPr>
        <w:t xml:space="preserve">both Vision 2045 and </w:t>
      </w:r>
      <w:r w:rsidRPr="00F83B6E">
        <w:rPr>
          <w:color w:val="000000" w:themeColor="text1"/>
        </w:rPr>
        <w:t>the economic transformation agenda.</w:t>
      </w:r>
      <w:r w:rsidR="00E670FA" w:rsidRPr="00F83B6E">
        <w:rPr>
          <w:color w:val="000000" w:themeColor="text1"/>
        </w:rPr>
        <w:t xml:space="preserve"> </w:t>
      </w:r>
      <w:r w:rsidRPr="00F83B6E">
        <w:rPr>
          <w:color w:val="000000" w:themeColor="text1"/>
        </w:rPr>
        <w:t xml:space="preserve">Mitigating and adapting to climate change is a mutual area of concern that is gaining emphasis and political </w:t>
      </w:r>
      <w:r w:rsidR="007D2FC9" w:rsidRPr="00F83B6E">
        <w:rPr>
          <w:color w:val="000000" w:themeColor="text1"/>
        </w:rPr>
        <w:t xml:space="preserve">interest </w:t>
      </w:r>
      <w:r w:rsidRPr="00F83B6E">
        <w:rPr>
          <w:color w:val="000000" w:themeColor="text1"/>
        </w:rPr>
        <w:t xml:space="preserve">in both Indonesia and Australia. </w:t>
      </w:r>
      <w:r w:rsidR="00E670FA" w:rsidRPr="00F83B6E">
        <w:rPr>
          <w:color w:val="000000" w:themeColor="text1"/>
        </w:rPr>
        <w:t xml:space="preserve">It </w:t>
      </w:r>
      <w:r w:rsidRPr="00F83B6E">
        <w:rPr>
          <w:color w:val="000000" w:themeColor="text1"/>
        </w:rPr>
        <w:t>is a</w:t>
      </w:r>
      <w:r w:rsidR="00DD13F1" w:rsidRPr="00F83B6E">
        <w:rPr>
          <w:color w:val="000000" w:themeColor="text1"/>
        </w:rPr>
        <w:t>n</w:t>
      </w:r>
      <w:r w:rsidRPr="00F83B6E">
        <w:rPr>
          <w:color w:val="000000" w:themeColor="text1"/>
        </w:rPr>
        <w:t xml:space="preserve"> agenda </w:t>
      </w:r>
      <w:r w:rsidR="00DD13F1" w:rsidRPr="00F83B6E">
        <w:rPr>
          <w:color w:val="000000" w:themeColor="text1"/>
        </w:rPr>
        <w:t xml:space="preserve">well-positioned </w:t>
      </w:r>
      <w:r w:rsidRPr="00F83B6E">
        <w:rPr>
          <w:color w:val="000000" w:themeColor="text1"/>
        </w:rPr>
        <w:t xml:space="preserve">for exploration through KPP partnerships. </w:t>
      </w:r>
    </w:p>
    <w:p w14:paraId="58E95426" w14:textId="17EAFC8C" w:rsidR="005D72C7" w:rsidRPr="00F83B6E" w:rsidRDefault="0001354B" w:rsidP="00B91543">
      <w:pPr>
        <w:pStyle w:val="BodyText"/>
        <w:rPr>
          <w:color w:val="000000" w:themeColor="text1"/>
        </w:rPr>
      </w:pPr>
      <w:r w:rsidRPr="00F83B6E">
        <w:rPr>
          <w:color w:val="000000" w:themeColor="text1"/>
        </w:rPr>
        <w:t xml:space="preserve">Besides the direct inclusion of climate change in KPP’s research agenda, </w:t>
      </w:r>
      <w:r w:rsidR="00D37647" w:rsidRPr="00F83B6E">
        <w:rPr>
          <w:color w:val="000000" w:themeColor="text1"/>
        </w:rPr>
        <w:t>the program will also</w:t>
      </w:r>
      <w:r w:rsidR="005D72C7" w:rsidRPr="00F83B6E">
        <w:rPr>
          <w:color w:val="000000" w:themeColor="text1"/>
        </w:rPr>
        <w:t xml:space="preserve"> contribut</w:t>
      </w:r>
      <w:r w:rsidR="00D37647" w:rsidRPr="00F83B6E">
        <w:rPr>
          <w:color w:val="000000" w:themeColor="text1"/>
        </w:rPr>
        <w:t>e</w:t>
      </w:r>
      <w:r w:rsidR="005D72C7" w:rsidRPr="00F83B6E">
        <w:rPr>
          <w:color w:val="000000" w:themeColor="text1"/>
        </w:rPr>
        <w:t xml:space="preserve"> to </w:t>
      </w:r>
      <w:r w:rsidR="00D37647" w:rsidRPr="00F83B6E">
        <w:rPr>
          <w:color w:val="000000" w:themeColor="text1"/>
        </w:rPr>
        <w:t>decelerating and mitigating against</w:t>
      </w:r>
      <w:r w:rsidR="005D72C7" w:rsidRPr="00F83B6E">
        <w:rPr>
          <w:color w:val="000000" w:themeColor="text1"/>
        </w:rPr>
        <w:t xml:space="preserve"> climate change through supporting </w:t>
      </w:r>
      <w:r w:rsidRPr="00F83B6E">
        <w:rPr>
          <w:color w:val="000000" w:themeColor="text1"/>
        </w:rPr>
        <w:t xml:space="preserve">research that promote cleaner </w:t>
      </w:r>
      <w:r w:rsidR="00DD13F1" w:rsidRPr="00F83B6E">
        <w:rPr>
          <w:color w:val="000000" w:themeColor="text1"/>
        </w:rPr>
        <w:t>industrial</w:t>
      </w:r>
      <w:r w:rsidRPr="00F83B6E">
        <w:rPr>
          <w:color w:val="000000" w:themeColor="text1"/>
        </w:rPr>
        <w:t xml:space="preserve"> and/or manufacturing technologies and more broadly supporting the </w:t>
      </w:r>
      <w:r w:rsidR="00D37647" w:rsidRPr="00F83B6E">
        <w:rPr>
          <w:color w:val="000000" w:themeColor="text1"/>
        </w:rPr>
        <w:t xml:space="preserve">development of </w:t>
      </w:r>
      <w:r w:rsidR="005D72C7" w:rsidRPr="00F83B6E">
        <w:rPr>
          <w:color w:val="000000" w:themeColor="text1"/>
        </w:rPr>
        <w:t>a knowledge-based economy</w:t>
      </w:r>
      <w:r w:rsidR="00D37647" w:rsidRPr="00F83B6E">
        <w:rPr>
          <w:color w:val="000000" w:themeColor="text1"/>
        </w:rPr>
        <w:t xml:space="preserve"> to replace </w:t>
      </w:r>
      <w:r w:rsidRPr="00F83B6E">
        <w:rPr>
          <w:color w:val="000000" w:themeColor="text1"/>
        </w:rPr>
        <w:t>Indonesia’s</w:t>
      </w:r>
      <w:r w:rsidR="00D37647" w:rsidRPr="00F83B6E">
        <w:rPr>
          <w:color w:val="000000" w:themeColor="text1"/>
        </w:rPr>
        <w:t xml:space="preserve"> heavy carbon-emitting resource-based economy</w:t>
      </w:r>
      <w:r w:rsidR="005D72C7" w:rsidRPr="00F83B6E">
        <w:rPr>
          <w:color w:val="000000" w:themeColor="text1"/>
        </w:rPr>
        <w:t xml:space="preserve">. </w:t>
      </w:r>
    </w:p>
    <w:p w14:paraId="0A4E2AEC" w14:textId="6CF0D3BF" w:rsidR="005D72C7" w:rsidRPr="00F83B6E" w:rsidRDefault="005D72C7" w:rsidP="00B91543">
      <w:pPr>
        <w:pStyle w:val="BodyText"/>
        <w:rPr>
          <w:color w:val="000000" w:themeColor="text1"/>
        </w:rPr>
      </w:pPr>
      <w:r w:rsidRPr="00F83B6E">
        <w:rPr>
          <w:color w:val="000000" w:themeColor="text1"/>
        </w:rPr>
        <w:t xml:space="preserve">Operationally, </w:t>
      </w:r>
      <w:r w:rsidR="0001354B" w:rsidRPr="00F83B6E">
        <w:rPr>
          <w:color w:val="000000" w:themeColor="text1"/>
        </w:rPr>
        <w:t>the scope and focus of the grants windows will be set periodically by the PSC, and grants applications will require an environmental statement as part of the detailed proposal. N</w:t>
      </w:r>
      <w:r w:rsidRPr="00F83B6E">
        <w:rPr>
          <w:color w:val="000000" w:themeColor="text1"/>
        </w:rPr>
        <w:t>ew ways of work</w:t>
      </w:r>
      <w:r w:rsidR="0001354B" w:rsidRPr="00F83B6E">
        <w:rPr>
          <w:color w:val="000000" w:themeColor="text1"/>
        </w:rPr>
        <w:t>ing</w:t>
      </w:r>
      <w:r w:rsidRPr="00F83B6E">
        <w:rPr>
          <w:color w:val="000000" w:themeColor="text1"/>
        </w:rPr>
        <w:t xml:space="preserve"> </w:t>
      </w:r>
      <w:r w:rsidR="00DD13F1" w:rsidRPr="00F83B6E">
        <w:rPr>
          <w:color w:val="000000" w:themeColor="text1"/>
        </w:rPr>
        <w:t>promoted</w:t>
      </w:r>
      <w:r w:rsidR="0001354B" w:rsidRPr="00F83B6E">
        <w:rPr>
          <w:color w:val="000000" w:themeColor="text1"/>
        </w:rPr>
        <w:t xml:space="preserve"> </w:t>
      </w:r>
      <w:r w:rsidR="00DD13F1" w:rsidRPr="00F83B6E">
        <w:rPr>
          <w:color w:val="000000" w:themeColor="text1"/>
        </w:rPr>
        <w:t>during</w:t>
      </w:r>
      <w:r w:rsidR="0001354B" w:rsidRPr="00F83B6E">
        <w:rPr>
          <w:color w:val="000000" w:themeColor="text1"/>
        </w:rPr>
        <w:t xml:space="preserve"> the </w:t>
      </w:r>
      <w:r w:rsidRPr="00F83B6E">
        <w:rPr>
          <w:color w:val="000000" w:themeColor="text1"/>
        </w:rPr>
        <w:t>COVID-19</w:t>
      </w:r>
      <w:r w:rsidR="0001354B" w:rsidRPr="00F83B6E">
        <w:rPr>
          <w:color w:val="000000" w:themeColor="text1"/>
        </w:rPr>
        <w:t xml:space="preserve"> pandemic,</w:t>
      </w:r>
      <w:r w:rsidRPr="00F83B6E">
        <w:rPr>
          <w:color w:val="000000" w:themeColor="text1"/>
        </w:rPr>
        <w:t xml:space="preserve"> including reduced travel, increased digital communications, and greater familiarity with </w:t>
      </w:r>
      <w:r w:rsidR="0001354B" w:rsidRPr="00F83B6E">
        <w:rPr>
          <w:color w:val="000000" w:themeColor="text1"/>
        </w:rPr>
        <w:t xml:space="preserve">online work, will also continue to be encouraged to </w:t>
      </w:r>
      <w:r w:rsidRPr="00F83B6E">
        <w:rPr>
          <w:color w:val="000000" w:themeColor="text1"/>
        </w:rPr>
        <w:t xml:space="preserve">moderate </w:t>
      </w:r>
      <w:r w:rsidR="0001354B" w:rsidRPr="00F83B6E">
        <w:rPr>
          <w:color w:val="000000" w:themeColor="text1"/>
        </w:rPr>
        <w:t>the Platform Hub’s</w:t>
      </w:r>
      <w:r w:rsidR="008907D5" w:rsidRPr="00F83B6E">
        <w:rPr>
          <w:color w:val="000000" w:themeColor="text1"/>
        </w:rPr>
        <w:t xml:space="preserve"> </w:t>
      </w:r>
      <w:r w:rsidRPr="00F83B6E">
        <w:rPr>
          <w:color w:val="000000" w:themeColor="text1"/>
        </w:rPr>
        <w:t xml:space="preserve">own environmental footprint. </w:t>
      </w:r>
      <w:r w:rsidR="0001354B" w:rsidRPr="00F83B6E">
        <w:rPr>
          <w:color w:val="000000" w:themeColor="text1"/>
        </w:rPr>
        <w:t>F</w:t>
      </w:r>
      <w:r w:rsidRPr="00F83B6E">
        <w:rPr>
          <w:color w:val="000000" w:themeColor="text1"/>
        </w:rPr>
        <w:t>ace-to-face events will be valuable for developing relationships needed for knowledge producer</w:t>
      </w:r>
      <w:r w:rsidR="0001354B" w:rsidRPr="00F83B6E">
        <w:rPr>
          <w:color w:val="000000" w:themeColor="text1"/>
        </w:rPr>
        <w:t>s’</w:t>
      </w:r>
      <w:r w:rsidRPr="00F83B6E">
        <w:rPr>
          <w:color w:val="000000" w:themeColor="text1"/>
        </w:rPr>
        <w:t xml:space="preserve"> </w:t>
      </w:r>
      <w:r w:rsidR="00D67FB7" w:rsidRPr="00F83B6E">
        <w:rPr>
          <w:color w:val="000000" w:themeColor="text1"/>
        </w:rPr>
        <w:t>and</w:t>
      </w:r>
      <w:r w:rsidRPr="00F83B6E">
        <w:rPr>
          <w:color w:val="000000" w:themeColor="text1"/>
        </w:rPr>
        <w:t xml:space="preserve"> user</w:t>
      </w:r>
      <w:r w:rsidR="0001354B" w:rsidRPr="00F83B6E">
        <w:rPr>
          <w:color w:val="000000" w:themeColor="text1"/>
        </w:rPr>
        <w:t>s’</w:t>
      </w:r>
      <w:r w:rsidRPr="00F83B6E">
        <w:rPr>
          <w:color w:val="000000" w:themeColor="text1"/>
        </w:rPr>
        <w:t xml:space="preserve"> collective action, but these can be selectively implemented. </w:t>
      </w:r>
    </w:p>
    <w:p w14:paraId="73D14F89" w14:textId="6766252F" w:rsidR="005D72C7" w:rsidRPr="00F83B6E" w:rsidRDefault="005D72C7" w:rsidP="00B91543">
      <w:pPr>
        <w:pStyle w:val="Heading3"/>
        <w:rPr>
          <w:color w:val="000000" w:themeColor="text1"/>
        </w:rPr>
      </w:pPr>
      <w:r w:rsidRPr="00F83B6E">
        <w:rPr>
          <w:color w:val="000000" w:themeColor="text1"/>
        </w:rPr>
        <w:t xml:space="preserve">Private </w:t>
      </w:r>
      <w:r w:rsidR="00975302" w:rsidRPr="00F83B6E">
        <w:rPr>
          <w:color w:val="000000" w:themeColor="text1"/>
        </w:rPr>
        <w:t>s</w:t>
      </w:r>
      <w:r w:rsidRPr="00F83B6E">
        <w:rPr>
          <w:color w:val="000000" w:themeColor="text1"/>
        </w:rPr>
        <w:t>ector</w:t>
      </w:r>
    </w:p>
    <w:p w14:paraId="3FE536A0" w14:textId="0B509913" w:rsidR="005D72C7" w:rsidRPr="00F83B6E" w:rsidRDefault="000A446F" w:rsidP="00B91543">
      <w:pPr>
        <w:pStyle w:val="BodyText"/>
        <w:rPr>
          <w:color w:val="000000" w:themeColor="text1"/>
        </w:rPr>
      </w:pPr>
      <w:r w:rsidRPr="00F83B6E">
        <w:rPr>
          <w:color w:val="000000" w:themeColor="text1"/>
        </w:rPr>
        <w:t>The intention of the program is to support partnerships</w:t>
      </w:r>
      <w:r w:rsidR="00265579" w:rsidRPr="00F83B6E">
        <w:rPr>
          <w:color w:val="000000" w:themeColor="text1"/>
        </w:rPr>
        <w:t xml:space="preserve"> that</w:t>
      </w:r>
      <w:r w:rsidRPr="00F83B6E">
        <w:rPr>
          <w:color w:val="000000" w:themeColor="text1"/>
        </w:rPr>
        <w:t xml:space="preserve"> </w:t>
      </w:r>
      <w:r w:rsidR="00265579" w:rsidRPr="00F83B6E">
        <w:rPr>
          <w:color w:val="000000" w:themeColor="text1"/>
        </w:rPr>
        <w:t>look across the private and public sectors to find integrated, multi-stakeholder and sustainable development solutions</w:t>
      </w:r>
      <w:r w:rsidRPr="00F83B6E">
        <w:rPr>
          <w:color w:val="000000" w:themeColor="text1"/>
        </w:rPr>
        <w:t xml:space="preserve">. </w:t>
      </w:r>
      <w:r w:rsidR="005D72C7" w:rsidRPr="00F83B6E">
        <w:rPr>
          <w:color w:val="000000" w:themeColor="text1"/>
        </w:rPr>
        <w:t>Engagement with the private sector is integral to KPP in the following ways:</w:t>
      </w:r>
    </w:p>
    <w:p w14:paraId="4D27E474" w14:textId="762F4929" w:rsidR="0062000A" w:rsidRPr="00F83B6E" w:rsidRDefault="00E260F8" w:rsidP="0062000A">
      <w:pPr>
        <w:pStyle w:val="Bullet1"/>
        <w:rPr>
          <w:color w:val="000000" w:themeColor="text1"/>
        </w:rPr>
      </w:pPr>
      <w:r w:rsidRPr="00F83B6E">
        <w:rPr>
          <w:color w:val="000000" w:themeColor="text1"/>
        </w:rPr>
        <w:t>Private sector organisations may be involved in KPP supported partnerships, as co-leads</w:t>
      </w:r>
      <w:r w:rsidR="009473FD" w:rsidRPr="00F83B6E">
        <w:rPr>
          <w:color w:val="000000" w:themeColor="text1"/>
        </w:rPr>
        <w:t>,</w:t>
      </w:r>
      <w:r w:rsidRPr="00F83B6E">
        <w:rPr>
          <w:color w:val="000000" w:themeColor="text1"/>
        </w:rPr>
        <w:t xml:space="preserve"> members</w:t>
      </w:r>
      <w:r w:rsidR="009473FD" w:rsidRPr="00F83B6E">
        <w:rPr>
          <w:color w:val="000000" w:themeColor="text1"/>
        </w:rPr>
        <w:t xml:space="preserve"> or stakeholders</w:t>
      </w:r>
      <w:r w:rsidRPr="00F83B6E">
        <w:rPr>
          <w:color w:val="000000" w:themeColor="text1"/>
        </w:rPr>
        <w:t xml:space="preserve">. This </w:t>
      </w:r>
      <w:r w:rsidR="000469AD" w:rsidRPr="00F83B6E">
        <w:rPr>
          <w:color w:val="000000" w:themeColor="text1"/>
        </w:rPr>
        <w:t>will</w:t>
      </w:r>
      <w:r w:rsidRPr="00F83B6E">
        <w:rPr>
          <w:color w:val="000000" w:themeColor="text1"/>
        </w:rPr>
        <w:t xml:space="preserve"> contribute to the potential uptake of KPP supported knowledge, ensuring its application </w:t>
      </w:r>
      <w:r w:rsidR="00DD13F1" w:rsidRPr="00F83B6E">
        <w:rPr>
          <w:color w:val="000000" w:themeColor="text1"/>
        </w:rPr>
        <w:t xml:space="preserve">downstream </w:t>
      </w:r>
      <w:r w:rsidRPr="00F83B6E">
        <w:rPr>
          <w:color w:val="000000" w:themeColor="text1"/>
        </w:rPr>
        <w:t>and promoting the likelihood of commercialisation</w:t>
      </w:r>
      <w:r w:rsidR="00DD13F1" w:rsidRPr="00F83B6E">
        <w:rPr>
          <w:color w:val="000000" w:themeColor="text1"/>
        </w:rPr>
        <w:t>, particularly for knowledge to innovation research</w:t>
      </w:r>
      <w:r w:rsidRPr="00F83B6E">
        <w:rPr>
          <w:color w:val="000000" w:themeColor="text1"/>
        </w:rPr>
        <w:t xml:space="preserve">. </w:t>
      </w:r>
    </w:p>
    <w:p w14:paraId="62F9F179" w14:textId="08E88F71" w:rsidR="009473FD" w:rsidRPr="00F83B6E" w:rsidRDefault="009473FD" w:rsidP="009473FD">
      <w:pPr>
        <w:pStyle w:val="Bullet1"/>
        <w:rPr>
          <w:color w:val="000000" w:themeColor="text1"/>
        </w:rPr>
      </w:pPr>
      <w:r w:rsidRPr="00F83B6E">
        <w:rPr>
          <w:color w:val="000000" w:themeColor="text1"/>
        </w:rPr>
        <w:t xml:space="preserve">Private sector organisations such as privately funded think tanks or philanthropic foundations may be involved in co-financing KPP partnerships activities (for </w:t>
      </w:r>
      <w:proofErr w:type="spellStart"/>
      <w:r w:rsidRPr="00F83B6E">
        <w:rPr>
          <w:i/>
          <w:iCs/>
          <w:color w:val="000000" w:themeColor="text1"/>
        </w:rPr>
        <w:t>Bertumbuh</w:t>
      </w:r>
      <w:proofErr w:type="spellEnd"/>
      <w:r w:rsidRPr="00F83B6E">
        <w:rPr>
          <w:i/>
          <w:iCs/>
          <w:color w:val="000000" w:themeColor="text1"/>
        </w:rPr>
        <w:t xml:space="preserve"> </w:t>
      </w:r>
      <w:r w:rsidRPr="00F83B6E">
        <w:rPr>
          <w:color w:val="000000" w:themeColor="text1"/>
        </w:rPr>
        <w:t xml:space="preserve">and </w:t>
      </w:r>
      <w:proofErr w:type="spellStart"/>
      <w:r w:rsidRPr="00F83B6E">
        <w:rPr>
          <w:i/>
          <w:iCs/>
          <w:color w:val="000000" w:themeColor="text1"/>
        </w:rPr>
        <w:t>Berbuah</w:t>
      </w:r>
      <w:proofErr w:type="spellEnd"/>
      <w:r w:rsidRPr="00F83B6E">
        <w:rPr>
          <w:i/>
          <w:iCs/>
          <w:color w:val="000000" w:themeColor="text1"/>
        </w:rPr>
        <w:t xml:space="preserve"> </w:t>
      </w:r>
      <w:r w:rsidRPr="00F83B6E">
        <w:rPr>
          <w:color w:val="000000" w:themeColor="text1"/>
        </w:rPr>
        <w:t xml:space="preserve">grants) and supporting their sustainability beyond KPP. </w:t>
      </w:r>
    </w:p>
    <w:p w14:paraId="33657643" w14:textId="5A1B9255" w:rsidR="00E260F8" w:rsidRPr="00F83B6E" w:rsidRDefault="0001354B" w:rsidP="009473FD">
      <w:pPr>
        <w:pStyle w:val="Bullet1"/>
        <w:rPr>
          <w:color w:val="000000" w:themeColor="text1"/>
        </w:rPr>
      </w:pPr>
      <w:r w:rsidRPr="00F83B6E">
        <w:rPr>
          <w:color w:val="000000" w:themeColor="text1"/>
        </w:rPr>
        <w:t>P</w:t>
      </w:r>
      <w:r w:rsidR="005D72C7" w:rsidRPr="00F83B6E">
        <w:rPr>
          <w:color w:val="000000" w:themeColor="text1"/>
        </w:rPr>
        <w:t>rivate sector</w:t>
      </w:r>
      <w:r w:rsidRPr="00F83B6E">
        <w:rPr>
          <w:color w:val="000000" w:themeColor="text1"/>
        </w:rPr>
        <w:t xml:space="preserve"> organisations</w:t>
      </w:r>
      <w:r w:rsidR="000469AD" w:rsidRPr="00F83B6E">
        <w:rPr>
          <w:color w:val="000000" w:themeColor="text1"/>
        </w:rPr>
        <w:t xml:space="preserve"> </w:t>
      </w:r>
      <w:r w:rsidRPr="00F83B6E">
        <w:rPr>
          <w:color w:val="000000" w:themeColor="text1"/>
        </w:rPr>
        <w:t xml:space="preserve">are </w:t>
      </w:r>
      <w:r w:rsidR="005D72C7" w:rsidRPr="00F83B6E">
        <w:rPr>
          <w:color w:val="000000" w:themeColor="text1"/>
        </w:rPr>
        <w:t>potential</w:t>
      </w:r>
      <w:r w:rsidRPr="00F83B6E">
        <w:rPr>
          <w:color w:val="000000" w:themeColor="text1"/>
        </w:rPr>
        <w:t xml:space="preserve"> </w:t>
      </w:r>
      <w:r w:rsidR="005D72C7" w:rsidRPr="00F83B6E">
        <w:rPr>
          <w:color w:val="000000" w:themeColor="text1"/>
        </w:rPr>
        <w:t>user</w:t>
      </w:r>
      <w:r w:rsidR="00E260F8" w:rsidRPr="00F83B6E">
        <w:rPr>
          <w:color w:val="000000" w:themeColor="text1"/>
        </w:rPr>
        <w:t>s</w:t>
      </w:r>
      <w:r w:rsidR="00DD13F1" w:rsidRPr="00F83B6E">
        <w:rPr>
          <w:color w:val="000000" w:themeColor="text1"/>
        </w:rPr>
        <w:t xml:space="preserve"> and/or beneficiaries</w:t>
      </w:r>
      <w:r w:rsidR="005D72C7" w:rsidRPr="00F83B6E">
        <w:rPr>
          <w:color w:val="000000" w:themeColor="text1"/>
        </w:rPr>
        <w:t xml:space="preserve"> of KPP supported knowledge.</w:t>
      </w:r>
      <w:r w:rsidR="00E260F8" w:rsidRPr="00F83B6E">
        <w:rPr>
          <w:color w:val="000000" w:themeColor="text1"/>
        </w:rPr>
        <w:t xml:space="preserve"> For instance, micro, small, and medium private sector enterprises make up an important part of Indonesia’s economy</w:t>
      </w:r>
      <w:r w:rsidR="00DD13F1" w:rsidRPr="00F83B6E">
        <w:rPr>
          <w:color w:val="000000" w:themeColor="text1"/>
        </w:rPr>
        <w:t>,</w:t>
      </w:r>
      <w:r w:rsidR="00E260F8" w:rsidRPr="00F83B6E">
        <w:rPr>
          <w:color w:val="000000" w:themeColor="text1"/>
        </w:rPr>
        <w:t xml:space="preserve"> where women are concentrated often in precarious situations. KPP partnerships may produce knowledge aiming to </w:t>
      </w:r>
      <w:r w:rsidR="00E260F8" w:rsidRPr="00F83B6E">
        <w:rPr>
          <w:color w:val="000000" w:themeColor="text1"/>
        </w:rPr>
        <w:lastRenderedPageBreak/>
        <w:t>improve the regulatory and policy framework and/or increase productivity and access to support services for this segment of the economy.</w:t>
      </w:r>
      <w:r w:rsidR="00E260F8" w:rsidRPr="00F83B6E">
        <w:rPr>
          <w:rStyle w:val="FootnoteReference"/>
          <w:color w:val="000000" w:themeColor="text1"/>
        </w:rPr>
        <w:footnoteReference w:id="50"/>
      </w:r>
      <w:r w:rsidR="003B5AE8" w:rsidRPr="00F83B6E">
        <w:rPr>
          <w:color w:val="000000" w:themeColor="text1"/>
        </w:rPr>
        <w:t xml:space="preserve"> </w:t>
      </w:r>
    </w:p>
    <w:p w14:paraId="21F12899" w14:textId="2BA156E6" w:rsidR="005D72C7" w:rsidRPr="00F83B6E" w:rsidRDefault="00E260F8" w:rsidP="00E6202D">
      <w:pPr>
        <w:pStyle w:val="Bullet1"/>
        <w:rPr>
          <w:color w:val="000000" w:themeColor="text1"/>
        </w:rPr>
      </w:pPr>
      <w:r w:rsidRPr="00F83B6E">
        <w:rPr>
          <w:color w:val="000000" w:themeColor="text1"/>
        </w:rPr>
        <w:t>P</w:t>
      </w:r>
      <w:r w:rsidR="005D72C7" w:rsidRPr="00F83B6E">
        <w:rPr>
          <w:color w:val="000000" w:themeColor="text1"/>
        </w:rPr>
        <w:t xml:space="preserve">rivate sector </w:t>
      </w:r>
      <w:r w:rsidR="00D72089" w:rsidRPr="00F83B6E">
        <w:rPr>
          <w:color w:val="000000" w:themeColor="text1"/>
        </w:rPr>
        <w:t>and industry organisations may</w:t>
      </w:r>
      <w:r w:rsidR="000469AD" w:rsidRPr="00F83B6E">
        <w:rPr>
          <w:color w:val="000000" w:themeColor="text1"/>
        </w:rPr>
        <w:t xml:space="preserve"> </w:t>
      </w:r>
      <w:r w:rsidR="005D72C7" w:rsidRPr="00F83B6E">
        <w:rPr>
          <w:color w:val="000000" w:themeColor="text1"/>
        </w:rPr>
        <w:t>be target</w:t>
      </w:r>
      <w:r w:rsidRPr="00F83B6E">
        <w:rPr>
          <w:color w:val="000000" w:themeColor="text1"/>
        </w:rPr>
        <w:t>ed by KPP</w:t>
      </w:r>
      <w:r w:rsidR="005D72C7" w:rsidRPr="00F83B6E">
        <w:rPr>
          <w:color w:val="000000" w:themeColor="text1"/>
        </w:rPr>
        <w:t xml:space="preserve"> </w:t>
      </w:r>
      <w:r w:rsidRPr="00F83B6E">
        <w:rPr>
          <w:color w:val="000000" w:themeColor="text1"/>
        </w:rPr>
        <w:t xml:space="preserve">networking, dissemination and </w:t>
      </w:r>
      <w:r w:rsidR="005D72C7" w:rsidRPr="00F83B6E">
        <w:rPr>
          <w:color w:val="000000" w:themeColor="text1"/>
        </w:rPr>
        <w:t xml:space="preserve">advocacy </w:t>
      </w:r>
      <w:r w:rsidRPr="00F83B6E">
        <w:rPr>
          <w:color w:val="000000" w:themeColor="text1"/>
        </w:rPr>
        <w:t xml:space="preserve">activities </w:t>
      </w:r>
      <w:r w:rsidR="005D72C7" w:rsidRPr="00F83B6E">
        <w:rPr>
          <w:color w:val="000000" w:themeColor="text1"/>
        </w:rPr>
        <w:t xml:space="preserve">that draws on KPP generated knowledge. This </w:t>
      </w:r>
      <w:r w:rsidR="000469AD" w:rsidRPr="00F83B6E">
        <w:rPr>
          <w:color w:val="000000" w:themeColor="text1"/>
        </w:rPr>
        <w:t>will</w:t>
      </w:r>
      <w:r w:rsidR="005D72C7" w:rsidRPr="00F83B6E">
        <w:rPr>
          <w:color w:val="000000" w:themeColor="text1"/>
        </w:rPr>
        <w:t xml:space="preserve"> </w:t>
      </w:r>
      <w:r w:rsidRPr="00F83B6E">
        <w:rPr>
          <w:color w:val="000000" w:themeColor="text1"/>
        </w:rPr>
        <w:t xml:space="preserve">promote and ensure </w:t>
      </w:r>
      <w:r w:rsidR="005D72C7" w:rsidRPr="00F83B6E">
        <w:rPr>
          <w:color w:val="000000" w:themeColor="text1"/>
        </w:rPr>
        <w:t>diversity and inclusion.</w:t>
      </w:r>
    </w:p>
    <w:p w14:paraId="49961852" w14:textId="13B8C2B2" w:rsidR="005D72C7" w:rsidRPr="00F83B6E" w:rsidRDefault="005E19D3" w:rsidP="00E6202D">
      <w:pPr>
        <w:pStyle w:val="Bullet1"/>
        <w:numPr>
          <w:ilvl w:val="0"/>
          <w:numId w:val="0"/>
        </w:numPr>
        <w:rPr>
          <w:color w:val="000000" w:themeColor="text1"/>
        </w:rPr>
      </w:pPr>
      <w:r w:rsidRPr="00F83B6E">
        <w:rPr>
          <w:color w:val="000000" w:themeColor="text1"/>
        </w:rPr>
        <w:t xml:space="preserve">The Platform Hub will </w:t>
      </w:r>
      <w:r w:rsidR="009473FD" w:rsidRPr="00F83B6E">
        <w:rPr>
          <w:color w:val="000000" w:themeColor="text1"/>
        </w:rPr>
        <w:t xml:space="preserve">reach out to and actively engage with private sector organisations during the agenda setting, partnership formation, and proposal development process </w:t>
      </w:r>
      <w:r w:rsidRPr="00F83B6E">
        <w:rPr>
          <w:color w:val="000000" w:themeColor="text1"/>
        </w:rPr>
        <w:t>to set</w:t>
      </w:r>
      <w:r w:rsidR="009473FD" w:rsidRPr="00F83B6E">
        <w:rPr>
          <w:color w:val="000000" w:themeColor="text1"/>
        </w:rPr>
        <w:t xml:space="preserve"> demand-responsive</w:t>
      </w:r>
      <w:r w:rsidRPr="00F83B6E">
        <w:rPr>
          <w:color w:val="000000" w:themeColor="text1"/>
        </w:rPr>
        <w:t xml:space="preserve"> </w:t>
      </w:r>
      <w:r w:rsidR="00B30B85" w:rsidRPr="00F83B6E">
        <w:rPr>
          <w:color w:val="000000" w:themeColor="text1"/>
        </w:rPr>
        <w:t xml:space="preserve">research </w:t>
      </w:r>
      <w:r w:rsidRPr="00F83B6E">
        <w:rPr>
          <w:color w:val="000000" w:themeColor="text1"/>
        </w:rPr>
        <w:t xml:space="preserve">agendas </w:t>
      </w:r>
      <w:r w:rsidR="009473FD" w:rsidRPr="00F83B6E">
        <w:rPr>
          <w:color w:val="000000" w:themeColor="text1"/>
        </w:rPr>
        <w:t>and</w:t>
      </w:r>
      <w:r w:rsidRPr="00F83B6E">
        <w:rPr>
          <w:color w:val="000000" w:themeColor="text1"/>
        </w:rPr>
        <w:t xml:space="preserve"> </w:t>
      </w:r>
      <w:r w:rsidR="00B30B85" w:rsidRPr="00F83B6E">
        <w:rPr>
          <w:color w:val="000000" w:themeColor="text1"/>
        </w:rPr>
        <w:t xml:space="preserve">broker </w:t>
      </w:r>
      <w:r w:rsidRPr="00F83B6E">
        <w:rPr>
          <w:color w:val="000000" w:themeColor="text1"/>
        </w:rPr>
        <w:t xml:space="preserve">new or expanded partnerships. </w:t>
      </w:r>
      <w:r w:rsidR="005D72C7" w:rsidRPr="00F83B6E">
        <w:rPr>
          <w:color w:val="000000" w:themeColor="text1"/>
        </w:rPr>
        <w:t>Key</w:t>
      </w:r>
      <w:r w:rsidRPr="00F83B6E">
        <w:rPr>
          <w:color w:val="000000" w:themeColor="text1"/>
        </w:rPr>
        <w:t xml:space="preserve"> </w:t>
      </w:r>
      <w:r w:rsidR="005D72C7" w:rsidRPr="00F83B6E">
        <w:rPr>
          <w:color w:val="000000" w:themeColor="text1"/>
        </w:rPr>
        <w:t xml:space="preserve">strategies for private sector engagement are: </w:t>
      </w:r>
    </w:p>
    <w:p w14:paraId="02B05265" w14:textId="7337F07E" w:rsidR="005E19D3" w:rsidRPr="00F83B6E" w:rsidRDefault="005E19D3" w:rsidP="00E6202D">
      <w:pPr>
        <w:pStyle w:val="Bullet1"/>
        <w:rPr>
          <w:color w:val="000000" w:themeColor="text1"/>
        </w:rPr>
      </w:pPr>
      <w:r w:rsidRPr="00F83B6E">
        <w:rPr>
          <w:color w:val="000000" w:themeColor="text1"/>
        </w:rPr>
        <w:t>Encourage participation of private sector organisations in KPP supported partnerships particularly in the larger grants</w:t>
      </w:r>
      <w:r w:rsidR="009473FD" w:rsidRPr="00F83B6E">
        <w:rPr>
          <w:color w:val="000000" w:themeColor="text1"/>
        </w:rPr>
        <w:t xml:space="preserve"> by extending the matchmaking and partnership / coalition brokering services provided by the Platform Hub</w:t>
      </w:r>
      <w:r w:rsidRPr="00F83B6E">
        <w:rPr>
          <w:color w:val="000000" w:themeColor="text1"/>
        </w:rPr>
        <w:t xml:space="preserve">. </w:t>
      </w:r>
    </w:p>
    <w:p w14:paraId="7CE1EC82" w14:textId="77777777" w:rsidR="009473FD" w:rsidRPr="00F83B6E" w:rsidRDefault="009473FD" w:rsidP="009473FD">
      <w:pPr>
        <w:pStyle w:val="Bullet1"/>
        <w:rPr>
          <w:color w:val="000000" w:themeColor="text1"/>
        </w:rPr>
      </w:pPr>
      <w:r w:rsidRPr="00F83B6E">
        <w:rPr>
          <w:color w:val="000000" w:themeColor="text1"/>
        </w:rPr>
        <w:t xml:space="preserve">Encourage and support partnerships’ outreach to private sector organisations, as beneficiaries, users and/or supporters of KPP-generated knowledge. </w:t>
      </w:r>
    </w:p>
    <w:p w14:paraId="37592A38" w14:textId="1F16EE6D" w:rsidR="005E19D3" w:rsidRPr="00F83B6E" w:rsidRDefault="005E19D3" w:rsidP="00E6202D">
      <w:pPr>
        <w:pStyle w:val="Bullet1"/>
        <w:rPr>
          <w:color w:val="000000" w:themeColor="text1"/>
        </w:rPr>
      </w:pPr>
      <w:r w:rsidRPr="00F83B6E">
        <w:rPr>
          <w:color w:val="000000" w:themeColor="text1"/>
        </w:rPr>
        <w:t>Continue to develop links</w:t>
      </w:r>
      <w:r w:rsidR="00DD13F1" w:rsidRPr="00F83B6E">
        <w:rPr>
          <w:color w:val="000000" w:themeColor="text1"/>
        </w:rPr>
        <w:t xml:space="preserve">, </w:t>
      </w:r>
      <w:r w:rsidRPr="00F83B6E">
        <w:rPr>
          <w:color w:val="000000" w:themeColor="text1"/>
        </w:rPr>
        <w:t>networks and coalitions that include private sector organisations, particularly with those organisations involved in DFAT-funded investments, including Pulse Lab Jakarta, CSIRO, ACIAR, and KSI.</w:t>
      </w:r>
    </w:p>
    <w:p w14:paraId="29138A7C" w14:textId="284F4CC8" w:rsidR="005D72C7" w:rsidRPr="00F83B6E" w:rsidRDefault="00B30B85" w:rsidP="00E6202D">
      <w:pPr>
        <w:pStyle w:val="Bullet1"/>
        <w:rPr>
          <w:color w:val="000000" w:themeColor="text1"/>
        </w:rPr>
      </w:pPr>
      <w:r w:rsidRPr="00F83B6E">
        <w:rPr>
          <w:color w:val="000000" w:themeColor="text1"/>
        </w:rPr>
        <w:t xml:space="preserve">Promote and represent KPP activities and knowledge at </w:t>
      </w:r>
      <w:r w:rsidR="005D72C7" w:rsidRPr="00F83B6E">
        <w:rPr>
          <w:color w:val="000000" w:themeColor="text1"/>
        </w:rPr>
        <w:t xml:space="preserve">industry </w:t>
      </w:r>
      <w:r w:rsidRPr="00F83B6E">
        <w:rPr>
          <w:color w:val="000000" w:themeColor="text1"/>
        </w:rPr>
        <w:t xml:space="preserve">networking </w:t>
      </w:r>
      <w:r w:rsidR="005D72C7" w:rsidRPr="00F83B6E">
        <w:rPr>
          <w:color w:val="000000" w:themeColor="text1"/>
        </w:rPr>
        <w:t>events</w:t>
      </w:r>
      <w:r w:rsidRPr="00F83B6E">
        <w:rPr>
          <w:color w:val="000000" w:themeColor="text1"/>
        </w:rPr>
        <w:t xml:space="preserve"> and on </w:t>
      </w:r>
      <w:r w:rsidR="005D72C7" w:rsidRPr="00F83B6E">
        <w:rPr>
          <w:color w:val="000000" w:themeColor="text1"/>
        </w:rPr>
        <w:t>social media</w:t>
      </w:r>
      <w:r w:rsidR="005E19D3" w:rsidRPr="00F83B6E">
        <w:rPr>
          <w:color w:val="000000" w:themeColor="text1"/>
        </w:rPr>
        <w:t>, in coordination with Austrade activities at Post</w:t>
      </w:r>
      <w:r w:rsidR="005D72C7" w:rsidRPr="00F83B6E">
        <w:rPr>
          <w:color w:val="000000" w:themeColor="text1"/>
        </w:rPr>
        <w:t>.</w:t>
      </w:r>
    </w:p>
    <w:p w14:paraId="6DB47828" w14:textId="77777777" w:rsidR="005D72C7" w:rsidRPr="00F83B6E" w:rsidRDefault="005D72C7" w:rsidP="00B91543">
      <w:pPr>
        <w:pStyle w:val="BodyText"/>
        <w:rPr>
          <w:color w:val="000000" w:themeColor="text1"/>
        </w:rPr>
      </w:pPr>
      <w:r w:rsidRPr="00F83B6E">
        <w:rPr>
          <w:color w:val="000000" w:themeColor="text1"/>
        </w:rPr>
        <w:t xml:space="preserve">Tracking of private sector participation in KPP events, partnerships, and as potential knowledge users is included in the indicative MEL framework. </w:t>
      </w:r>
    </w:p>
    <w:p w14:paraId="3F7290D1" w14:textId="77777777" w:rsidR="005D72C7" w:rsidRPr="00F83B6E" w:rsidRDefault="005D72C7" w:rsidP="00B91543">
      <w:pPr>
        <w:pStyle w:val="Heading3"/>
        <w:rPr>
          <w:color w:val="000000" w:themeColor="text1"/>
        </w:rPr>
      </w:pPr>
      <w:r w:rsidRPr="00F83B6E">
        <w:rPr>
          <w:color w:val="000000" w:themeColor="text1"/>
        </w:rPr>
        <w:t>Innovation</w:t>
      </w:r>
    </w:p>
    <w:p w14:paraId="06A9A8D3" w14:textId="6498049C" w:rsidR="00172D7E" w:rsidRPr="00F83B6E" w:rsidRDefault="00172D7E" w:rsidP="00B91543">
      <w:pPr>
        <w:pStyle w:val="BodyText"/>
        <w:rPr>
          <w:color w:val="000000" w:themeColor="text1"/>
        </w:rPr>
      </w:pPr>
      <w:r w:rsidRPr="00F83B6E">
        <w:rPr>
          <w:color w:val="000000" w:themeColor="text1"/>
        </w:rPr>
        <w:t xml:space="preserve">At a strategic intent level, KPP’s approach </w:t>
      </w:r>
      <w:r w:rsidR="003201D8" w:rsidRPr="00F83B6E">
        <w:rPr>
          <w:color w:val="000000" w:themeColor="text1"/>
        </w:rPr>
        <w:t>to foster knowledge partnerships based on mutual interests and complementary capacities is</w:t>
      </w:r>
      <w:r w:rsidRPr="00F83B6E">
        <w:rPr>
          <w:color w:val="000000" w:themeColor="text1"/>
        </w:rPr>
        <w:t xml:space="preserve"> somewhat innovative and different t</w:t>
      </w:r>
      <w:r w:rsidR="003201D8" w:rsidRPr="00F83B6E">
        <w:rPr>
          <w:color w:val="000000" w:themeColor="text1"/>
        </w:rPr>
        <w:t>o</w:t>
      </w:r>
      <w:r w:rsidRPr="00F83B6E">
        <w:rPr>
          <w:color w:val="000000" w:themeColor="text1"/>
        </w:rPr>
        <w:t xml:space="preserve"> previous knowledge sector investments supported by DFAT. This reflects Indonesia’s stage of development, </w:t>
      </w:r>
      <w:r w:rsidR="003201D8" w:rsidRPr="00F83B6E">
        <w:rPr>
          <w:color w:val="000000" w:themeColor="text1"/>
        </w:rPr>
        <w:t xml:space="preserve">the maturing of the Australia – Indonesia bilateral relationship, </w:t>
      </w:r>
      <w:r w:rsidRPr="00F83B6E">
        <w:rPr>
          <w:color w:val="000000" w:themeColor="text1"/>
        </w:rPr>
        <w:t>and the need to shift to a more equitable recognition of complementary contributions, rather than Australia as the provider of expertise and Indonesia as the recipient. Over time, it is expected that KPP will convene interactive events that harness different views, developed shared objectives, and build new coalitions or areas of collective action.</w:t>
      </w:r>
    </w:p>
    <w:p w14:paraId="12A324CF" w14:textId="2C9850E1" w:rsidR="0062000A" w:rsidRPr="00F83B6E" w:rsidRDefault="00172D7E" w:rsidP="00B91543">
      <w:pPr>
        <w:pStyle w:val="BodyText"/>
        <w:rPr>
          <w:color w:val="000000" w:themeColor="text1"/>
        </w:rPr>
      </w:pPr>
      <w:r w:rsidRPr="00F83B6E">
        <w:rPr>
          <w:color w:val="000000" w:themeColor="text1"/>
        </w:rPr>
        <w:t xml:space="preserve">At an operational level, </w:t>
      </w:r>
      <w:r w:rsidR="005D72C7" w:rsidRPr="00F83B6E">
        <w:rPr>
          <w:color w:val="000000" w:themeColor="text1"/>
        </w:rPr>
        <w:t>KPP has a joint focus on knowledge to innovation</w:t>
      </w:r>
      <w:r w:rsidR="00EA39BA" w:rsidRPr="00F83B6E">
        <w:rPr>
          <w:color w:val="000000" w:themeColor="text1"/>
        </w:rPr>
        <w:t xml:space="preserve"> </w:t>
      </w:r>
      <w:r w:rsidR="005D72C7" w:rsidRPr="00F83B6E">
        <w:rPr>
          <w:color w:val="000000" w:themeColor="text1"/>
        </w:rPr>
        <w:t>along with knowledge to policy</w:t>
      </w:r>
      <w:r w:rsidR="00F40042" w:rsidRPr="00F83B6E">
        <w:rPr>
          <w:color w:val="000000" w:themeColor="text1"/>
        </w:rPr>
        <w:t xml:space="preserve">. </w:t>
      </w:r>
      <w:r w:rsidR="005D72C7" w:rsidRPr="00F83B6E">
        <w:rPr>
          <w:color w:val="000000" w:themeColor="text1"/>
        </w:rPr>
        <w:t xml:space="preserve">It is expected that knowledge produced will aim to stimulate innovation according to themes prioritised by the </w:t>
      </w:r>
      <w:r w:rsidR="009322C2" w:rsidRPr="00F83B6E">
        <w:rPr>
          <w:color w:val="000000" w:themeColor="text1"/>
        </w:rPr>
        <w:t>Program Steering Committee</w:t>
      </w:r>
      <w:r w:rsidR="005D72C7" w:rsidRPr="00F83B6E">
        <w:rPr>
          <w:color w:val="000000" w:themeColor="text1"/>
        </w:rPr>
        <w:t xml:space="preserve">, expected to be linked to </w:t>
      </w:r>
      <w:proofErr w:type="spellStart"/>
      <w:r w:rsidR="00EA39BA" w:rsidRPr="00F83B6E">
        <w:rPr>
          <w:color w:val="000000" w:themeColor="text1"/>
        </w:rPr>
        <w:t>GoI</w:t>
      </w:r>
      <w:r w:rsidR="005D72C7" w:rsidRPr="00F83B6E">
        <w:rPr>
          <w:color w:val="000000" w:themeColor="text1"/>
        </w:rPr>
        <w:t>’s</w:t>
      </w:r>
      <w:proofErr w:type="spellEnd"/>
      <w:r w:rsidR="005D72C7" w:rsidRPr="00F83B6E">
        <w:rPr>
          <w:color w:val="000000" w:themeColor="text1"/>
        </w:rPr>
        <w:t xml:space="preserve"> economic transformation priorities. </w:t>
      </w:r>
      <w:r w:rsidR="00A778D3" w:rsidRPr="00F83B6E">
        <w:rPr>
          <w:color w:val="000000" w:themeColor="text1"/>
        </w:rPr>
        <w:t>Depending on the selected themes, k</w:t>
      </w:r>
      <w:r w:rsidR="00AE28B4" w:rsidRPr="00F83B6E">
        <w:rPr>
          <w:color w:val="000000" w:themeColor="text1"/>
        </w:rPr>
        <w:t xml:space="preserve">nowledge produced through KPP-funded partnerships may contribute to Indonesia innovation sector by advancing science and technology, </w:t>
      </w:r>
      <w:r w:rsidR="009473FD" w:rsidRPr="00F83B6E">
        <w:rPr>
          <w:color w:val="000000" w:themeColor="text1"/>
        </w:rPr>
        <w:t xml:space="preserve">promoting </w:t>
      </w:r>
      <w:r w:rsidR="00AE28B4" w:rsidRPr="00F83B6E">
        <w:rPr>
          <w:color w:val="000000" w:themeColor="text1"/>
        </w:rPr>
        <w:t xml:space="preserve">commercialisation and/or </w:t>
      </w:r>
      <w:r w:rsidR="009473FD" w:rsidRPr="00F83B6E">
        <w:rPr>
          <w:color w:val="000000" w:themeColor="text1"/>
        </w:rPr>
        <w:t>develop</w:t>
      </w:r>
      <w:r w:rsidR="00A778D3" w:rsidRPr="00F83B6E">
        <w:rPr>
          <w:color w:val="000000" w:themeColor="text1"/>
        </w:rPr>
        <w:t>ing expertise in</w:t>
      </w:r>
      <w:r w:rsidR="00AE28B4" w:rsidRPr="00F83B6E">
        <w:rPr>
          <w:color w:val="000000" w:themeColor="text1"/>
        </w:rPr>
        <w:t xml:space="preserve"> big data and artificial intelligence.</w:t>
      </w:r>
    </w:p>
    <w:p w14:paraId="2CA87065" w14:textId="553A92A9" w:rsidR="004F2AF9" w:rsidRPr="00F83B6E" w:rsidRDefault="004F2AF9" w:rsidP="00E74DD1">
      <w:pPr>
        <w:pStyle w:val="Heading1"/>
        <w:rPr>
          <w:color w:val="000000" w:themeColor="text1"/>
        </w:rPr>
      </w:pPr>
      <w:bookmarkStart w:id="30" w:name="_Toc146528296"/>
      <w:r w:rsidRPr="00F83B6E">
        <w:rPr>
          <w:color w:val="000000" w:themeColor="text1"/>
        </w:rPr>
        <w:lastRenderedPageBreak/>
        <w:t>Budget and Resources</w:t>
      </w:r>
      <w:bookmarkEnd w:id="30"/>
      <w:r w:rsidRPr="00F83B6E">
        <w:rPr>
          <w:color w:val="000000" w:themeColor="text1"/>
        </w:rPr>
        <w:t xml:space="preserve"> </w:t>
      </w:r>
    </w:p>
    <w:p w14:paraId="2AF34649" w14:textId="550A23E7" w:rsidR="003C5255" w:rsidRPr="00F83B6E" w:rsidRDefault="00CA483E" w:rsidP="00F27241">
      <w:pPr>
        <w:pStyle w:val="Heading2"/>
        <w:rPr>
          <w:color w:val="000000" w:themeColor="text1"/>
        </w:rPr>
      </w:pPr>
      <w:bookmarkStart w:id="31" w:name="_Toc146528297"/>
      <w:r w:rsidRPr="00F83B6E">
        <w:rPr>
          <w:color w:val="000000" w:themeColor="text1"/>
        </w:rPr>
        <w:t>Program</w:t>
      </w:r>
      <w:r w:rsidR="003C5255" w:rsidRPr="00F83B6E">
        <w:rPr>
          <w:color w:val="000000" w:themeColor="text1"/>
        </w:rPr>
        <w:t xml:space="preserve"> </w:t>
      </w:r>
      <w:r w:rsidR="00E74DD1" w:rsidRPr="00F83B6E">
        <w:rPr>
          <w:color w:val="000000" w:themeColor="text1"/>
        </w:rPr>
        <w:t>b</w:t>
      </w:r>
      <w:r w:rsidR="003C5255" w:rsidRPr="00F83B6E">
        <w:rPr>
          <w:color w:val="000000" w:themeColor="text1"/>
        </w:rPr>
        <w:t>udget</w:t>
      </w:r>
      <w:bookmarkEnd w:id="31"/>
    </w:p>
    <w:p w14:paraId="51DC3B6E" w14:textId="107878B0" w:rsidR="003C5255" w:rsidRPr="00F83B6E" w:rsidRDefault="003C5255" w:rsidP="00827915">
      <w:pPr>
        <w:pStyle w:val="BodyText"/>
        <w:rPr>
          <w:color w:val="000000" w:themeColor="text1"/>
        </w:rPr>
      </w:pPr>
      <w:r w:rsidRPr="00F83B6E">
        <w:rPr>
          <w:color w:val="000000" w:themeColor="text1"/>
        </w:rPr>
        <w:t xml:space="preserve">The </w:t>
      </w:r>
      <w:r w:rsidR="00172D7E" w:rsidRPr="00F83B6E">
        <w:rPr>
          <w:color w:val="000000" w:themeColor="text1"/>
        </w:rPr>
        <w:t xml:space="preserve">initial </w:t>
      </w:r>
      <w:r w:rsidR="00B65E8D" w:rsidRPr="00F83B6E">
        <w:rPr>
          <w:color w:val="000000" w:themeColor="text1"/>
        </w:rPr>
        <w:t>KPP</w:t>
      </w:r>
      <w:r w:rsidRPr="00F83B6E">
        <w:rPr>
          <w:color w:val="000000" w:themeColor="text1"/>
        </w:rPr>
        <w:t xml:space="preserve"> budget is AUD </w:t>
      </w:r>
      <w:r w:rsidR="00B65E8D" w:rsidRPr="00F83B6E">
        <w:rPr>
          <w:color w:val="000000" w:themeColor="text1"/>
        </w:rPr>
        <w:t>50</w:t>
      </w:r>
      <w:r w:rsidRPr="00F83B6E">
        <w:rPr>
          <w:color w:val="000000" w:themeColor="text1"/>
        </w:rPr>
        <w:t xml:space="preserve"> million</w:t>
      </w:r>
      <w:r w:rsidR="00CA483E" w:rsidRPr="00F83B6E">
        <w:rPr>
          <w:color w:val="000000" w:themeColor="text1"/>
        </w:rPr>
        <w:t xml:space="preserve"> </w:t>
      </w:r>
      <w:r w:rsidR="00E22EC6" w:rsidRPr="00F83B6E">
        <w:rPr>
          <w:color w:val="000000" w:themeColor="text1"/>
        </w:rPr>
        <w:t>over</w:t>
      </w:r>
      <w:r w:rsidR="00CA483E" w:rsidRPr="00F83B6E">
        <w:rPr>
          <w:color w:val="000000" w:themeColor="text1"/>
        </w:rPr>
        <w:t xml:space="preserve"> five years of implementation</w:t>
      </w:r>
      <w:r w:rsidRPr="00F83B6E">
        <w:rPr>
          <w:color w:val="000000" w:themeColor="text1"/>
        </w:rPr>
        <w:t xml:space="preserve">. Annual budgets will be developed by the </w:t>
      </w:r>
      <w:r w:rsidR="003201D8" w:rsidRPr="00F83B6E">
        <w:rPr>
          <w:color w:val="000000" w:themeColor="text1"/>
        </w:rPr>
        <w:t>Platform Hub</w:t>
      </w:r>
      <w:r w:rsidRPr="00F83B6E">
        <w:rPr>
          <w:color w:val="000000" w:themeColor="text1"/>
        </w:rPr>
        <w:t xml:space="preserve"> as part of the annual planning process, in consultation with DFAT and key stakeholders, and will be endorsed by the </w:t>
      </w:r>
      <w:r w:rsidR="00B65E8D" w:rsidRPr="00F83B6E">
        <w:rPr>
          <w:color w:val="000000" w:themeColor="text1"/>
        </w:rPr>
        <w:t>PSC</w:t>
      </w:r>
      <w:r w:rsidRPr="00F83B6E">
        <w:rPr>
          <w:color w:val="000000" w:themeColor="text1"/>
        </w:rPr>
        <w:t xml:space="preserve">. </w:t>
      </w:r>
    </w:p>
    <w:p w14:paraId="0E10ACFF" w14:textId="51BCA3D2" w:rsidR="0062000A" w:rsidRPr="00F83B6E" w:rsidRDefault="00CA483E" w:rsidP="003201D8">
      <w:pPr>
        <w:spacing w:before="240" w:after="120" w:line="281" w:lineRule="auto"/>
        <w:jc w:val="both"/>
        <w:rPr>
          <w:color w:val="000000" w:themeColor="text1"/>
          <w:sz w:val="21"/>
          <w:szCs w:val="21"/>
          <w:lang w:val="en-AU"/>
        </w:rPr>
      </w:pPr>
      <w:r w:rsidRPr="00F83B6E">
        <w:rPr>
          <w:color w:val="000000" w:themeColor="text1"/>
          <w:sz w:val="21"/>
          <w:szCs w:val="21"/>
          <w:lang w:val="en-AU"/>
        </w:rPr>
        <w:t xml:space="preserve">The </w:t>
      </w:r>
      <w:r w:rsidR="00A96C63" w:rsidRPr="00F83B6E">
        <w:rPr>
          <w:color w:val="000000" w:themeColor="text1"/>
          <w:sz w:val="21"/>
          <w:szCs w:val="21"/>
          <w:lang w:val="en-AU"/>
        </w:rPr>
        <w:t xml:space="preserve">level of </w:t>
      </w:r>
      <w:r w:rsidRPr="00F83B6E">
        <w:rPr>
          <w:color w:val="000000" w:themeColor="text1"/>
          <w:sz w:val="21"/>
          <w:szCs w:val="21"/>
          <w:lang w:val="en-AU"/>
        </w:rPr>
        <w:t>annual disbursement fluctuates</w:t>
      </w:r>
      <w:r w:rsidR="00A96C63" w:rsidRPr="00F83B6E">
        <w:rPr>
          <w:color w:val="000000" w:themeColor="text1"/>
          <w:sz w:val="21"/>
          <w:szCs w:val="21"/>
          <w:lang w:val="en-AU"/>
        </w:rPr>
        <w:t>,</w:t>
      </w:r>
      <w:r w:rsidRPr="00F83B6E">
        <w:rPr>
          <w:color w:val="000000" w:themeColor="text1"/>
          <w:sz w:val="21"/>
          <w:szCs w:val="21"/>
          <w:lang w:val="en-AU"/>
        </w:rPr>
        <w:t xml:space="preserve"> with higher disbursement in the middle years (</w:t>
      </w:r>
      <w:r w:rsidR="00F40042" w:rsidRPr="00F83B6E">
        <w:rPr>
          <w:color w:val="000000" w:themeColor="text1"/>
          <w:sz w:val="21"/>
          <w:szCs w:val="21"/>
          <w:lang w:val="en-AU"/>
        </w:rPr>
        <w:t>y</w:t>
      </w:r>
      <w:r w:rsidRPr="00F83B6E">
        <w:rPr>
          <w:color w:val="000000" w:themeColor="text1"/>
          <w:sz w:val="21"/>
          <w:szCs w:val="21"/>
          <w:lang w:val="en-AU"/>
        </w:rPr>
        <w:t xml:space="preserve">ears 2-4), reflecting the </w:t>
      </w:r>
      <w:r w:rsidR="003201D8" w:rsidRPr="00F83B6E">
        <w:rPr>
          <w:color w:val="000000" w:themeColor="text1"/>
          <w:sz w:val="21"/>
          <w:szCs w:val="21"/>
          <w:lang w:val="en-AU"/>
        </w:rPr>
        <w:t>focus on</w:t>
      </w:r>
      <w:r w:rsidR="004736A5" w:rsidRPr="00F83B6E">
        <w:rPr>
          <w:color w:val="000000" w:themeColor="text1"/>
          <w:sz w:val="21"/>
          <w:szCs w:val="21"/>
          <w:lang w:val="en-AU"/>
        </w:rPr>
        <w:t xml:space="preserve"> </w:t>
      </w:r>
      <w:r w:rsidRPr="00F83B6E">
        <w:rPr>
          <w:color w:val="000000" w:themeColor="text1"/>
          <w:sz w:val="21"/>
          <w:szCs w:val="21"/>
          <w:lang w:val="en-AU"/>
        </w:rPr>
        <w:t>set</w:t>
      </w:r>
      <w:r w:rsidR="003201D8" w:rsidRPr="00F83B6E">
        <w:rPr>
          <w:color w:val="000000" w:themeColor="text1"/>
          <w:sz w:val="21"/>
          <w:szCs w:val="21"/>
          <w:lang w:val="en-AU"/>
        </w:rPr>
        <w:t xml:space="preserve">ting </w:t>
      </w:r>
      <w:r w:rsidRPr="00F83B6E">
        <w:rPr>
          <w:color w:val="000000" w:themeColor="text1"/>
          <w:sz w:val="21"/>
          <w:szCs w:val="21"/>
          <w:lang w:val="en-AU"/>
        </w:rPr>
        <w:t>up</w:t>
      </w:r>
      <w:r w:rsidR="0079126F" w:rsidRPr="00F83B6E">
        <w:rPr>
          <w:color w:val="000000" w:themeColor="text1"/>
          <w:sz w:val="21"/>
          <w:szCs w:val="21"/>
          <w:lang w:val="en-AU"/>
        </w:rPr>
        <w:t xml:space="preserve"> the program’s</w:t>
      </w:r>
      <w:r w:rsidRPr="00F83B6E">
        <w:rPr>
          <w:color w:val="000000" w:themeColor="text1"/>
          <w:sz w:val="21"/>
          <w:szCs w:val="21"/>
          <w:lang w:val="en-AU"/>
        </w:rPr>
        <w:t xml:space="preserve"> processes and systems in </w:t>
      </w:r>
      <w:r w:rsidR="003201D8" w:rsidRPr="00F83B6E">
        <w:rPr>
          <w:color w:val="000000" w:themeColor="text1"/>
          <w:sz w:val="21"/>
          <w:szCs w:val="21"/>
          <w:lang w:val="en-AU"/>
        </w:rPr>
        <w:t xml:space="preserve">the first </w:t>
      </w:r>
      <w:r w:rsidR="00F40042" w:rsidRPr="00F83B6E">
        <w:rPr>
          <w:color w:val="000000" w:themeColor="text1"/>
          <w:sz w:val="21"/>
          <w:szCs w:val="21"/>
          <w:lang w:val="en-AU"/>
        </w:rPr>
        <w:t>y</w:t>
      </w:r>
      <w:r w:rsidRPr="00F83B6E">
        <w:rPr>
          <w:color w:val="000000" w:themeColor="text1"/>
          <w:sz w:val="21"/>
          <w:szCs w:val="21"/>
          <w:lang w:val="en-AU"/>
        </w:rPr>
        <w:t>ear</w:t>
      </w:r>
      <w:r w:rsidR="0079126F" w:rsidRPr="00F83B6E">
        <w:rPr>
          <w:color w:val="000000" w:themeColor="text1"/>
          <w:sz w:val="21"/>
          <w:szCs w:val="21"/>
          <w:lang w:val="en-AU"/>
        </w:rPr>
        <w:t>,</w:t>
      </w:r>
      <w:r w:rsidRPr="00F83B6E">
        <w:rPr>
          <w:color w:val="000000" w:themeColor="text1"/>
          <w:sz w:val="21"/>
          <w:szCs w:val="21"/>
          <w:lang w:val="en-AU"/>
        </w:rPr>
        <w:t xml:space="preserve"> and the limited funding of new grants in </w:t>
      </w:r>
      <w:r w:rsidR="000867C9" w:rsidRPr="00F83B6E">
        <w:rPr>
          <w:color w:val="000000" w:themeColor="text1"/>
          <w:sz w:val="21"/>
          <w:szCs w:val="21"/>
          <w:lang w:val="en-AU"/>
        </w:rPr>
        <w:t xml:space="preserve">KPP’s </w:t>
      </w:r>
      <w:r w:rsidRPr="00F83B6E">
        <w:rPr>
          <w:color w:val="000000" w:themeColor="text1"/>
          <w:sz w:val="21"/>
          <w:szCs w:val="21"/>
          <w:lang w:val="en-AU"/>
        </w:rPr>
        <w:t>final year.</w:t>
      </w:r>
      <w:r w:rsidR="00E22EC6" w:rsidRPr="00F83B6E">
        <w:rPr>
          <w:color w:val="000000" w:themeColor="text1"/>
          <w:sz w:val="21"/>
          <w:szCs w:val="21"/>
          <w:lang w:val="en-AU"/>
        </w:rPr>
        <w:t xml:space="preserve"> </w:t>
      </w:r>
    </w:p>
    <w:p w14:paraId="37151FCB" w14:textId="65352927" w:rsidR="003C5255" w:rsidRPr="00F83B6E" w:rsidRDefault="0051005C" w:rsidP="00F27241">
      <w:pPr>
        <w:pStyle w:val="Heading2"/>
        <w:rPr>
          <w:color w:val="000000" w:themeColor="text1"/>
        </w:rPr>
      </w:pPr>
      <w:bookmarkStart w:id="32" w:name="_Toc106986528"/>
      <w:bookmarkStart w:id="33" w:name="_Toc106986529"/>
      <w:bookmarkStart w:id="34" w:name="_Toc106986530"/>
      <w:bookmarkStart w:id="35" w:name="_Toc146528298"/>
      <w:bookmarkEnd w:id="32"/>
      <w:bookmarkEnd w:id="33"/>
      <w:bookmarkEnd w:id="34"/>
      <w:r w:rsidRPr="00F83B6E">
        <w:rPr>
          <w:color w:val="000000" w:themeColor="text1"/>
        </w:rPr>
        <w:t>N</w:t>
      </w:r>
      <w:r w:rsidR="003C5255" w:rsidRPr="00F83B6E">
        <w:rPr>
          <w:color w:val="000000" w:themeColor="text1"/>
        </w:rPr>
        <w:t>umber of grants</w:t>
      </w:r>
      <w:bookmarkEnd w:id="35"/>
    </w:p>
    <w:p w14:paraId="1F5258A8" w14:textId="4BA4CD29" w:rsidR="004B26DA" w:rsidRPr="00F83B6E" w:rsidRDefault="003C5255" w:rsidP="00B91543">
      <w:pPr>
        <w:pStyle w:val="BodyText"/>
        <w:rPr>
          <w:color w:val="000000" w:themeColor="text1"/>
        </w:rPr>
      </w:pPr>
      <w:r w:rsidRPr="00F83B6E">
        <w:rPr>
          <w:color w:val="000000" w:themeColor="text1"/>
        </w:rPr>
        <w:t xml:space="preserve">The number of </w:t>
      </w:r>
      <w:r w:rsidR="00007381" w:rsidRPr="00F83B6E">
        <w:rPr>
          <w:color w:val="000000" w:themeColor="text1"/>
        </w:rPr>
        <w:t>grant</w:t>
      </w:r>
      <w:r w:rsidRPr="00F83B6E">
        <w:rPr>
          <w:color w:val="000000" w:themeColor="text1"/>
        </w:rPr>
        <w:t xml:space="preserve">s </w:t>
      </w:r>
      <w:r w:rsidR="00007381" w:rsidRPr="00F83B6E">
        <w:rPr>
          <w:color w:val="000000" w:themeColor="text1"/>
        </w:rPr>
        <w:t xml:space="preserve">awarded annually </w:t>
      </w:r>
      <w:r w:rsidRPr="00F83B6E">
        <w:rPr>
          <w:color w:val="000000" w:themeColor="text1"/>
        </w:rPr>
        <w:t xml:space="preserve">will be suggested and budgeted by the </w:t>
      </w:r>
      <w:r w:rsidR="0095413C" w:rsidRPr="00F83B6E">
        <w:rPr>
          <w:color w:val="000000" w:themeColor="text1"/>
        </w:rPr>
        <w:t>Platform Hub</w:t>
      </w:r>
      <w:r w:rsidR="00C16C74" w:rsidRPr="00F83B6E">
        <w:rPr>
          <w:color w:val="000000" w:themeColor="text1"/>
        </w:rPr>
        <w:t xml:space="preserve"> </w:t>
      </w:r>
      <w:r w:rsidRPr="00F83B6E">
        <w:rPr>
          <w:color w:val="000000" w:themeColor="text1"/>
        </w:rPr>
        <w:t>as part of the annual planning process, and approved by DFAT and the P</w:t>
      </w:r>
      <w:r w:rsidR="00BB0E4C" w:rsidRPr="00F83B6E">
        <w:rPr>
          <w:color w:val="000000" w:themeColor="text1"/>
        </w:rPr>
        <w:t>SC and P</w:t>
      </w:r>
      <w:r w:rsidR="00007381" w:rsidRPr="00F83B6E">
        <w:rPr>
          <w:color w:val="000000" w:themeColor="text1"/>
        </w:rPr>
        <w:t>T</w:t>
      </w:r>
      <w:r w:rsidRPr="00F83B6E">
        <w:rPr>
          <w:color w:val="000000" w:themeColor="text1"/>
        </w:rPr>
        <w:t>C.</w:t>
      </w:r>
      <w:r w:rsidR="00A96C63" w:rsidRPr="00F83B6E">
        <w:rPr>
          <w:color w:val="000000" w:themeColor="text1"/>
        </w:rPr>
        <w:t xml:space="preserve"> </w:t>
      </w:r>
    </w:p>
    <w:p w14:paraId="7C1F2C33" w14:textId="77777777" w:rsidR="004F2AF9" w:rsidRPr="00F83B6E" w:rsidRDefault="004F2AF9" w:rsidP="0062233E">
      <w:pPr>
        <w:pStyle w:val="Heading1"/>
        <w:rPr>
          <w:color w:val="000000" w:themeColor="text1"/>
        </w:rPr>
      </w:pPr>
      <w:bookmarkStart w:id="36" w:name="_Toc146528299"/>
      <w:r w:rsidRPr="00F83B6E">
        <w:rPr>
          <w:color w:val="000000" w:themeColor="text1"/>
        </w:rPr>
        <w:t>Procurement and Partnering</w:t>
      </w:r>
      <w:bookmarkEnd w:id="36"/>
    </w:p>
    <w:p w14:paraId="04A67D20" w14:textId="734609EF" w:rsidR="002A650D" w:rsidRPr="00F83B6E" w:rsidRDefault="002A650D" w:rsidP="00F27241">
      <w:pPr>
        <w:pStyle w:val="Heading2"/>
        <w:rPr>
          <w:color w:val="000000" w:themeColor="text1"/>
        </w:rPr>
      </w:pPr>
      <w:bookmarkStart w:id="37" w:name="_Toc146528300"/>
      <w:r w:rsidRPr="00F83B6E">
        <w:rPr>
          <w:color w:val="000000" w:themeColor="text1"/>
        </w:rPr>
        <w:t xml:space="preserve">Delivery </w:t>
      </w:r>
      <w:r w:rsidR="00CD5518" w:rsidRPr="00F83B6E">
        <w:rPr>
          <w:color w:val="000000" w:themeColor="text1"/>
        </w:rPr>
        <w:t>m</w:t>
      </w:r>
      <w:r w:rsidRPr="00F83B6E">
        <w:rPr>
          <w:color w:val="000000" w:themeColor="text1"/>
        </w:rPr>
        <w:t>echanism</w:t>
      </w:r>
      <w:bookmarkEnd w:id="37"/>
    </w:p>
    <w:p w14:paraId="59FB50FA" w14:textId="3A00834A" w:rsidR="00DB1BEB" w:rsidRPr="00F83B6E" w:rsidRDefault="005E1CA1" w:rsidP="001B7A01">
      <w:pPr>
        <w:tabs>
          <w:tab w:val="left" w:pos="284"/>
        </w:tabs>
        <w:spacing w:before="160" w:after="160" w:line="281" w:lineRule="auto"/>
        <w:ind w:left="-2"/>
        <w:jc w:val="both"/>
        <w:rPr>
          <w:color w:val="000000" w:themeColor="text1"/>
          <w:sz w:val="21"/>
          <w:szCs w:val="21"/>
          <w:lang w:val="en-AU"/>
        </w:rPr>
      </w:pPr>
      <w:r w:rsidRPr="00F83B6E">
        <w:rPr>
          <w:color w:val="000000" w:themeColor="text1"/>
          <w:sz w:val="21"/>
          <w:szCs w:val="21"/>
          <w:lang w:val="en-AU"/>
        </w:rPr>
        <w:t>KPP will be implemented thanks to the services of</w:t>
      </w:r>
      <w:r w:rsidR="002A650D" w:rsidRPr="00F83B6E">
        <w:rPr>
          <w:color w:val="000000" w:themeColor="text1"/>
          <w:sz w:val="21"/>
          <w:szCs w:val="21"/>
          <w:lang w:val="en-AU"/>
        </w:rPr>
        <w:t xml:space="preserve"> a</w:t>
      </w:r>
      <w:r w:rsidR="00DA4306" w:rsidRPr="00F83B6E">
        <w:rPr>
          <w:color w:val="000000" w:themeColor="text1"/>
          <w:sz w:val="21"/>
          <w:szCs w:val="21"/>
          <w:lang w:val="en-AU"/>
        </w:rPr>
        <w:t xml:space="preserve"> </w:t>
      </w:r>
      <w:r w:rsidR="002A650D" w:rsidRPr="00F83B6E">
        <w:rPr>
          <w:color w:val="000000" w:themeColor="text1"/>
          <w:sz w:val="21"/>
          <w:szCs w:val="21"/>
          <w:lang w:val="en-AU"/>
        </w:rPr>
        <w:t>managing contractor</w:t>
      </w:r>
      <w:r w:rsidR="00CD5518" w:rsidRPr="00F83B6E">
        <w:rPr>
          <w:color w:val="000000" w:themeColor="text1"/>
          <w:sz w:val="21"/>
          <w:szCs w:val="21"/>
          <w:lang w:val="en-AU"/>
        </w:rPr>
        <w:t xml:space="preserve"> </w:t>
      </w:r>
      <w:r w:rsidRPr="00F83B6E">
        <w:rPr>
          <w:color w:val="000000" w:themeColor="text1"/>
          <w:sz w:val="21"/>
          <w:szCs w:val="21"/>
          <w:lang w:val="en-AU"/>
        </w:rPr>
        <w:t>who will deliver</w:t>
      </w:r>
      <w:r w:rsidR="006871E3" w:rsidRPr="00F83B6E">
        <w:rPr>
          <w:color w:val="000000" w:themeColor="text1"/>
          <w:sz w:val="21"/>
          <w:szCs w:val="21"/>
          <w:lang w:val="en-AU"/>
        </w:rPr>
        <w:t>, coordinate</w:t>
      </w:r>
      <w:r w:rsidRPr="00F83B6E">
        <w:rPr>
          <w:color w:val="000000" w:themeColor="text1"/>
          <w:sz w:val="21"/>
          <w:szCs w:val="21"/>
          <w:lang w:val="en-AU"/>
        </w:rPr>
        <w:t xml:space="preserve"> and manage the Platform Hub</w:t>
      </w:r>
      <w:r w:rsidR="006871E3" w:rsidRPr="00F83B6E">
        <w:rPr>
          <w:color w:val="000000" w:themeColor="text1"/>
          <w:sz w:val="21"/>
          <w:szCs w:val="21"/>
          <w:lang w:val="en-AU"/>
        </w:rPr>
        <w:t>’s</w:t>
      </w:r>
      <w:r w:rsidRPr="00F83B6E">
        <w:rPr>
          <w:color w:val="000000" w:themeColor="text1"/>
          <w:sz w:val="21"/>
          <w:szCs w:val="21"/>
          <w:lang w:val="en-AU"/>
        </w:rPr>
        <w:t xml:space="preserve"> activities</w:t>
      </w:r>
      <w:r w:rsidR="002A650D" w:rsidRPr="00F83B6E">
        <w:rPr>
          <w:color w:val="000000" w:themeColor="text1"/>
          <w:sz w:val="21"/>
          <w:szCs w:val="21"/>
          <w:lang w:val="en-AU"/>
        </w:rPr>
        <w:t>.</w:t>
      </w:r>
      <w:r w:rsidR="00777256" w:rsidRPr="00F83B6E">
        <w:rPr>
          <w:color w:val="000000" w:themeColor="text1"/>
          <w:sz w:val="21"/>
          <w:szCs w:val="21"/>
          <w:lang w:val="en-AU"/>
        </w:rPr>
        <w:t xml:space="preserve"> The use of a managing contractor as implementing partner is a proven delivery mechanism for DFAT investments in Indonesia. It is</w:t>
      </w:r>
      <w:r w:rsidR="002A650D" w:rsidRPr="00F83B6E">
        <w:rPr>
          <w:color w:val="000000" w:themeColor="text1"/>
          <w:sz w:val="21"/>
          <w:szCs w:val="21"/>
          <w:lang w:val="en-AU"/>
        </w:rPr>
        <w:t xml:space="preserve"> </w:t>
      </w:r>
      <w:r w:rsidR="00DA4306" w:rsidRPr="00F83B6E">
        <w:rPr>
          <w:color w:val="000000" w:themeColor="text1"/>
          <w:sz w:val="21"/>
          <w:szCs w:val="21"/>
          <w:lang w:val="en-AU"/>
        </w:rPr>
        <w:t>the preferred model for KPP delivery given</w:t>
      </w:r>
      <w:r w:rsidR="002A650D" w:rsidRPr="00F83B6E">
        <w:rPr>
          <w:color w:val="000000" w:themeColor="text1"/>
          <w:sz w:val="21"/>
          <w:szCs w:val="21"/>
          <w:lang w:val="en-AU"/>
        </w:rPr>
        <w:t xml:space="preserve"> the size of the investment, </w:t>
      </w:r>
      <w:r w:rsidR="00611E5A" w:rsidRPr="00F83B6E">
        <w:rPr>
          <w:color w:val="000000" w:themeColor="text1"/>
          <w:sz w:val="21"/>
          <w:szCs w:val="21"/>
          <w:lang w:val="en-AU"/>
        </w:rPr>
        <w:t xml:space="preserve">the required </w:t>
      </w:r>
      <w:r w:rsidR="00621042" w:rsidRPr="00F83B6E">
        <w:rPr>
          <w:color w:val="000000" w:themeColor="text1"/>
          <w:sz w:val="21"/>
          <w:szCs w:val="21"/>
          <w:lang w:val="en-AU"/>
        </w:rPr>
        <w:t xml:space="preserve">independence </w:t>
      </w:r>
      <w:r w:rsidR="00611E5A" w:rsidRPr="00F83B6E">
        <w:rPr>
          <w:color w:val="000000" w:themeColor="text1"/>
          <w:sz w:val="21"/>
          <w:szCs w:val="21"/>
          <w:lang w:val="en-AU"/>
        </w:rPr>
        <w:t>to operate a large research grant</w:t>
      </w:r>
      <w:r w:rsidR="00C16282" w:rsidRPr="00F83B6E">
        <w:rPr>
          <w:color w:val="000000" w:themeColor="text1"/>
          <w:sz w:val="21"/>
          <w:szCs w:val="21"/>
          <w:lang w:val="en-AU"/>
        </w:rPr>
        <w:t>s</w:t>
      </w:r>
      <w:r w:rsidR="00611E5A" w:rsidRPr="00F83B6E">
        <w:rPr>
          <w:color w:val="000000" w:themeColor="text1"/>
          <w:sz w:val="21"/>
          <w:szCs w:val="21"/>
          <w:lang w:val="en-AU"/>
        </w:rPr>
        <w:t xml:space="preserve"> scheme, </w:t>
      </w:r>
      <w:r w:rsidR="002A650D" w:rsidRPr="00F83B6E">
        <w:rPr>
          <w:color w:val="000000" w:themeColor="text1"/>
          <w:sz w:val="21"/>
          <w:szCs w:val="21"/>
          <w:lang w:val="en-AU"/>
        </w:rPr>
        <w:t xml:space="preserve">the complexity of </w:t>
      </w:r>
      <w:r w:rsidR="00DA4306" w:rsidRPr="00F83B6E">
        <w:rPr>
          <w:color w:val="000000" w:themeColor="text1"/>
          <w:sz w:val="21"/>
          <w:szCs w:val="21"/>
          <w:lang w:val="en-AU"/>
        </w:rPr>
        <w:t xml:space="preserve">the </w:t>
      </w:r>
      <w:r w:rsidR="009372D4" w:rsidRPr="00F83B6E">
        <w:rPr>
          <w:color w:val="000000" w:themeColor="text1"/>
          <w:sz w:val="21"/>
          <w:szCs w:val="21"/>
          <w:lang w:val="en-AU"/>
        </w:rPr>
        <w:t>engagement</w:t>
      </w:r>
      <w:r w:rsidR="002A650D" w:rsidRPr="00F83B6E">
        <w:rPr>
          <w:color w:val="000000" w:themeColor="text1"/>
          <w:sz w:val="21"/>
          <w:szCs w:val="21"/>
          <w:lang w:val="en-AU"/>
        </w:rPr>
        <w:t xml:space="preserve"> and relationships with </w:t>
      </w:r>
      <w:r w:rsidR="009372D4" w:rsidRPr="00F83B6E">
        <w:rPr>
          <w:color w:val="000000" w:themeColor="text1"/>
          <w:sz w:val="21"/>
          <w:szCs w:val="21"/>
          <w:lang w:val="en-AU"/>
        </w:rPr>
        <w:t xml:space="preserve">a range of </w:t>
      </w:r>
      <w:r w:rsidR="00611E5A" w:rsidRPr="00F83B6E">
        <w:rPr>
          <w:color w:val="000000" w:themeColor="text1"/>
          <w:sz w:val="21"/>
          <w:szCs w:val="21"/>
          <w:lang w:val="en-AU"/>
        </w:rPr>
        <w:t xml:space="preserve">Australian and Indonesian </w:t>
      </w:r>
      <w:r w:rsidR="00777256" w:rsidRPr="00F83B6E">
        <w:rPr>
          <w:color w:val="000000" w:themeColor="text1"/>
          <w:sz w:val="21"/>
          <w:szCs w:val="21"/>
          <w:lang w:val="en-AU"/>
        </w:rPr>
        <w:t>stakeholders</w:t>
      </w:r>
      <w:r w:rsidR="00611E5A" w:rsidRPr="00F83B6E">
        <w:rPr>
          <w:color w:val="000000" w:themeColor="text1"/>
          <w:sz w:val="21"/>
          <w:szCs w:val="21"/>
          <w:lang w:val="en-AU"/>
        </w:rPr>
        <w:t xml:space="preserve">, </w:t>
      </w:r>
      <w:r w:rsidR="00DA4306" w:rsidRPr="00F83B6E">
        <w:rPr>
          <w:color w:val="000000" w:themeColor="text1"/>
          <w:sz w:val="21"/>
          <w:szCs w:val="21"/>
          <w:lang w:val="en-AU"/>
        </w:rPr>
        <w:t xml:space="preserve">and the administrative workload required to </w:t>
      </w:r>
      <w:r w:rsidR="00DC0238" w:rsidRPr="00F83B6E">
        <w:rPr>
          <w:color w:val="000000" w:themeColor="text1"/>
          <w:sz w:val="21"/>
          <w:szCs w:val="21"/>
          <w:lang w:val="en-AU"/>
        </w:rPr>
        <w:t>manage</w:t>
      </w:r>
      <w:r w:rsidR="00DA4306" w:rsidRPr="00F83B6E">
        <w:rPr>
          <w:color w:val="000000" w:themeColor="text1"/>
          <w:sz w:val="21"/>
          <w:szCs w:val="21"/>
          <w:lang w:val="en-AU"/>
        </w:rPr>
        <w:t xml:space="preserve"> the investment</w:t>
      </w:r>
      <w:r w:rsidR="00DC0238" w:rsidRPr="00F83B6E">
        <w:rPr>
          <w:color w:val="000000" w:themeColor="text1"/>
          <w:sz w:val="21"/>
          <w:szCs w:val="21"/>
          <w:lang w:val="en-AU"/>
        </w:rPr>
        <w:t xml:space="preserve"> in line with DFAT fiduciary and service delivery standards</w:t>
      </w:r>
      <w:r w:rsidR="002A650D" w:rsidRPr="00F83B6E">
        <w:rPr>
          <w:color w:val="000000" w:themeColor="text1"/>
          <w:sz w:val="21"/>
          <w:szCs w:val="21"/>
          <w:lang w:val="en-AU"/>
        </w:rPr>
        <w:t xml:space="preserve">. </w:t>
      </w:r>
      <w:r w:rsidR="00DB1BEB" w:rsidRPr="00F83B6E">
        <w:rPr>
          <w:color w:val="000000" w:themeColor="text1"/>
          <w:sz w:val="21"/>
          <w:szCs w:val="21"/>
          <w:lang w:val="en-AU"/>
        </w:rPr>
        <w:t xml:space="preserve">Other delivery mechanisms (such as a CSIRO-managed program, the </w:t>
      </w:r>
      <w:r w:rsidR="00D75882" w:rsidRPr="00F83B6E">
        <w:rPr>
          <w:color w:val="000000" w:themeColor="text1"/>
          <w:sz w:val="21"/>
          <w:szCs w:val="21"/>
          <w:lang w:val="en-AU"/>
        </w:rPr>
        <w:t xml:space="preserve">(previous) </w:t>
      </w:r>
      <w:r w:rsidR="00DB1BEB" w:rsidRPr="00F83B6E">
        <w:rPr>
          <w:color w:val="000000" w:themeColor="text1"/>
          <w:sz w:val="21"/>
          <w:szCs w:val="21"/>
          <w:lang w:val="en-AU"/>
        </w:rPr>
        <w:t>DISER Cooperative Research Centre model, or a facility approach) have been considered during the Investment Concept Note stage, but were deemed less favourable</w:t>
      </w:r>
      <w:r w:rsidR="0006740A" w:rsidRPr="00F83B6E">
        <w:rPr>
          <w:color w:val="000000" w:themeColor="text1"/>
          <w:sz w:val="21"/>
          <w:szCs w:val="21"/>
          <w:lang w:val="en-AU"/>
        </w:rPr>
        <w:t>.</w:t>
      </w:r>
      <w:r w:rsidR="00DB1BEB" w:rsidRPr="00F83B6E">
        <w:rPr>
          <w:rStyle w:val="FootnoteReference"/>
          <w:color w:val="000000" w:themeColor="text1"/>
          <w:lang w:val="en-AU"/>
        </w:rPr>
        <w:footnoteReference w:id="51"/>
      </w:r>
    </w:p>
    <w:p w14:paraId="214E0F52" w14:textId="4104D9F0" w:rsidR="00A545AB" w:rsidRPr="00F83B6E" w:rsidRDefault="00A545AB" w:rsidP="00133D36">
      <w:pPr>
        <w:tabs>
          <w:tab w:val="left" w:pos="284"/>
        </w:tabs>
        <w:spacing w:before="160" w:after="160" w:line="281" w:lineRule="auto"/>
        <w:jc w:val="both"/>
        <w:rPr>
          <w:color w:val="000000" w:themeColor="text1"/>
          <w:sz w:val="21"/>
          <w:szCs w:val="21"/>
          <w:lang w:val="en-AU"/>
        </w:rPr>
      </w:pPr>
      <w:r w:rsidRPr="00F83B6E">
        <w:rPr>
          <w:color w:val="000000" w:themeColor="text1"/>
          <w:sz w:val="21"/>
          <w:szCs w:val="21"/>
          <w:lang w:val="en-AU"/>
        </w:rPr>
        <w:t xml:space="preserve">The procurement of the </w:t>
      </w:r>
      <w:r w:rsidR="00CD5518" w:rsidRPr="00F83B6E">
        <w:rPr>
          <w:color w:val="000000" w:themeColor="text1"/>
          <w:sz w:val="21"/>
          <w:szCs w:val="21"/>
          <w:lang w:val="en-AU"/>
        </w:rPr>
        <w:t xml:space="preserve">managing contractor </w:t>
      </w:r>
      <w:r w:rsidR="005E1CA1" w:rsidRPr="00F83B6E">
        <w:rPr>
          <w:color w:val="000000" w:themeColor="text1"/>
          <w:sz w:val="21"/>
          <w:szCs w:val="21"/>
          <w:lang w:val="en-AU"/>
        </w:rPr>
        <w:t xml:space="preserve">services </w:t>
      </w:r>
      <w:r w:rsidRPr="00F83B6E">
        <w:rPr>
          <w:color w:val="000000" w:themeColor="text1"/>
          <w:sz w:val="21"/>
          <w:szCs w:val="21"/>
          <w:lang w:val="en-AU"/>
        </w:rPr>
        <w:t>will follow a</w:t>
      </w:r>
      <w:r w:rsidR="008E75A2" w:rsidRPr="00F83B6E">
        <w:rPr>
          <w:color w:val="000000" w:themeColor="text1"/>
          <w:sz w:val="21"/>
          <w:szCs w:val="21"/>
          <w:lang w:val="en-AU"/>
        </w:rPr>
        <w:t>n</w:t>
      </w:r>
      <w:r w:rsidRPr="00F83B6E">
        <w:rPr>
          <w:color w:val="000000" w:themeColor="text1"/>
          <w:sz w:val="21"/>
          <w:szCs w:val="21"/>
          <w:lang w:val="en-AU"/>
        </w:rPr>
        <w:t xml:space="preserve"> open and competitive process. </w:t>
      </w:r>
      <w:r w:rsidR="00133D36" w:rsidRPr="00F83B6E">
        <w:rPr>
          <w:color w:val="000000" w:themeColor="text1"/>
          <w:sz w:val="21"/>
          <w:szCs w:val="21"/>
          <w:lang w:val="en-AU"/>
        </w:rPr>
        <w:t>DFAT</w:t>
      </w:r>
      <w:r w:rsidRPr="00F83B6E">
        <w:rPr>
          <w:color w:val="000000" w:themeColor="text1"/>
          <w:sz w:val="21"/>
          <w:szCs w:val="21"/>
          <w:lang w:val="en-AU"/>
        </w:rPr>
        <w:t xml:space="preserve"> Contracting and Aid Management Division has endorsed the use of a two-step procurement process</w:t>
      </w:r>
      <w:r w:rsidR="005E1CA1" w:rsidRPr="00F83B6E">
        <w:rPr>
          <w:color w:val="000000" w:themeColor="text1"/>
          <w:sz w:val="21"/>
          <w:szCs w:val="21"/>
          <w:lang w:val="en-AU"/>
        </w:rPr>
        <w:t xml:space="preserve"> and</w:t>
      </w:r>
      <w:r w:rsidRPr="00F83B6E">
        <w:rPr>
          <w:color w:val="000000" w:themeColor="text1"/>
          <w:sz w:val="21"/>
          <w:szCs w:val="21"/>
          <w:lang w:val="en-AU"/>
        </w:rPr>
        <w:t xml:space="preserve"> DFAT has approached the market in </w:t>
      </w:r>
      <w:r w:rsidR="008E75A2" w:rsidRPr="00F83B6E">
        <w:rPr>
          <w:color w:val="000000" w:themeColor="text1"/>
          <w:sz w:val="21"/>
          <w:szCs w:val="21"/>
          <w:lang w:val="en-AU"/>
        </w:rPr>
        <w:t>late April</w:t>
      </w:r>
      <w:r w:rsidR="00133D36" w:rsidRPr="00F83B6E">
        <w:rPr>
          <w:color w:val="000000" w:themeColor="text1"/>
          <w:sz w:val="21"/>
          <w:szCs w:val="21"/>
          <w:lang w:val="en-AU"/>
        </w:rPr>
        <w:t xml:space="preserve"> </w:t>
      </w:r>
      <w:r w:rsidRPr="00F83B6E">
        <w:rPr>
          <w:color w:val="000000" w:themeColor="text1"/>
          <w:sz w:val="21"/>
          <w:szCs w:val="21"/>
          <w:lang w:val="en-AU"/>
        </w:rPr>
        <w:t>202</w:t>
      </w:r>
      <w:r w:rsidR="00133D36" w:rsidRPr="00F83B6E">
        <w:rPr>
          <w:color w:val="000000" w:themeColor="text1"/>
          <w:sz w:val="21"/>
          <w:szCs w:val="21"/>
          <w:lang w:val="en-AU"/>
        </w:rPr>
        <w:t>2</w:t>
      </w:r>
      <w:r w:rsidRPr="00F83B6E">
        <w:rPr>
          <w:color w:val="000000" w:themeColor="text1"/>
          <w:sz w:val="21"/>
          <w:szCs w:val="21"/>
          <w:lang w:val="en-AU"/>
        </w:rPr>
        <w:t xml:space="preserve"> for expressions of interest</w:t>
      </w:r>
      <w:r w:rsidR="00CD5518" w:rsidRPr="00F83B6E">
        <w:rPr>
          <w:color w:val="000000" w:themeColor="text1"/>
          <w:sz w:val="21"/>
          <w:szCs w:val="21"/>
          <w:lang w:val="en-AU"/>
        </w:rPr>
        <w:t>,</w:t>
      </w:r>
      <w:r w:rsidRPr="00F83B6E">
        <w:rPr>
          <w:color w:val="000000" w:themeColor="text1"/>
          <w:sz w:val="21"/>
          <w:szCs w:val="21"/>
          <w:vertAlign w:val="superscript"/>
          <w:lang w:val="en-AU"/>
        </w:rPr>
        <w:footnoteReference w:id="52"/>
      </w:r>
      <w:r w:rsidRPr="00F83B6E">
        <w:rPr>
          <w:color w:val="000000" w:themeColor="text1"/>
          <w:sz w:val="21"/>
          <w:szCs w:val="21"/>
          <w:lang w:val="en-AU"/>
        </w:rPr>
        <w:t xml:space="preserve"> with the intent to identify</w:t>
      </w:r>
      <w:r w:rsidRPr="00F83B6E">
        <w:rPr>
          <w:color w:val="000000" w:themeColor="text1"/>
          <w:lang w:val="en-AU"/>
        </w:rPr>
        <w:t xml:space="preserve"> </w:t>
      </w:r>
      <w:r w:rsidRPr="00F83B6E">
        <w:rPr>
          <w:color w:val="000000" w:themeColor="text1"/>
          <w:sz w:val="21"/>
          <w:szCs w:val="21"/>
          <w:lang w:val="en-AU"/>
        </w:rPr>
        <w:t xml:space="preserve">a shortlist of qualified tenderers by </w:t>
      </w:r>
      <w:r w:rsidR="008E75A2" w:rsidRPr="00F83B6E">
        <w:rPr>
          <w:color w:val="000000" w:themeColor="text1"/>
          <w:sz w:val="21"/>
          <w:szCs w:val="21"/>
          <w:lang w:val="en-AU"/>
        </w:rPr>
        <w:t>June</w:t>
      </w:r>
      <w:r w:rsidRPr="00F83B6E">
        <w:rPr>
          <w:color w:val="000000" w:themeColor="text1"/>
          <w:sz w:val="21"/>
          <w:szCs w:val="21"/>
          <w:lang w:val="en-AU"/>
        </w:rPr>
        <w:t xml:space="preserve"> 202</w:t>
      </w:r>
      <w:r w:rsidR="00133D36" w:rsidRPr="00F83B6E">
        <w:rPr>
          <w:color w:val="000000" w:themeColor="text1"/>
          <w:sz w:val="21"/>
          <w:szCs w:val="21"/>
          <w:lang w:val="en-AU"/>
        </w:rPr>
        <w:t>2</w:t>
      </w:r>
      <w:r w:rsidRPr="00F83B6E">
        <w:rPr>
          <w:color w:val="000000" w:themeColor="text1"/>
          <w:sz w:val="21"/>
          <w:szCs w:val="21"/>
          <w:lang w:val="en-AU"/>
        </w:rPr>
        <w:t xml:space="preserve">. </w:t>
      </w:r>
      <w:r w:rsidR="003552B2" w:rsidRPr="00F83B6E">
        <w:rPr>
          <w:color w:val="000000" w:themeColor="text1"/>
          <w:sz w:val="21"/>
          <w:szCs w:val="21"/>
          <w:lang w:val="en-AU"/>
        </w:rPr>
        <w:t xml:space="preserve">Following the approval of the </w:t>
      </w:r>
      <w:r w:rsidR="00CD5518" w:rsidRPr="00F83B6E">
        <w:rPr>
          <w:color w:val="000000" w:themeColor="text1"/>
          <w:sz w:val="21"/>
          <w:szCs w:val="21"/>
          <w:lang w:val="en-AU"/>
        </w:rPr>
        <w:t>design d</w:t>
      </w:r>
      <w:r w:rsidR="003552B2" w:rsidRPr="00F83B6E">
        <w:rPr>
          <w:color w:val="000000" w:themeColor="text1"/>
          <w:sz w:val="21"/>
          <w:szCs w:val="21"/>
          <w:lang w:val="en-AU"/>
        </w:rPr>
        <w:t>ocument, s</w:t>
      </w:r>
      <w:r w:rsidRPr="00F83B6E">
        <w:rPr>
          <w:color w:val="000000" w:themeColor="text1"/>
          <w:sz w:val="21"/>
          <w:szCs w:val="21"/>
          <w:lang w:val="en-AU"/>
        </w:rPr>
        <w:t>hortlisted organisations will be invited to participate in a succinct collaborative tender process</w:t>
      </w:r>
      <w:r w:rsidR="003552B2" w:rsidRPr="00F83B6E">
        <w:rPr>
          <w:color w:val="000000" w:themeColor="text1"/>
          <w:sz w:val="21"/>
          <w:szCs w:val="21"/>
          <w:lang w:val="en-AU"/>
        </w:rPr>
        <w:t>.</w:t>
      </w:r>
      <w:r w:rsidRPr="00F83B6E">
        <w:rPr>
          <w:color w:val="000000" w:themeColor="text1"/>
          <w:sz w:val="21"/>
          <w:szCs w:val="21"/>
          <w:lang w:val="en-AU"/>
        </w:rPr>
        <w:t xml:space="preserve"> It is expected that the contract for </w:t>
      </w:r>
      <w:r w:rsidR="00133D36" w:rsidRPr="00F83B6E">
        <w:rPr>
          <w:color w:val="000000" w:themeColor="text1"/>
          <w:sz w:val="21"/>
          <w:szCs w:val="21"/>
          <w:lang w:val="en-AU"/>
        </w:rPr>
        <w:t xml:space="preserve">KPP </w:t>
      </w:r>
      <w:r w:rsidRPr="00F83B6E">
        <w:rPr>
          <w:color w:val="000000" w:themeColor="text1"/>
          <w:sz w:val="21"/>
          <w:szCs w:val="21"/>
          <w:lang w:val="en-AU"/>
        </w:rPr>
        <w:t xml:space="preserve">implementation will be signed in </w:t>
      </w:r>
      <w:r w:rsidR="00133D36" w:rsidRPr="00F83B6E">
        <w:rPr>
          <w:color w:val="000000" w:themeColor="text1"/>
          <w:sz w:val="21"/>
          <w:szCs w:val="21"/>
          <w:lang w:val="en-AU"/>
        </w:rPr>
        <w:t>late</w:t>
      </w:r>
      <w:r w:rsidRPr="00F83B6E">
        <w:rPr>
          <w:color w:val="000000" w:themeColor="text1"/>
          <w:sz w:val="21"/>
          <w:szCs w:val="21"/>
          <w:lang w:val="en-AU"/>
        </w:rPr>
        <w:t xml:space="preserve"> 2022, </w:t>
      </w:r>
      <w:r w:rsidR="00133D36" w:rsidRPr="00F83B6E">
        <w:rPr>
          <w:color w:val="000000" w:themeColor="text1"/>
          <w:sz w:val="21"/>
          <w:szCs w:val="21"/>
          <w:lang w:val="en-AU"/>
        </w:rPr>
        <w:t>and the</w:t>
      </w:r>
      <w:r w:rsidRPr="00F83B6E">
        <w:rPr>
          <w:color w:val="000000" w:themeColor="text1"/>
          <w:sz w:val="21"/>
          <w:szCs w:val="21"/>
          <w:lang w:val="en-AU"/>
        </w:rPr>
        <w:t xml:space="preserve"> </w:t>
      </w:r>
      <w:r w:rsidR="00133D36" w:rsidRPr="00F83B6E">
        <w:rPr>
          <w:color w:val="000000" w:themeColor="text1"/>
          <w:sz w:val="21"/>
          <w:szCs w:val="21"/>
          <w:lang w:val="en-AU"/>
        </w:rPr>
        <w:t xml:space="preserve">mobilisation of the </w:t>
      </w:r>
      <w:r w:rsidR="00C16282" w:rsidRPr="00F83B6E">
        <w:rPr>
          <w:color w:val="000000" w:themeColor="text1"/>
          <w:sz w:val="21"/>
          <w:szCs w:val="21"/>
          <w:lang w:val="en-AU"/>
        </w:rPr>
        <w:t>Platform Hub’s</w:t>
      </w:r>
      <w:r w:rsidR="00133D36" w:rsidRPr="00F83B6E">
        <w:rPr>
          <w:color w:val="000000" w:themeColor="text1"/>
          <w:sz w:val="21"/>
          <w:szCs w:val="21"/>
          <w:lang w:val="en-AU"/>
        </w:rPr>
        <w:t xml:space="preserve"> team in early 2023</w:t>
      </w:r>
      <w:r w:rsidR="008E75A2" w:rsidRPr="00F83B6E">
        <w:rPr>
          <w:color w:val="000000" w:themeColor="text1"/>
          <w:sz w:val="21"/>
          <w:szCs w:val="21"/>
          <w:lang w:val="en-AU"/>
        </w:rPr>
        <w:t>,</w:t>
      </w:r>
      <w:r w:rsidR="00133D36" w:rsidRPr="00F83B6E">
        <w:rPr>
          <w:color w:val="000000" w:themeColor="text1"/>
          <w:sz w:val="21"/>
          <w:szCs w:val="21"/>
          <w:lang w:val="en-AU"/>
        </w:rPr>
        <w:t xml:space="preserve"> ideally once an appropriate Subsidiary Agreement </w:t>
      </w:r>
      <w:r w:rsidR="00C16282" w:rsidRPr="00F83B6E">
        <w:rPr>
          <w:color w:val="000000" w:themeColor="text1"/>
          <w:sz w:val="21"/>
          <w:szCs w:val="21"/>
          <w:lang w:val="en-AU"/>
        </w:rPr>
        <w:t xml:space="preserve">(SA) </w:t>
      </w:r>
      <w:r w:rsidR="00133D36" w:rsidRPr="00F83B6E">
        <w:rPr>
          <w:color w:val="000000" w:themeColor="text1"/>
          <w:sz w:val="21"/>
          <w:szCs w:val="21"/>
          <w:lang w:val="en-AU"/>
        </w:rPr>
        <w:t xml:space="preserve">has been signed between </w:t>
      </w:r>
      <w:proofErr w:type="spellStart"/>
      <w:r w:rsidR="00133D36" w:rsidRPr="00F83B6E">
        <w:rPr>
          <w:color w:val="000000" w:themeColor="text1"/>
          <w:sz w:val="21"/>
          <w:szCs w:val="21"/>
          <w:lang w:val="en-AU"/>
        </w:rPr>
        <w:t>Go</w:t>
      </w:r>
      <w:r w:rsidR="003552B2" w:rsidRPr="00F83B6E">
        <w:rPr>
          <w:color w:val="000000" w:themeColor="text1"/>
          <w:sz w:val="21"/>
          <w:szCs w:val="21"/>
          <w:lang w:val="en-AU"/>
        </w:rPr>
        <w:t>A</w:t>
      </w:r>
      <w:proofErr w:type="spellEnd"/>
      <w:r w:rsidR="00133D36" w:rsidRPr="00F83B6E">
        <w:rPr>
          <w:color w:val="000000" w:themeColor="text1"/>
          <w:sz w:val="21"/>
          <w:szCs w:val="21"/>
          <w:lang w:val="en-AU"/>
        </w:rPr>
        <w:t xml:space="preserve"> and </w:t>
      </w:r>
      <w:proofErr w:type="spellStart"/>
      <w:r w:rsidR="00133D36" w:rsidRPr="00F83B6E">
        <w:rPr>
          <w:color w:val="000000" w:themeColor="text1"/>
          <w:sz w:val="21"/>
          <w:szCs w:val="21"/>
          <w:lang w:val="en-AU"/>
        </w:rPr>
        <w:t>GoI</w:t>
      </w:r>
      <w:proofErr w:type="spellEnd"/>
      <w:r w:rsidRPr="00F83B6E">
        <w:rPr>
          <w:color w:val="000000" w:themeColor="text1"/>
          <w:sz w:val="21"/>
          <w:szCs w:val="21"/>
          <w:lang w:val="en-AU"/>
        </w:rPr>
        <w:t xml:space="preserve">. </w:t>
      </w:r>
    </w:p>
    <w:p w14:paraId="72299072" w14:textId="77777777" w:rsidR="00CB5D29" w:rsidRPr="00F83B6E" w:rsidRDefault="00CB5D29" w:rsidP="00133D36">
      <w:pPr>
        <w:tabs>
          <w:tab w:val="left" w:pos="284"/>
        </w:tabs>
        <w:spacing w:before="160" w:after="160" w:line="281" w:lineRule="auto"/>
        <w:jc w:val="both"/>
        <w:rPr>
          <w:color w:val="000000" w:themeColor="text1"/>
          <w:sz w:val="21"/>
          <w:szCs w:val="21"/>
          <w:lang w:val="en-AU"/>
        </w:rPr>
      </w:pPr>
    </w:p>
    <w:p w14:paraId="5F50D511" w14:textId="77777777" w:rsidR="00764B7C" w:rsidRPr="00F83B6E" w:rsidRDefault="00764B7C" w:rsidP="00133D36">
      <w:pPr>
        <w:tabs>
          <w:tab w:val="left" w:pos="284"/>
        </w:tabs>
        <w:spacing w:before="160" w:after="160" w:line="281" w:lineRule="auto"/>
        <w:jc w:val="both"/>
        <w:rPr>
          <w:color w:val="000000" w:themeColor="text1"/>
          <w:sz w:val="21"/>
          <w:szCs w:val="21"/>
          <w:lang w:val="en-AU"/>
        </w:rPr>
      </w:pPr>
    </w:p>
    <w:p w14:paraId="2892C9D7" w14:textId="77777777" w:rsidR="00764B7C" w:rsidRPr="00F83B6E" w:rsidRDefault="00764B7C" w:rsidP="00133D36">
      <w:pPr>
        <w:tabs>
          <w:tab w:val="left" w:pos="284"/>
        </w:tabs>
        <w:spacing w:before="160" w:after="160" w:line="281" w:lineRule="auto"/>
        <w:jc w:val="both"/>
        <w:rPr>
          <w:color w:val="000000" w:themeColor="text1"/>
          <w:sz w:val="21"/>
          <w:szCs w:val="21"/>
          <w:lang w:val="en-AU"/>
        </w:rPr>
      </w:pPr>
    </w:p>
    <w:p w14:paraId="4C5933F6" w14:textId="4B648926" w:rsidR="00DE1D6F" w:rsidRPr="00F83B6E" w:rsidRDefault="00DE1D6F" w:rsidP="00DE1D6F">
      <w:pPr>
        <w:pStyle w:val="Caption"/>
        <w:rPr>
          <w:color w:val="000000" w:themeColor="text1"/>
        </w:rPr>
      </w:pPr>
      <w:r w:rsidRPr="00F83B6E">
        <w:rPr>
          <w:color w:val="000000" w:themeColor="text1"/>
        </w:rPr>
        <w:lastRenderedPageBreak/>
        <w:t xml:space="preserve">Figure </w:t>
      </w:r>
      <w:r w:rsidR="00F3077E" w:rsidRPr="00F83B6E">
        <w:rPr>
          <w:color w:val="000000" w:themeColor="text1"/>
        </w:rPr>
        <w:fldChar w:fldCharType="begin"/>
      </w:r>
      <w:r w:rsidR="00F3077E" w:rsidRPr="00F83B6E">
        <w:rPr>
          <w:color w:val="000000" w:themeColor="text1"/>
        </w:rPr>
        <w:instrText xml:space="preserve"> SEQ Figure \* ARABIC </w:instrText>
      </w:r>
      <w:r w:rsidR="00F3077E" w:rsidRPr="00F83B6E">
        <w:rPr>
          <w:color w:val="000000" w:themeColor="text1"/>
        </w:rPr>
        <w:fldChar w:fldCharType="separate"/>
      </w:r>
      <w:r w:rsidR="00A578DF">
        <w:rPr>
          <w:noProof/>
          <w:color w:val="000000" w:themeColor="text1"/>
        </w:rPr>
        <w:t>11</w:t>
      </w:r>
      <w:r w:rsidR="00F3077E" w:rsidRPr="00F83B6E">
        <w:rPr>
          <w:color w:val="000000" w:themeColor="text1"/>
        </w:rPr>
        <w:fldChar w:fldCharType="end"/>
      </w:r>
      <w:r w:rsidR="00F3077E" w:rsidRPr="00F83B6E">
        <w:rPr>
          <w:color w:val="000000" w:themeColor="text1"/>
          <w:lang w:val="en-AU"/>
        </w:rPr>
        <w:t xml:space="preserve"> </w:t>
      </w:r>
      <w:r w:rsidRPr="00F83B6E">
        <w:rPr>
          <w:color w:val="000000" w:themeColor="text1"/>
          <w:lang w:val="en-AU"/>
        </w:rPr>
        <w:tab/>
        <w:t>Indicative procurement process for the KPP contractor</w:t>
      </w:r>
    </w:p>
    <w:tbl>
      <w:tblPr>
        <w:tblStyle w:val="TableGrid1"/>
        <w:tblW w:w="5000" w:type="pct"/>
        <w:tblLook w:val="04A0" w:firstRow="1" w:lastRow="0" w:firstColumn="1" w:lastColumn="0" w:noHBand="0" w:noVBand="1"/>
        <w:tblCaption w:val="Figure 11"/>
        <w:tblDescription w:val="Indicative procurement process for KPP contractor "/>
      </w:tblPr>
      <w:tblGrid>
        <w:gridCol w:w="6552"/>
        <w:gridCol w:w="3075"/>
      </w:tblGrid>
      <w:tr w:rsidR="00F83B6E" w:rsidRPr="00F83B6E" w14:paraId="494F7417" w14:textId="77777777" w:rsidTr="00A20C88">
        <w:trPr>
          <w:tblHeader/>
        </w:trPr>
        <w:tc>
          <w:tcPr>
            <w:tcW w:w="3403" w:type="pct"/>
            <w:hideMark/>
          </w:tcPr>
          <w:p w14:paraId="1BEF3B97" w14:textId="45EAE8B2" w:rsidR="00FF24F5" w:rsidRPr="00F83B6E" w:rsidRDefault="00FF24F5" w:rsidP="00633BD2">
            <w:pPr>
              <w:pStyle w:val="TableHeaderRow"/>
              <w:rPr>
                <w:color w:val="000000" w:themeColor="text1"/>
                <w:sz w:val="24"/>
                <w:szCs w:val="24"/>
                <w:lang w:val="en-AU"/>
              </w:rPr>
            </w:pPr>
            <w:r w:rsidRPr="00F83B6E">
              <w:rPr>
                <w:color w:val="000000" w:themeColor="text1"/>
                <w:sz w:val="24"/>
                <w:szCs w:val="24"/>
                <w:lang w:val="en-AU"/>
              </w:rPr>
              <w:t>T</w:t>
            </w:r>
            <w:r w:rsidR="006871E3" w:rsidRPr="00F83B6E">
              <w:rPr>
                <w:color w:val="000000" w:themeColor="text1"/>
                <w:sz w:val="24"/>
                <w:szCs w:val="24"/>
                <w:lang w:val="en-AU"/>
              </w:rPr>
              <w:t>asks</w:t>
            </w:r>
          </w:p>
        </w:tc>
        <w:tc>
          <w:tcPr>
            <w:tcW w:w="1597" w:type="pct"/>
            <w:hideMark/>
          </w:tcPr>
          <w:p w14:paraId="43CDCD72" w14:textId="5FEDDC37" w:rsidR="00FF24F5" w:rsidRPr="00F83B6E" w:rsidRDefault="006871E3" w:rsidP="00EB0346">
            <w:pPr>
              <w:pStyle w:val="TableHeaderRow"/>
              <w:rPr>
                <w:color w:val="000000" w:themeColor="text1"/>
                <w:sz w:val="24"/>
                <w:szCs w:val="24"/>
                <w:lang w:val="en-AU"/>
              </w:rPr>
            </w:pPr>
            <w:r w:rsidRPr="00F83B6E">
              <w:rPr>
                <w:color w:val="000000" w:themeColor="text1"/>
                <w:sz w:val="24"/>
                <w:szCs w:val="24"/>
                <w:lang w:val="en-AU"/>
              </w:rPr>
              <w:t>Timing</w:t>
            </w:r>
          </w:p>
        </w:tc>
      </w:tr>
      <w:tr w:rsidR="00F83B6E" w:rsidRPr="00F83B6E" w14:paraId="4E31FA36" w14:textId="77777777" w:rsidTr="00764B7C">
        <w:tc>
          <w:tcPr>
            <w:tcW w:w="3403" w:type="pct"/>
          </w:tcPr>
          <w:p w14:paraId="5C686663" w14:textId="5CD32617" w:rsidR="00F75EF7" w:rsidRPr="00F83B6E" w:rsidRDefault="00F75EF7" w:rsidP="00633BD2">
            <w:pPr>
              <w:pStyle w:val="TableHeaderRow"/>
              <w:rPr>
                <w:color w:val="000000" w:themeColor="text1"/>
                <w:sz w:val="22"/>
                <w:szCs w:val="22"/>
                <w:lang w:val="en-AU"/>
              </w:rPr>
            </w:pPr>
            <w:r w:rsidRPr="00F83B6E">
              <w:rPr>
                <w:color w:val="000000" w:themeColor="text1"/>
                <w:sz w:val="22"/>
                <w:szCs w:val="22"/>
                <w:lang w:val="en-AU"/>
              </w:rPr>
              <w:t>Step 1 – Expression of Interest (EOI)</w:t>
            </w:r>
          </w:p>
        </w:tc>
        <w:tc>
          <w:tcPr>
            <w:tcW w:w="1597" w:type="pct"/>
          </w:tcPr>
          <w:p w14:paraId="2C2CCFF0" w14:textId="77777777" w:rsidR="00F75EF7" w:rsidRPr="00F83B6E" w:rsidRDefault="00F75EF7" w:rsidP="00EB0346">
            <w:pPr>
              <w:pStyle w:val="TableHeaderRow"/>
              <w:rPr>
                <w:color w:val="000000" w:themeColor="text1"/>
                <w:lang w:val="en-AU"/>
              </w:rPr>
            </w:pPr>
          </w:p>
        </w:tc>
      </w:tr>
      <w:tr w:rsidR="00F83B6E" w:rsidRPr="00F83B6E" w14:paraId="18BA8067" w14:textId="77777777" w:rsidTr="00764B7C">
        <w:tc>
          <w:tcPr>
            <w:tcW w:w="3403" w:type="pct"/>
            <w:hideMark/>
          </w:tcPr>
          <w:p w14:paraId="50D98CE8" w14:textId="77777777" w:rsidR="00FF24F5" w:rsidRPr="00F83B6E" w:rsidRDefault="00FF24F5" w:rsidP="00633BD2">
            <w:pPr>
              <w:pStyle w:val="TableText"/>
              <w:rPr>
                <w:b/>
                <w:bCs/>
                <w:color w:val="000000" w:themeColor="text1"/>
                <w:lang w:val="en-AU"/>
              </w:rPr>
            </w:pPr>
            <w:r w:rsidRPr="00F83B6E">
              <w:rPr>
                <w:color w:val="000000" w:themeColor="text1"/>
                <w:lang w:val="en-AU"/>
              </w:rPr>
              <w:t xml:space="preserve">DFAT issues request for expressions of interest (REOI) on </w:t>
            </w:r>
            <w:proofErr w:type="spellStart"/>
            <w:r w:rsidRPr="00F83B6E">
              <w:rPr>
                <w:color w:val="000000" w:themeColor="text1"/>
                <w:lang w:val="en-AU"/>
              </w:rPr>
              <w:t>AusTender</w:t>
            </w:r>
            <w:proofErr w:type="spellEnd"/>
          </w:p>
        </w:tc>
        <w:tc>
          <w:tcPr>
            <w:tcW w:w="1597" w:type="pct"/>
            <w:hideMark/>
          </w:tcPr>
          <w:p w14:paraId="44FF7F11" w14:textId="582B2C9F" w:rsidR="00FF24F5" w:rsidRPr="00F83B6E" w:rsidRDefault="00FF24F5" w:rsidP="001B7A01">
            <w:pPr>
              <w:pStyle w:val="TableText"/>
              <w:rPr>
                <w:color w:val="000000" w:themeColor="text1"/>
                <w:lang w:val="en-AU"/>
              </w:rPr>
            </w:pPr>
            <w:r w:rsidRPr="00F83B6E">
              <w:rPr>
                <w:color w:val="000000" w:themeColor="text1"/>
                <w:lang w:val="en-AU"/>
              </w:rPr>
              <w:t>26 April 2022</w:t>
            </w:r>
          </w:p>
        </w:tc>
      </w:tr>
      <w:tr w:rsidR="00F83B6E" w:rsidRPr="00F83B6E" w14:paraId="2FE1015D" w14:textId="77777777" w:rsidTr="00764B7C">
        <w:tc>
          <w:tcPr>
            <w:tcW w:w="3403" w:type="pct"/>
            <w:hideMark/>
          </w:tcPr>
          <w:p w14:paraId="45DC9EFF" w14:textId="6062CB50" w:rsidR="00FF24F5" w:rsidRPr="00F83B6E" w:rsidRDefault="00FF24F5" w:rsidP="00633BD2">
            <w:pPr>
              <w:pStyle w:val="TableText"/>
              <w:rPr>
                <w:b/>
                <w:bCs/>
                <w:color w:val="000000" w:themeColor="text1"/>
                <w:lang w:val="en-AU"/>
              </w:rPr>
            </w:pPr>
            <w:r w:rsidRPr="00F83B6E">
              <w:rPr>
                <w:color w:val="000000" w:themeColor="text1"/>
                <w:lang w:val="en-AU"/>
              </w:rPr>
              <w:t xml:space="preserve">Closing date for submission of EOI via </w:t>
            </w:r>
            <w:proofErr w:type="spellStart"/>
            <w:r w:rsidRPr="00F83B6E">
              <w:rPr>
                <w:color w:val="000000" w:themeColor="text1"/>
                <w:lang w:val="en-AU"/>
              </w:rPr>
              <w:t>AusTender</w:t>
            </w:r>
            <w:proofErr w:type="spellEnd"/>
          </w:p>
        </w:tc>
        <w:tc>
          <w:tcPr>
            <w:tcW w:w="1597" w:type="pct"/>
            <w:hideMark/>
          </w:tcPr>
          <w:p w14:paraId="3BCC8397" w14:textId="0B5BB358" w:rsidR="00FF24F5" w:rsidRPr="00F83B6E" w:rsidRDefault="00FF24F5" w:rsidP="001B7A01">
            <w:pPr>
              <w:pStyle w:val="TableText"/>
              <w:rPr>
                <w:color w:val="000000" w:themeColor="text1"/>
                <w:lang w:val="en-AU"/>
              </w:rPr>
            </w:pPr>
            <w:r w:rsidRPr="00F83B6E">
              <w:rPr>
                <w:color w:val="000000" w:themeColor="text1"/>
                <w:lang w:val="en-AU"/>
              </w:rPr>
              <w:t>23 May 2022</w:t>
            </w:r>
          </w:p>
        </w:tc>
      </w:tr>
      <w:tr w:rsidR="00F83B6E" w:rsidRPr="00F83B6E" w14:paraId="5F7AF893" w14:textId="77777777" w:rsidTr="00764B7C">
        <w:tc>
          <w:tcPr>
            <w:tcW w:w="3403" w:type="pct"/>
            <w:hideMark/>
          </w:tcPr>
          <w:p w14:paraId="65FE0787" w14:textId="77777777" w:rsidR="00FF24F5" w:rsidRPr="00F83B6E" w:rsidRDefault="00FF24F5" w:rsidP="00633BD2">
            <w:pPr>
              <w:pStyle w:val="TableText"/>
              <w:rPr>
                <w:b/>
                <w:bCs/>
                <w:color w:val="000000" w:themeColor="text1"/>
                <w:lang w:val="en-AU"/>
              </w:rPr>
            </w:pPr>
            <w:r w:rsidRPr="00F83B6E">
              <w:rPr>
                <w:color w:val="000000" w:themeColor="text1"/>
                <w:lang w:val="en-AU"/>
              </w:rPr>
              <w:t>Conformity Checks DVB</w:t>
            </w:r>
          </w:p>
        </w:tc>
        <w:tc>
          <w:tcPr>
            <w:tcW w:w="1597" w:type="pct"/>
            <w:hideMark/>
          </w:tcPr>
          <w:p w14:paraId="3A1F57E0" w14:textId="08480DCA" w:rsidR="00FF24F5" w:rsidRPr="00F83B6E" w:rsidRDefault="00FF24F5" w:rsidP="001B7A01">
            <w:pPr>
              <w:pStyle w:val="TableText"/>
              <w:rPr>
                <w:color w:val="000000" w:themeColor="text1"/>
                <w:lang w:val="en-AU"/>
              </w:rPr>
            </w:pPr>
            <w:r w:rsidRPr="00F83B6E">
              <w:rPr>
                <w:color w:val="000000" w:themeColor="text1"/>
                <w:lang w:val="en-AU"/>
              </w:rPr>
              <w:t xml:space="preserve">23 and 24 May 2022 </w:t>
            </w:r>
          </w:p>
        </w:tc>
      </w:tr>
      <w:tr w:rsidR="00F83B6E" w:rsidRPr="00F83B6E" w14:paraId="528548B1" w14:textId="77777777" w:rsidTr="00764B7C">
        <w:tc>
          <w:tcPr>
            <w:tcW w:w="3403" w:type="pct"/>
            <w:hideMark/>
          </w:tcPr>
          <w:p w14:paraId="0B9F1531" w14:textId="461BC327" w:rsidR="00FF24F5" w:rsidRPr="00F83B6E" w:rsidRDefault="00FF24F5" w:rsidP="00633BD2">
            <w:pPr>
              <w:pStyle w:val="TableText"/>
              <w:rPr>
                <w:b/>
                <w:bCs/>
                <w:color w:val="000000" w:themeColor="text1"/>
                <w:lang w:val="en-AU"/>
              </w:rPr>
            </w:pPr>
            <w:r w:rsidRPr="00F83B6E">
              <w:rPr>
                <w:color w:val="000000" w:themeColor="text1"/>
                <w:lang w:val="en-AU"/>
              </w:rPr>
              <w:t>Evaluation of EOI</w:t>
            </w:r>
          </w:p>
        </w:tc>
        <w:tc>
          <w:tcPr>
            <w:tcW w:w="1597" w:type="pct"/>
            <w:hideMark/>
          </w:tcPr>
          <w:p w14:paraId="674B6597" w14:textId="4A0CAE30" w:rsidR="00FF24F5" w:rsidRPr="00F83B6E" w:rsidRDefault="00FF24F5" w:rsidP="001B7A01">
            <w:pPr>
              <w:pStyle w:val="TableText"/>
              <w:rPr>
                <w:color w:val="000000" w:themeColor="text1"/>
                <w:lang w:val="en-AU"/>
              </w:rPr>
            </w:pPr>
            <w:r w:rsidRPr="00F83B6E">
              <w:rPr>
                <w:color w:val="000000" w:themeColor="text1"/>
                <w:lang w:val="en-AU"/>
              </w:rPr>
              <w:t>Week starting 6 June 2022</w:t>
            </w:r>
          </w:p>
        </w:tc>
      </w:tr>
      <w:tr w:rsidR="00F83B6E" w:rsidRPr="00F83B6E" w14:paraId="54FD648C" w14:textId="77777777" w:rsidTr="00764B7C">
        <w:tc>
          <w:tcPr>
            <w:tcW w:w="3403" w:type="pct"/>
            <w:hideMark/>
          </w:tcPr>
          <w:p w14:paraId="5E428B49" w14:textId="77777777" w:rsidR="00FF24F5" w:rsidRPr="00F83B6E" w:rsidRDefault="00FF24F5" w:rsidP="00633BD2">
            <w:pPr>
              <w:pStyle w:val="TableText"/>
              <w:rPr>
                <w:b/>
                <w:bCs/>
                <w:color w:val="000000" w:themeColor="text1"/>
                <w:lang w:val="en-AU"/>
              </w:rPr>
            </w:pPr>
            <w:r w:rsidRPr="00F83B6E">
              <w:rPr>
                <w:color w:val="000000" w:themeColor="text1"/>
                <w:lang w:val="en-AU"/>
              </w:rPr>
              <w:t xml:space="preserve">Notification of outcome </w:t>
            </w:r>
          </w:p>
        </w:tc>
        <w:tc>
          <w:tcPr>
            <w:tcW w:w="1597" w:type="pct"/>
            <w:hideMark/>
          </w:tcPr>
          <w:p w14:paraId="39E65952" w14:textId="77777777" w:rsidR="00FF24F5" w:rsidRPr="00F83B6E" w:rsidRDefault="00FF24F5" w:rsidP="001B7A01">
            <w:pPr>
              <w:pStyle w:val="TableText"/>
              <w:rPr>
                <w:color w:val="000000" w:themeColor="text1"/>
                <w:lang w:val="en-AU"/>
              </w:rPr>
            </w:pPr>
            <w:r w:rsidRPr="00F83B6E">
              <w:rPr>
                <w:color w:val="000000" w:themeColor="text1"/>
                <w:lang w:val="en-AU"/>
              </w:rPr>
              <w:t>15 June 2022</w:t>
            </w:r>
          </w:p>
        </w:tc>
      </w:tr>
      <w:tr w:rsidR="00F83B6E" w:rsidRPr="00F83B6E" w14:paraId="469C8A84" w14:textId="77777777" w:rsidTr="00764B7C">
        <w:tc>
          <w:tcPr>
            <w:tcW w:w="3403" w:type="pct"/>
          </w:tcPr>
          <w:p w14:paraId="3B65327C" w14:textId="1A39B260" w:rsidR="00F75EF7" w:rsidRPr="00F83B6E" w:rsidRDefault="00F75EF7" w:rsidP="00633BD2">
            <w:pPr>
              <w:pStyle w:val="TableText"/>
              <w:rPr>
                <w:color w:val="000000" w:themeColor="text1"/>
                <w:sz w:val="22"/>
                <w:szCs w:val="22"/>
                <w:lang w:val="en-AU"/>
              </w:rPr>
            </w:pPr>
            <w:r w:rsidRPr="00F83B6E">
              <w:rPr>
                <w:color w:val="000000" w:themeColor="text1"/>
                <w:sz w:val="22"/>
                <w:szCs w:val="22"/>
                <w:lang w:val="en-AU"/>
              </w:rPr>
              <w:t xml:space="preserve">Step 2 – Tender </w:t>
            </w:r>
          </w:p>
        </w:tc>
        <w:tc>
          <w:tcPr>
            <w:tcW w:w="1597" w:type="pct"/>
          </w:tcPr>
          <w:p w14:paraId="344E9AFC" w14:textId="77777777" w:rsidR="00F75EF7" w:rsidRPr="00F83B6E" w:rsidRDefault="00F75EF7" w:rsidP="001B7A01">
            <w:pPr>
              <w:pStyle w:val="TableText"/>
              <w:rPr>
                <w:color w:val="000000" w:themeColor="text1"/>
                <w:lang w:val="en-AU"/>
              </w:rPr>
            </w:pPr>
          </w:p>
        </w:tc>
      </w:tr>
      <w:tr w:rsidR="00F83B6E" w:rsidRPr="00F83B6E" w14:paraId="43FAD321" w14:textId="77777777" w:rsidTr="00764B7C">
        <w:tc>
          <w:tcPr>
            <w:tcW w:w="3403" w:type="pct"/>
            <w:hideMark/>
          </w:tcPr>
          <w:p w14:paraId="0A2D6868" w14:textId="77777777" w:rsidR="00FF24F5" w:rsidRPr="00F83B6E" w:rsidRDefault="00FF24F5" w:rsidP="00633BD2">
            <w:pPr>
              <w:pStyle w:val="TableText"/>
              <w:rPr>
                <w:b/>
                <w:bCs/>
                <w:color w:val="000000" w:themeColor="text1"/>
                <w:lang w:val="en-AU"/>
              </w:rPr>
            </w:pPr>
            <w:r w:rsidRPr="00F83B6E">
              <w:rPr>
                <w:color w:val="000000" w:themeColor="text1"/>
                <w:lang w:val="en-AU"/>
              </w:rPr>
              <w:t>Collaborative space with shortlisted respondents only</w:t>
            </w:r>
          </w:p>
        </w:tc>
        <w:tc>
          <w:tcPr>
            <w:tcW w:w="1597" w:type="pct"/>
            <w:hideMark/>
          </w:tcPr>
          <w:p w14:paraId="0B0B1A40" w14:textId="77777777" w:rsidR="00FF24F5" w:rsidRPr="00F83B6E" w:rsidRDefault="00FF24F5" w:rsidP="001B7A01">
            <w:pPr>
              <w:pStyle w:val="TableText"/>
              <w:rPr>
                <w:color w:val="000000" w:themeColor="text1"/>
                <w:lang w:val="en-AU"/>
              </w:rPr>
            </w:pPr>
            <w:r w:rsidRPr="00F83B6E">
              <w:rPr>
                <w:color w:val="000000" w:themeColor="text1"/>
                <w:lang w:val="en-AU"/>
              </w:rPr>
              <w:t>Late-June 2022</w:t>
            </w:r>
          </w:p>
        </w:tc>
      </w:tr>
      <w:tr w:rsidR="00F83B6E" w:rsidRPr="00F83B6E" w14:paraId="2CF3E7DD" w14:textId="77777777" w:rsidTr="00764B7C">
        <w:tc>
          <w:tcPr>
            <w:tcW w:w="3403" w:type="pct"/>
            <w:hideMark/>
          </w:tcPr>
          <w:p w14:paraId="08827694" w14:textId="77777777" w:rsidR="00FF24F5" w:rsidRPr="00F83B6E" w:rsidRDefault="00FF24F5" w:rsidP="00633BD2">
            <w:pPr>
              <w:pStyle w:val="TableText"/>
              <w:rPr>
                <w:b/>
                <w:bCs/>
                <w:color w:val="000000" w:themeColor="text1"/>
                <w:lang w:val="en-AU"/>
              </w:rPr>
            </w:pPr>
            <w:r w:rsidRPr="00F83B6E">
              <w:rPr>
                <w:color w:val="000000" w:themeColor="text1"/>
                <w:lang w:val="en-AU"/>
              </w:rPr>
              <w:t xml:space="preserve">DFAT issues request for tender (RFT) on </w:t>
            </w:r>
            <w:proofErr w:type="spellStart"/>
            <w:r w:rsidRPr="00F83B6E">
              <w:rPr>
                <w:color w:val="000000" w:themeColor="text1"/>
                <w:lang w:val="en-AU"/>
              </w:rPr>
              <w:t>AusTender</w:t>
            </w:r>
            <w:proofErr w:type="spellEnd"/>
            <w:r w:rsidRPr="00F83B6E">
              <w:rPr>
                <w:color w:val="000000" w:themeColor="text1"/>
                <w:lang w:val="en-AU"/>
              </w:rPr>
              <w:t xml:space="preserve"> to shortlisted respondents only</w:t>
            </w:r>
          </w:p>
        </w:tc>
        <w:tc>
          <w:tcPr>
            <w:tcW w:w="1597" w:type="pct"/>
            <w:hideMark/>
          </w:tcPr>
          <w:p w14:paraId="100BBA39" w14:textId="77777777" w:rsidR="00FF24F5" w:rsidRPr="00F83B6E" w:rsidRDefault="00FF24F5" w:rsidP="001B7A01">
            <w:pPr>
              <w:pStyle w:val="TableText"/>
              <w:rPr>
                <w:color w:val="000000" w:themeColor="text1"/>
                <w:lang w:val="en-AU"/>
              </w:rPr>
            </w:pPr>
            <w:r w:rsidRPr="00F83B6E">
              <w:rPr>
                <w:color w:val="000000" w:themeColor="text1"/>
                <w:lang w:val="en-AU"/>
              </w:rPr>
              <w:t>July 2022</w:t>
            </w:r>
          </w:p>
        </w:tc>
      </w:tr>
      <w:tr w:rsidR="00F83B6E" w:rsidRPr="00F83B6E" w14:paraId="0E850498" w14:textId="77777777" w:rsidTr="00764B7C">
        <w:tc>
          <w:tcPr>
            <w:tcW w:w="3403" w:type="pct"/>
            <w:hideMark/>
          </w:tcPr>
          <w:p w14:paraId="2412C3E2" w14:textId="5049AE97" w:rsidR="00FF24F5" w:rsidRPr="00F83B6E" w:rsidRDefault="00FF24F5" w:rsidP="00633BD2">
            <w:pPr>
              <w:pStyle w:val="TableText"/>
              <w:rPr>
                <w:b/>
                <w:bCs/>
                <w:color w:val="000000" w:themeColor="text1"/>
                <w:lang w:val="en-AU"/>
              </w:rPr>
            </w:pPr>
            <w:r w:rsidRPr="00F83B6E">
              <w:rPr>
                <w:color w:val="000000" w:themeColor="text1"/>
                <w:lang w:val="en-AU"/>
              </w:rPr>
              <w:t xml:space="preserve">Closing date for submission of tenders via </w:t>
            </w:r>
            <w:proofErr w:type="spellStart"/>
            <w:r w:rsidRPr="00F83B6E">
              <w:rPr>
                <w:color w:val="000000" w:themeColor="text1"/>
                <w:lang w:val="en-AU"/>
              </w:rPr>
              <w:t>AusTender</w:t>
            </w:r>
            <w:proofErr w:type="spellEnd"/>
          </w:p>
        </w:tc>
        <w:tc>
          <w:tcPr>
            <w:tcW w:w="1597" w:type="pct"/>
            <w:hideMark/>
          </w:tcPr>
          <w:p w14:paraId="7EF16A39" w14:textId="77777777" w:rsidR="00FF24F5" w:rsidRPr="00F83B6E" w:rsidRDefault="00FF24F5" w:rsidP="001B7A01">
            <w:pPr>
              <w:pStyle w:val="TableText"/>
              <w:rPr>
                <w:color w:val="000000" w:themeColor="text1"/>
                <w:lang w:val="en-AU"/>
              </w:rPr>
            </w:pPr>
            <w:r w:rsidRPr="00F83B6E">
              <w:rPr>
                <w:color w:val="000000" w:themeColor="text1"/>
                <w:lang w:val="en-AU"/>
              </w:rPr>
              <w:t>August 2022</w:t>
            </w:r>
          </w:p>
        </w:tc>
      </w:tr>
      <w:tr w:rsidR="00F83B6E" w:rsidRPr="00F83B6E" w14:paraId="32D0BDA5" w14:textId="77777777" w:rsidTr="00764B7C">
        <w:tc>
          <w:tcPr>
            <w:tcW w:w="3403" w:type="pct"/>
            <w:hideMark/>
          </w:tcPr>
          <w:p w14:paraId="200E06AC" w14:textId="77777777" w:rsidR="00FF24F5" w:rsidRPr="00F83B6E" w:rsidRDefault="00FF24F5" w:rsidP="00633BD2">
            <w:pPr>
              <w:pStyle w:val="TableText"/>
              <w:rPr>
                <w:b/>
                <w:bCs/>
                <w:color w:val="000000" w:themeColor="text1"/>
                <w:lang w:val="en-AU"/>
              </w:rPr>
            </w:pPr>
            <w:r w:rsidRPr="00F83B6E">
              <w:rPr>
                <w:color w:val="000000" w:themeColor="text1"/>
                <w:lang w:val="en-AU"/>
              </w:rPr>
              <w:t>Evaluation of RFT</w:t>
            </w:r>
          </w:p>
        </w:tc>
        <w:tc>
          <w:tcPr>
            <w:tcW w:w="1597" w:type="pct"/>
            <w:hideMark/>
          </w:tcPr>
          <w:p w14:paraId="5522CAF3" w14:textId="77777777" w:rsidR="00FF24F5" w:rsidRPr="00F83B6E" w:rsidRDefault="00FF24F5" w:rsidP="001B7A01">
            <w:pPr>
              <w:pStyle w:val="TableText"/>
              <w:rPr>
                <w:color w:val="000000" w:themeColor="text1"/>
                <w:lang w:val="en-AU"/>
              </w:rPr>
            </w:pPr>
            <w:r w:rsidRPr="00F83B6E">
              <w:rPr>
                <w:color w:val="000000" w:themeColor="text1"/>
                <w:lang w:val="en-AU"/>
              </w:rPr>
              <w:t>August 2022 (Dates TBC)</w:t>
            </w:r>
          </w:p>
        </w:tc>
      </w:tr>
      <w:tr w:rsidR="00F83B6E" w:rsidRPr="00F83B6E" w14:paraId="345C49DB" w14:textId="77777777" w:rsidTr="00764B7C">
        <w:tc>
          <w:tcPr>
            <w:tcW w:w="3403" w:type="pct"/>
            <w:hideMark/>
          </w:tcPr>
          <w:p w14:paraId="0D0835F7" w14:textId="77777777" w:rsidR="00FF24F5" w:rsidRPr="00F83B6E" w:rsidRDefault="00FF24F5" w:rsidP="00633BD2">
            <w:pPr>
              <w:pStyle w:val="TableText"/>
              <w:rPr>
                <w:b/>
                <w:bCs/>
                <w:color w:val="000000" w:themeColor="text1"/>
                <w:lang w:val="en-AU"/>
              </w:rPr>
            </w:pPr>
            <w:r w:rsidRPr="00F83B6E">
              <w:rPr>
                <w:color w:val="000000" w:themeColor="text1"/>
                <w:lang w:val="en-AU"/>
              </w:rPr>
              <w:t>Notification of outcome</w:t>
            </w:r>
          </w:p>
        </w:tc>
        <w:tc>
          <w:tcPr>
            <w:tcW w:w="1597" w:type="pct"/>
            <w:hideMark/>
          </w:tcPr>
          <w:p w14:paraId="0F0B021A" w14:textId="77777777" w:rsidR="00FF24F5" w:rsidRPr="00F83B6E" w:rsidRDefault="00FF24F5" w:rsidP="001B7A01">
            <w:pPr>
              <w:pStyle w:val="TableText"/>
              <w:rPr>
                <w:color w:val="000000" w:themeColor="text1"/>
                <w:lang w:val="en-AU"/>
              </w:rPr>
            </w:pPr>
            <w:r w:rsidRPr="00F83B6E">
              <w:rPr>
                <w:color w:val="000000" w:themeColor="text1"/>
                <w:lang w:val="en-AU"/>
              </w:rPr>
              <w:t>September/October 2022</w:t>
            </w:r>
          </w:p>
        </w:tc>
      </w:tr>
      <w:tr w:rsidR="00F83B6E" w:rsidRPr="00F83B6E" w14:paraId="563551AC" w14:textId="77777777" w:rsidTr="00764B7C">
        <w:tc>
          <w:tcPr>
            <w:tcW w:w="3403" w:type="pct"/>
            <w:hideMark/>
          </w:tcPr>
          <w:p w14:paraId="538A290E" w14:textId="2C2EBFA6" w:rsidR="00FF24F5" w:rsidRPr="00F83B6E" w:rsidRDefault="00FF24F5" w:rsidP="00633BD2">
            <w:pPr>
              <w:pStyle w:val="TableText"/>
              <w:rPr>
                <w:b/>
                <w:bCs/>
                <w:color w:val="000000" w:themeColor="text1"/>
                <w:lang w:val="en-AU"/>
              </w:rPr>
            </w:pPr>
            <w:r w:rsidRPr="00F83B6E">
              <w:rPr>
                <w:color w:val="000000" w:themeColor="text1"/>
                <w:lang w:val="en-AU"/>
              </w:rPr>
              <w:t xml:space="preserve">Contract negotiations </w:t>
            </w:r>
          </w:p>
        </w:tc>
        <w:tc>
          <w:tcPr>
            <w:tcW w:w="1597" w:type="pct"/>
            <w:hideMark/>
          </w:tcPr>
          <w:p w14:paraId="7655D766" w14:textId="77777777" w:rsidR="00FF24F5" w:rsidRPr="00F83B6E" w:rsidRDefault="00FF24F5" w:rsidP="001B7A01">
            <w:pPr>
              <w:pStyle w:val="TableText"/>
              <w:rPr>
                <w:color w:val="000000" w:themeColor="text1"/>
                <w:lang w:val="en-AU"/>
              </w:rPr>
            </w:pPr>
            <w:r w:rsidRPr="00F83B6E">
              <w:rPr>
                <w:color w:val="000000" w:themeColor="text1"/>
                <w:lang w:val="en-AU"/>
              </w:rPr>
              <w:t>November/December 2022</w:t>
            </w:r>
          </w:p>
        </w:tc>
      </w:tr>
      <w:tr w:rsidR="00F83B6E" w:rsidRPr="00F83B6E" w14:paraId="7E714B8B" w14:textId="77777777" w:rsidTr="00764B7C">
        <w:tc>
          <w:tcPr>
            <w:tcW w:w="3403" w:type="pct"/>
          </w:tcPr>
          <w:p w14:paraId="5E374D3E" w14:textId="187B0565" w:rsidR="00FF24F5" w:rsidRPr="00F83B6E" w:rsidRDefault="00FF24F5" w:rsidP="00633BD2">
            <w:pPr>
              <w:pStyle w:val="TableText"/>
              <w:rPr>
                <w:b/>
                <w:bCs/>
                <w:color w:val="000000" w:themeColor="text1"/>
                <w:lang w:val="en-AU"/>
              </w:rPr>
            </w:pPr>
            <w:r w:rsidRPr="00F83B6E">
              <w:rPr>
                <w:color w:val="000000" w:themeColor="text1"/>
                <w:lang w:val="en-AU"/>
              </w:rPr>
              <w:t>Start of services</w:t>
            </w:r>
          </w:p>
        </w:tc>
        <w:tc>
          <w:tcPr>
            <w:tcW w:w="1597" w:type="pct"/>
          </w:tcPr>
          <w:p w14:paraId="0A9B2F46" w14:textId="0F1EA946" w:rsidR="00FF24F5" w:rsidRPr="00F83B6E" w:rsidRDefault="00FF24F5" w:rsidP="001B7A01">
            <w:pPr>
              <w:pStyle w:val="TableText"/>
              <w:rPr>
                <w:color w:val="000000" w:themeColor="text1"/>
                <w:lang w:val="en-AU"/>
              </w:rPr>
            </w:pPr>
            <w:r w:rsidRPr="00F83B6E">
              <w:rPr>
                <w:color w:val="000000" w:themeColor="text1"/>
                <w:lang w:val="en-AU"/>
              </w:rPr>
              <w:t>January 2023</w:t>
            </w:r>
          </w:p>
        </w:tc>
      </w:tr>
    </w:tbl>
    <w:p w14:paraId="0C610078" w14:textId="1A12071B" w:rsidR="00A545AB" w:rsidRPr="00F83B6E" w:rsidRDefault="003552B2" w:rsidP="00A545AB">
      <w:pPr>
        <w:spacing w:before="240" w:after="120" w:line="281" w:lineRule="auto"/>
        <w:ind w:hanging="2"/>
        <w:jc w:val="both"/>
        <w:rPr>
          <w:color w:val="000000" w:themeColor="text1"/>
          <w:lang w:val="en-AU"/>
        </w:rPr>
      </w:pPr>
      <w:r w:rsidRPr="00F83B6E">
        <w:rPr>
          <w:b/>
          <w:color w:val="000000" w:themeColor="text1"/>
          <w:lang w:val="en-AU"/>
        </w:rPr>
        <w:t>Inception</w:t>
      </w:r>
      <w:r w:rsidR="00A545AB" w:rsidRPr="00F83B6E">
        <w:rPr>
          <w:b/>
          <w:color w:val="000000" w:themeColor="text1"/>
          <w:lang w:val="en-AU"/>
        </w:rPr>
        <w:t xml:space="preserve"> Phase</w:t>
      </w:r>
    </w:p>
    <w:p w14:paraId="5B65F408" w14:textId="0263C9B3" w:rsidR="00A545AB" w:rsidRPr="00F83B6E" w:rsidRDefault="00A545AB" w:rsidP="00B91543">
      <w:pPr>
        <w:pStyle w:val="BodyText"/>
        <w:rPr>
          <w:color w:val="000000" w:themeColor="text1"/>
        </w:rPr>
      </w:pPr>
      <w:r w:rsidRPr="00F83B6E">
        <w:rPr>
          <w:color w:val="000000" w:themeColor="text1"/>
        </w:rPr>
        <w:t xml:space="preserve">The implementation of </w:t>
      </w:r>
      <w:r w:rsidR="00FF24F5" w:rsidRPr="00F83B6E">
        <w:rPr>
          <w:color w:val="000000" w:themeColor="text1"/>
        </w:rPr>
        <w:t>KPP</w:t>
      </w:r>
      <w:r w:rsidRPr="00F83B6E">
        <w:rPr>
          <w:color w:val="000000" w:themeColor="text1"/>
        </w:rPr>
        <w:t xml:space="preserve"> will</w:t>
      </w:r>
      <w:r w:rsidR="00C34F22" w:rsidRPr="00F83B6E">
        <w:rPr>
          <w:color w:val="000000" w:themeColor="text1"/>
        </w:rPr>
        <w:t xml:space="preserve"> </w:t>
      </w:r>
      <w:r w:rsidRPr="00F83B6E">
        <w:rPr>
          <w:color w:val="000000" w:themeColor="text1"/>
        </w:rPr>
        <w:t xml:space="preserve">commence </w:t>
      </w:r>
      <w:r w:rsidR="00C34F22" w:rsidRPr="00F83B6E">
        <w:rPr>
          <w:color w:val="000000" w:themeColor="text1"/>
        </w:rPr>
        <w:t>early 2023</w:t>
      </w:r>
      <w:r w:rsidR="006871E3" w:rsidRPr="00F83B6E">
        <w:rPr>
          <w:color w:val="000000" w:themeColor="text1"/>
        </w:rPr>
        <w:t xml:space="preserve">, </w:t>
      </w:r>
      <w:r w:rsidR="00C34F22" w:rsidRPr="00F83B6E">
        <w:rPr>
          <w:color w:val="000000" w:themeColor="text1"/>
        </w:rPr>
        <w:t xml:space="preserve">and the </w:t>
      </w:r>
      <w:r w:rsidR="006871E3" w:rsidRPr="00F83B6E">
        <w:rPr>
          <w:color w:val="000000" w:themeColor="text1"/>
        </w:rPr>
        <w:t>Platform Hub’s</w:t>
      </w:r>
      <w:r w:rsidR="00C34F22" w:rsidRPr="00F83B6E">
        <w:rPr>
          <w:color w:val="000000" w:themeColor="text1"/>
        </w:rPr>
        <w:t xml:space="preserve"> team will ideally be mobilised in Jakarta</w:t>
      </w:r>
      <w:r w:rsidR="006871E3" w:rsidRPr="00F83B6E">
        <w:rPr>
          <w:color w:val="000000" w:themeColor="text1"/>
        </w:rPr>
        <w:t xml:space="preserve"> at that time</w:t>
      </w:r>
      <w:r w:rsidR="00C34F22" w:rsidRPr="00F83B6E">
        <w:rPr>
          <w:color w:val="000000" w:themeColor="text1"/>
        </w:rPr>
        <w:t xml:space="preserve">. </w:t>
      </w:r>
      <w:r w:rsidR="006871E3" w:rsidRPr="00F83B6E">
        <w:rPr>
          <w:color w:val="000000" w:themeColor="text1"/>
          <w:szCs w:val="28"/>
        </w:rPr>
        <w:t xml:space="preserve">Should the signing of the SA be delayed, the KPP implementation team could mobilise and start their work in Australia, then relocate to Jakarta as soon as the SA has been signed. Once mobilised, </w:t>
      </w:r>
      <w:r w:rsidR="006871E3" w:rsidRPr="00F83B6E">
        <w:rPr>
          <w:color w:val="000000" w:themeColor="text1"/>
        </w:rPr>
        <w:t>t</w:t>
      </w:r>
      <w:r w:rsidR="00C34F22" w:rsidRPr="00F83B6E">
        <w:rPr>
          <w:color w:val="000000" w:themeColor="text1"/>
        </w:rPr>
        <w:t xml:space="preserve">he team will rapidly develop </w:t>
      </w:r>
      <w:r w:rsidR="006871E3" w:rsidRPr="00F83B6E">
        <w:rPr>
          <w:color w:val="000000" w:themeColor="text1"/>
        </w:rPr>
        <w:t xml:space="preserve">and submit </w:t>
      </w:r>
      <w:r w:rsidR="00C34F22" w:rsidRPr="00F83B6E">
        <w:rPr>
          <w:color w:val="000000" w:themeColor="text1"/>
        </w:rPr>
        <w:t xml:space="preserve">an inception plan that covers the first six months of KPP operations </w:t>
      </w:r>
      <w:r w:rsidR="006871E3" w:rsidRPr="00F83B6E">
        <w:rPr>
          <w:color w:val="000000" w:themeColor="text1"/>
        </w:rPr>
        <w:t xml:space="preserve">(i.e. the inception period) </w:t>
      </w:r>
      <w:r w:rsidR="00C34F22" w:rsidRPr="00F83B6E">
        <w:rPr>
          <w:color w:val="000000" w:themeColor="text1"/>
        </w:rPr>
        <w:t>and ensure all administrative and operational processes</w:t>
      </w:r>
      <w:r w:rsidR="00C16C74" w:rsidRPr="00F83B6E">
        <w:rPr>
          <w:color w:val="000000" w:themeColor="text1"/>
        </w:rPr>
        <w:t xml:space="preserve"> </w:t>
      </w:r>
      <w:r w:rsidR="00C34F22" w:rsidRPr="00F83B6E">
        <w:rPr>
          <w:color w:val="000000" w:themeColor="text1"/>
        </w:rPr>
        <w:t xml:space="preserve">are put in place. </w:t>
      </w:r>
      <w:r w:rsidRPr="00F83B6E">
        <w:rPr>
          <w:color w:val="000000" w:themeColor="text1"/>
        </w:rPr>
        <w:t>Th</w:t>
      </w:r>
      <w:r w:rsidR="006871E3" w:rsidRPr="00F83B6E">
        <w:rPr>
          <w:color w:val="000000" w:themeColor="text1"/>
        </w:rPr>
        <w:t>e</w:t>
      </w:r>
      <w:r w:rsidRPr="00F83B6E">
        <w:rPr>
          <w:color w:val="000000" w:themeColor="text1"/>
        </w:rPr>
        <w:t xml:space="preserve"> </w:t>
      </w:r>
      <w:r w:rsidR="00C16282" w:rsidRPr="00F83B6E">
        <w:rPr>
          <w:color w:val="000000" w:themeColor="text1"/>
        </w:rPr>
        <w:t>i</w:t>
      </w:r>
      <w:r w:rsidR="00D5754B" w:rsidRPr="00F83B6E">
        <w:rPr>
          <w:color w:val="000000" w:themeColor="text1"/>
        </w:rPr>
        <w:t>nception</w:t>
      </w:r>
      <w:r w:rsidRPr="00F83B6E">
        <w:rPr>
          <w:color w:val="000000" w:themeColor="text1"/>
        </w:rPr>
        <w:t xml:space="preserve"> </w:t>
      </w:r>
      <w:r w:rsidR="00C16282" w:rsidRPr="00F83B6E">
        <w:rPr>
          <w:color w:val="000000" w:themeColor="text1"/>
        </w:rPr>
        <w:t>p</w:t>
      </w:r>
      <w:r w:rsidRPr="00F83B6E">
        <w:rPr>
          <w:color w:val="000000" w:themeColor="text1"/>
        </w:rPr>
        <w:t xml:space="preserve">lan will: </w:t>
      </w:r>
    </w:p>
    <w:p w14:paraId="714FCE44" w14:textId="4EBAF7A2" w:rsidR="00A545AB" w:rsidRPr="00F83B6E" w:rsidRDefault="00A545AB" w:rsidP="00E6202D">
      <w:pPr>
        <w:pStyle w:val="Bullet1"/>
        <w:rPr>
          <w:color w:val="000000" w:themeColor="text1"/>
        </w:rPr>
      </w:pPr>
      <w:r w:rsidRPr="00F83B6E">
        <w:rPr>
          <w:color w:val="000000" w:themeColor="text1"/>
        </w:rPr>
        <w:t>outline relevant strategic planning process and reporting mechanisms;</w:t>
      </w:r>
    </w:p>
    <w:p w14:paraId="75BAF191" w14:textId="6B8DC9D7" w:rsidR="00D5754B" w:rsidRPr="00F83B6E" w:rsidRDefault="00D5754B" w:rsidP="00E6202D">
      <w:pPr>
        <w:pStyle w:val="Bullet1"/>
        <w:rPr>
          <w:color w:val="000000" w:themeColor="text1"/>
        </w:rPr>
      </w:pPr>
      <w:r w:rsidRPr="00F83B6E">
        <w:rPr>
          <w:color w:val="000000" w:themeColor="text1"/>
        </w:rPr>
        <w:t xml:space="preserve">set out KPP governance mechanisms and clarify the role played by </w:t>
      </w:r>
      <w:r w:rsidR="006871E3" w:rsidRPr="00F83B6E">
        <w:rPr>
          <w:color w:val="000000" w:themeColor="text1"/>
        </w:rPr>
        <w:t>the Platform Hub</w:t>
      </w:r>
      <w:r w:rsidRPr="00F83B6E">
        <w:rPr>
          <w:color w:val="000000" w:themeColor="text1"/>
        </w:rPr>
        <w:t xml:space="preserve"> as a secretariat;</w:t>
      </w:r>
    </w:p>
    <w:p w14:paraId="1DA8FC7E" w14:textId="77777777" w:rsidR="00A545AB" w:rsidRPr="00F83B6E" w:rsidRDefault="00A545AB" w:rsidP="00E6202D">
      <w:pPr>
        <w:pStyle w:val="Bullet1"/>
        <w:rPr>
          <w:color w:val="000000" w:themeColor="text1"/>
        </w:rPr>
      </w:pPr>
      <w:r w:rsidRPr="00F83B6E">
        <w:rPr>
          <w:color w:val="000000" w:themeColor="text1"/>
        </w:rPr>
        <w:t xml:space="preserve">detail the strategies and plans that will be produced during the first six months; </w:t>
      </w:r>
    </w:p>
    <w:p w14:paraId="76EB35ED" w14:textId="77777777" w:rsidR="00A545AB" w:rsidRPr="00F83B6E" w:rsidRDefault="00A545AB" w:rsidP="00E6202D">
      <w:pPr>
        <w:pStyle w:val="Bullet1"/>
        <w:rPr>
          <w:color w:val="000000" w:themeColor="text1"/>
        </w:rPr>
      </w:pPr>
      <w:r w:rsidRPr="00F83B6E">
        <w:rPr>
          <w:color w:val="000000" w:themeColor="text1"/>
        </w:rPr>
        <w:t>set out a detailed implementation schedule and budget for the first six months;</w:t>
      </w:r>
    </w:p>
    <w:p w14:paraId="3880C23B" w14:textId="593895AD" w:rsidR="00A545AB" w:rsidRPr="00F83B6E" w:rsidRDefault="00A545AB" w:rsidP="00E6202D">
      <w:pPr>
        <w:pStyle w:val="Bullet1"/>
        <w:rPr>
          <w:color w:val="000000" w:themeColor="text1"/>
        </w:rPr>
      </w:pPr>
      <w:r w:rsidRPr="00F83B6E">
        <w:rPr>
          <w:color w:val="000000" w:themeColor="text1"/>
        </w:rPr>
        <w:t>specify the organisational and staffing structure</w:t>
      </w:r>
      <w:r w:rsidR="006871E3" w:rsidRPr="00F83B6E">
        <w:rPr>
          <w:color w:val="000000" w:themeColor="text1"/>
        </w:rPr>
        <w:t xml:space="preserve"> of the Platform Hub</w:t>
      </w:r>
      <w:r w:rsidRPr="00F83B6E">
        <w:rPr>
          <w:color w:val="000000" w:themeColor="text1"/>
        </w:rPr>
        <w:t>;</w:t>
      </w:r>
    </w:p>
    <w:p w14:paraId="3EA81219" w14:textId="77777777" w:rsidR="00A545AB" w:rsidRPr="00F83B6E" w:rsidRDefault="00A545AB" w:rsidP="00E6202D">
      <w:pPr>
        <w:pStyle w:val="Bullet1"/>
        <w:rPr>
          <w:color w:val="000000" w:themeColor="text1"/>
        </w:rPr>
      </w:pPr>
      <w:r w:rsidRPr="00F83B6E">
        <w:rPr>
          <w:color w:val="000000" w:themeColor="text1"/>
        </w:rPr>
        <w:t xml:space="preserve">set out an on-going risk management plan; and </w:t>
      </w:r>
    </w:p>
    <w:p w14:paraId="50CB198E" w14:textId="77777777" w:rsidR="00A545AB" w:rsidRPr="00F83B6E" w:rsidRDefault="00A545AB" w:rsidP="00E6202D">
      <w:pPr>
        <w:pStyle w:val="Bullet1"/>
        <w:rPr>
          <w:color w:val="000000" w:themeColor="text1"/>
        </w:rPr>
      </w:pPr>
      <w:r w:rsidRPr="00F83B6E">
        <w:rPr>
          <w:color w:val="000000" w:themeColor="text1"/>
        </w:rPr>
        <w:t>establish routine communications, including the website and communication tools for internal and external stakeholders.</w:t>
      </w:r>
    </w:p>
    <w:p w14:paraId="0FCD7FD7" w14:textId="6CA2D4D5" w:rsidR="00A545AB" w:rsidRPr="00F83B6E" w:rsidRDefault="006871E3" w:rsidP="00B91543">
      <w:pPr>
        <w:pStyle w:val="BodyText"/>
        <w:rPr>
          <w:color w:val="000000" w:themeColor="text1"/>
        </w:rPr>
      </w:pPr>
      <w:r w:rsidRPr="00F83B6E">
        <w:rPr>
          <w:color w:val="000000" w:themeColor="text1"/>
        </w:rPr>
        <w:t xml:space="preserve">Once the </w:t>
      </w:r>
      <w:r w:rsidR="00C16282" w:rsidRPr="00F83B6E">
        <w:rPr>
          <w:color w:val="000000" w:themeColor="text1"/>
        </w:rPr>
        <w:t>i</w:t>
      </w:r>
      <w:r w:rsidRPr="00F83B6E">
        <w:rPr>
          <w:color w:val="000000" w:themeColor="text1"/>
        </w:rPr>
        <w:t xml:space="preserve">nception </w:t>
      </w:r>
      <w:r w:rsidR="00C16282" w:rsidRPr="00F83B6E">
        <w:rPr>
          <w:color w:val="000000" w:themeColor="text1"/>
        </w:rPr>
        <w:t>p</w:t>
      </w:r>
      <w:r w:rsidRPr="00F83B6E">
        <w:rPr>
          <w:color w:val="000000" w:themeColor="text1"/>
        </w:rPr>
        <w:t>lan is approved, the Platform Hub’s team will start implementi</w:t>
      </w:r>
      <w:r w:rsidR="00E17273" w:rsidRPr="00F83B6E">
        <w:rPr>
          <w:color w:val="000000" w:themeColor="text1"/>
        </w:rPr>
        <w:t>ng it.</w:t>
      </w:r>
      <w:r w:rsidRPr="00F83B6E">
        <w:rPr>
          <w:color w:val="000000" w:themeColor="text1"/>
        </w:rPr>
        <w:t xml:space="preserve"> </w:t>
      </w:r>
      <w:r w:rsidR="00CB5D29" w:rsidRPr="00F83B6E">
        <w:rPr>
          <w:color w:val="000000" w:themeColor="text1"/>
        </w:rPr>
        <w:t>S</w:t>
      </w:r>
      <w:r w:rsidR="00E17273" w:rsidRPr="00F83B6E">
        <w:rPr>
          <w:color w:val="000000" w:themeColor="text1"/>
        </w:rPr>
        <w:t>ome</w:t>
      </w:r>
      <w:r w:rsidRPr="00F83B6E">
        <w:rPr>
          <w:color w:val="000000" w:themeColor="text1"/>
        </w:rPr>
        <w:t xml:space="preserve"> key deliverables </w:t>
      </w:r>
      <w:r w:rsidR="00E17273" w:rsidRPr="00F83B6E">
        <w:rPr>
          <w:color w:val="000000" w:themeColor="text1"/>
        </w:rPr>
        <w:t xml:space="preserve">are expected to be developed and delivered </w:t>
      </w:r>
      <w:r w:rsidR="00A545AB" w:rsidRPr="00F83B6E">
        <w:rPr>
          <w:color w:val="000000" w:themeColor="text1"/>
        </w:rPr>
        <w:t xml:space="preserve">within </w:t>
      </w:r>
      <w:r w:rsidR="00D5754B" w:rsidRPr="00F83B6E">
        <w:rPr>
          <w:color w:val="000000" w:themeColor="text1"/>
        </w:rPr>
        <w:t xml:space="preserve">the </w:t>
      </w:r>
      <w:r w:rsidRPr="00F83B6E">
        <w:rPr>
          <w:color w:val="000000" w:themeColor="text1"/>
        </w:rPr>
        <w:t xml:space="preserve">program’s </w:t>
      </w:r>
      <w:r w:rsidR="00D5754B" w:rsidRPr="00F83B6E">
        <w:rPr>
          <w:color w:val="000000" w:themeColor="text1"/>
        </w:rPr>
        <w:t>inception period</w:t>
      </w:r>
      <w:r w:rsidR="00A545AB" w:rsidRPr="00F83B6E">
        <w:rPr>
          <w:color w:val="000000" w:themeColor="text1"/>
        </w:rPr>
        <w:t>.</w:t>
      </w:r>
    </w:p>
    <w:p w14:paraId="456AC942" w14:textId="77777777" w:rsidR="00A20C88" w:rsidRPr="00F83B6E" w:rsidRDefault="00A20C88" w:rsidP="005153CF">
      <w:pPr>
        <w:pStyle w:val="Caption"/>
        <w:rPr>
          <w:color w:val="000000" w:themeColor="text1"/>
        </w:rPr>
      </w:pPr>
    </w:p>
    <w:p w14:paraId="233D80A1" w14:textId="77777777" w:rsidR="00A20C88" w:rsidRPr="00F83B6E" w:rsidRDefault="00A20C88" w:rsidP="005153CF">
      <w:pPr>
        <w:pStyle w:val="Caption"/>
        <w:rPr>
          <w:color w:val="000000" w:themeColor="text1"/>
        </w:rPr>
      </w:pPr>
    </w:p>
    <w:p w14:paraId="07007F1B" w14:textId="77777777" w:rsidR="00A20C88" w:rsidRPr="00F83B6E" w:rsidRDefault="00A20C88" w:rsidP="005153CF">
      <w:pPr>
        <w:pStyle w:val="Caption"/>
        <w:rPr>
          <w:color w:val="000000" w:themeColor="text1"/>
        </w:rPr>
      </w:pPr>
    </w:p>
    <w:p w14:paraId="0B15578A" w14:textId="77777777" w:rsidR="00A20C88" w:rsidRPr="00F83B6E" w:rsidRDefault="00A20C88" w:rsidP="005153CF">
      <w:pPr>
        <w:pStyle w:val="Caption"/>
        <w:rPr>
          <w:color w:val="000000" w:themeColor="text1"/>
        </w:rPr>
      </w:pPr>
    </w:p>
    <w:p w14:paraId="46F08B7C" w14:textId="63791F1E" w:rsidR="005153CF" w:rsidRPr="00F83B6E" w:rsidRDefault="005153CF" w:rsidP="005153CF">
      <w:pPr>
        <w:pStyle w:val="Caption"/>
        <w:rPr>
          <w:color w:val="000000" w:themeColor="text1"/>
          <w:lang w:val="en-AU"/>
        </w:rPr>
      </w:pPr>
      <w:r w:rsidRPr="00F83B6E">
        <w:rPr>
          <w:color w:val="000000" w:themeColor="text1"/>
        </w:rPr>
        <w:t xml:space="preserve">Figure </w:t>
      </w:r>
      <w:r w:rsidR="00F3077E" w:rsidRPr="00F83B6E">
        <w:rPr>
          <w:color w:val="000000" w:themeColor="text1"/>
        </w:rPr>
        <w:fldChar w:fldCharType="begin"/>
      </w:r>
      <w:r w:rsidR="00F3077E" w:rsidRPr="00F83B6E">
        <w:rPr>
          <w:color w:val="000000" w:themeColor="text1"/>
        </w:rPr>
        <w:instrText xml:space="preserve"> SEQ Figure \* ARABIC </w:instrText>
      </w:r>
      <w:r w:rsidR="00F3077E" w:rsidRPr="00F83B6E">
        <w:rPr>
          <w:color w:val="000000" w:themeColor="text1"/>
        </w:rPr>
        <w:fldChar w:fldCharType="separate"/>
      </w:r>
      <w:r w:rsidR="00A578DF">
        <w:rPr>
          <w:noProof/>
          <w:color w:val="000000" w:themeColor="text1"/>
        </w:rPr>
        <w:t>12</w:t>
      </w:r>
      <w:r w:rsidR="00F3077E" w:rsidRPr="00F83B6E">
        <w:rPr>
          <w:color w:val="000000" w:themeColor="text1"/>
        </w:rPr>
        <w:fldChar w:fldCharType="end"/>
      </w:r>
      <w:r w:rsidR="00F3077E" w:rsidRPr="00F83B6E">
        <w:rPr>
          <w:color w:val="000000" w:themeColor="text1"/>
          <w:lang w:val="en-AU"/>
        </w:rPr>
        <w:t xml:space="preserve"> </w:t>
      </w:r>
      <w:r w:rsidRPr="00F83B6E">
        <w:rPr>
          <w:color w:val="000000" w:themeColor="text1"/>
          <w:lang w:val="en-AU"/>
        </w:rPr>
        <w:tab/>
        <w:t>Suggested deliverables for the inception period</w:t>
      </w:r>
    </w:p>
    <w:tbl>
      <w:tblPr>
        <w:tblStyle w:val="TableGrid1"/>
        <w:tblW w:w="8815" w:type="dxa"/>
        <w:tblLayout w:type="fixed"/>
        <w:tblLook w:val="0020" w:firstRow="1" w:lastRow="0" w:firstColumn="0" w:lastColumn="0" w:noHBand="0" w:noVBand="0"/>
        <w:tblCaption w:val="Figure 12 "/>
        <w:tblDescription w:val="Suggested deliverables for the inception period"/>
      </w:tblPr>
      <w:tblGrid>
        <w:gridCol w:w="1980"/>
        <w:gridCol w:w="5386"/>
        <w:gridCol w:w="1449"/>
      </w:tblGrid>
      <w:tr w:rsidR="00F83B6E" w:rsidRPr="00F83B6E" w14:paraId="152FB283" w14:textId="77777777" w:rsidTr="00A20C88">
        <w:trPr>
          <w:trHeight w:val="491"/>
          <w:tblHeader/>
        </w:trPr>
        <w:tc>
          <w:tcPr>
            <w:tcW w:w="1980" w:type="dxa"/>
          </w:tcPr>
          <w:p w14:paraId="1523DFA7" w14:textId="77777777" w:rsidR="005153CF" w:rsidRPr="00F83B6E" w:rsidRDefault="005153CF" w:rsidP="00907F0B">
            <w:pPr>
              <w:pStyle w:val="TableHeaderRow"/>
              <w:rPr>
                <w:b w:val="0"/>
                <w:bCs/>
                <w:color w:val="000000" w:themeColor="text1"/>
                <w:lang w:val="en-AU"/>
              </w:rPr>
            </w:pPr>
            <w:r w:rsidRPr="00F83B6E">
              <w:rPr>
                <w:color w:val="000000" w:themeColor="text1"/>
                <w:lang w:val="en-AU"/>
              </w:rPr>
              <w:t>Deliverables</w:t>
            </w:r>
          </w:p>
        </w:tc>
        <w:tc>
          <w:tcPr>
            <w:tcW w:w="5386" w:type="dxa"/>
          </w:tcPr>
          <w:p w14:paraId="1C47C7B6" w14:textId="77777777" w:rsidR="005153CF" w:rsidRPr="00F83B6E" w:rsidRDefault="005153CF" w:rsidP="00907F0B">
            <w:pPr>
              <w:pStyle w:val="TableHeaderRow"/>
              <w:rPr>
                <w:b w:val="0"/>
                <w:bCs/>
                <w:color w:val="000000" w:themeColor="text1"/>
                <w:lang w:val="en-AU"/>
              </w:rPr>
            </w:pPr>
            <w:r w:rsidRPr="00F83B6E">
              <w:rPr>
                <w:color w:val="000000" w:themeColor="text1"/>
                <w:lang w:val="en-AU"/>
              </w:rPr>
              <w:t>Description</w:t>
            </w:r>
          </w:p>
        </w:tc>
        <w:tc>
          <w:tcPr>
            <w:tcW w:w="1449" w:type="dxa"/>
          </w:tcPr>
          <w:p w14:paraId="08C553E2" w14:textId="77777777" w:rsidR="005153CF" w:rsidRPr="00F83B6E" w:rsidRDefault="005153CF" w:rsidP="00907F0B">
            <w:pPr>
              <w:pStyle w:val="TableHeaderRow"/>
              <w:rPr>
                <w:b w:val="0"/>
                <w:bCs/>
                <w:color w:val="000000" w:themeColor="text1"/>
                <w:lang w:val="en-AU"/>
              </w:rPr>
            </w:pPr>
            <w:r w:rsidRPr="00F83B6E">
              <w:rPr>
                <w:color w:val="000000" w:themeColor="text1"/>
                <w:lang w:val="en-AU"/>
              </w:rPr>
              <w:t>Timing of submission</w:t>
            </w:r>
          </w:p>
        </w:tc>
      </w:tr>
      <w:tr w:rsidR="00F83B6E" w:rsidRPr="00F83B6E" w14:paraId="432966A3" w14:textId="77777777" w:rsidTr="00A20C88">
        <w:tc>
          <w:tcPr>
            <w:tcW w:w="1980" w:type="dxa"/>
          </w:tcPr>
          <w:p w14:paraId="61E001E9" w14:textId="77777777" w:rsidR="005153CF" w:rsidRPr="00F83B6E" w:rsidRDefault="005153CF" w:rsidP="00907F0B">
            <w:pPr>
              <w:pStyle w:val="TableText"/>
              <w:rPr>
                <w:bCs/>
                <w:color w:val="000000" w:themeColor="text1"/>
                <w:lang w:val="en-AU"/>
              </w:rPr>
            </w:pPr>
            <w:r w:rsidRPr="00F83B6E">
              <w:rPr>
                <w:bCs/>
                <w:color w:val="000000" w:themeColor="text1"/>
                <w:lang w:val="en-AU"/>
              </w:rPr>
              <w:t>Inception Plan</w:t>
            </w:r>
          </w:p>
        </w:tc>
        <w:tc>
          <w:tcPr>
            <w:tcW w:w="5386" w:type="dxa"/>
          </w:tcPr>
          <w:p w14:paraId="69B63BEE" w14:textId="77777777" w:rsidR="005153CF" w:rsidRPr="00F83B6E" w:rsidRDefault="005153CF" w:rsidP="00907F0B">
            <w:pPr>
              <w:pStyle w:val="TableText"/>
              <w:rPr>
                <w:bCs/>
                <w:color w:val="000000" w:themeColor="text1"/>
                <w:lang w:val="en-AU"/>
              </w:rPr>
            </w:pPr>
            <w:r w:rsidRPr="00F83B6E">
              <w:rPr>
                <w:bCs/>
                <w:color w:val="000000" w:themeColor="text1"/>
                <w:lang w:val="en-AU"/>
              </w:rPr>
              <w:t>Covers all KPP activities for the first six months, including strategic planning process and reporting mechanism; implementation schedule and budget; organisational and staffing structure; and communications processes.</w:t>
            </w:r>
          </w:p>
        </w:tc>
        <w:tc>
          <w:tcPr>
            <w:tcW w:w="1449" w:type="dxa"/>
          </w:tcPr>
          <w:p w14:paraId="0F261612" w14:textId="77777777" w:rsidR="005153CF" w:rsidRPr="00F83B6E" w:rsidRDefault="005153CF" w:rsidP="00907F0B">
            <w:pPr>
              <w:pStyle w:val="TableText"/>
              <w:rPr>
                <w:bCs/>
                <w:color w:val="000000" w:themeColor="text1"/>
                <w:lang w:val="en-AU"/>
              </w:rPr>
            </w:pPr>
            <w:r w:rsidRPr="00F83B6E">
              <w:rPr>
                <w:bCs/>
                <w:color w:val="000000" w:themeColor="text1"/>
                <w:lang w:val="en-AU"/>
              </w:rPr>
              <w:t>Within one month of mobilisation</w:t>
            </w:r>
          </w:p>
        </w:tc>
      </w:tr>
      <w:tr w:rsidR="00F83B6E" w:rsidRPr="00F83B6E" w14:paraId="66DA03E0" w14:textId="77777777" w:rsidTr="00A20C88">
        <w:tc>
          <w:tcPr>
            <w:tcW w:w="1980" w:type="dxa"/>
          </w:tcPr>
          <w:p w14:paraId="26535A9A" w14:textId="77777777" w:rsidR="005153CF" w:rsidRPr="00F83B6E" w:rsidRDefault="005153CF" w:rsidP="00907F0B">
            <w:pPr>
              <w:pStyle w:val="TableText"/>
              <w:rPr>
                <w:bCs/>
                <w:color w:val="000000" w:themeColor="text1"/>
                <w:lang w:val="en-AU"/>
              </w:rPr>
            </w:pPr>
            <w:r w:rsidRPr="00F83B6E">
              <w:rPr>
                <w:bCs/>
                <w:color w:val="000000" w:themeColor="text1"/>
                <w:lang w:val="en-AU"/>
              </w:rPr>
              <w:t>Operations Manual</w:t>
            </w:r>
          </w:p>
        </w:tc>
        <w:tc>
          <w:tcPr>
            <w:tcW w:w="5386" w:type="dxa"/>
          </w:tcPr>
          <w:p w14:paraId="66C78230" w14:textId="5C5BDE21" w:rsidR="005153CF" w:rsidRPr="00F83B6E" w:rsidRDefault="005153CF" w:rsidP="00907F0B">
            <w:pPr>
              <w:pStyle w:val="TableText"/>
              <w:rPr>
                <w:bCs/>
                <w:color w:val="000000" w:themeColor="text1"/>
                <w:lang w:val="en-AU"/>
              </w:rPr>
            </w:pPr>
            <w:r w:rsidRPr="00F83B6E">
              <w:rPr>
                <w:bCs/>
                <w:color w:val="000000" w:themeColor="text1"/>
                <w:lang w:val="en-AU"/>
              </w:rPr>
              <w:t>Includes program standards and processes to fulfil the contractor’s roles and responsibilities, and be consistent with the obligations that Post has to protect the Commonwealth’s interest. These will cover the following programmatic functions:</w:t>
            </w:r>
            <w:r w:rsidR="004736A5" w:rsidRPr="00F83B6E">
              <w:rPr>
                <w:bCs/>
                <w:color w:val="000000" w:themeColor="text1"/>
                <w:lang w:val="en-AU"/>
              </w:rPr>
              <w:t xml:space="preserve"> </w:t>
            </w:r>
            <w:r w:rsidRPr="00F83B6E">
              <w:rPr>
                <w:bCs/>
                <w:color w:val="000000" w:themeColor="text1"/>
                <w:lang w:val="en-AU"/>
              </w:rPr>
              <w:t xml:space="preserve">financial management; HR management; IT and data management; communication protocols; fraud prevention and reporting; risk identification and management; complaints management; procurement processes; security; climate change mitigation; and workplace health and safety. </w:t>
            </w:r>
          </w:p>
        </w:tc>
        <w:tc>
          <w:tcPr>
            <w:tcW w:w="1449" w:type="dxa"/>
          </w:tcPr>
          <w:p w14:paraId="0EDA46C7" w14:textId="77777777" w:rsidR="005153CF" w:rsidRPr="00F83B6E" w:rsidRDefault="005153CF" w:rsidP="00907F0B">
            <w:pPr>
              <w:pStyle w:val="TableText"/>
              <w:rPr>
                <w:bCs/>
                <w:color w:val="000000" w:themeColor="text1"/>
                <w:lang w:val="en-AU"/>
              </w:rPr>
            </w:pPr>
            <w:r w:rsidRPr="00F83B6E">
              <w:rPr>
                <w:bCs/>
                <w:color w:val="000000" w:themeColor="text1"/>
                <w:lang w:val="en-AU"/>
              </w:rPr>
              <w:t>Within three months of mobilisation</w:t>
            </w:r>
          </w:p>
        </w:tc>
      </w:tr>
      <w:tr w:rsidR="00F83B6E" w:rsidRPr="00F83B6E" w14:paraId="2D8D75DE" w14:textId="77777777" w:rsidTr="00A20C88">
        <w:tc>
          <w:tcPr>
            <w:tcW w:w="1980" w:type="dxa"/>
          </w:tcPr>
          <w:p w14:paraId="54D3A26F" w14:textId="77777777" w:rsidR="005153CF" w:rsidRPr="00F83B6E" w:rsidRDefault="005153CF" w:rsidP="00907F0B">
            <w:pPr>
              <w:pStyle w:val="TableText"/>
              <w:rPr>
                <w:bCs/>
                <w:color w:val="000000" w:themeColor="text1"/>
                <w:lang w:val="en-AU"/>
              </w:rPr>
            </w:pPr>
            <w:r w:rsidRPr="00F83B6E">
              <w:rPr>
                <w:bCs/>
                <w:color w:val="000000" w:themeColor="text1"/>
                <w:lang w:val="en-AU"/>
              </w:rPr>
              <w:t>Localisation Plan</w:t>
            </w:r>
          </w:p>
        </w:tc>
        <w:tc>
          <w:tcPr>
            <w:tcW w:w="5386" w:type="dxa"/>
          </w:tcPr>
          <w:p w14:paraId="560B520B" w14:textId="77777777" w:rsidR="005153CF" w:rsidRPr="00F83B6E" w:rsidRDefault="005153CF" w:rsidP="00907F0B">
            <w:pPr>
              <w:pStyle w:val="TableText"/>
              <w:rPr>
                <w:bCs/>
                <w:color w:val="000000" w:themeColor="text1"/>
                <w:lang w:val="en-AU"/>
              </w:rPr>
            </w:pPr>
            <w:r w:rsidRPr="00F83B6E">
              <w:rPr>
                <w:bCs/>
                <w:color w:val="000000" w:themeColor="text1"/>
                <w:lang w:val="en-AU"/>
              </w:rPr>
              <w:t>Presents the Platform Hub’s structure, processes and mechanisms to maximise use of local knowledge and resources and the agency of local actors (including partner governments) in KPP decision and activities. This includes KPP</w:t>
            </w:r>
            <w:r w:rsidRPr="00F83B6E">
              <w:rPr>
                <w:rFonts w:cstheme="minorHAnsi"/>
                <w:bCs/>
                <w:color w:val="000000" w:themeColor="text1"/>
              </w:rPr>
              <w:t xml:space="preserve"> vision, governance, resourcing, subcontracting and granting mechanisms, and indicators and methods for measuring progress against the plan.</w:t>
            </w:r>
          </w:p>
        </w:tc>
        <w:tc>
          <w:tcPr>
            <w:tcW w:w="1449" w:type="dxa"/>
          </w:tcPr>
          <w:p w14:paraId="0B57420C" w14:textId="6E4C12DD" w:rsidR="005153CF" w:rsidRPr="00F83B6E" w:rsidRDefault="00436588" w:rsidP="00907F0B">
            <w:pPr>
              <w:pStyle w:val="TableText"/>
              <w:rPr>
                <w:bCs/>
                <w:color w:val="000000" w:themeColor="text1"/>
                <w:lang w:val="en-AU"/>
              </w:rPr>
            </w:pPr>
            <w:r w:rsidRPr="00F83B6E">
              <w:rPr>
                <w:bCs/>
                <w:color w:val="000000" w:themeColor="text1"/>
                <w:lang w:val="en-AU"/>
              </w:rPr>
              <w:t>Within three months of mobilisation</w:t>
            </w:r>
          </w:p>
        </w:tc>
      </w:tr>
      <w:tr w:rsidR="00F83B6E" w:rsidRPr="00F83B6E" w14:paraId="134D49DB" w14:textId="77777777" w:rsidTr="00A20C88">
        <w:tc>
          <w:tcPr>
            <w:tcW w:w="1980" w:type="dxa"/>
          </w:tcPr>
          <w:p w14:paraId="26EF7F45" w14:textId="77777777" w:rsidR="005153CF" w:rsidRPr="00F83B6E" w:rsidRDefault="005153CF" w:rsidP="00907F0B">
            <w:pPr>
              <w:pStyle w:val="TableText"/>
              <w:rPr>
                <w:bCs/>
                <w:color w:val="000000" w:themeColor="text1"/>
                <w:lang w:val="en-AU"/>
              </w:rPr>
            </w:pPr>
            <w:r w:rsidRPr="00F83B6E">
              <w:rPr>
                <w:bCs/>
                <w:color w:val="000000" w:themeColor="text1"/>
                <w:lang w:val="en-AU"/>
              </w:rPr>
              <w:t>Communications and Public Diplomacy Strategy</w:t>
            </w:r>
          </w:p>
        </w:tc>
        <w:tc>
          <w:tcPr>
            <w:tcW w:w="5386" w:type="dxa"/>
          </w:tcPr>
          <w:p w14:paraId="4CF247B1" w14:textId="77777777" w:rsidR="005153CF" w:rsidRPr="00F83B6E" w:rsidRDefault="005153CF" w:rsidP="00907F0B">
            <w:pPr>
              <w:pStyle w:val="TableText"/>
              <w:rPr>
                <w:bCs/>
                <w:color w:val="000000" w:themeColor="text1"/>
                <w:lang w:val="en-AU"/>
              </w:rPr>
            </w:pPr>
            <w:r w:rsidRPr="00F83B6E">
              <w:rPr>
                <w:bCs/>
                <w:color w:val="000000" w:themeColor="text1"/>
                <w:lang w:val="en-AU"/>
              </w:rPr>
              <w:t>Includes processes, resources and protocols to ensures KPP is appropriately branded and promoted in Indonesia and Australia, including via a website and social media presence.</w:t>
            </w:r>
          </w:p>
        </w:tc>
        <w:tc>
          <w:tcPr>
            <w:tcW w:w="1449" w:type="dxa"/>
          </w:tcPr>
          <w:p w14:paraId="05B53209" w14:textId="777C96CD" w:rsidR="005153CF" w:rsidRPr="00F83B6E" w:rsidRDefault="00436588" w:rsidP="00907F0B">
            <w:pPr>
              <w:pStyle w:val="TableText"/>
              <w:rPr>
                <w:bCs/>
                <w:color w:val="000000" w:themeColor="text1"/>
                <w:lang w:val="en-AU"/>
              </w:rPr>
            </w:pPr>
            <w:r w:rsidRPr="00F83B6E">
              <w:rPr>
                <w:bCs/>
                <w:color w:val="000000" w:themeColor="text1"/>
                <w:lang w:val="en-AU"/>
              </w:rPr>
              <w:t>Within three months of mobilisation</w:t>
            </w:r>
          </w:p>
        </w:tc>
      </w:tr>
      <w:tr w:rsidR="00F83B6E" w:rsidRPr="00F83B6E" w14:paraId="2CFB60BA" w14:textId="77777777" w:rsidTr="00A20C88">
        <w:tc>
          <w:tcPr>
            <w:tcW w:w="1980" w:type="dxa"/>
          </w:tcPr>
          <w:p w14:paraId="17170E15" w14:textId="77777777" w:rsidR="005153CF" w:rsidRPr="00F83B6E" w:rsidRDefault="005153CF" w:rsidP="00907F0B">
            <w:pPr>
              <w:pStyle w:val="TableText"/>
              <w:rPr>
                <w:bCs/>
                <w:color w:val="000000" w:themeColor="text1"/>
                <w:lang w:val="en-AU"/>
              </w:rPr>
            </w:pPr>
            <w:r w:rsidRPr="00F83B6E">
              <w:rPr>
                <w:bCs/>
                <w:color w:val="000000" w:themeColor="text1"/>
                <w:lang w:val="en-AU"/>
              </w:rPr>
              <w:t>MEL Framework and Plan</w:t>
            </w:r>
          </w:p>
        </w:tc>
        <w:tc>
          <w:tcPr>
            <w:tcW w:w="5386" w:type="dxa"/>
          </w:tcPr>
          <w:p w14:paraId="6A8405F5" w14:textId="77777777" w:rsidR="005153CF" w:rsidRPr="00F83B6E" w:rsidRDefault="005153CF" w:rsidP="00907F0B">
            <w:pPr>
              <w:pStyle w:val="TableText"/>
              <w:rPr>
                <w:bCs/>
                <w:color w:val="000000" w:themeColor="text1"/>
                <w:lang w:val="en-AU"/>
              </w:rPr>
            </w:pPr>
            <w:r w:rsidRPr="00F83B6E">
              <w:rPr>
                <w:bCs/>
                <w:color w:val="000000" w:themeColor="text1"/>
                <w:lang w:val="en-AU"/>
              </w:rPr>
              <w:t>Includes a nested program logic from input / activity to KPP outcome level, MEL objectives, methods, tasks, timing, responsibilities, budget and deliverables.</w:t>
            </w:r>
          </w:p>
        </w:tc>
        <w:tc>
          <w:tcPr>
            <w:tcW w:w="1449" w:type="dxa"/>
          </w:tcPr>
          <w:p w14:paraId="65E56909" w14:textId="77777777" w:rsidR="005153CF" w:rsidRPr="00F83B6E" w:rsidRDefault="005153CF" w:rsidP="00907F0B">
            <w:pPr>
              <w:pStyle w:val="TableText"/>
              <w:rPr>
                <w:bCs/>
                <w:color w:val="000000" w:themeColor="text1"/>
                <w:lang w:val="en-AU"/>
              </w:rPr>
            </w:pPr>
            <w:r w:rsidRPr="00F83B6E">
              <w:rPr>
                <w:bCs/>
                <w:color w:val="000000" w:themeColor="text1"/>
                <w:lang w:val="en-AU"/>
              </w:rPr>
              <w:t>Within six months of mobilisation</w:t>
            </w:r>
          </w:p>
        </w:tc>
      </w:tr>
      <w:tr w:rsidR="00F83B6E" w:rsidRPr="00F83B6E" w14:paraId="25BB40FE" w14:textId="77777777" w:rsidTr="00A20C88">
        <w:tc>
          <w:tcPr>
            <w:tcW w:w="1980" w:type="dxa"/>
          </w:tcPr>
          <w:p w14:paraId="42BA8CF9" w14:textId="77777777" w:rsidR="005153CF" w:rsidRPr="00F83B6E" w:rsidRDefault="005153CF" w:rsidP="00907F0B">
            <w:pPr>
              <w:pStyle w:val="TableText"/>
              <w:rPr>
                <w:bCs/>
                <w:color w:val="000000" w:themeColor="text1"/>
                <w:lang w:val="en-AU"/>
              </w:rPr>
            </w:pPr>
            <w:r w:rsidRPr="00F83B6E">
              <w:rPr>
                <w:bCs/>
                <w:color w:val="000000" w:themeColor="text1"/>
                <w:lang w:val="en-AU"/>
              </w:rPr>
              <w:t>GEDSI Strategy</w:t>
            </w:r>
          </w:p>
        </w:tc>
        <w:tc>
          <w:tcPr>
            <w:tcW w:w="5386" w:type="dxa"/>
          </w:tcPr>
          <w:p w14:paraId="09BEF84A" w14:textId="4B658AA1" w:rsidR="005153CF" w:rsidRPr="00F83B6E" w:rsidRDefault="005153CF" w:rsidP="00907F0B">
            <w:pPr>
              <w:pStyle w:val="TableText"/>
              <w:rPr>
                <w:bCs/>
                <w:color w:val="000000" w:themeColor="text1"/>
                <w:lang w:val="en-AU"/>
              </w:rPr>
            </w:pPr>
            <w:r w:rsidRPr="00F83B6E">
              <w:rPr>
                <w:bCs/>
                <w:color w:val="000000" w:themeColor="text1"/>
                <w:lang w:val="en-AU"/>
              </w:rPr>
              <w:t>Includes a more detailed GEDSI analysis or potential agendas or themes, refinement of the GEDSI dimension of</w:t>
            </w:r>
            <w:r w:rsidR="004736A5" w:rsidRPr="00F83B6E">
              <w:rPr>
                <w:bCs/>
                <w:color w:val="000000" w:themeColor="text1"/>
                <w:lang w:val="en-AU"/>
              </w:rPr>
              <w:t xml:space="preserve"> </w:t>
            </w:r>
            <w:r w:rsidRPr="00F83B6E">
              <w:rPr>
                <w:bCs/>
                <w:color w:val="000000" w:themeColor="text1"/>
                <w:lang w:val="en-AU"/>
              </w:rPr>
              <w:t>the initial analytical agenda, tasks, timing, responsibilities, budget and deliverables.</w:t>
            </w:r>
          </w:p>
        </w:tc>
        <w:tc>
          <w:tcPr>
            <w:tcW w:w="1449" w:type="dxa"/>
          </w:tcPr>
          <w:p w14:paraId="7E47DB76" w14:textId="2E3487F4" w:rsidR="005153CF" w:rsidRPr="00F83B6E" w:rsidRDefault="00436588" w:rsidP="00907F0B">
            <w:pPr>
              <w:pStyle w:val="TableText"/>
              <w:rPr>
                <w:bCs/>
                <w:color w:val="000000" w:themeColor="text1"/>
                <w:lang w:val="en-AU"/>
              </w:rPr>
            </w:pPr>
            <w:r w:rsidRPr="00F83B6E">
              <w:rPr>
                <w:bCs/>
                <w:color w:val="000000" w:themeColor="text1"/>
                <w:lang w:val="en-AU"/>
              </w:rPr>
              <w:t>Within six months of mobilisation</w:t>
            </w:r>
          </w:p>
        </w:tc>
      </w:tr>
      <w:tr w:rsidR="00F83B6E" w:rsidRPr="00F83B6E" w14:paraId="4884A930" w14:textId="77777777" w:rsidTr="00A20C88">
        <w:tc>
          <w:tcPr>
            <w:tcW w:w="1980" w:type="dxa"/>
          </w:tcPr>
          <w:p w14:paraId="1BB92552" w14:textId="77777777" w:rsidR="005153CF" w:rsidRPr="00F83B6E" w:rsidRDefault="005153CF" w:rsidP="00907F0B">
            <w:pPr>
              <w:pStyle w:val="TableText"/>
              <w:rPr>
                <w:bCs/>
                <w:color w:val="000000" w:themeColor="text1"/>
                <w:lang w:val="en-AU"/>
              </w:rPr>
            </w:pPr>
            <w:r w:rsidRPr="00F83B6E">
              <w:rPr>
                <w:bCs/>
                <w:color w:val="000000" w:themeColor="text1"/>
                <w:lang w:val="en-AU"/>
              </w:rPr>
              <w:t>Annual Plan and Budget 2023-24</w:t>
            </w:r>
          </w:p>
        </w:tc>
        <w:tc>
          <w:tcPr>
            <w:tcW w:w="5386" w:type="dxa"/>
          </w:tcPr>
          <w:p w14:paraId="28D9747C" w14:textId="77777777" w:rsidR="005153CF" w:rsidRPr="00F83B6E" w:rsidRDefault="005153CF" w:rsidP="00907F0B">
            <w:pPr>
              <w:pStyle w:val="TableText"/>
              <w:rPr>
                <w:bCs/>
                <w:color w:val="000000" w:themeColor="text1"/>
                <w:lang w:val="en-AU"/>
              </w:rPr>
            </w:pPr>
            <w:r w:rsidRPr="00F83B6E">
              <w:rPr>
                <w:bCs/>
                <w:color w:val="000000" w:themeColor="text1"/>
                <w:lang w:val="en-AU"/>
              </w:rPr>
              <w:t>Covers all KPP activities for the period July 2023 - June 2024, including implementation schedule, budget, staffing, risks management, communications processes, and deliverables.</w:t>
            </w:r>
          </w:p>
        </w:tc>
        <w:tc>
          <w:tcPr>
            <w:tcW w:w="1449" w:type="dxa"/>
          </w:tcPr>
          <w:p w14:paraId="39568DA4" w14:textId="30506DC3" w:rsidR="005153CF" w:rsidRPr="00F83B6E" w:rsidRDefault="00436588" w:rsidP="00907F0B">
            <w:pPr>
              <w:pStyle w:val="TableText"/>
              <w:rPr>
                <w:bCs/>
                <w:color w:val="000000" w:themeColor="text1"/>
                <w:lang w:val="en-AU"/>
              </w:rPr>
            </w:pPr>
            <w:r w:rsidRPr="00F83B6E">
              <w:rPr>
                <w:bCs/>
                <w:color w:val="000000" w:themeColor="text1"/>
                <w:lang w:val="en-AU"/>
              </w:rPr>
              <w:t>Within six months of mobilisation</w:t>
            </w:r>
          </w:p>
        </w:tc>
      </w:tr>
    </w:tbl>
    <w:p w14:paraId="7731A9E3" w14:textId="1082A829" w:rsidR="004F2AF9" w:rsidRPr="00F83B6E" w:rsidRDefault="004F2AF9" w:rsidP="0062233E">
      <w:pPr>
        <w:pStyle w:val="Heading1"/>
        <w:rPr>
          <w:color w:val="000000" w:themeColor="text1"/>
        </w:rPr>
      </w:pPr>
      <w:bookmarkStart w:id="38" w:name="_Toc106986535"/>
      <w:bookmarkStart w:id="39" w:name="_Toc146528301"/>
      <w:bookmarkEnd w:id="38"/>
      <w:r w:rsidRPr="00F83B6E">
        <w:rPr>
          <w:color w:val="000000" w:themeColor="text1"/>
        </w:rPr>
        <w:t>Risk Management and Safeguards</w:t>
      </w:r>
      <w:bookmarkEnd w:id="39"/>
      <w:r w:rsidRPr="00F83B6E">
        <w:rPr>
          <w:color w:val="000000" w:themeColor="text1"/>
        </w:rPr>
        <w:t xml:space="preserve"> </w:t>
      </w:r>
    </w:p>
    <w:p w14:paraId="6E8EF46B" w14:textId="7EE9027D" w:rsidR="00FF43EB" w:rsidRPr="00F83B6E" w:rsidRDefault="00FF43EB" w:rsidP="00F27241">
      <w:pPr>
        <w:pStyle w:val="Heading2"/>
        <w:rPr>
          <w:color w:val="000000" w:themeColor="text1"/>
        </w:rPr>
      </w:pPr>
      <w:bookmarkStart w:id="40" w:name="_Toc146528302"/>
      <w:r w:rsidRPr="00F83B6E">
        <w:rPr>
          <w:color w:val="000000" w:themeColor="text1"/>
        </w:rPr>
        <w:t xml:space="preserve">Risk </w:t>
      </w:r>
      <w:r w:rsidR="00CD5518" w:rsidRPr="00F83B6E">
        <w:rPr>
          <w:color w:val="000000" w:themeColor="text1"/>
        </w:rPr>
        <w:t>m</w:t>
      </w:r>
      <w:r w:rsidRPr="00F83B6E">
        <w:rPr>
          <w:color w:val="000000" w:themeColor="text1"/>
        </w:rPr>
        <w:t xml:space="preserve">anagement </w:t>
      </w:r>
      <w:r w:rsidR="00CD5518" w:rsidRPr="00F83B6E">
        <w:rPr>
          <w:color w:val="000000" w:themeColor="text1"/>
        </w:rPr>
        <w:t>p</w:t>
      </w:r>
      <w:r w:rsidRPr="00F83B6E">
        <w:rPr>
          <w:color w:val="000000" w:themeColor="text1"/>
        </w:rPr>
        <w:t>lan</w:t>
      </w:r>
      <w:bookmarkEnd w:id="40"/>
      <w:r w:rsidRPr="00F83B6E">
        <w:rPr>
          <w:color w:val="000000" w:themeColor="text1"/>
        </w:rPr>
        <w:t xml:space="preserve"> </w:t>
      </w:r>
    </w:p>
    <w:p w14:paraId="688E77B2" w14:textId="5BBA0885" w:rsidR="0023598E" w:rsidRPr="00F83B6E" w:rsidRDefault="00FF43EB" w:rsidP="0023598E">
      <w:pPr>
        <w:pStyle w:val="BodyText"/>
        <w:rPr>
          <w:color w:val="000000" w:themeColor="text1"/>
        </w:rPr>
      </w:pPr>
      <w:r w:rsidRPr="00F83B6E">
        <w:rPr>
          <w:color w:val="000000" w:themeColor="text1"/>
        </w:rPr>
        <w:t xml:space="preserve">The most recent version of </w:t>
      </w:r>
      <w:r w:rsidR="00C0621F" w:rsidRPr="00F83B6E">
        <w:rPr>
          <w:color w:val="000000" w:themeColor="text1"/>
        </w:rPr>
        <w:t xml:space="preserve">the </w:t>
      </w:r>
      <w:r w:rsidRPr="00F83B6E">
        <w:rPr>
          <w:color w:val="000000" w:themeColor="text1"/>
        </w:rPr>
        <w:t>DFAT Risk</w:t>
      </w:r>
      <w:r w:rsidR="00F6718B" w:rsidRPr="00F83B6E">
        <w:rPr>
          <w:color w:val="000000" w:themeColor="text1"/>
        </w:rPr>
        <w:t>s</w:t>
      </w:r>
      <w:r w:rsidRPr="00F83B6E">
        <w:rPr>
          <w:color w:val="000000" w:themeColor="text1"/>
        </w:rPr>
        <w:t xml:space="preserve"> Screening Tool and </w:t>
      </w:r>
      <w:r w:rsidR="00F6718B" w:rsidRPr="00F83B6E">
        <w:rPr>
          <w:color w:val="000000" w:themeColor="text1"/>
        </w:rPr>
        <w:t xml:space="preserve">Risks </w:t>
      </w:r>
      <w:r w:rsidRPr="00F83B6E">
        <w:rPr>
          <w:color w:val="000000" w:themeColor="text1"/>
        </w:rPr>
        <w:t xml:space="preserve">Register </w:t>
      </w:r>
      <w:r w:rsidR="00831D99" w:rsidRPr="00F83B6E">
        <w:rPr>
          <w:color w:val="000000" w:themeColor="text1"/>
        </w:rPr>
        <w:t xml:space="preserve">template </w:t>
      </w:r>
      <w:r w:rsidRPr="00F83B6E">
        <w:rPr>
          <w:color w:val="000000" w:themeColor="text1"/>
        </w:rPr>
        <w:t>has been filled in as part of the design process, and is attached as a separate file. The overall inherent risk profile for this investment is medium</w:t>
      </w:r>
      <w:r w:rsidR="0023598E" w:rsidRPr="00F83B6E">
        <w:rPr>
          <w:color w:val="000000" w:themeColor="text1"/>
        </w:rPr>
        <w:t xml:space="preserve"> and the residual risk rating is</w:t>
      </w:r>
      <w:r w:rsidR="00E13C54" w:rsidRPr="00F83B6E">
        <w:rPr>
          <w:color w:val="000000" w:themeColor="text1"/>
        </w:rPr>
        <w:t xml:space="preserve"> medium</w:t>
      </w:r>
      <w:r w:rsidRPr="00F83B6E">
        <w:rPr>
          <w:color w:val="000000" w:themeColor="text1"/>
        </w:rPr>
        <w:t xml:space="preserve">. </w:t>
      </w:r>
      <w:r w:rsidR="00F6718B" w:rsidRPr="00F83B6E">
        <w:rPr>
          <w:color w:val="000000" w:themeColor="text1"/>
        </w:rPr>
        <w:t xml:space="preserve">This </w:t>
      </w:r>
      <w:r w:rsidRPr="00F83B6E">
        <w:rPr>
          <w:color w:val="000000" w:themeColor="text1"/>
        </w:rPr>
        <w:t xml:space="preserve">inherent risk level </w:t>
      </w:r>
      <w:r w:rsidR="0023598E" w:rsidRPr="00F83B6E">
        <w:rPr>
          <w:color w:val="000000" w:themeColor="text1"/>
        </w:rPr>
        <w:t xml:space="preserve">has been </w:t>
      </w:r>
      <w:r w:rsidRPr="00F83B6E">
        <w:rPr>
          <w:color w:val="000000" w:themeColor="text1"/>
        </w:rPr>
        <w:t xml:space="preserve">mitigated by </w:t>
      </w:r>
      <w:r w:rsidR="0097468C" w:rsidRPr="00F83B6E">
        <w:rPr>
          <w:color w:val="000000" w:themeColor="text1"/>
        </w:rPr>
        <w:t>the increased understanding of the context, particularly stakeholder interests, relationships, capacity, and experience</w:t>
      </w:r>
      <w:r w:rsidR="00406E9B" w:rsidRPr="00F83B6E">
        <w:rPr>
          <w:color w:val="000000" w:themeColor="text1"/>
        </w:rPr>
        <w:t>,</w:t>
      </w:r>
      <w:r w:rsidR="0097468C" w:rsidRPr="00F83B6E">
        <w:rPr>
          <w:color w:val="000000" w:themeColor="text1"/>
        </w:rPr>
        <w:t xml:space="preserve"> gained through </w:t>
      </w:r>
      <w:r w:rsidR="003A6396" w:rsidRPr="00F83B6E">
        <w:rPr>
          <w:color w:val="000000" w:themeColor="text1"/>
        </w:rPr>
        <w:t xml:space="preserve">Post’s long experience with knowledge sector programs delivery in Indonesia and </w:t>
      </w:r>
      <w:r w:rsidR="0097468C" w:rsidRPr="00F83B6E">
        <w:rPr>
          <w:color w:val="000000" w:themeColor="text1"/>
        </w:rPr>
        <w:t xml:space="preserve">the </w:t>
      </w:r>
      <w:r w:rsidR="003A6396" w:rsidRPr="00F83B6E">
        <w:rPr>
          <w:color w:val="000000" w:themeColor="text1"/>
        </w:rPr>
        <w:t xml:space="preserve">KPP </w:t>
      </w:r>
      <w:r w:rsidR="0097468C" w:rsidRPr="00F83B6E">
        <w:rPr>
          <w:color w:val="000000" w:themeColor="text1"/>
        </w:rPr>
        <w:t xml:space="preserve">design phase, and </w:t>
      </w:r>
      <w:r w:rsidRPr="00F83B6E">
        <w:rPr>
          <w:color w:val="000000" w:themeColor="text1"/>
        </w:rPr>
        <w:t xml:space="preserve">the fact that </w:t>
      </w:r>
      <w:r w:rsidR="00F6718B" w:rsidRPr="00F83B6E">
        <w:rPr>
          <w:color w:val="000000" w:themeColor="text1"/>
        </w:rPr>
        <w:t xml:space="preserve">KPP </w:t>
      </w:r>
      <w:r w:rsidR="00F6718B" w:rsidRPr="00F83B6E">
        <w:rPr>
          <w:color w:val="000000" w:themeColor="text1"/>
        </w:rPr>
        <w:lastRenderedPageBreak/>
        <w:t>will be</w:t>
      </w:r>
      <w:r w:rsidRPr="00F83B6E">
        <w:rPr>
          <w:color w:val="000000" w:themeColor="text1"/>
        </w:rPr>
        <w:t xml:space="preserve"> delivered through an experienced managing contractor</w:t>
      </w:r>
      <w:r w:rsidR="0023598E" w:rsidRPr="00F83B6E">
        <w:rPr>
          <w:color w:val="000000" w:themeColor="text1"/>
        </w:rPr>
        <w:t xml:space="preserve"> </w:t>
      </w:r>
      <w:r w:rsidR="0097468C" w:rsidRPr="00F83B6E">
        <w:rPr>
          <w:color w:val="000000" w:themeColor="text1"/>
        </w:rPr>
        <w:t>with strong oversight from the DFAT investment manager.</w:t>
      </w:r>
      <w:r w:rsidR="004736A5" w:rsidRPr="00F83B6E">
        <w:rPr>
          <w:color w:val="000000" w:themeColor="text1"/>
        </w:rPr>
        <w:t xml:space="preserve"> </w:t>
      </w:r>
    </w:p>
    <w:p w14:paraId="5D3A8A72" w14:textId="72D46D17" w:rsidR="0097468C" w:rsidRPr="00F83B6E" w:rsidRDefault="0097468C" w:rsidP="00907F0B">
      <w:pPr>
        <w:pStyle w:val="Heading3"/>
        <w:rPr>
          <w:color w:val="000000" w:themeColor="text1"/>
        </w:rPr>
      </w:pPr>
      <w:r w:rsidRPr="00F83B6E">
        <w:rPr>
          <w:color w:val="000000" w:themeColor="text1"/>
        </w:rPr>
        <w:t>Key risk areas</w:t>
      </w:r>
    </w:p>
    <w:p w14:paraId="1C4307CD" w14:textId="30D49E17" w:rsidR="003A6396" w:rsidRPr="00F83B6E" w:rsidRDefault="00815CC8" w:rsidP="00B91543">
      <w:pPr>
        <w:pStyle w:val="BodyText"/>
        <w:rPr>
          <w:color w:val="000000" w:themeColor="text1"/>
        </w:rPr>
      </w:pPr>
      <w:r w:rsidRPr="00F83B6E">
        <w:rPr>
          <w:color w:val="000000" w:themeColor="text1"/>
        </w:rPr>
        <w:t>P</w:t>
      </w:r>
      <w:r w:rsidR="003A6396" w:rsidRPr="00F83B6E">
        <w:rPr>
          <w:color w:val="000000" w:themeColor="text1"/>
        </w:rPr>
        <w:t>rimary and secondary risk categories</w:t>
      </w:r>
      <w:r w:rsidR="0097468C" w:rsidRPr="00F83B6E">
        <w:rPr>
          <w:color w:val="000000" w:themeColor="text1"/>
        </w:rPr>
        <w:t xml:space="preserve"> are detailed in the </w:t>
      </w:r>
      <w:r w:rsidR="00C36F9A" w:rsidRPr="00F83B6E">
        <w:rPr>
          <w:color w:val="000000" w:themeColor="text1"/>
        </w:rPr>
        <w:t xml:space="preserve">draft </w:t>
      </w:r>
      <w:r w:rsidR="0097468C" w:rsidRPr="00F83B6E">
        <w:rPr>
          <w:color w:val="000000" w:themeColor="text1"/>
        </w:rPr>
        <w:t>risk register</w:t>
      </w:r>
      <w:r w:rsidRPr="00F83B6E">
        <w:rPr>
          <w:color w:val="000000" w:themeColor="text1"/>
        </w:rPr>
        <w:t>. KPP main primary risks</w:t>
      </w:r>
      <w:r w:rsidR="003A6396" w:rsidRPr="00F83B6E">
        <w:rPr>
          <w:color w:val="000000" w:themeColor="text1"/>
        </w:rPr>
        <w:t xml:space="preserve"> </w:t>
      </w:r>
      <w:r w:rsidRPr="00F83B6E">
        <w:rPr>
          <w:color w:val="000000" w:themeColor="text1"/>
        </w:rPr>
        <w:t>are summarised below.</w:t>
      </w:r>
      <w:r w:rsidR="00B16A01" w:rsidRPr="00F83B6E">
        <w:rPr>
          <w:rStyle w:val="FootnoteReference"/>
          <w:color w:val="000000" w:themeColor="text1"/>
        </w:rPr>
        <w:footnoteReference w:id="53"/>
      </w:r>
    </w:p>
    <w:p w14:paraId="57969AB2" w14:textId="1870EC9C" w:rsidR="008403A2" w:rsidRPr="00F83B6E" w:rsidRDefault="003A6396" w:rsidP="00B91543">
      <w:pPr>
        <w:pStyle w:val="BodyText"/>
        <w:rPr>
          <w:color w:val="000000" w:themeColor="text1"/>
        </w:rPr>
      </w:pPr>
      <w:r w:rsidRPr="00F83B6E">
        <w:rPr>
          <w:color w:val="000000" w:themeColor="text1"/>
        </w:rPr>
        <w:t>T</w:t>
      </w:r>
      <w:r w:rsidR="0097468C" w:rsidRPr="00F83B6E">
        <w:rPr>
          <w:color w:val="000000" w:themeColor="text1"/>
        </w:rPr>
        <w:t xml:space="preserve">he dominant </w:t>
      </w:r>
      <w:r w:rsidR="008403A2" w:rsidRPr="00F83B6E">
        <w:rPr>
          <w:color w:val="000000" w:themeColor="text1"/>
        </w:rPr>
        <w:t>primary</w:t>
      </w:r>
      <w:r w:rsidR="00EB7DBB" w:rsidRPr="00F83B6E">
        <w:rPr>
          <w:color w:val="000000" w:themeColor="text1"/>
        </w:rPr>
        <w:t xml:space="preserve"> </w:t>
      </w:r>
      <w:r w:rsidR="008403A2" w:rsidRPr="00F83B6E">
        <w:rPr>
          <w:color w:val="000000" w:themeColor="text1"/>
        </w:rPr>
        <w:t xml:space="preserve">risk category is </w:t>
      </w:r>
      <w:r w:rsidR="008403A2" w:rsidRPr="00F83B6E">
        <w:rPr>
          <w:b/>
          <w:bCs/>
          <w:i/>
          <w:iCs/>
          <w:color w:val="000000" w:themeColor="text1"/>
        </w:rPr>
        <w:t>stakeholder risks</w:t>
      </w:r>
      <w:r w:rsidR="008403A2" w:rsidRPr="00F83B6E">
        <w:rPr>
          <w:color w:val="000000" w:themeColor="text1"/>
        </w:rPr>
        <w:t>. These relate to different categories of stakeholders as follows:</w:t>
      </w:r>
    </w:p>
    <w:p w14:paraId="47B9774E" w14:textId="078D6797" w:rsidR="008403A2" w:rsidRPr="00F83B6E" w:rsidRDefault="008403A2" w:rsidP="00E6202D">
      <w:pPr>
        <w:pStyle w:val="Bullet1"/>
        <w:rPr>
          <w:color w:val="000000" w:themeColor="text1"/>
        </w:rPr>
      </w:pPr>
      <w:r w:rsidRPr="00F83B6E">
        <w:rPr>
          <w:i/>
          <w:iCs/>
          <w:color w:val="000000" w:themeColor="text1"/>
        </w:rPr>
        <w:t>Government of Indonesia:</w:t>
      </w:r>
      <w:r w:rsidRPr="00F83B6E">
        <w:rPr>
          <w:color w:val="000000" w:themeColor="text1"/>
        </w:rPr>
        <w:t xml:space="preserve"> multiple</w:t>
      </w:r>
      <w:r w:rsidR="000931C1" w:rsidRPr="00F83B6E">
        <w:rPr>
          <w:color w:val="000000" w:themeColor="text1"/>
        </w:rPr>
        <w:t xml:space="preserve"> </w:t>
      </w:r>
      <w:proofErr w:type="spellStart"/>
      <w:r w:rsidR="000931C1" w:rsidRPr="00F83B6E">
        <w:rPr>
          <w:color w:val="000000" w:themeColor="text1"/>
        </w:rPr>
        <w:t>GoI</w:t>
      </w:r>
      <w:proofErr w:type="spellEnd"/>
      <w:r w:rsidRPr="00F83B6E">
        <w:rPr>
          <w:color w:val="000000" w:themeColor="text1"/>
        </w:rPr>
        <w:t xml:space="preserve"> institutions </w:t>
      </w:r>
      <w:r w:rsidR="00EB7DBB" w:rsidRPr="00F83B6E">
        <w:rPr>
          <w:color w:val="000000" w:themeColor="text1"/>
        </w:rPr>
        <w:t xml:space="preserve">will be involved in KPP, </w:t>
      </w:r>
      <w:r w:rsidRPr="00F83B6E">
        <w:rPr>
          <w:color w:val="000000" w:themeColor="text1"/>
        </w:rPr>
        <w:t xml:space="preserve">including </w:t>
      </w:r>
      <w:r w:rsidR="00EB7DBB" w:rsidRPr="00F83B6E">
        <w:rPr>
          <w:color w:val="000000" w:themeColor="text1"/>
        </w:rPr>
        <w:t xml:space="preserve">counterparts such as </w:t>
      </w:r>
      <w:r w:rsidRPr="00F83B6E">
        <w:rPr>
          <w:color w:val="000000" w:themeColor="text1"/>
        </w:rPr>
        <w:t xml:space="preserve">BAPPENAS, BRIN, </w:t>
      </w:r>
      <w:r w:rsidR="000931C1" w:rsidRPr="00F83B6E">
        <w:rPr>
          <w:color w:val="000000" w:themeColor="text1"/>
        </w:rPr>
        <w:t xml:space="preserve">and </w:t>
      </w:r>
      <w:proofErr w:type="spellStart"/>
      <w:r w:rsidRPr="00F83B6E">
        <w:rPr>
          <w:color w:val="000000" w:themeColor="text1"/>
        </w:rPr>
        <w:t>MoEC</w:t>
      </w:r>
      <w:r w:rsidR="000931C1" w:rsidRPr="00F83B6E">
        <w:rPr>
          <w:color w:val="000000" w:themeColor="text1"/>
        </w:rPr>
        <w:t>RT</w:t>
      </w:r>
      <w:proofErr w:type="spellEnd"/>
      <w:r w:rsidR="000931C1" w:rsidRPr="00F83B6E">
        <w:rPr>
          <w:color w:val="000000" w:themeColor="text1"/>
        </w:rPr>
        <w:t>,</w:t>
      </w:r>
      <w:r w:rsidRPr="00F83B6E">
        <w:rPr>
          <w:color w:val="000000" w:themeColor="text1"/>
        </w:rPr>
        <w:t xml:space="preserve"> </w:t>
      </w:r>
      <w:r w:rsidR="00EB7DBB" w:rsidRPr="00F83B6E">
        <w:rPr>
          <w:color w:val="000000" w:themeColor="text1"/>
        </w:rPr>
        <w:t>and</w:t>
      </w:r>
      <w:r w:rsidRPr="00F83B6E">
        <w:rPr>
          <w:color w:val="000000" w:themeColor="text1"/>
        </w:rPr>
        <w:t xml:space="preserve"> agencies </w:t>
      </w:r>
      <w:r w:rsidR="00EB7DBB" w:rsidRPr="00F83B6E">
        <w:rPr>
          <w:color w:val="000000" w:themeColor="text1"/>
        </w:rPr>
        <w:t>involved</w:t>
      </w:r>
      <w:r w:rsidRPr="00F83B6E">
        <w:rPr>
          <w:color w:val="000000" w:themeColor="text1"/>
        </w:rPr>
        <w:t xml:space="preserve"> </w:t>
      </w:r>
      <w:r w:rsidR="00EB7DBB" w:rsidRPr="00F83B6E">
        <w:rPr>
          <w:color w:val="000000" w:themeColor="text1"/>
        </w:rPr>
        <w:t xml:space="preserve">in knowledge use for </w:t>
      </w:r>
      <w:r w:rsidRPr="00F83B6E">
        <w:rPr>
          <w:color w:val="000000" w:themeColor="text1"/>
        </w:rPr>
        <w:t xml:space="preserve">policy and </w:t>
      </w:r>
      <w:r w:rsidR="00EB7DBB" w:rsidRPr="00F83B6E">
        <w:rPr>
          <w:color w:val="000000" w:themeColor="text1"/>
        </w:rPr>
        <w:t>technology</w:t>
      </w:r>
      <w:r w:rsidRPr="00F83B6E">
        <w:rPr>
          <w:color w:val="000000" w:themeColor="text1"/>
        </w:rPr>
        <w:t xml:space="preserve">. Working effectively with the different counterparts will bring strength to KPP, but </w:t>
      </w:r>
      <w:r w:rsidR="000931C1" w:rsidRPr="00F83B6E">
        <w:rPr>
          <w:color w:val="000000" w:themeColor="text1"/>
        </w:rPr>
        <w:t xml:space="preserve">it </w:t>
      </w:r>
      <w:r w:rsidRPr="00F83B6E">
        <w:rPr>
          <w:color w:val="000000" w:themeColor="text1"/>
        </w:rPr>
        <w:t>will require careful coordination</w:t>
      </w:r>
      <w:r w:rsidR="00503590" w:rsidRPr="00F83B6E">
        <w:rPr>
          <w:color w:val="000000" w:themeColor="text1"/>
        </w:rPr>
        <w:t xml:space="preserve">, </w:t>
      </w:r>
      <w:r w:rsidRPr="00F83B6E">
        <w:rPr>
          <w:color w:val="000000" w:themeColor="text1"/>
        </w:rPr>
        <w:t xml:space="preserve">facilitation </w:t>
      </w:r>
      <w:r w:rsidR="00503590" w:rsidRPr="00F83B6E">
        <w:rPr>
          <w:color w:val="000000" w:themeColor="text1"/>
        </w:rPr>
        <w:t xml:space="preserve">and flexibility </w:t>
      </w:r>
      <w:r w:rsidRPr="00F83B6E">
        <w:rPr>
          <w:color w:val="000000" w:themeColor="text1"/>
        </w:rPr>
        <w:t xml:space="preserve">through the </w:t>
      </w:r>
      <w:r w:rsidR="000931C1" w:rsidRPr="00F83B6E">
        <w:rPr>
          <w:color w:val="000000" w:themeColor="text1"/>
        </w:rPr>
        <w:t>PSC</w:t>
      </w:r>
      <w:r w:rsidR="00EB7DBB" w:rsidRPr="00F83B6E">
        <w:rPr>
          <w:color w:val="000000" w:themeColor="text1"/>
        </w:rPr>
        <w:t>. BRIN in particular is in an establishment phase, and as such its mandate, processes and operations might evolve in the months and years to come</w:t>
      </w:r>
      <w:r w:rsidRPr="00F83B6E">
        <w:rPr>
          <w:color w:val="000000" w:themeColor="text1"/>
        </w:rPr>
        <w:t>.</w:t>
      </w:r>
    </w:p>
    <w:p w14:paraId="3122C09B" w14:textId="7AAAAB94" w:rsidR="008403A2" w:rsidRPr="00F83B6E" w:rsidRDefault="000931C1" w:rsidP="00E6202D">
      <w:pPr>
        <w:pStyle w:val="Bullet1"/>
        <w:rPr>
          <w:color w:val="000000" w:themeColor="text1"/>
        </w:rPr>
      </w:pPr>
      <w:r w:rsidRPr="00F83B6E">
        <w:rPr>
          <w:i/>
          <w:iCs/>
          <w:color w:val="000000" w:themeColor="text1"/>
        </w:rPr>
        <w:t>Organisational</w:t>
      </w:r>
      <w:r w:rsidR="008403A2" w:rsidRPr="00F83B6E">
        <w:rPr>
          <w:i/>
          <w:iCs/>
          <w:color w:val="000000" w:themeColor="text1"/>
        </w:rPr>
        <w:t xml:space="preserve"> partners:</w:t>
      </w:r>
      <w:r w:rsidR="008403A2" w:rsidRPr="00F83B6E">
        <w:rPr>
          <w:color w:val="000000" w:themeColor="text1"/>
        </w:rPr>
        <w:t xml:space="preserve"> KPP’s program logic assumes that Australian and Indonesian organisations will want and be able to </w:t>
      </w:r>
      <w:r w:rsidR="00503590" w:rsidRPr="00F83B6E">
        <w:rPr>
          <w:color w:val="000000" w:themeColor="text1"/>
        </w:rPr>
        <w:t xml:space="preserve">partner around </w:t>
      </w:r>
      <w:r w:rsidR="00EB7DBB" w:rsidRPr="00F83B6E">
        <w:rPr>
          <w:color w:val="000000" w:themeColor="text1"/>
        </w:rPr>
        <w:t xml:space="preserve">research topics </w:t>
      </w:r>
      <w:r w:rsidR="008403A2" w:rsidRPr="00F83B6E">
        <w:rPr>
          <w:color w:val="000000" w:themeColor="text1"/>
        </w:rPr>
        <w:t xml:space="preserve">of mutual </w:t>
      </w:r>
      <w:r w:rsidR="0006740A" w:rsidRPr="00F83B6E">
        <w:rPr>
          <w:color w:val="000000" w:themeColor="text1"/>
        </w:rPr>
        <w:t>interest</w:t>
      </w:r>
      <w:r w:rsidR="00EB7DBB" w:rsidRPr="00F83B6E">
        <w:rPr>
          <w:color w:val="000000" w:themeColor="text1"/>
        </w:rPr>
        <w:t xml:space="preserve"> and complementary strengths,</w:t>
      </w:r>
      <w:r w:rsidR="0006740A" w:rsidRPr="00F83B6E">
        <w:rPr>
          <w:color w:val="000000" w:themeColor="text1"/>
        </w:rPr>
        <w:t xml:space="preserve"> and</w:t>
      </w:r>
      <w:r w:rsidR="008403A2" w:rsidRPr="00F83B6E">
        <w:rPr>
          <w:color w:val="000000" w:themeColor="text1"/>
        </w:rPr>
        <w:t xml:space="preserve"> be able to overcome power imbalances to </w:t>
      </w:r>
      <w:r w:rsidR="00EB7DBB" w:rsidRPr="00F83B6E">
        <w:rPr>
          <w:color w:val="000000" w:themeColor="text1"/>
        </w:rPr>
        <w:t>operate</w:t>
      </w:r>
      <w:r w:rsidR="008403A2" w:rsidRPr="00F83B6E">
        <w:rPr>
          <w:color w:val="000000" w:themeColor="text1"/>
        </w:rPr>
        <w:t xml:space="preserve"> effective </w:t>
      </w:r>
      <w:r w:rsidR="00503590" w:rsidRPr="00F83B6E">
        <w:rPr>
          <w:color w:val="000000" w:themeColor="text1"/>
        </w:rPr>
        <w:t xml:space="preserve">in a </w:t>
      </w:r>
      <w:r w:rsidRPr="00F83B6E">
        <w:rPr>
          <w:color w:val="000000" w:themeColor="text1"/>
        </w:rPr>
        <w:t xml:space="preserve">collaborative </w:t>
      </w:r>
      <w:r w:rsidR="00503590" w:rsidRPr="00F83B6E">
        <w:rPr>
          <w:color w:val="000000" w:themeColor="text1"/>
        </w:rPr>
        <w:t>manner</w:t>
      </w:r>
      <w:r w:rsidR="008403A2" w:rsidRPr="00F83B6E">
        <w:rPr>
          <w:color w:val="000000" w:themeColor="text1"/>
        </w:rPr>
        <w:t xml:space="preserve">. Given the history of collaboration between Australian and Indonesian research institutions and universities, and the incentive of KPP grants and </w:t>
      </w:r>
      <w:r w:rsidR="00EB7DBB" w:rsidRPr="00F83B6E">
        <w:rPr>
          <w:color w:val="000000" w:themeColor="text1"/>
        </w:rPr>
        <w:t xml:space="preserve">technical </w:t>
      </w:r>
      <w:r w:rsidR="008403A2" w:rsidRPr="00F83B6E">
        <w:rPr>
          <w:color w:val="000000" w:themeColor="text1"/>
        </w:rPr>
        <w:t xml:space="preserve">assistance, the assumption appears safe. KPP will take an informed approach to </w:t>
      </w:r>
      <w:r w:rsidR="00EB7DBB" w:rsidRPr="00F83B6E">
        <w:rPr>
          <w:color w:val="000000" w:themeColor="text1"/>
        </w:rPr>
        <w:t xml:space="preserve">set research </w:t>
      </w:r>
      <w:r w:rsidR="008403A2" w:rsidRPr="00F83B6E">
        <w:rPr>
          <w:color w:val="000000" w:themeColor="text1"/>
        </w:rPr>
        <w:t xml:space="preserve">agenda maximising opportunities for </w:t>
      </w:r>
      <w:r w:rsidR="00EB7DBB" w:rsidRPr="00F83B6E">
        <w:rPr>
          <w:color w:val="000000" w:themeColor="text1"/>
        </w:rPr>
        <w:t>consultations and delineation of mutual interests</w:t>
      </w:r>
      <w:r w:rsidR="008403A2" w:rsidRPr="00F83B6E">
        <w:rPr>
          <w:color w:val="000000" w:themeColor="text1"/>
        </w:rPr>
        <w:t xml:space="preserve">. While the context may be different, there are global shared interests </w:t>
      </w:r>
      <w:r w:rsidR="00EB7DBB" w:rsidRPr="00F83B6E">
        <w:rPr>
          <w:color w:val="000000" w:themeColor="text1"/>
        </w:rPr>
        <w:t xml:space="preserve">between Australia and Indonesia </w:t>
      </w:r>
      <w:r w:rsidRPr="00F83B6E">
        <w:rPr>
          <w:color w:val="000000" w:themeColor="text1"/>
        </w:rPr>
        <w:t>including</w:t>
      </w:r>
      <w:r w:rsidR="008403A2" w:rsidRPr="00F83B6E">
        <w:rPr>
          <w:color w:val="000000" w:themeColor="text1"/>
        </w:rPr>
        <w:t xml:space="preserve"> post-COVID-19 recovery, economic transformation, climate change adaptation and mitigation, the green, digital, and blue economy</w:t>
      </w:r>
      <w:r w:rsidRPr="00F83B6E">
        <w:rPr>
          <w:color w:val="000000" w:themeColor="text1"/>
        </w:rPr>
        <w:t>,</w:t>
      </w:r>
      <w:r w:rsidR="008403A2" w:rsidRPr="00F83B6E">
        <w:rPr>
          <w:color w:val="000000" w:themeColor="text1"/>
        </w:rPr>
        <w:t xml:space="preserve"> and addressing inequality and exclusion. </w:t>
      </w:r>
    </w:p>
    <w:p w14:paraId="1D43C8E9" w14:textId="2B5CAD27" w:rsidR="008403A2" w:rsidRPr="00F83B6E" w:rsidRDefault="009322C2" w:rsidP="00E6202D">
      <w:pPr>
        <w:pStyle w:val="Bullet1"/>
        <w:rPr>
          <w:color w:val="000000" w:themeColor="text1"/>
        </w:rPr>
      </w:pPr>
      <w:proofErr w:type="spellStart"/>
      <w:r w:rsidRPr="00F83B6E">
        <w:rPr>
          <w:i/>
          <w:iCs/>
          <w:color w:val="000000" w:themeColor="text1"/>
        </w:rPr>
        <w:t>GoA</w:t>
      </w:r>
      <w:proofErr w:type="spellEnd"/>
      <w:r w:rsidRPr="00F83B6E">
        <w:rPr>
          <w:i/>
          <w:iCs/>
          <w:color w:val="000000" w:themeColor="text1"/>
        </w:rPr>
        <w:t xml:space="preserve"> investments</w:t>
      </w:r>
      <w:r w:rsidR="000931C1" w:rsidRPr="00F83B6E">
        <w:rPr>
          <w:i/>
          <w:iCs/>
          <w:color w:val="000000" w:themeColor="text1"/>
        </w:rPr>
        <w:t xml:space="preserve"> in Indonesia</w:t>
      </w:r>
      <w:r w:rsidR="008403A2" w:rsidRPr="00F83B6E">
        <w:rPr>
          <w:i/>
          <w:iCs/>
          <w:color w:val="000000" w:themeColor="text1"/>
        </w:rPr>
        <w:t>:</w:t>
      </w:r>
      <w:r w:rsidR="008403A2" w:rsidRPr="00F83B6E">
        <w:rPr>
          <w:color w:val="000000" w:themeColor="text1"/>
        </w:rPr>
        <w:t xml:space="preserve"> The broad Australian Aid program in Indonesia means</w:t>
      </w:r>
      <w:r w:rsidRPr="00F83B6E">
        <w:rPr>
          <w:color w:val="000000" w:themeColor="text1"/>
        </w:rPr>
        <w:t xml:space="preserve"> </w:t>
      </w:r>
      <w:r w:rsidR="008403A2" w:rsidRPr="00F83B6E">
        <w:rPr>
          <w:color w:val="000000" w:themeColor="text1"/>
        </w:rPr>
        <w:t xml:space="preserve">KPP will </w:t>
      </w:r>
      <w:r w:rsidRPr="00F83B6E">
        <w:rPr>
          <w:color w:val="000000" w:themeColor="text1"/>
        </w:rPr>
        <w:t>likely fund research with</w:t>
      </w:r>
      <w:r w:rsidR="008403A2" w:rsidRPr="00F83B6E">
        <w:rPr>
          <w:color w:val="000000" w:themeColor="text1"/>
        </w:rPr>
        <w:t xml:space="preserve"> common agendas and sometimes common partners</w:t>
      </w:r>
      <w:r w:rsidRPr="00F83B6E">
        <w:rPr>
          <w:color w:val="000000" w:themeColor="text1"/>
        </w:rPr>
        <w:t xml:space="preserve"> to other </w:t>
      </w:r>
      <w:proofErr w:type="spellStart"/>
      <w:r w:rsidRPr="00F83B6E">
        <w:rPr>
          <w:color w:val="000000" w:themeColor="text1"/>
        </w:rPr>
        <w:t>GoA</w:t>
      </w:r>
      <w:proofErr w:type="spellEnd"/>
      <w:r w:rsidRPr="00F83B6E">
        <w:rPr>
          <w:color w:val="000000" w:themeColor="text1"/>
        </w:rPr>
        <w:t xml:space="preserve"> investments in Indonesia</w:t>
      </w:r>
      <w:r w:rsidR="008403A2" w:rsidRPr="00F83B6E">
        <w:rPr>
          <w:color w:val="000000" w:themeColor="text1"/>
        </w:rPr>
        <w:t xml:space="preserve">. Active </w:t>
      </w:r>
      <w:r w:rsidRPr="00F83B6E">
        <w:rPr>
          <w:color w:val="000000" w:themeColor="text1"/>
        </w:rPr>
        <w:t xml:space="preserve">dialogue and </w:t>
      </w:r>
      <w:r w:rsidR="008403A2" w:rsidRPr="00F83B6E">
        <w:rPr>
          <w:color w:val="000000" w:themeColor="text1"/>
        </w:rPr>
        <w:t xml:space="preserve">coordination with </w:t>
      </w:r>
      <w:r w:rsidRPr="00F83B6E">
        <w:rPr>
          <w:color w:val="000000" w:themeColor="text1"/>
        </w:rPr>
        <w:t>these investments</w:t>
      </w:r>
      <w:r w:rsidR="008403A2" w:rsidRPr="00F83B6E">
        <w:rPr>
          <w:color w:val="000000" w:themeColor="text1"/>
        </w:rPr>
        <w:t xml:space="preserve"> will be important </w:t>
      </w:r>
      <w:r w:rsidRPr="00F83B6E">
        <w:rPr>
          <w:color w:val="000000" w:themeColor="text1"/>
        </w:rPr>
        <w:t xml:space="preserve">to </w:t>
      </w:r>
      <w:r w:rsidR="008403A2" w:rsidRPr="00F83B6E">
        <w:rPr>
          <w:color w:val="000000" w:themeColor="text1"/>
        </w:rPr>
        <w:t>ensur</w:t>
      </w:r>
      <w:r w:rsidRPr="00F83B6E">
        <w:rPr>
          <w:color w:val="000000" w:themeColor="text1"/>
        </w:rPr>
        <w:t xml:space="preserve">e </w:t>
      </w:r>
      <w:r w:rsidR="008403A2" w:rsidRPr="00F83B6E">
        <w:rPr>
          <w:color w:val="000000" w:themeColor="text1"/>
        </w:rPr>
        <w:t xml:space="preserve">efficient use of resources, </w:t>
      </w:r>
      <w:r w:rsidRPr="00F83B6E">
        <w:rPr>
          <w:color w:val="000000" w:themeColor="text1"/>
        </w:rPr>
        <w:t>maximise synergies and coherence</w:t>
      </w:r>
      <w:r w:rsidR="00503590" w:rsidRPr="00F83B6E">
        <w:rPr>
          <w:color w:val="000000" w:themeColor="text1"/>
        </w:rPr>
        <w:t>,</w:t>
      </w:r>
      <w:r w:rsidRPr="00F83B6E">
        <w:rPr>
          <w:color w:val="000000" w:themeColor="text1"/>
        </w:rPr>
        <w:t xml:space="preserve"> and </w:t>
      </w:r>
      <w:r w:rsidR="008403A2" w:rsidRPr="00F83B6E">
        <w:rPr>
          <w:color w:val="000000" w:themeColor="text1"/>
        </w:rPr>
        <w:t>avoid</w:t>
      </w:r>
      <w:r w:rsidRPr="00F83B6E">
        <w:rPr>
          <w:color w:val="000000" w:themeColor="text1"/>
        </w:rPr>
        <w:t xml:space="preserve"> confusion and tensions </w:t>
      </w:r>
      <w:r w:rsidR="008403A2" w:rsidRPr="00F83B6E">
        <w:rPr>
          <w:color w:val="000000" w:themeColor="text1"/>
        </w:rPr>
        <w:t xml:space="preserve">that can come from </w:t>
      </w:r>
      <w:r w:rsidR="00503590" w:rsidRPr="00F83B6E">
        <w:rPr>
          <w:color w:val="000000" w:themeColor="text1"/>
        </w:rPr>
        <w:t xml:space="preserve">the </w:t>
      </w:r>
      <w:r w:rsidR="008403A2" w:rsidRPr="00F83B6E">
        <w:rPr>
          <w:color w:val="000000" w:themeColor="text1"/>
        </w:rPr>
        <w:t>perception of competing agendas and different approaches.</w:t>
      </w:r>
    </w:p>
    <w:p w14:paraId="5E5ABE12" w14:textId="0697565C" w:rsidR="00F408A8" w:rsidRPr="00F83B6E" w:rsidRDefault="008403A2">
      <w:pPr>
        <w:pStyle w:val="BodyText"/>
        <w:rPr>
          <w:color w:val="000000" w:themeColor="text1"/>
        </w:rPr>
      </w:pPr>
      <w:r w:rsidRPr="00F83B6E">
        <w:rPr>
          <w:b/>
          <w:bCs/>
          <w:i/>
          <w:iCs/>
          <w:color w:val="000000" w:themeColor="text1"/>
        </w:rPr>
        <w:t>Programming risks</w:t>
      </w:r>
      <w:r w:rsidR="007D5155" w:rsidRPr="00F83B6E">
        <w:rPr>
          <w:color w:val="000000" w:themeColor="text1"/>
        </w:rPr>
        <w:t xml:space="preserve"> </w:t>
      </w:r>
      <w:r w:rsidR="00495675" w:rsidRPr="00F83B6E">
        <w:rPr>
          <w:color w:val="000000" w:themeColor="text1"/>
        </w:rPr>
        <w:t xml:space="preserve">primarily </w:t>
      </w:r>
      <w:r w:rsidRPr="00F83B6E">
        <w:rPr>
          <w:color w:val="000000" w:themeColor="text1"/>
        </w:rPr>
        <w:t>to KPP’s focus on gender equality, disability, and social inclusion,</w:t>
      </w:r>
      <w:r w:rsidR="00503590" w:rsidRPr="00F83B6E">
        <w:rPr>
          <w:color w:val="000000" w:themeColor="text1"/>
        </w:rPr>
        <w:t xml:space="preserve"> which</w:t>
      </w:r>
      <w:r w:rsidRPr="00F83B6E">
        <w:rPr>
          <w:color w:val="000000" w:themeColor="text1"/>
        </w:rPr>
        <w:t xml:space="preserve"> </w:t>
      </w:r>
      <w:r w:rsidR="00503590" w:rsidRPr="00F83B6E">
        <w:rPr>
          <w:color w:val="000000" w:themeColor="text1"/>
        </w:rPr>
        <w:t>will</w:t>
      </w:r>
      <w:r w:rsidRPr="00F83B6E">
        <w:rPr>
          <w:color w:val="000000" w:themeColor="text1"/>
        </w:rPr>
        <w:t xml:space="preserve"> be stronger than the </w:t>
      </w:r>
      <w:r w:rsidR="00495675" w:rsidRPr="00F83B6E">
        <w:rPr>
          <w:color w:val="000000" w:themeColor="text1"/>
        </w:rPr>
        <w:t xml:space="preserve">general GEDSI </w:t>
      </w:r>
      <w:r w:rsidRPr="00F83B6E">
        <w:rPr>
          <w:color w:val="000000" w:themeColor="text1"/>
        </w:rPr>
        <w:t xml:space="preserve">positioning in mainstream agendas, including </w:t>
      </w:r>
      <w:proofErr w:type="spellStart"/>
      <w:r w:rsidR="00495675" w:rsidRPr="00F83B6E">
        <w:rPr>
          <w:color w:val="000000" w:themeColor="text1"/>
        </w:rPr>
        <w:t>GoI</w:t>
      </w:r>
      <w:proofErr w:type="spellEnd"/>
      <w:r w:rsidRPr="00F83B6E">
        <w:rPr>
          <w:color w:val="000000" w:themeColor="text1"/>
        </w:rPr>
        <w:t xml:space="preserve"> economic transformation agenda. KPP, with DFAT support, will advocate this focus through the</w:t>
      </w:r>
      <w:r w:rsidR="00495675" w:rsidRPr="00F83B6E">
        <w:rPr>
          <w:color w:val="000000" w:themeColor="text1"/>
        </w:rPr>
        <w:t xml:space="preserve"> Program</w:t>
      </w:r>
      <w:r w:rsidRPr="00F83B6E">
        <w:rPr>
          <w:color w:val="000000" w:themeColor="text1"/>
        </w:rPr>
        <w:t xml:space="preserve"> Steering </w:t>
      </w:r>
      <w:r w:rsidR="00495675" w:rsidRPr="00F83B6E">
        <w:rPr>
          <w:color w:val="000000" w:themeColor="text1"/>
        </w:rPr>
        <w:t xml:space="preserve">and Technical </w:t>
      </w:r>
      <w:r w:rsidRPr="00F83B6E">
        <w:rPr>
          <w:color w:val="000000" w:themeColor="text1"/>
        </w:rPr>
        <w:t>Committee</w:t>
      </w:r>
      <w:r w:rsidR="00495675" w:rsidRPr="00F83B6E">
        <w:rPr>
          <w:color w:val="000000" w:themeColor="text1"/>
        </w:rPr>
        <w:t>s</w:t>
      </w:r>
      <w:r w:rsidR="00503590" w:rsidRPr="00F83B6E">
        <w:rPr>
          <w:color w:val="000000" w:themeColor="text1"/>
        </w:rPr>
        <w:t>,</w:t>
      </w:r>
      <w:r w:rsidRPr="00F83B6E">
        <w:rPr>
          <w:color w:val="000000" w:themeColor="text1"/>
        </w:rPr>
        <w:t xml:space="preserve"> and </w:t>
      </w:r>
      <w:r w:rsidR="00495675" w:rsidRPr="00F83B6E">
        <w:rPr>
          <w:color w:val="000000" w:themeColor="text1"/>
        </w:rPr>
        <w:t xml:space="preserve">at </w:t>
      </w:r>
      <w:r w:rsidRPr="00F83B6E">
        <w:rPr>
          <w:color w:val="000000" w:themeColor="text1"/>
        </w:rPr>
        <w:t>operational level</w:t>
      </w:r>
      <w:r w:rsidR="00495675" w:rsidRPr="00F83B6E">
        <w:rPr>
          <w:color w:val="000000" w:themeColor="text1"/>
        </w:rPr>
        <w:t xml:space="preserve"> with partners</w:t>
      </w:r>
      <w:r w:rsidRPr="00F83B6E">
        <w:rPr>
          <w:color w:val="000000" w:themeColor="text1"/>
        </w:rPr>
        <w:t xml:space="preserve">. </w:t>
      </w:r>
      <w:r w:rsidR="00F408A8" w:rsidRPr="00F83B6E">
        <w:rPr>
          <w:color w:val="000000" w:themeColor="text1"/>
        </w:rPr>
        <w:t xml:space="preserve">It may be that the focus on mutual interests will require more DFAT and KPP Hub support to secure the desired level or prioritisation. </w:t>
      </w:r>
    </w:p>
    <w:p w14:paraId="71113E62" w14:textId="0DC64843" w:rsidR="00664984" w:rsidRPr="00F83B6E" w:rsidRDefault="003A6396" w:rsidP="00A06046">
      <w:pPr>
        <w:pStyle w:val="BodyText"/>
        <w:rPr>
          <w:color w:val="000000" w:themeColor="text1"/>
        </w:rPr>
      </w:pPr>
      <w:r w:rsidRPr="00F83B6E">
        <w:rPr>
          <w:color w:val="000000" w:themeColor="text1"/>
        </w:rPr>
        <w:t>T</w:t>
      </w:r>
      <w:r w:rsidR="00664984" w:rsidRPr="00F83B6E">
        <w:rPr>
          <w:color w:val="000000" w:themeColor="text1"/>
        </w:rPr>
        <w:t xml:space="preserve">here are inherent </w:t>
      </w:r>
      <w:r w:rsidR="00664984" w:rsidRPr="00F83B6E">
        <w:rPr>
          <w:b/>
          <w:bCs/>
          <w:i/>
          <w:iCs/>
          <w:color w:val="000000" w:themeColor="text1"/>
        </w:rPr>
        <w:t>social risks</w:t>
      </w:r>
      <w:r w:rsidR="00664984" w:rsidRPr="00F83B6E">
        <w:rPr>
          <w:color w:val="000000" w:themeColor="text1"/>
        </w:rPr>
        <w:t xml:space="preserve"> related to </w:t>
      </w:r>
      <w:r w:rsidR="00664984" w:rsidRPr="00F83B6E">
        <w:rPr>
          <w:color w:val="000000" w:themeColor="text1"/>
          <w:lang w:eastAsia="en-GB"/>
        </w:rPr>
        <w:t>child protection or sexual exploitation, abuse, harassment</w:t>
      </w:r>
      <w:r w:rsidR="00E3550B" w:rsidRPr="00F83B6E">
        <w:rPr>
          <w:color w:val="000000" w:themeColor="text1"/>
          <w:lang w:eastAsia="en-GB"/>
        </w:rPr>
        <w:t xml:space="preserve"> (SEAH)</w:t>
      </w:r>
      <w:r w:rsidR="00664984" w:rsidRPr="00F83B6E">
        <w:rPr>
          <w:color w:val="000000" w:themeColor="text1"/>
          <w:lang w:eastAsia="en-GB"/>
        </w:rPr>
        <w:t xml:space="preserve"> incidents involving KPP </w:t>
      </w:r>
      <w:r w:rsidRPr="00F83B6E">
        <w:rPr>
          <w:color w:val="000000" w:themeColor="text1"/>
          <w:lang w:eastAsia="en-GB"/>
        </w:rPr>
        <w:t>and/</w:t>
      </w:r>
      <w:r w:rsidR="00664984" w:rsidRPr="00F83B6E">
        <w:rPr>
          <w:color w:val="000000" w:themeColor="text1"/>
          <w:lang w:eastAsia="en-GB"/>
        </w:rPr>
        <w:t xml:space="preserve">or partnership personnel, or research subjects being negatively impacted by the research </w:t>
      </w:r>
      <w:r w:rsidRPr="00F83B6E">
        <w:rPr>
          <w:color w:val="000000" w:themeColor="text1"/>
          <w:lang w:eastAsia="en-GB"/>
        </w:rPr>
        <w:t>process</w:t>
      </w:r>
      <w:r w:rsidR="00664984" w:rsidRPr="00F83B6E">
        <w:rPr>
          <w:color w:val="000000" w:themeColor="text1"/>
          <w:lang w:eastAsia="en-GB"/>
        </w:rPr>
        <w:t xml:space="preserve">. Controls for these risks </w:t>
      </w:r>
      <w:r w:rsidR="00B16A01" w:rsidRPr="00F83B6E">
        <w:rPr>
          <w:color w:val="000000" w:themeColor="text1"/>
          <w:lang w:eastAsia="en-GB"/>
        </w:rPr>
        <w:t xml:space="preserve">require the Platform Hub and downstream partners to have appropriate systems in place to meet relevant DFAT safeguard </w:t>
      </w:r>
      <w:r w:rsidR="00E3550B" w:rsidRPr="00F83B6E">
        <w:rPr>
          <w:color w:val="000000" w:themeColor="text1"/>
          <w:lang w:eastAsia="en-GB"/>
        </w:rPr>
        <w:t>standards</w:t>
      </w:r>
      <w:r w:rsidR="00B16A01" w:rsidRPr="00F83B6E">
        <w:rPr>
          <w:rStyle w:val="FootnoteReference"/>
          <w:color w:val="000000" w:themeColor="text1"/>
          <w:lang w:eastAsia="en-GB"/>
        </w:rPr>
        <w:footnoteReference w:id="54"/>
      </w:r>
      <w:r w:rsidR="00B16A01" w:rsidRPr="00F83B6E">
        <w:rPr>
          <w:color w:val="000000" w:themeColor="text1"/>
          <w:lang w:eastAsia="en-GB"/>
        </w:rPr>
        <w:t xml:space="preserve"> at each stage of KPP activities and </w:t>
      </w:r>
      <w:r w:rsidR="003B5AE8" w:rsidRPr="00F83B6E">
        <w:rPr>
          <w:color w:val="000000" w:themeColor="text1"/>
          <w:lang w:eastAsia="en-GB"/>
        </w:rPr>
        <w:t xml:space="preserve">the </w:t>
      </w:r>
      <w:r w:rsidR="00B16A01" w:rsidRPr="00F83B6E">
        <w:rPr>
          <w:color w:val="000000" w:themeColor="text1"/>
          <w:lang w:eastAsia="en-GB"/>
        </w:rPr>
        <w:t>grant cycle</w:t>
      </w:r>
      <w:r w:rsidR="00E3550B" w:rsidRPr="00F83B6E">
        <w:rPr>
          <w:color w:val="000000" w:themeColor="text1"/>
          <w:lang w:eastAsia="en-GB"/>
        </w:rPr>
        <w:t>. This will include child protection and SEAH</w:t>
      </w:r>
      <w:r w:rsidR="00B16A01" w:rsidRPr="00F83B6E">
        <w:rPr>
          <w:color w:val="000000" w:themeColor="text1"/>
          <w:lang w:eastAsia="en-GB"/>
        </w:rPr>
        <w:t xml:space="preserve"> risk assessment</w:t>
      </w:r>
      <w:r w:rsidR="00E3550B" w:rsidRPr="00F83B6E">
        <w:rPr>
          <w:color w:val="000000" w:themeColor="text1"/>
          <w:lang w:eastAsia="en-GB"/>
        </w:rPr>
        <w:t xml:space="preserve"> as part of the grant</w:t>
      </w:r>
      <w:r w:rsidR="00A06046" w:rsidRPr="00F83B6E">
        <w:rPr>
          <w:color w:val="000000" w:themeColor="text1"/>
          <w:lang w:eastAsia="en-GB"/>
        </w:rPr>
        <w:t>s</w:t>
      </w:r>
      <w:r w:rsidR="00E3550B" w:rsidRPr="00F83B6E">
        <w:rPr>
          <w:color w:val="000000" w:themeColor="text1"/>
          <w:lang w:eastAsia="en-GB"/>
        </w:rPr>
        <w:t xml:space="preserve"> and other activit</w:t>
      </w:r>
      <w:r w:rsidR="00A06046" w:rsidRPr="00F83B6E">
        <w:rPr>
          <w:color w:val="000000" w:themeColor="text1"/>
          <w:lang w:eastAsia="en-GB"/>
        </w:rPr>
        <w:t>ies</w:t>
      </w:r>
      <w:r w:rsidR="00E3550B" w:rsidRPr="00F83B6E">
        <w:rPr>
          <w:color w:val="000000" w:themeColor="text1"/>
          <w:lang w:eastAsia="en-GB"/>
        </w:rPr>
        <w:t xml:space="preserve"> planning process;</w:t>
      </w:r>
      <w:r w:rsidR="00B16A01" w:rsidRPr="00F83B6E">
        <w:rPr>
          <w:color w:val="000000" w:themeColor="text1"/>
          <w:lang w:eastAsia="en-GB"/>
        </w:rPr>
        <w:t xml:space="preserve"> </w:t>
      </w:r>
      <w:r w:rsidR="00E3550B" w:rsidRPr="00F83B6E">
        <w:rPr>
          <w:color w:val="000000" w:themeColor="text1"/>
          <w:lang w:eastAsia="en-GB"/>
        </w:rPr>
        <w:t>safe recruitment procedures; training for all KPP personnel and at least partnership</w:t>
      </w:r>
      <w:r w:rsidR="00A06046" w:rsidRPr="00F83B6E">
        <w:rPr>
          <w:color w:val="000000" w:themeColor="text1"/>
          <w:lang w:eastAsia="en-GB"/>
        </w:rPr>
        <w:t>s</w:t>
      </w:r>
      <w:r w:rsidR="00E3550B" w:rsidRPr="00F83B6E">
        <w:rPr>
          <w:color w:val="000000" w:themeColor="text1"/>
          <w:lang w:eastAsia="en-GB"/>
        </w:rPr>
        <w:t xml:space="preserve"> leadership; </w:t>
      </w:r>
      <w:r w:rsidR="00B9354F" w:rsidRPr="00F83B6E">
        <w:rPr>
          <w:color w:val="000000" w:themeColor="text1"/>
          <w:lang w:eastAsia="en-GB"/>
        </w:rPr>
        <w:t xml:space="preserve">and </w:t>
      </w:r>
      <w:r w:rsidR="00E3550B" w:rsidRPr="00F83B6E">
        <w:rPr>
          <w:color w:val="000000" w:themeColor="text1"/>
          <w:lang w:eastAsia="en-GB"/>
        </w:rPr>
        <w:t xml:space="preserve">ensuring risk management, </w:t>
      </w:r>
      <w:r w:rsidR="00B16A01" w:rsidRPr="00F83B6E">
        <w:rPr>
          <w:color w:val="000000" w:themeColor="text1"/>
          <w:lang w:eastAsia="en-GB"/>
        </w:rPr>
        <w:t>reporting</w:t>
      </w:r>
      <w:r w:rsidR="00E3550B" w:rsidRPr="00F83B6E">
        <w:rPr>
          <w:color w:val="000000" w:themeColor="text1"/>
          <w:lang w:eastAsia="en-GB"/>
        </w:rPr>
        <w:t>, and response</w:t>
      </w:r>
      <w:r w:rsidR="00B16A01" w:rsidRPr="00F83B6E">
        <w:rPr>
          <w:color w:val="000000" w:themeColor="text1"/>
          <w:lang w:eastAsia="en-GB"/>
        </w:rPr>
        <w:t xml:space="preserve"> procedure</w:t>
      </w:r>
      <w:r w:rsidR="00E3550B" w:rsidRPr="00F83B6E">
        <w:rPr>
          <w:color w:val="000000" w:themeColor="text1"/>
          <w:lang w:eastAsia="en-GB"/>
        </w:rPr>
        <w:t xml:space="preserve">s are in place </w:t>
      </w:r>
      <w:r w:rsidR="00B9354F" w:rsidRPr="00F83B6E">
        <w:rPr>
          <w:color w:val="000000" w:themeColor="text1"/>
          <w:lang w:eastAsia="en-GB"/>
        </w:rPr>
        <w:t xml:space="preserve">and known about </w:t>
      </w:r>
      <w:r w:rsidR="00E3550B" w:rsidRPr="00F83B6E">
        <w:rPr>
          <w:color w:val="000000" w:themeColor="text1"/>
          <w:lang w:eastAsia="en-GB"/>
        </w:rPr>
        <w:t>at all levels of the partnerships and KPP support</w:t>
      </w:r>
      <w:r w:rsidR="00664984" w:rsidRPr="00F83B6E">
        <w:rPr>
          <w:color w:val="000000" w:themeColor="text1"/>
          <w:lang w:eastAsia="en-GB"/>
        </w:rPr>
        <w:t xml:space="preserve"> (see following section)</w:t>
      </w:r>
      <w:r w:rsidRPr="00F83B6E">
        <w:rPr>
          <w:color w:val="000000" w:themeColor="text1"/>
          <w:lang w:eastAsia="en-GB"/>
        </w:rPr>
        <w:t>.</w:t>
      </w:r>
    </w:p>
    <w:p w14:paraId="15820467" w14:textId="40643CCD" w:rsidR="00664984" w:rsidRPr="00F83B6E" w:rsidRDefault="00664984" w:rsidP="00A06046">
      <w:pPr>
        <w:pStyle w:val="BodyText"/>
        <w:rPr>
          <w:color w:val="000000" w:themeColor="text1"/>
          <w:lang w:eastAsia="en-GB"/>
        </w:rPr>
      </w:pPr>
      <w:r w:rsidRPr="00F83B6E">
        <w:rPr>
          <w:b/>
          <w:bCs/>
          <w:i/>
          <w:iCs/>
          <w:color w:val="000000" w:themeColor="text1"/>
          <w:lang w:eastAsia="en-GB"/>
        </w:rPr>
        <w:lastRenderedPageBreak/>
        <w:t>Resource risks</w:t>
      </w:r>
      <w:r w:rsidRPr="00F83B6E">
        <w:rPr>
          <w:color w:val="000000" w:themeColor="text1"/>
          <w:lang w:eastAsia="en-GB"/>
        </w:rPr>
        <w:t xml:space="preserve"> </w:t>
      </w:r>
      <w:r w:rsidR="003A6396" w:rsidRPr="00F83B6E">
        <w:rPr>
          <w:color w:val="000000" w:themeColor="text1"/>
          <w:lang w:eastAsia="en-GB"/>
        </w:rPr>
        <w:t xml:space="preserve">are </w:t>
      </w:r>
      <w:r w:rsidRPr="00F83B6E">
        <w:rPr>
          <w:color w:val="000000" w:themeColor="text1"/>
          <w:lang w:eastAsia="en-GB"/>
        </w:rPr>
        <w:t xml:space="preserve">primarily </w:t>
      </w:r>
      <w:r w:rsidR="003A6396" w:rsidRPr="00F83B6E">
        <w:rPr>
          <w:color w:val="000000" w:themeColor="text1"/>
          <w:lang w:eastAsia="en-GB"/>
        </w:rPr>
        <w:t xml:space="preserve">associated </w:t>
      </w:r>
      <w:r w:rsidRPr="00F83B6E">
        <w:rPr>
          <w:color w:val="000000" w:themeColor="text1"/>
          <w:lang w:eastAsia="en-GB"/>
        </w:rPr>
        <w:t xml:space="preserve">with the grant component of KPP </w:t>
      </w:r>
      <w:r w:rsidR="003A6396" w:rsidRPr="00F83B6E">
        <w:rPr>
          <w:color w:val="000000" w:themeColor="text1"/>
          <w:lang w:eastAsia="en-GB"/>
        </w:rPr>
        <w:t xml:space="preserve">and </w:t>
      </w:r>
      <w:r w:rsidRPr="00F83B6E">
        <w:rPr>
          <w:color w:val="000000" w:themeColor="text1"/>
          <w:lang w:eastAsia="en-GB"/>
        </w:rPr>
        <w:t xml:space="preserve">include </w:t>
      </w:r>
      <w:r w:rsidR="003A6396" w:rsidRPr="00F83B6E">
        <w:rPr>
          <w:color w:val="000000" w:themeColor="text1"/>
          <w:lang w:eastAsia="en-GB"/>
        </w:rPr>
        <w:t xml:space="preserve">sub-optimal </w:t>
      </w:r>
      <w:r w:rsidRPr="00F83B6E">
        <w:rPr>
          <w:color w:val="000000" w:themeColor="text1"/>
          <w:lang w:eastAsia="en-GB"/>
        </w:rPr>
        <w:t>co-financing for larger grants</w:t>
      </w:r>
      <w:r w:rsidR="003A6396" w:rsidRPr="00F83B6E">
        <w:rPr>
          <w:color w:val="000000" w:themeColor="text1"/>
          <w:lang w:eastAsia="en-GB"/>
        </w:rPr>
        <w:t>,</w:t>
      </w:r>
      <w:r w:rsidRPr="00F83B6E">
        <w:rPr>
          <w:color w:val="000000" w:themeColor="text1"/>
          <w:lang w:eastAsia="en-GB"/>
        </w:rPr>
        <w:t xml:space="preserve"> th</w:t>
      </w:r>
      <w:r w:rsidR="003A6396" w:rsidRPr="00F83B6E">
        <w:rPr>
          <w:color w:val="000000" w:themeColor="text1"/>
          <w:lang w:eastAsia="en-GB"/>
        </w:rPr>
        <w:t xml:space="preserve">e </w:t>
      </w:r>
      <w:r w:rsidRPr="00F83B6E">
        <w:rPr>
          <w:color w:val="000000" w:themeColor="text1"/>
          <w:lang w:eastAsia="en-GB"/>
        </w:rPr>
        <w:t xml:space="preserve">occurrence of fraud, </w:t>
      </w:r>
      <w:r w:rsidR="003A6396" w:rsidRPr="00F83B6E">
        <w:rPr>
          <w:color w:val="000000" w:themeColor="text1"/>
          <w:lang w:eastAsia="en-GB"/>
        </w:rPr>
        <w:t>and/or</w:t>
      </w:r>
      <w:r w:rsidRPr="00F83B6E">
        <w:rPr>
          <w:color w:val="000000" w:themeColor="text1"/>
          <w:lang w:eastAsia="en-GB"/>
        </w:rPr>
        <w:t xml:space="preserve"> the inefficient </w:t>
      </w:r>
      <w:r w:rsidR="003A6396" w:rsidRPr="00F83B6E">
        <w:rPr>
          <w:color w:val="000000" w:themeColor="text1"/>
          <w:lang w:eastAsia="en-GB"/>
        </w:rPr>
        <w:t xml:space="preserve">use of </w:t>
      </w:r>
      <w:r w:rsidRPr="00F83B6E">
        <w:rPr>
          <w:color w:val="000000" w:themeColor="text1"/>
          <w:lang w:eastAsia="en-GB"/>
        </w:rPr>
        <w:t xml:space="preserve">resource </w:t>
      </w:r>
      <w:r w:rsidR="003A6396" w:rsidRPr="00F83B6E">
        <w:rPr>
          <w:color w:val="000000" w:themeColor="text1"/>
          <w:lang w:eastAsia="en-GB"/>
        </w:rPr>
        <w:t>by g</w:t>
      </w:r>
      <w:r w:rsidR="001E7D7B" w:rsidRPr="00F83B6E">
        <w:rPr>
          <w:color w:val="000000" w:themeColor="text1"/>
          <w:lang w:eastAsia="en-GB"/>
        </w:rPr>
        <w:t>r</w:t>
      </w:r>
      <w:r w:rsidR="003A6396" w:rsidRPr="00F83B6E">
        <w:rPr>
          <w:color w:val="000000" w:themeColor="text1"/>
          <w:lang w:eastAsia="en-GB"/>
        </w:rPr>
        <w:t>antees</w:t>
      </w:r>
      <w:r w:rsidRPr="00F83B6E">
        <w:rPr>
          <w:color w:val="000000" w:themeColor="text1"/>
          <w:lang w:eastAsia="en-GB"/>
        </w:rPr>
        <w:t>. These will be managed through attention at partner selection and costing stage, and through ensuring appropriate fiducia</w:t>
      </w:r>
      <w:r w:rsidR="003A6396" w:rsidRPr="00F83B6E">
        <w:rPr>
          <w:color w:val="000000" w:themeColor="text1"/>
          <w:lang w:eastAsia="en-GB"/>
        </w:rPr>
        <w:t>r</w:t>
      </w:r>
      <w:r w:rsidRPr="00F83B6E">
        <w:rPr>
          <w:color w:val="000000" w:themeColor="text1"/>
          <w:lang w:eastAsia="en-GB"/>
        </w:rPr>
        <w:t>y controls are in place and regularly monitored</w:t>
      </w:r>
      <w:r w:rsidR="008537E6" w:rsidRPr="00F83B6E">
        <w:rPr>
          <w:color w:val="000000" w:themeColor="text1"/>
          <w:lang w:eastAsia="en-GB"/>
        </w:rPr>
        <w:t xml:space="preserve">. Under the Commonwealth Fraud Control Framework, entities such as </w:t>
      </w:r>
      <w:r w:rsidR="0038318F" w:rsidRPr="00F83B6E">
        <w:rPr>
          <w:color w:val="000000" w:themeColor="text1"/>
          <w:lang w:eastAsia="en-GB"/>
        </w:rPr>
        <w:t xml:space="preserve">the Platform Hub and its </w:t>
      </w:r>
      <w:r w:rsidR="008537E6" w:rsidRPr="00F83B6E">
        <w:rPr>
          <w:color w:val="000000" w:themeColor="text1"/>
          <w:lang w:eastAsia="en-GB"/>
        </w:rPr>
        <w:t>grantees must have appropriate mechanisms for preventing fraud, including ensuring the risk of fraud is considered in planning and conducting the activity/</w:t>
      </w:r>
      <w:r w:rsidR="0038318F" w:rsidRPr="00F83B6E">
        <w:rPr>
          <w:color w:val="000000" w:themeColor="text1"/>
          <w:lang w:eastAsia="en-GB"/>
        </w:rPr>
        <w:t>research</w:t>
      </w:r>
      <w:r w:rsidR="008537E6" w:rsidRPr="00F83B6E">
        <w:rPr>
          <w:color w:val="000000" w:themeColor="text1"/>
          <w:lang w:eastAsia="en-GB"/>
        </w:rPr>
        <w:t xml:space="preserve">. </w:t>
      </w:r>
    </w:p>
    <w:p w14:paraId="20FE56F4" w14:textId="607D66DA" w:rsidR="00B16A01" w:rsidRPr="00F83B6E" w:rsidRDefault="009D32F4" w:rsidP="00AD057D">
      <w:pPr>
        <w:pStyle w:val="BodyText"/>
        <w:rPr>
          <w:color w:val="000000" w:themeColor="text1"/>
        </w:rPr>
      </w:pPr>
      <w:r w:rsidRPr="00F83B6E">
        <w:rPr>
          <w:b/>
          <w:bCs/>
          <w:i/>
          <w:iCs/>
          <w:color w:val="000000" w:themeColor="text1"/>
          <w:lang w:eastAsia="en-GB"/>
        </w:rPr>
        <w:t>Political risks</w:t>
      </w:r>
      <w:r w:rsidRPr="00F83B6E">
        <w:rPr>
          <w:color w:val="000000" w:themeColor="text1"/>
          <w:lang w:eastAsia="en-GB"/>
        </w:rPr>
        <w:t xml:space="preserve"> relate to a </w:t>
      </w:r>
      <w:r w:rsidR="00815CC8" w:rsidRPr="00F83B6E">
        <w:rPr>
          <w:color w:val="000000" w:themeColor="text1"/>
          <w:lang w:eastAsia="en-GB"/>
        </w:rPr>
        <w:t xml:space="preserve">potential </w:t>
      </w:r>
      <w:r w:rsidRPr="00F83B6E">
        <w:rPr>
          <w:color w:val="000000" w:themeColor="text1"/>
          <w:lang w:eastAsia="en-GB"/>
        </w:rPr>
        <w:t xml:space="preserve">deterioration of the bilateral relationship, </w:t>
      </w:r>
      <w:r w:rsidR="00C36F9A" w:rsidRPr="00F83B6E">
        <w:rPr>
          <w:color w:val="000000" w:themeColor="text1"/>
          <w:lang w:eastAsia="en-GB"/>
        </w:rPr>
        <w:t xml:space="preserve">a </w:t>
      </w:r>
      <w:r w:rsidRPr="00F83B6E">
        <w:rPr>
          <w:color w:val="000000" w:themeColor="text1"/>
          <w:lang w:eastAsia="en-GB"/>
        </w:rPr>
        <w:t xml:space="preserve">change of government following national elections in both countries and subsequent reprioritisation of the bilateral cooperation, and the sensitivity of knowledge produced for either government. These risks will be managed by ongoing engagement with PSC members, particularly around agenda setting, clear and transparent communication with other </w:t>
      </w:r>
      <w:proofErr w:type="spellStart"/>
      <w:r w:rsidRPr="00F83B6E">
        <w:rPr>
          <w:color w:val="000000" w:themeColor="text1"/>
          <w:lang w:eastAsia="en-GB"/>
        </w:rPr>
        <w:t>GoI</w:t>
      </w:r>
      <w:proofErr w:type="spellEnd"/>
      <w:r w:rsidRPr="00F83B6E">
        <w:rPr>
          <w:color w:val="000000" w:themeColor="text1"/>
          <w:lang w:eastAsia="en-GB"/>
        </w:rPr>
        <w:t xml:space="preserve"> stakeholders, and targeted dissemination strategies for research findings that may be sensitive. </w:t>
      </w:r>
    </w:p>
    <w:p w14:paraId="4BEB3E20" w14:textId="3273D6A5" w:rsidR="0097468C" w:rsidRPr="00F83B6E" w:rsidRDefault="0097468C" w:rsidP="00907F0B">
      <w:pPr>
        <w:pStyle w:val="Heading3"/>
        <w:rPr>
          <w:color w:val="000000" w:themeColor="text1"/>
        </w:rPr>
      </w:pPr>
      <w:r w:rsidRPr="00F83B6E">
        <w:rPr>
          <w:color w:val="000000" w:themeColor="text1"/>
        </w:rPr>
        <w:t>Risk monitoring and management</w:t>
      </w:r>
    </w:p>
    <w:p w14:paraId="2B63D6FE" w14:textId="5E1EFDBA" w:rsidR="0097468C" w:rsidRPr="00F83B6E" w:rsidRDefault="0097468C" w:rsidP="00907F0B">
      <w:pPr>
        <w:pStyle w:val="BodyText"/>
        <w:rPr>
          <w:color w:val="000000" w:themeColor="text1"/>
        </w:rPr>
      </w:pPr>
      <w:r w:rsidRPr="00F83B6E">
        <w:rPr>
          <w:color w:val="000000" w:themeColor="text1"/>
        </w:rPr>
        <w:t>As per DFAT guidance, DFAT owns the risk for KPP</w:t>
      </w:r>
      <w:r w:rsidR="00443EEA" w:rsidRPr="00F83B6E">
        <w:rPr>
          <w:color w:val="000000" w:themeColor="text1"/>
        </w:rPr>
        <w:t>. The draft risk register will be reviewed and updated in the inception period</w:t>
      </w:r>
      <w:r w:rsidR="00C36F9A" w:rsidRPr="00F83B6E">
        <w:rPr>
          <w:color w:val="000000" w:themeColor="text1"/>
        </w:rPr>
        <w:t xml:space="preserve"> (and included in KPP Operations Manual)</w:t>
      </w:r>
      <w:r w:rsidR="001B3584" w:rsidRPr="00F83B6E">
        <w:rPr>
          <w:color w:val="000000" w:themeColor="text1"/>
        </w:rPr>
        <w:t xml:space="preserve">, </w:t>
      </w:r>
      <w:r w:rsidR="00443EEA" w:rsidRPr="00F83B6E">
        <w:rPr>
          <w:color w:val="000000" w:themeColor="text1"/>
        </w:rPr>
        <w:t xml:space="preserve">and then every three months. </w:t>
      </w:r>
      <w:r w:rsidR="001E7D7B" w:rsidRPr="00F83B6E">
        <w:rPr>
          <w:color w:val="000000" w:themeColor="text1"/>
        </w:rPr>
        <w:t>The</w:t>
      </w:r>
      <w:r w:rsidR="00443EEA" w:rsidRPr="00F83B6E">
        <w:rPr>
          <w:color w:val="000000" w:themeColor="text1"/>
        </w:rPr>
        <w:t xml:space="preserve"> DFAT risk owner is </w:t>
      </w:r>
      <w:r w:rsidR="001E7D7B" w:rsidRPr="00F83B6E">
        <w:rPr>
          <w:color w:val="000000" w:themeColor="text1"/>
        </w:rPr>
        <w:t>currently identified</w:t>
      </w:r>
      <w:r w:rsidR="00443EEA" w:rsidRPr="00F83B6E">
        <w:rPr>
          <w:color w:val="000000" w:themeColor="text1"/>
        </w:rPr>
        <w:t xml:space="preserve"> as the Investment Manager</w:t>
      </w:r>
      <w:r w:rsidR="00C36F9A" w:rsidRPr="00F83B6E">
        <w:rPr>
          <w:color w:val="000000" w:themeColor="text1"/>
        </w:rPr>
        <w:t xml:space="preserve">; </w:t>
      </w:r>
      <w:r w:rsidR="00443EEA" w:rsidRPr="00F83B6E">
        <w:rPr>
          <w:color w:val="000000" w:themeColor="text1"/>
        </w:rPr>
        <w:t>this may</w:t>
      </w:r>
      <w:r w:rsidR="001E7D7B" w:rsidRPr="00F83B6E">
        <w:rPr>
          <w:color w:val="000000" w:themeColor="text1"/>
        </w:rPr>
        <w:t xml:space="preserve"> </w:t>
      </w:r>
      <w:r w:rsidR="00443EEA" w:rsidRPr="00F83B6E">
        <w:rPr>
          <w:color w:val="000000" w:themeColor="text1"/>
        </w:rPr>
        <w:t xml:space="preserve">change </w:t>
      </w:r>
      <w:r w:rsidR="00C36F9A" w:rsidRPr="00F83B6E">
        <w:rPr>
          <w:color w:val="000000" w:themeColor="text1"/>
        </w:rPr>
        <w:t>in due course</w:t>
      </w:r>
      <w:r w:rsidR="00443EEA" w:rsidRPr="00F83B6E">
        <w:rPr>
          <w:color w:val="000000" w:themeColor="text1"/>
        </w:rPr>
        <w:t>.</w:t>
      </w:r>
      <w:r w:rsidR="00443EEA" w:rsidRPr="00F83B6E">
        <w:rPr>
          <w:rStyle w:val="FootnoteReference"/>
          <w:color w:val="000000" w:themeColor="text1"/>
        </w:rPr>
        <w:t xml:space="preserve"> </w:t>
      </w:r>
      <w:r w:rsidR="00443EEA" w:rsidRPr="00F83B6E">
        <w:rPr>
          <w:rStyle w:val="FootnoteReference"/>
          <w:color w:val="000000" w:themeColor="text1"/>
        </w:rPr>
        <w:footnoteReference w:id="55"/>
      </w:r>
    </w:p>
    <w:p w14:paraId="424AB2A8" w14:textId="50AB6E4C" w:rsidR="00BA3B5F" w:rsidRPr="00F83B6E" w:rsidRDefault="00443EEA" w:rsidP="0097468C">
      <w:pPr>
        <w:pStyle w:val="BodyText"/>
        <w:rPr>
          <w:color w:val="000000" w:themeColor="text1"/>
        </w:rPr>
      </w:pPr>
      <w:r w:rsidRPr="00F83B6E">
        <w:rPr>
          <w:color w:val="000000" w:themeColor="text1"/>
        </w:rPr>
        <w:t xml:space="preserve">In most cases risk management will be a shared responsibility </w:t>
      </w:r>
      <w:r w:rsidR="00AA31F8" w:rsidRPr="00F83B6E">
        <w:rPr>
          <w:color w:val="000000" w:themeColor="text1"/>
        </w:rPr>
        <w:t xml:space="preserve">between the Platform Hub’s under the Team Leader’s leadership and DFAT K2P teams </w:t>
      </w:r>
      <w:r w:rsidRPr="00F83B6E">
        <w:rPr>
          <w:color w:val="000000" w:themeColor="text1"/>
        </w:rPr>
        <w:t xml:space="preserve">under the leadership of the DFAT investment manager, and/or between the Platform Hub and the partnerships co-leads. </w:t>
      </w:r>
      <w:r w:rsidR="00425114" w:rsidRPr="00F83B6E">
        <w:rPr>
          <w:color w:val="000000" w:themeColor="text1"/>
        </w:rPr>
        <w:t>Responsibility for risk management will be explicitly included in the duties of the DFAT investment manager and the Platform Hub’s Team Leader. Clear responsibility will also be included as a specific requirement within the terms of the grant agreements for supported partnerships. Ongoing communication and consultation will ensure the</w:t>
      </w:r>
      <w:r w:rsidR="00BA3B5F" w:rsidRPr="00F83B6E">
        <w:rPr>
          <w:color w:val="000000" w:themeColor="text1"/>
        </w:rPr>
        <w:t xml:space="preserve"> </w:t>
      </w:r>
      <w:r w:rsidR="00425114" w:rsidRPr="00F83B6E">
        <w:rPr>
          <w:color w:val="000000" w:themeColor="text1"/>
        </w:rPr>
        <w:t>risk register</w:t>
      </w:r>
      <w:r w:rsidR="00BA3B5F" w:rsidRPr="00F83B6E">
        <w:rPr>
          <w:color w:val="000000" w:themeColor="text1"/>
        </w:rPr>
        <w:t>s</w:t>
      </w:r>
      <w:r w:rsidR="00425114" w:rsidRPr="00F83B6E">
        <w:rPr>
          <w:color w:val="000000" w:themeColor="text1"/>
        </w:rPr>
        <w:t xml:space="preserve"> remain</w:t>
      </w:r>
      <w:r w:rsidR="001B3584" w:rsidRPr="00F83B6E">
        <w:rPr>
          <w:color w:val="000000" w:themeColor="text1"/>
        </w:rPr>
        <w:t>s</w:t>
      </w:r>
      <w:r w:rsidR="00425114" w:rsidRPr="00F83B6E">
        <w:rPr>
          <w:color w:val="000000" w:themeColor="text1"/>
        </w:rPr>
        <w:t xml:space="preserve"> current</w:t>
      </w:r>
      <w:r w:rsidR="00BA3B5F" w:rsidRPr="00F83B6E">
        <w:rPr>
          <w:color w:val="000000" w:themeColor="text1"/>
        </w:rPr>
        <w:t xml:space="preserve"> and </w:t>
      </w:r>
      <w:r w:rsidR="00425114" w:rsidRPr="00F83B6E">
        <w:rPr>
          <w:color w:val="000000" w:themeColor="text1"/>
        </w:rPr>
        <w:t xml:space="preserve">risk treatments are practical and implemented. </w:t>
      </w:r>
    </w:p>
    <w:p w14:paraId="095DB4FF" w14:textId="619B3A71" w:rsidR="00BA3B5F" w:rsidRPr="00F83B6E" w:rsidRDefault="008130C2" w:rsidP="00BB2F38">
      <w:pPr>
        <w:pStyle w:val="BodyText"/>
        <w:rPr>
          <w:color w:val="000000" w:themeColor="text1"/>
        </w:rPr>
      </w:pPr>
      <w:r w:rsidRPr="00F83B6E">
        <w:rPr>
          <w:color w:val="000000" w:themeColor="text1"/>
        </w:rPr>
        <w:t>Risk management will be a</w:t>
      </w:r>
      <w:r w:rsidR="00AA31F8" w:rsidRPr="00F83B6E">
        <w:rPr>
          <w:color w:val="000000" w:themeColor="text1"/>
        </w:rPr>
        <w:t xml:space="preserve"> regular</w:t>
      </w:r>
      <w:r w:rsidR="003A0AA4" w:rsidRPr="00F83B6E">
        <w:rPr>
          <w:color w:val="000000" w:themeColor="text1"/>
        </w:rPr>
        <w:t xml:space="preserve"> </w:t>
      </w:r>
      <w:r w:rsidRPr="00F83B6E">
        <w:rPr>
          <w:color w:val="000000" w:themeColor="text1"/>
        </w:rPr>
        <w:t>agenda item for discussion at</w:t>
      </w:r>
      <w:r w:rsidR="003A0AA4" w:rsidRPr="00F83B6E">
        <w:rPr>
          <w:color w:val="000000" w:themeColor="text1"/>
        </w:rPr>
        <w:t xml:space="preserve"> </w:t>
      </w:r>
      <w:r w:rsidR="00C0621F" w:rsidRPr="00F83B6E">
        <w:rPr>
          <w:color w:val="000000" w:themeColor="text1"/>
        </w:rPr>
        <w:t>PSC</w:t>
      </w:r>
      <w:r w:rsidR="00503590" w:rsidRPr="00F83B6E">
        <w:rPr>
          <w:color w:val="000000" w:themeColor="text1"/>
        </w:rPr>
        <w:t xml:space="preserve"> and PTC</w:t>
      </w:r>
      <w:r w:rsidRPr="00F83B6E">
        <w:rPr>
          <w:color w:val="000000" w:themeColor="text1"/>
        </w:rPr>
        <w:t xml:space="preserve"> meetings and at periodic meetings between the Platform Hub team leader and </w:t>
      </w:r>
      <w:r w:rsidR="00C0621F" w:rsidRPr="00F83B6E">
        <w:rPr>
          <w:color w:val="000000" w:themeColor="text1"/>
        </w:rPr>
        <w:t xml:space="preserve">DFAT </w:t>
      </w:r>
      <w:r w:rsidR="00A80DBC" w:rsidRPr="00F83B6E">
        <w:rPr>
          <w:color w:val="000000" w:themeColor="text1"/>
        </w:rPr>
        <w:t xml:space="preserve">investment </w:t>
      </w:r>
      <w:r w:rsidR="00C0621F" w:rsidRPr="00F83B6E">
        <w:rPr>
          <w:color w:val="000000" w:themeColor="text1"/>
        </w:rPr>
        <w:t>manager</w:t>
      </w:r>
      <w:r w:rsidRPr="00F83B6E">
        <w:rPr>
          <w:color w:val="000000" w:themeColor="text1"/>
        </w:rPr>
        <w:t xml:space="preserve">. </w:t>
      </w:r>
      <w:r w:rsidR="008537E6" w:rsidRPr="00F83B6E">
        <w:rPr>
          <w:color w:val="000000" w:themeColor="text1"/>
        </w:rPr>
        <w:t xml:space="preserve">The PTC will be the forum for reviewing the risk registers and discussing risk management arrangements prepared by the Platform Hub and relevant partnerships. </w:t>
      </w:r>
      <w:r w:rsidR="00CF4F4E" w:rsidRPr="00F83B6E">
        <w:rPr>
          <w:color w:val="000000" w:themeColor="text1"/>
        </w:rPr>
        <w:t>These discussions</w:t>
      </w:r>
      <w:r w:rsidR="008537E6" w:rsidRPr="00F83B6E">
        <w:rPr>
          <w:color w:val="000000" w:themeColor="text1"/>
        </w:rPr>
        <w:t xml:space="preserve"> will ensure Platform Hub’s processes and assessment are sufficient to ensure that grantees are meeting their contractual obligations and risks of fiduciary and fraud </w:t>
      </w:r>
      <w:r w:rsidR="00CF4F4E" w:rsidRPr="00F83B6E">
        <w:rPr>
          <w:color w:val="000000" w:themeColor="text1"/>
        </w:rPr>
        <w:t>are</w:t>
      </w:r>
      <w:r w:rsidR="008537E6" w:rsidRPr="00F83B6E">
        <w:rPr>
          <w:color w:val="000000" w:themeColor="text1"/>
        </w:rPr>
        <w:t xml:space="preserve"> mitigated. Individual partnerships will be required to develop risk categorisation and management processes that are aligned with DFAT’s risk categories and framework to facilitate a seamless exchange of information and review process, and ease the aggregation of information at program level. Risks assessment and management</w:t>
      </w:r>
      <w:r w:rsidRPr="00F83B6E">
        <w:rPr>
          <w:color w:val="000000" w:themeColor="text1"/>
        </w:rPr>
        <w:t xml:space="preserve"> will be integrated in partnership</w:t>
      </w:r>
      <w:r w:rsidR="008537E6" w:rsidRPr="00F83B6E">
        <w:rPr>
          <w:color w:val="000000" w:themeColor="text1"/>
        </w:rPr>
        <w:t>s</w:t>
      </w:r>
      <w:r w:rsidR="0038318F" w:rsidRPr="00F83B6E">
        <w:rPr>
          <w:color w:val="000000" w:themeColor="text1"/>
        </w:rPr>
        <w:t>’</w:t>
      </w:r>
      <w:r w:rsidRPr="00F83B6E">
        <w:rPr>
          <w:color w:val="000000" w:themeColor="text1"/>
        </w:rPr>
        <w:t xml:space="preserve"> reporting</w:t>
      </w:r>
      <w:r w:rsidR="00CF4F4E" w:rsidRPr="00F83B6E">
        <w:rPr>
          <w:color w:val="000000" w:themeColor="text1"/>
        </w:rPr>
        <w:t>. The Platform Hub will closely monitor fiduciary and fraud risks of partnerships</w:t>
      </w:r>
      <w:r w:rsidRPr="00F83B6E">
        <w:rPr>
          <w:color w:val="000000" w:themeColor="text1"/>
        </w:rPr>
        <w:t xml:space="preserve">, </w:t>
      </w:r>
      <w:r w:rsidR="00CF4F4E" w:rsidRPr="00F83B6E">
        <w:rPr>
          <w:color w:val="000000" w:themeColor="text1"/>
        </w:rPr>
        <w:t xml:space="preserve"> carry</w:t>
      </w:r>
      <w:r w:rsidR="0038318F" w:rsidRPr="00F83B6E">
        <w:rPr>
          <w:color w:val="000000" w:themeColor="text1"/>
        </w:rPr>
        <w:t>ing</w:t>
      </w:r>
      <w:r w:rsidR="00CF4F4E" w:rsidRPr="00F83B6E">
        <w:rPr>
          <w:color w:val="000000" w:themeColor="text1"/>
        </w:rPr>
        <w:t xml:space="preserve"> out </w:t>
      </w:r>
      <w:r w:rsidR="0038318F" w:rsidRPr="00F83B6E">
        <w:rPr>
          <w:color w:val="000000" w:themeColor="text1"/>
        </w:rPr>
        <w:t xml:space="preserve">random </w:t>
      </w:r>
      <w:r w:rsidR="00CF4F4E" w:rsidRPr="00F83B6E">
        <w:rPr>
          <w:color w:val="000000" w:themeColor="text1"/>
        </w:rPr>
        <w:t>spot checks and audits when necessary, and apply</w:t>
      </w:r>
      <w:r w:rsidR="0038318F" w:rsidRPr="00F83B6E">
        <w:rPr>
          <w:color w:val="000000" w:themeColor="text1"/>
        </w:rPr>
        <w:t xml:space="preserve"> will</w:t>
      </w:r>
      <w:r w:rsidR="00CF4F4E" w:rsidRPr="00F83B6E">
        <w:rPr>
          <w:color w:val="000000" w:themeColor="text1"/>
        </w:rPr>
        <w:t xml:space="preserve"> a zero tolerance policy to fraud as per DFAT standards</w:t>
      </w:r>
      <w:r w:rsidR="00CF4F4E" w:rsidRPr="00F83B6E">
        <w:rPr>
          <w:rStyle w:val="FootnoteReference"/>
          <w:color w:val="000000" w:themeColor="text1"/>
        </w:rPr>
        <w:footnoteReference w:id="56"/>
      </w:r>
      <w:r w:rsidR="00CF4F4E" w:rsidRPr="00F83B6E">
        <w:rPr>
          <w:color w:val="000000" w:themeColor="text1"/>
        </w:rPr>
        <w:t>.</w:t>
      </w:r>
    </w:p>
    <w:p w14:paraId="1AD911EE" w14:textId="3BC09AEE" w:rsidR="008403A2" w:rsidRPr="00F83B6E" w:rsidRDefault="008403A2" w:rsidP="00F27241">
      <w:pPr>
        <w:pStyle w:val="Heading2"/>
        <w:rPr>
          <w:color w:val="000000" w:themeColor="text1"/>
        </w:rPr>
      </w:pPr>
      <w:bookmarkStart w:id="41" w:name="_Toc103947328"/>
      <w:bookmarkStart w:id="42" w:name="_Toc146528303"/>
      <w:bookmarkEnd w:id="41"/>
      <w:r w:rsidRPr="00F83B6E">
        <w:rPr>
          <w:color w:val="000000" w:themeColor="text1"/>
        </w:rPr>
        <w:t xml:space="preserve">Environmental and </w:t>
      </w:r>
      <w:r w:rsidR="00E74DD1" w:rsidRPr="00F83B6E">
        <w:rPr>
          <w:color w:val="000000" w:themeColor="text1"/>
        </w:rPr>
        <w:t>s</w:t>
      </w:r>
      <w:r w:rsidRPr="00F83B6E">
        <w:rPr>
          <w:color w:val="000000" w:themeColor="text1"/>
        </w:rPr>
        <w:t xml:space="preserve">ocial </w:t>
      </w:r>
      <w:r w:rsidR="00E74DD1" w:rsidRPr="00F83B6E">
        <w:rPr>
          <w:color w:val="000000" w:themeColor="text1"/>
        </w:rPr>
        <w:t>s</w:t>
      </w:r>
      <w:r w:rsidRPr="00F83B6E">
        <w:rPr>
          <w:color w:val="000000" w:themeColor="text1"/>
        </w:rPr>
        <w:t>afeguards</w:t>
      </w:r>
      <w:bookmarkEnd w:id="42"/>
    </w:p>
    <w:p w14:paraId="30DC1038" w14:textId="387026CC" w:rsidR="008403A2" w:rsidRPr="00F83B6E" w:rsidRDefault="008403A2" w:rsidP="00B91543">
      <w:pPr>
        <w:pStyle w:val="BodyText"/>
        <w:rPr>
          <w:color w:val="000000" w:themeColor="text1"/>
        </w:rPr>
      </w:pPr>
      <w:r w:rsidRPr="00F83B6E">
        <w:rPr>
          <w:color w:val="000000" w:themeColor="text1"/>
        </w:rPr>
        <w:t>Social risks, including those related to child protection and to sexual exploitation, abuse, and harassment, are not considered particularly elevated in KPP. Contact with children will be indirect, if any</w:t>
      </w:r>
      <w:r w:rsidR="00832082" w:rsidRPr="00F83B6E">
        <w:rPr>
          <w:color w:val="000000" w:themeColor="text1"/>
        </w:rPr>
        <w:t xml:space="preserve"> and subsequently the child </w:t>
      </w:r>
      <w:r w:rsidR="00A57A4E" w:rsidRPr="00F83B6E">
        <w:rPr>
          <w:color w:val="000000" w:themeColor="text1"/>
        </w:rPr>
        <w:t>protection risk is assessed as low</w:t>
      </w:r>
      <w:r w:rsidRPr="00F83B6E">
        <w:rPr>
          <w:color w:val="000000" w:themeColor="text1"/>
        </w:rPr>
        <w:t xml:space="preserve">. </w:t>
      </w:r>
      <w:r w:rsidR="00832082" w:rsidRPr="00F83B6E">
        <w:rPr>
          <w:color w:val="000000" w:themeColor="text1"/>
        </w:rPr>
        <w:t>The</w:t>
      </w:r>
      <w:r w:rsidRPr="00F83B6E">
        <w:rPr>
          <w:color w:val="000000" w:themeColor="text1"/>
        </w:rPr>
        <w:t xml:space="preserve"> risk of </w:t>
      </w:r>
      <w:r w:rsidR="00832082" w:rsidRPr="00F83B6E">
        <w:rPr>
          <w:color w:val="000000" w:themeColor="text1"/>
        </w:rPr>
        <w:t xml:space="preserve">sexual harassment, </w:t>
      </w:r>
      <w:r w:rsidRPr="00F83B6E">
        <w:rPr>
          <w:color w:val="000000" w:themeColor="text1"/>
        </w:rPr>
        <w:t>exploitation and abuse</w:t>
      </w:r>
      <w:r w:rsidR="00832082" w:rsidRPr="00F83B6E">
        <w:rPr>
          <w:color w:val="000000" w:themeColor="text1"/>
        </w:rPr>
        <w:t xml:space="preserve"> associated with KPP overall is assessed as medium. This may be higher for </w:t>
      </w:r>
      <w:r w:rsidR="0038318F" w:rsidRPr="00F83B6E">
        <w:rPr>
          <w:color w:val="000000" w:themeColor="text1"/>
        </w:rPr>
        <w:t xml:space="preserve">certain </w:t>
      </w:r>
      <w:r w:rsidR="00832082" w:rsidRPr="00F83B6E">
        <w:rPr>
          <w:color w:val="000000" w:themeColor="text1"/>
        </w:rPr>
        <w:t xml:space="preserve">individual grants and research projects, such as those that </w:t>
      </w:r>
      <w:r w:rsidR="00832082" w:rsidRPr="00F83B6E">
        <w:rPr>
          <w:color w:val="000000" w:themeColor="text1"/>
        </w:rPr>
        <w:lastRenderedPageBreak/>
        <w:t xml:space="preserve">engage directly with vulnerable people or with large teams operating in remote areas with limited supervision. </w:t>
      </w:r>
      <w:r w:rsidRPr="00F83B6E">
        <w:rPr>
          <w:color w:val="000000" w:themeColor="text1"/>
        </w:rPr>
        <w:t xml:space="preserve">These risks will be managed through compliance with DFAT’s integrity policies and monitoring of adherence to research ethics. </w:t>
      </w:r>
      <w:r w:rsidR="00A57A4E" w:rsidRPr="00F83B6E">
        <w:rPr>
          <w:color w:val="000000" w:themeColor="text1"/>
        </w:rPr>
        <w:t>Each grant project will be required to undertake a full risk assessment and ensure the minimum standards for the risk rating are met.</w:t>
      </w:r>
    </w:p>
    <w:p w14:paraId="056708CB" w14:textId="742FD25A" w:rsidR="008403A2" w:rsidRPr="00F83B6E" w:rsidRDefault="008403A2" w:rsidP="00B91543">
      <w:pPr>
        <w:pStyle w:val="BodyText"/>
        <w:rPr>
          <w:color w:val="000000" w:themeColor="text1"/>
        </w:rPr>
      </w:pPr>
      <w:r w:rsidRPr="00F83B6E">
        <w:rPr>
          <w:color w:val="000000" w:themeColor="text1"/>
        </w:rPr>
        <w:t>There is no displacement or resettlement associated with KPP’s areas of support. Health and safety risks, including those related to the lingering effects of COVID-19 and the implications of transmission through travel will be monitored and manage</w:t>
      </w:r>
      <w:r w:rsidR="00D90E9D" w:rsidRPr="00F83B6E">
        <w:rPr>
          <w:color w:val="000000" w:themeColor="text1"/>
        </w:rPr>
        <w:t xml:space="preserve">d </w:t>
      </w:r>
      <w:r w:rsidRPr="00F83B6E">
        <w:rPr>
          <w:color w:val="000000" w:themeColor="text1"/>
        </w:rPr>
        <w:t xml:space="preserve">by the KPP leadership and within partnerships. </w:t>
      </w:r>
    </w:p>
    <w:p w14:paraId="5CC8FC0E" w14:textId="7CA07399" w:rsidR="008403A2" w:rsidRPr="00F83B6E" w:rsidRDefault="008403A2" w:rsidP="00B91543">
      <w:pPr>
        <w:pStyle w:val="BodyText"/>
        <w:rPr>
          <w:color w:val="000000" w:themeColor="text1"/>
        </w:rPr>
      </w:pPr>
      <w:r w:rsidRPr="00F83B6E">
        <w:rPr>
          <w:color w:val="000000" w:themeColor="text1"/>
        </w:rPr>
        <w:t xml:space="preserve">There are no environmental protection risks identified at design stage, however it is possible, even likely, that the green economy and blue economy </w:t>
      </w:r>
      <w:r w:rsidR="00B66C51" w:rsidRPr="00F83B6E">
        <w:rPr>
          <w:color w:val="000000" w:themeColor="text1"/>
        </w:rPr>
        <w:t xml:space="preserve">themes </w:t>
      </w:r>
      <w:r w:rsidRPr="00F83B6E">
        <w:rPr>
          <w:color w:val="000000" w:themeColor="text1"/>
        </w:rPr>
        <w:t xml:space="preserve">will be priority agendas for knowledge production as per Indonesian development priorities. </w:t>
      </w:r>
      <w:r w:rsidR="00B66C51" w:rsidRPr="00F83B6E">
        <w:rPr>
          <w:color w:val="000000" w:themeColor="text1"/>
        </w:rPr>
        <w:t>The program</w:t>
      </w:r>
      <w:r w:rsidRPr="00F83B6E">
        <w:rPr>
          <w:color w:val="000000" w:themeColor="text1"/>
        </w:rPr>
        <w:t xml:space="preserve"> is therefore expected to contribute to positive environmental impacts, but risks will be identified, managed</w:t>
      </w:r>
      <w:r w:rsidR="00593D8D" w:rsidRPr="00F83B6E">
        <w:rPr>
          <w:color w:val="000000" w:themeColor="text1"/>
        </w:rPr>
        <w:t>,</w:t>
      </w:r>
      <w:r w:rsidRPr="00F83B6E">
        <w:rPr>
          <w:color w:val="000000" w:themeColor="text1"/>
        </w:rPr>
        <w:t xml:space="preserve"> and monitored as such agendas come online. </w:t>
      </w:r>
    </w:p>
    <w:p w14:paraId="257A9AA6" w14:textId="2FD0211B" w:rsidR="008403A2" w:rsidRPr="00F83B6E" w:rsidRDefault="008403A2" w:rsidP="00B91543">
      <w:pPr>
        <w:pStyle w:val="BodyText"/>
        <w:rPr>
          <w:color w:val="000000" w:themeColor="text1"/>
        </w:rPr>
      </w:pPr>
      <w:r w:rsidRPr="00F83B6E">
        <w:rPr>
          <w:color w:val="000000" w:themeColor="text1"/>
        </w:rPr>
        <w:t xml:space="preserve">KPP’s GEDSI focus means that there will be a focus on vulnerable and disadvantaged groups. </w:t>
      </w:r>
      <w:r w:rsidR="00B66C51" w:rsidRPr="00F83B6E">
        <w:rPr>
          <w:color w:val="000000" w:themeColor="text1"/>
        </w:rPr>
        <w:t>Partnerships’</w:t>
      </w:r>
      <w:r w:rsidRPr="00F83B6E">
        <w:rPr>
          <w:color w:val="000000" w:themeColor="text1"/>
        </w:rPr>
        <w:t xml:space="preserve"> proposals will be required to address strategies for engagement with these groups, including attention to the do-no-harm principle. Downstream impacts of knowledge use (noting KPP’s accountability is to the point of knowledge production) will be forecast</w:t>
      </w:r>
      <w:r w:rsidR="00B66C51" w:rsidRPr="00F83B6E">
        <w:rPr>
          <w:color w:val="000000" w:themeColor="text1"/>
        </w:rPr>
        <w:t>ed</w:t>
      </w:r>
      <w:r w:rsidRPr="00F83B6E">
        <w:rPr>
          <w:color w:val="000000" w:themeColor="text1"/>
        </w:rPr>
        <w:t xml:space="preserve"> as part of the proposal, and potential harmful impacts identified and managed. These requirements and expectations will be reflected in calls for proposals, grant agreements, and partnership management and reporting. </w:t>
      </w:r>
    </w:p>
    <w:p w14:paraId="506474B0" w14:textId="77777777" w:rsidR="00B85055" w:rsidRPr="00F83B6E" w:rsidRDefault="00B85055" w:rsidP="00B91543">
      <w:pPr>
        <w:pStyle w:val="BodyText"/>
        <w:rPr>
          <w:color w:val="000000" w:themeColor="text1"/>
        </w:rPr>
      </w:pPr>
    </w:p>
    <w:p w14:paraId="22B366D1" w14:textId="0CAE9D40" w:rsidR="00B85055" w:rsidRPr="00F83B6E" w:rsidRDefault="00B85055" w:rsidP="00B85055">
      <w:pPr>
        <w:pStyle w:val="BodyText"/>
        <w:jc w:val="center"/>
        <w:rPr>
          <w:color w:val="000000" w:themeColor="text1"/>
        </w:rPr>
      </w:pPr>
      <w:r w:rsidRPr="00F83B6E">
        <w:rPr>
          <w:color w:val="000000" w:themeColor="text1"/>
        </w:rPr>
        <w:t>---</w:t>
      </w:r>
      <w:proofErr w:type="spellStart"/>
      <w:r w:rsidRPr="00F83B6E">
        <w:rPr>
          <w:color w:val="000000" w:themeColor="text1"/>
        </w:rPr>
        <w:t>oOo</w:t>
      </w:r>
      <w:proofErr w:type="spellEnd"/>
      <w:r w:rsidRPr="00F83B6E">
        <w:rPr>
          <w:color w:val="000000" w:themeColor="text1"/>
        </w:rPr>
        <w:t>---</w:t>
      </w:r>
    </w:p>
    <w:sectPr w:rsidR="00B85055" w:rsidRPr="00F83B6E" w:rsidSect="00A578DF">
      <w:headerReference w:type="first" r:id="rId19"/>
      <w:pgSz w:w="11906" w:h="16838" w:code="9"/>
      <w:pgMar w:top="1418" w:right="851" w:bottom="1418" w:left="851" w:header="425" w:footer="493" w:gutter="567"/>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AD67" w14:textId="77777777" w:rsidR="009806F6" w:rsidRDefault="009806F6" w:rsidP="00D37B04">
      <w:r>
        <w:separator/>
      </w:r>
    </w:p>
  </w:endnote>
  <w:endnote w:type="continuationSeparator" w:id="0">
    <w:p w14:paraId="7500D5B5" w14:textId="77777777" w:rsidR="009806F6" w:rsidRDefault="009806F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96C60" w:themeColor="accent1" w:themeShade="80"/>
      </w:rPr>
      <w:id w:val="1309202756"/>
      <w:docPartObj>
        <w:docPartGallery w:val="Page Numbers (Bottom of Page)"/>
        <w:docPartUnique/>
      </w:docPartObj>
    </w:sdtPr>
    <w:sdtEndPr>
      <w:rPr>
        <w:noProof/>
      </w:rPr>
    </w:sdtEndPr>
    <w:sdtContent>
      <w:p w14:paraId="71BAA430" w14:textId="60BF53F2" w:rsidR="00546988" w:rsidRDefault="00546988">
        <w:pPr>
          <w:pStyle w:val="Footer"/>
          <w:jc w:val="right"/>
        </w:pPr>
        <w:r w:rsidRPr="00546988">
          <w:rPr>
            <w:color w:val="296C60" w:themeColor="accent1" w:themeShade="80"/>
          </w:rPr>
          <w:fldChar w:fldCharType="begin"/>
        </w:r>
        <w:r w:rsidRPr="00546988">
          <w:rPr>
            <w:color w:val="296C60" w:themeColor="accent1" w:themeShade="80"/>
          </w:rPr>
          <w:instrText xml:space="preserve"> PAGE   \* MERGEFORMAT </w:instrText>
        </w:r>
        <w:r w:rsidRPr="00546988">
          <w:rPr>
            <w:color w:val="296C60" w:themeColor="accent1" w:themeShade="80"/>
          </w:rPr>
          <w:fldChar w:fldCharType="separate"/>
        </w:r>
        <w:r w:rsidRPr="00546988">
          <w:rPr>
            <w:noProof/>
            <w:color w:val="296C60" w:themeColor="accent1" w:themeShade="80"/>
          </w:rPr>
          <w:t>2</w:t>
        </w:r>
        <w:r w:rsidRPr="00546988">
          <w:rPr>
            <w:noProof/>
            <w:color w:val="296C60" w:themeColor="accent1" w:themeShade="80"/>
          </w:rPr>
          <w:fldChar w:fldCharType="end"/>
        </w:r>
      </w:p>
    </w:sdtContent>
  </w:sdt>
  <w:p w14:paraId="02E2C8FD" w14:textId="77777777" w:rsidR="00115CDB" w:rsidRPr="00FC322F" w:rsidRDefault="00115CDB"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96C60" w:themeColor="accent1" w:themeShade="80"/>
      </w:rPr>
      <w:id w:val="-447627806"/>
      <w:docPartObj>
        <w:docPartGallery w:val="Page Numbers (Bottom of Page)"/>
        <w:docPartUnique/>
      </w:docPartObj>
    </w:sdtPr>
    <w:sdtEndPr>
      <w:rPr>
        <w:noProof/>
      </w:rPr>
    </w:sdtEndPr>
    <w:sdtContent>
      <w:p w14:paraId="4B11FD81" w14:textId="56DA1A2C" w:rsidR="00115CDB" w:rsidRDefault="00115CDB">
        <w:pPr>
          <w:pStyle w:val="Footer"/>
          <w:jc w:val="right"/>
        </w:pPr>
        <w:r w:rsidRPr="00546988">
          <w:rPr>
            <w:color w:val="296C60" w:themeColor="accent1" w:themeShade="80"/>
          </w:rPr>
          <w:fldChar w:fldCharType="begin"/>
        </w:r>
        <w:r w:rsidRPr="00546988">
          <w:rPr>
            <w:color w:val="296C60" w:themeColor="accent1" w:themeShade="80"/>
          </w:rPr>
          <w:instrText xml:space="preserve"> PAGE   \* MERGEFORMAT </w:instrText>
        </w:r>
        <w:r w:rsidRPr="00546988">
          <w:rPr>
            <w:color w:val="296C60" w:themeColor="accent1" w:themeShade="80"/>
          </w:rPr>
          <w:fldChar w:fldCharType="separate"/>
        </w:r>
        <w:r w:rsidRPr="00546988">
          <w:rPr>
            <w:noProof/>
            <w:color w:val="296C60" w:themeColor="accent1" w:themeShade="80"/>
          </w:rPr>
          <w:t>8</w:t>
        </w:r>
        <w:r w:rsidRPr="00546988">
          <w:rPr>
            <w:noProof/>
            <w:color w:val="296C60" w:themeColor="accent1" w:themeShade="80"/>
          </w:rPr>
          <w:fldChar w:fldCharType="end"/>
        </w:r>
      </w:p>
    </w:sdtContent>
  </w:sdt>
  <w:p w14:paraId="0C3712FC" w14:textId="77777777" w:rsidR="00115CDB" w:rsidRPr="00FC322F" w:rsidRDefault="00115CDB"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AE55" w14:textId="77777777" w:rsidR="009806F6" w:rsidRPr="008C5A0E" w:rsidRDefault="009806F6" w:rsidP="003B285F">
      <w:pPr>
        <w:pStyle w:val="Footer"/>
        <w:pBdr>
          <w:bottom w:val="single" w:sz="4" w:space="1" w:color="auto"/>
        </w:pBdr>
        <w:ind w:left="-180"/>
      </w:pPr>
    </w:p>
  </w:footnote>
  <w:footnote w:type="continuationSeparator" w:id="0">
    <w:p w14:paraId="21810950" w14:textId="77777777" w:rsidR="009806F6" w:rsidRDefault="009806F6" w:rsidP="00D37B04">
      <w:r>
        <w:continuationSeparator/>
      </w:r>
    </w:p>
  </w:footnote>
  <w:footnote w:id="1">
    <w:p w14:paraId="15BE26C5" w14:textId="66115015"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World Bank (2021). </w:t>
      </w:r>
      <w:r w:rsidRPr="00AD08F0">
        <w:rPr>
          <w:i/>
          <w:iCs/>
          <w:color w:val="auto"/>
        </w:rPr>
        <w:t>Climate Risk Profile: Indonesia</w:t>
      </w:r>
      <w:r w:rsidRPr="00AD08F0">
        <w:rPr>
          <w:color w:val="auto"/>
        </w:rPr>
        <w:t xml:space="preserve">. Jakarta: The World Bank Group and Asian Development Bank. </w:t>
      </w:r>
    </w:p>
  </w:footnote>
  <w:footnote w:id="2">
    <w:p w14:paraId="3DCC1CA6" w14:textId="048F5EC1"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World Bank (2022a). </w:t>
      </w:r>
      <w:hyperlink r:id="rId1" w:anchor="1" w:history="1">
        <w:r w:rsidRPr="00AD08F0">
          <w:rPr>
            <w:i/>
            <w:iCs/>
            <w:color w:val="auto"/>
          </w:rPr>
          <w:t>The World Bank in Indonesia</w:t>
        </w:r>
      </w:hyperlink>
      <w:r w:rsidRPr="00AD08F0">
        <w:rPr>
          <w:i/>
          <w:iCs/>
          <w:color w:val="auto"/>
        </w:rPr>
        <w:t>, Overview</w:t>
      </w:r>
      <w:r w:rsidRPr="00AD08F0">
        <w:rPr>
          <w:color w:val="auto"/>
        </w:rPr>
        <w:t xml:space="preserve"> (webpage). Updated 5 April. </w:t>
      </w:r>
    </w:p>
  </w:footnote>
  <w:footnote w:id="3">
    <w:p w14:paraId="23EF625F" w14:textId="77777777" w:rsidR="00115CDB" w:rsidRPr="00AD08F0" w:rsidRDefault="00115CDB" w:rsidP="00295198">
      <w:pPr>
        <w:pStyle w:val="FootnoteText"/>
        <w:rPr>
          <w:color w:val="auto"/>
        </w:rPr>
      </w:pPr>
      <w:r w:rsidRPr="00AD08F0">
        <w:rPr>
          <w:rStyle w:val="FootnoteReference"/>
          <w:color w:val="auto"/>
          <w:lang w:val="en-AU"/>
        </w:rPr>
        <w:footnoteRef/>
      </w:r>
      <w:r w:rsidRPr="00AD08F0">
        <w:rPr>
          <w:color w:val="auto"/>
        </w:rPr>
        <w:t xml:space="preserve"> World Bank. (2020a). Indonesia economic prospect: The long road to recovery. Jakarta: World Bank.</w:t>
      </w:r>
    </w:p>
  </w:footnote>
  <w:footnote w:id="4">
    <w:p w14:paraId="24350D89" w14:textId="1AA33EBA"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World Bank. </w:t>
      </w:r>
      <w:hyperlink r:id="rId2" w:history="1">
        <w:r w:rsidRPr="00AD08F0">
          <w:rPr>
            <w:i/>
            <w:iCs/>
            <w:color w:val="auto"/>
          </w:rPr>
          <w:t>World Development Indicators</w:t>
        </w:r>
      </w:hyperlink>
      <w:r w:rsidRPr="00AD08F0">
        <w:rPr>
          <w:i/>
          <w:iCs/>
          <w:color w:val="auto"/>
        </w:rPr>
        <w:t xml:space="preserve"> (online</w:t>
      </w:r>
      <w:r w:rsidRPr="00AD08F0">
        <w:rPr>
          <w:color w:val="auto"/>
        </w:rPr>
        <w:t>). Updated 15 April. The Gini coefficient measures inequality in household income. A value closer to one indicates greater inequality.</w:t>
      </w:r>
    </w:p>
  </w:footnote>
  <w:footnote w:id="5">
    <w:p w14:paraId="34790A30" w14:textId="0B2503B6" w:rsidR="00115CDB" w:rsidRPr="00AD08F0" w:rsidRDefault="00115CDB">
      <w:pPr>
        <w:pStyle w:val="FootnoteText"/>
        <w:rPr>
          <w:color w:val="auto"/>
        </w:rPr>
      </w:pPr>
      <w:r w:rsidRPr="00AD08F0">
        <w:rPr>
          <w:rStyle w:val="FootnoteReference"/>
          <w:color w:val="auto"/>
        </w:rPr>
        <w:footnoteRef/>
      </w:r>
      <w:r w:rsidRPr="00AD08F0">
        <w:rPr>
          <w:color w:val="auto"/>
        </w:rPr>
        <w:t xml:space="preserve"> A high-income economy is defined by the World Bank as a nation with a gross national income per capita of US$12,696 or more in 2020, calculated using the Atlas method.</w:t>
      </w:r>
    </w:p>
  </w:footnote>
  <w:footnote w:id="6">
    <w:p w14:paraId="53E06B1F" w14:textId="77777777"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Indonesia Ministry of Finance and Asian Development Bank (2020) Innovate Indonesia: The Critical Role of technological transformation in boosting Indonesia’s economic development. Manila: ADB.</w:t>
      </w:r>
    </w:p>
  </w:footnote>
  <w:footnote w:id="7">
    <w:p w14:paraId="637A5F99" w14:textId="77777777"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w:t>
      </w:r>
      <w:proofErr w:type="spellStart"/>
      <w:r w:rsidRPr="00AD08F0">
        <w:rPr>
          <w:color w:val="auto"/>
        </w:rPr>
        <w:t>Ristek</w:t>
      </w:r>
      <w:proofErr w:type="spellEnd"/>
      <w:r w:rsidRPr="00AD08F0">
        <w:rPr>
          <w:color w:val="auto"/>
        </w:rPr>
        <w:t xml:space="preserve"> BRIN, </w:t>
      </w:r>
      <w:proofErr w:type="spellStart"/>
      <w:r w:rsidRPr="00AD08F0">
        <w:rPr>
          <w:color w:val="auto"/>
        </w:rPr>
        <w:t>Bappenas</w:t>
      </w:r>
      <w:proofErr w:type="spellEnd"/>
      <w:r w:rsidRPr="00AD08F0">
        <w:rPr>
          <w:color w:val="auto"/>
        </w:rPr>
        <w:t xml:space="preserve">, and Kementerian </w:t>
      </w:r>
      <w:proofErr w:type="spellStart"/>
      <w:r w:rsidRPr="00AD08F0">
        <w:rPr>
          <w:color w:val="auto"/>
        </w:rPr>
        <w:t>Pendayagunaan</w:t>
      </w:r>
      <w:proofErr w:type="spellEnd"/>
      <w:r w:rsidRPr="00AD08F0">
        <w:rPr>
          <w:color w:val="auto"/>
        </w:rPr>
        <w:t xml:space="preserve"> </w:t>
      </w:r>
      <w:proofErr w:type="spellStart"/>
      <w:r w:rsidRPr="00AD08F0">
        <w:rPr>
          <w:color w:val="auto"/>
        </w:rPr>
        <w:t>Aparatur</w:t>
      </w:r>
      <w:proofErr w:type="spellEnd"/>
      <w:r w:rsidRPr="00AD08F0">
        <w:rPr>
          <w:color w:val="auto"/>
        </w:rPr>
        <w:t xml:space="preserve"> Negara dan Reformasi </w:t>
      </w:r>
      <w:proofErr w:type="spellStart"/>
      <w:r w:rsidRPr="00AD08F0">
        <w:rPr>
          <w:color w:val="auto"/>
        </w:rPr>
        <w:t>Birokrasi</w:t>
      </w:r>
      <w:proofErr w:type="spellEnd"/>
      <w:r w:rsidRPr="00AD08F0">
        <w:rPr>
          <w:color w:val="auto"/>
        </w:rPr>
        <w:t xml:space="preserve"> (2021). </w:t>
      </w:r>
      <w:proofErr w:type="spellStart"/>
      <w:r w:rsidRPr="00AD08F0">
        <w:rPr>
          <w:color w:val="auto"/>
        </w:rPr>
        <w:t>Cetak</w:t>
      </w:r>
      <w:proofErr w:type="spellEnd"/>
      <w:r w:rsidRPr="00AD08F0">
        <w:rPr>
          <w:color w:val="auto"/>
        </w:rPr>
        <w:t xml:space="preserve"> </w:t>
      </w:r>
      <w:proofErr w:type="spellStart"/>
      <w:r w:rsidRPr="00AD08F0">
        <w:rPr>
          <w:color w:val="auto"/>
        </w:rPr>
        <w:t>Biru</w:t>
      </w:r>
      <w:proofErr w:type="spellEnd"/>
      <w:r w:rsidRPr="00AD08F0">
        <w:rPr>
          <w:color w:val="auto"/>
        </w:rPr>
        <w:t xml:space="preserve"> </w:t>
      </w:r>
      <w:proofErr w:type="spellStart"/>
      <w:r w:rsidRPr="00AD08F0">
        <w:rPr>
          <w:color w:val="auto"/>
        </w:rPr>
        <w:t>Ekosistem</w:t>
      </w:r>
      <w:proofErr w:type="spellEnd"/>
      <w:r w:rsidRPr="00AD08F0">
        <w:rPr>
          <w:color w:val="auto"/>
        </w:rPr>
        <w:t xml:space="preserve"> </w:t>
      </w:r>
      <w:proofErr w:type="spellStart"/>
      <w:r w:rsidRPr="00AD08F0">
        <w:rPr>
          <w:color w:val="auto"/>
        </w:rPr>
        <w:t>Pengetahuan</w:t>
      </w:r>
      <w:proofErr w:type="spellEnd"/>
      <w:r w:rsidRPr="00AD08F0">
        <w:rPr>
          <w:color w:val="auto"/>
        </w:rPr>
        <w:t xml:space="preserve"> dan </w:t>
      </w:r>
      <w:proofErr w:type="spellStart"/>
      <w:r w:rsidRPr="00AD08F0">
        <w:rPr>
          <w:color w:val="auto"/>
        </w:rPr>
        <w:t>Inovasi</w:t>
      </w:r>
      <w:proofErr w:type="spellEnd"/>
      <w:r w:rsidRPr="00AD08F0">
        <w:rPr>
          <w:color w:val="auto"/>
        </w:rPr>
        <w:t>. Jakarta: Government of Indonesia</w:t>
      </w:r>
    </w:p>
  </w:footnote>
  <w:footnote w:id="8">
    <w:p w14:paraId="31560FE1" w14:textId="5A06382F" w:rsidR="00115CDB" w:rsidRPr="00AD08F0" w:rsidRDefault="00115CDB">
      <w:pPr>
        <w:pStyle w:val="FootnoteText"/>
        <w:rPr>
          <w:color w:val="auto"/>
          <w:lang w:val="en-AU"/>
        </w:rPr>
      </w:pPr>
      <w:r w:rsidRPr="00AD08F0">
        <w:rPr>
          <w:rStyle w:val="FootnoteReference"/>
          <w:color w:val="auto"/>
        </w:rPr>
        <w:footnoteRef/>
      </w:r>
      <w:r w:rsidRPr="00AD08F0">
        <w:rPr>
          <w:color w:val="auto"/>
        </w:rPr>
        <w:t xml:space="preserve"> See targets # 3, 8 and 14 under section 4.2.4 - Development of dynamic resources (pp. 74-76)</w:t>
      </w:r>
    </w:p>
  </w:footnote>
  <w:footnote w:id="9">
    <w:p w14:paraId="0DB9B056" w14:textId="26582784" w:rsidR="00115CDB" w:rsidRPr="00AD08F0" w:rsidRDefault="00115CDB">
      <w:pPr>
        <w:pStyle w:val="FootnoteText"/>
        <w:rPr>
          <w:color w:val="auto"/>
        </w:rPr>
      </w:pPr>
      <w:r w:rsidRPr="00AD08F0">
        <w:rPr>
          <w:rStyle w:val="FootnoteReference"/>
          <w:color w:val="auto"/>
        </w:rPr>
        <w:footnoteRef/>
      </w:r>
      <w:r w:rsidRPr="00AD08F0">
        <w:rPr>
          <w:color w:val="auto"/>
        </w:rPr>
        <w:t xml:space="preserve"> </w:t>
      </w:r>
      <w:proofErr w:type="spellStart"/>
      <w:r w:rsidRPr="00AD08F0">
        <w:rPr>
          <w:color w:val="auto"/>
        </w:rPr>
        <w:t>Bappenas</w:t>
      </w:r>
      <w:proofErr w:type="spellEnd"/>
      <w:r w:rsidRPr="00AD08F0">
        <w:rPr>
          <w:color w:val="auto"/>
        </w:rPr>
        <w:t xml:space="preserve"> is responsible for reviewing sub-national development plans together with </w:t>
      </w:r>
      <w:proofErr w:type="spellStart"/>
      <w:r w:rsidRPr="00AD08F0">
        <w:rPr>
          <w:color w:val="auto"/>
        </w:rPr>
        <w:t>MoHA</w:t>
      </w:r>
      <w:proofErr w:type="spellEnd"/>
      <w:r w:rsidRPr="00AD08F0">
        <w:rPr>
          <w:color w:val="auto"/>
        </w:rPr>
        <w:t>.</w:t>
      </w:r>
    </w:p>
  </w:footnote>
  <w:footnote w:id="10">
    <w:p w14:paraId="7C041ABC" w14:textId="77777777" w:rsidR="00115CDB" w:rsidRPr="00AD08F0" w:rsidRDefault="00115CDB" w:rsidP="00FD5D8E">
      <w:pPr>
        <w:pStyle w:val="FootnoteText"/>
        <w:rPr>
          <w:color w:val="auto"/>
        </w:rPr>
      </w:pPr>
      <w:r w:rsidRPr="00AD08F0">
        <w:rPr>
          <w:rStyle w:val="FootnoteReference"/>
          <w:color w:val="auto"/>
          <w:lang w:val="en-AU"/>
        </w:rPr>
        <w:footnoteRef/>
      </w:r>
      <w:r w:rsidRPr="00AD08F0">
        <w:rPr>
          <w:color w:val="auto"/>
        </w:rPr>
        <w:t xml:space="preserve"> Source: DESE’s analysis of data from scival.com</w:t>
      </w:r>
    </w:p>
  </w:footnote>
  <w:footnote w:id="11">
    <w:p w14:paraId="2022347D" w14:textId="77777777"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The top three areas of joint research between the two countries are: medicine, social sciences, and environmental sciences.</w:t>
      </w:r>
    </w:p>
  </w:footnote>
  <w:footnote w:id="12">
    <w:p w14:paraId="7A010F99" w14:textId="01508394" w:rsidR="00115CDB" w:rsidRPr="00AD08F0" w:rsidRDefault="00115CDB" w:rsidP="00FD5D8E">
      <w:pPr>
        <w:pStyle w:val="FootnoteText"/>
        <w:rPr>
          <w:color w:val="auto"/>
        </w:rPr>
      </w:pPr>
      <w:r w:rsidRPr="00AD08F0">
        <w:rPr>
          <w:rStyle w:val="FootnoteReference"/>
          <w:color w:val="auto"/>
          <w:lang w:val="en-AU"/>
        </w:rPr>
        <w:footnoteRef/>
      </w:r>
      <w:r w:rsidRPr="00AD08F0">
        <w:rPr>
          <w:color w:val="auto"/>
        </w:rPr>
        <w:t xml:space="preserve"> As measured through the Field Weighted Citation Impact (FWCI) which compares the total citations received by a researcher’s publications to the weighted average number of citations received by all similar publications in that particular research area.</w:t>
      </w:r>
    </w:p>
  </w:footnote>
  <w:footnote w:id="13">
    <w:p w14:paraId="6A6B5AC2" w14:textId="1D65A711"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Source of FWCI data: DESE’s analysis of data from scival.com (provided to the design team).</w:t>
      </w:r>
    </w:p>
  </w:footnote>
  <w:footnote w:id="14">
    <w:p w14:paraId="0991598F" w14:textId="5FC6FC55" w:rsidR="00115CDB" w:rsidRPr="00AD08F0" w:rsidRDefault="00115CDB">
      <w:pPr>
        <w:pStyle w:val="FootnoteText"/>
        <w:rPr>
          <w:color w:val="auto"/>
        </w:rPr>
      </w:pPr>
      <w:r w:rsidRPr="00AD08F0">
        <w:rPr>
          <w:rStyle w:val="FootnoteReference"/>
          <w:color w:val="auto"/>
        </w:rPr>
        <w:footnoteRef/>
      </w:r>
      <w:r w:rsidRPr="00AD08F0">
        <w:rPr>
          <w:color w:val="auto"/>
        </w:rPr>
        <w:t xml:space="preserve"> Other development partners’ investments in Indonesia’s knowledge sector concluded in 2021, including those of the World Bank, UK and USA. These included a World Bank loan of USD 95 million for the Research and Innovation in Science and Technology Project (RISET-Pro, 2013-2021), aiming to increase competitiveness in science and technology for economic development; approximately AUD 18.5 million British Council Newton Institutional Linkages research and innovation for research into local development needs and challenges such as extreme weather conditions, access to affordable health care, food and energy security (2014-2021); and research grants through the USA National Academies of Sciences, Engineering and Medicine (NASEM) Partnership for Enhanced Engagement in Research, predominantly focused on education and environment.</w:t>
      </w:r>
    </w:p>
  </w:footnote>
  <w:footnote w:id="15">
    <w:p w14:paraId="721BDC50" w14:textId="3EEF0F49"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KSI has supported sixteen Indonesian policy research institutes (PRIs) to bring new issues and alternative viewpoints to the attention of policymakers and the public. More detail on KSI is available on https://www.ksi-indonesia.org/en/</w:t>
      </w:r>
    </w:p>
  </w:footnote>
  <w:footnote w:id="16">
    <w:p w14:paraId="324548E1" w14:textId="6FCB3BD1"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DFAT’s contribution to AIC-PAIR and ANU-IP is managed through the Indonesia Desk in Canberra.</w:t>
      </w:r>
    </w:p>
  </w:footnote>
  <w:footnote w:id="17">
    <w:p w14:paraId="0CDF32D3" w14:textId="7516EAC2"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Details on these lessons can be found in the ISR report, the KPP investment concept note (ICN), and progress reports and/or completion reports of AIC-PAIR, ANU-IP, ACIAR and CSIRO investments in Indonesia.</w:t>
      </w:r>
    </w:p>
  </w:footnote>
  <w:footnote w:id="18">
    <w:p w14:paraId="76F76232" w14:textId="77777777"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Henderson S and </w:t>
      </w:r>
      <w:proofErr w:type="spellStart"/>
      <w:r w:rsidRPr="00AD08F0">
        <w:rPr>
          <w:color w:val="auto"/>
        </w:rPr>
        <w:t>Rakhmani</w:t>
      </w:r>
      <w:proofErr w:type="spellEnd"/>
      <w:r w:rsidRPr="00AD08F0">
        <w:rPr>
          <w:color w:val="auto"/>
        </w:rPr>
        <w:t xml:space="preserve"> I (2021). Draft final report Independent Strategic Review Knowledge to Policy (Knowledge Sector) Investments in Indonesia</w:t>
      </w:r>
    </w:p>
  </w:footnote>
  <w:footnote w:id="19">
    <w:p w14:paraId="4B8191F4" w14:textId="4BA86289" w:rsidR="00115CDB" w:rsidRPr="00AD08F0" w:rsidRDefault="00115CDB" w:rsidP="00DD43F3">
      <w:pPr>
        <w:pStyle w:val="FootnoteText"/>
        <w:rPr>
          <w:color w:val="auto"/>
        </w:rPr>
      </w:pPr>
      <w:r w:rsidRPr="00AD08F0">
        <w:rPr>
          <w:rStyle w:val="FootnoteReference"/>
          <w:color w:val="auto"/>
          <w:lang w:val="en-AU"/>
        </w:rPr>
        <w:footnoteRef/>
      </w:r>
      <w:r w:rsidRPr="00AD08F0">
        <w:rPr>
          <w:rStyle w:val="FootnoteReference"/>
          <w:color w:val="auto"/>
          <w:lang w:val="en-AU"/>
        </w:rPr>
        <w:t xml:space="preserve"> </w:t>
      </w:r>
      <w:r w:rsidRPr="00AD08F0">
        <w:rPr>
          <w:rStyle w:val="FootnoteReference"/>
          <w:color w:val="auto"/>
          <w:vertAlign w:val="baseline"/>
          <w:lang w:val="en-AU"/>
        </w:rPr>
        <w:t>See AIC PAI phase IV independent completion report</w:t>
      </w:r>
      <w:r w:rsidRPr="00AD08F0">
        <w:rPr>
          <w:color w:val="auto"/>
        </w:rPr>
        <w:t>.</w:t>
      </w:r>
    </w:p>
  </w:footnote>
  <w:footnote w:id="20">
    <w:p w14:paraId="0AF8ECB2" w14:textId="462C51B8"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For instance, KSI has supported 16 policy research institutions (PRIs) with core funding and various forms of capacity development support. While the PRIs have developed considerably both institutionally and technically, there is still some distance to go to achieve competitiveness in international research and funding opportunities.</w:t>
      </w:r>
    </w:p>
  </w:footnote>
  <w:footnote w:id="21">
    <w:p w14:paraId="6753E2D5" w14:textId="77777777" w:rsidR="00115CDB" w:rsidRPr="00AD08F0" w:rsidRDefault="00115CDB" w:rsidP="00DD43F3">
      <w:pPr>
        <w:pStyle w:val="FootnoteText"/>
        <w:rPr>
          <w:color w:val="auto"/>
        </w:rPr>
      </w:pPr>
      <w:r w:rsidRPr="00AD08F0">
        <w:rPr>
          <w:color w:val="auto"/>
          <w:vertAlign w:val="superscript"/>
        </w:rPr>
        <w:footnoteRef/>
      </w:r>
      <w:r w:rsidRPr="00AD08F0">
        <w:rPr>
          <w:color w:val="auto"/>
          <w:vertAlign w:val="superscript"/>
        </w:rPr>
        <w:t xml:space="preserve"> </w:t>
      </w:r>
      <w:r w:rsidRPr="00AD08F0">
        <w:rPr>
          <w:color w:val="auto"/>
        </w:rPr>
        <w:t>See https://www.pm.gov.au/media/indonesia-australia-comprehensive-strategic-partnership</w:t>
      </w:r>
    </w:p>
  </w:footnote>
  <w:footnote w:id="22">
    <w:p w14:paraId="5AF419D5" w14:textId="17D12F35" w:rsidR="00115CDB" w:rsidRPr="00AD08F0" w:rsidRDefault="00115CDB" w:rsidP="00DD43F3">
      <w:pPr>
        <w:pStyle w:val="FootnoteText"/>
        <w:rPr>
          <w:color w:val="auto"/>
        </w:rPr>
      </w:pPr>
      <w:r w:rsidRPr="00AD08F0">
        <w:rPr>
          <w:color w:val="auto"/>
          <w:vertAlign w:val="superscript"/>
        </w:rPr>
        <w:footnoteRef/>
      </w:r>
      <w:r w:rsidRPr="00AD08F0">
        <w:rPr>
          <w:color w:val="auto"/>
          <w:vertAlign w:val="superscript"/>
        </w:rPr>
        <w:t xml:space="preserve"> </w:t>
      </w:r>
      <w:r w:rsidRPr="00AD08F0">
        <w:rPr>
          <w:color w:val="auto"/>
        </w:rPr>
        <w:t xml:space="preserve">The connecting people pillar promotes ‘academic exchanges and joint research to promote innovation and find solutions to shared challenges.’ </w:t>
      </w:r>
    </w:p>
  </w:footnote>
  <w:footnote w:id="23">
    <w:p w14:paraId="08A9021E" w14:textId="218F0E8B" w:rsidR="00115CDB" w:rsidRPr="00AD08F0" w:rsidRDefault="00115CDB">
      <w:pPr>
        <w:pStyle w:val="FootnoteText"/>
        <w:rPr>
          <w:color w:val="auto"/>
          <w:lang w:val="en-AU"/>
        </w:rPr>
      </w:pPr>
      <w:r w:rsidRPr="00AD08F0">
        <w:rPr>
          <w:rStyle w:val="FootnoteReference"/>
          <w:color w:val="auto"/>
        </w:rPr>
        <w:footnoteRef/>
      </w:r>
      <w:r w:rsidRPr="00AD08F0">
        <w:rPr>
          <w:color w:val="auto"/>
        </w:rPr>
        <w:t xml:space="preserve"> The eight grand challenges of the </w:t>
      </w:r>
      <w:proofErr w:type="spellStart"/>
      <w:r w:rsidRPr="00AD08F0">
        <w:rPr>
          <w:color w:val="auto"/>
        </w:rPr>
        <w:t>Bblueprint</w:t>
      </w:r>
      <w:proofErr w:type="spellEnd"/>
      <w:r w:rsidRPr="00AD08F0">
        <w:rPr>
          <w:color w:val="auto"/>
        </w:rPr>
        <w:t xml:space="preserve"> (low social mobility, massive urbanisation, tertiarization, climate change, food security, natural resource curse, energy sufficiency, and quality of public institutions) could be considered a starting point for consultation on research priorities for the first year.</w:t>
      </w:r>
    </w:p>
  </w:footnote>
  <w:footnote w:id="24">
    <w:p w14:paraId="1034D7C7" w14:textId="21BF16FA" w:rsidR="00115CDB" w:rsidRPr="00AD08F0" w:rsidRDefault="00115CDB">
      <w:pPr>
        <w:pStyle w:val="FootnoteText"/>
        <w:rPr>
          <w:color w:val="auto"/>
        </w:rPr>
      </w:pPr>
      <w:r w:rsidRPr="00AD08F0">
        <w:rPr>
          <w:rStyle w:val="FootnoteReference"/>
          <w:color w:val="auto"/>
        </w:rPr>
        <w:footnoteRef/>
      </w:r>
      <w:r w:rsidRPr="00AD08F0">
        <w:rPr>
          <w:color w:val="auto"/>
        </w:rPr>
        <w:t xml:space="preserve"> Negotiations between DFAT and the three </w:t>
      </w:r>
      <w:proofErr w:type="spellStart"/>
      <w:r w:rsidRPr="00AD08F0">
        <w:rPr>
          <w:color w:val="auto"/>
        </w:rPr>
        <w:t>GoI</w:t>
      </w:r>
      <w:proofErr w:type="spellEnd"/>
      <w:r w:rsidRPr="00AD08F0">
        <w:rPr>
          <w:color w:val="auto"/>
        </w:rPr>
        <w:t xml:space="preserve"> agencies likely to lead/govern KPP, including discussion on research theme prioritisation for the first year of KPP, have started and are currently underway at the time the IDD drafting.</w:t>
      </w:r>
    </w:p>
  </w:footnote>
  <w:footnote w:id="25">
    <w:p w14:paraId="5ED1DB9E" w14:textId="3AE75538" w:rsidR="00115CDB" w:rsidRPr="00AD08F0" w:rsidRDefault="00115CDB">
      <w:pPr>
        <w:pStyle w:val="FootnoteText"/>
        <w:rPr>
          <w:color w:val="auto"/>
        </w:rPr>
      </w:pPr>
      <w:r w:rsidRPr="00AD08F0">
        <w:rPr>
          <w:rStyle w:val="FootnoteReference"/>
          <w:color w:val="auto"/>
        </w:rPr>
        <w:footnoteRef/>
      </w:r>
      <w:r w:rsidRPr="00AD08F0">
        <w:rPr>
          <w:color w:val="auto"/>
        </w:rPr>
        <w:t xml:space="preserve"> Universities Australia has offered to connect KPP to its network of indigenous researchers within Australian universities. More work will be required to uncover similar resources in Indonesia.</w:t>
      </w:r>
    </w:p>
  </w:footnote>
  <w:footnote w:id="26">
    <w:p w14:paraId="5B617506" w14:textId="23E8584A"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The delineation of these spheres (interest, influence, control) is represented by the blue horizontal lines in the diagram.</w:t>
      </w:r>
    </w:p>
  </w:footnote>
  <w:footnote w:id="27">
    <w:p w14:paraId="68190DFD" w14:textId="77777777" w:rsidR="00115CDB" w:rsidRPr="00AD08F0" w:rsidRDefault="00115CDB" w:rsidP="008A3469">
      <w:pPr>
        <w:pStyle w:val="FootnoteText"/>
        <w:rPr>
          <w:color w:val="auto"/>
          <w:lang w:val="en-US"/>
        </w:rPr>
      </w:pPr>
      <w:r w:rsidRPr="00AD08F0">
        <w:rPr>
          <w:rStyle w:val="FootnoteReference"/>
          <w:color w:val="auto"/>
        </w:rPr>
        <w:footnoteRef/>
      </w:r>
      <w:r w:rsidRPr="00AD08F0">
        <w:rPr>
          <w:color w:val="auto"/>
        </w:rPr>
        <w:t xml:space="preserve"> </w:t>
      </w:r>
      <w:r w:rsidRPr="00AD08F0">
        <w:rPr>
          <w:color w:val="auto"/>
          <w:lang w:val="en-US"/>
        </w:rPr>
        <w:t>DFAT (2018) Innovation Strategy, 2018 – 2021.</w:t>
      </w:r>
    </w:p>
  </w:footnote>
  <w:footnote w:id="28">
    <w:p w14:paraId="0E1D1CA2" w14:textId="77777777" w:rsidR="00115CDB" w:rsidRPr="00AD08F0" w:rsidRDefault="00115CDB" w:rsidP="00147CA5">
      <w:pPr>
        <w:pStyle w:val="FootnoteText"/>
        <w:rPr>
          <w:color w:val="auto"/>
        </w:rPr>
      </w:pPr>
      <w:r w:rsidRPr="00AD08F0">
        <w:rPr>
          <w:rStyle w:val="FootnoteReference"/>
          <w:color w:val="auto"/>
        </w:rPr>
        <w:footnoteRef/>
      </w:r>
      <w:r w:rsidRPr="00AD08F0">
        <w:rPr>
          <w:color w:val="auto"/>
        </w:rPr>
        <w:t xml:space="preserve"> The details of the process, including the selection panel’s membership, will be developed and confirmed during the program’s inception period.</w:t>
      </w:r>
    </w:p>
  </w:footnote>
  <w:footnote w:id="29">
    <w:p w14:paraId="5F9AE5B1" w14:textId="3AE1296C" w:rsidR="00115CDB" w:rsidRPr="00AD08F0" w:rsidRDefault="00115CDB" w:rsidP="00DB67F3">
      <w:pPr>
        <w:pStyle w:val="FootnoteText"/>
        <w:rPr>
          <w:color w:val="auto"/>
        </w:rPr>
      </w:pPr>
      <w:r w:rsidRPr="00AD08F0">
        <w:rPr>
          <w:rStyle w:val="FootnoteReference"/>
          <w:color w:val="auto"/>
        </w:rPr>
        <w:footnoteRef/>
      </w:r>
      <w:r w:rsidRPr="00AD08F0">
        <w:rPr>
          <w:color w:val="auto"/>
        </w:rPr>
        <w:t xml:space="preserve"> Preliminary suggestions provided during the KPP design process include the green economy, the blue economy and the digital economy. For instance, the theme of green economy could lead to research proposals that look at renewable energy development in Indonesia from a multidisciplinary perspective, such as what is scientifically feasible, what are the appropriate regulatory requirements, what is commercially viable, and how to ensure equitable and affordable access to marginalised individuals and communities. A partnership proposal to explore this theme could include organisations that bring technological expertise, policy expertise, finance and private sector engagement expertise, and social or community development expertise (such OPDs and gender / women’s rights focused organisations).</w:t>
      </w:r>
    </w:p>
  </w:footnote>
  <w:footnote w:id="30">
    <w:p w14:paraId="5BC8835C" w14:textId="03CF289E" w:rsidR="00115CDB" w:rsidRPr="00AD08F0" w:rsidRDefault="00115CDB">
      <w:pPr>
        <w:pStyle w:val="FootnoteText"/>
        <w:rPr>
          <w:color w:val="auto"/>
        </w:rPr>
      </w:pPr>
      <w:r w:rsidRPr="00AD08F0">
        <w:rPr>
          <w:color w:val="auto"/>
          <w:vertAlign w:val="superscript"/>
        </w:rPr>
        <w:footnoteRef/>
      </w:r>
      <w:r w:rsidRPr="00AD08F0">
        <w:rPr>
          <w:color w:val="auto"/>
        </w:rPr>
        <w:t xml:space="preserve"> Multidisciplinary refers to technical/policy/private sector/socio-cultural/geo-political and geo-strategic aspects of the development issues being addressed.</w:t>
      </w:r>
    </w:p>
  </w:footnote>
  <w:footnote w:id="31">
    <w:p w14:paraId="190DEBF8" w14:textId="3FFFDAD4" w:rsidR="00115CDB" w:rsidRPr="00AD08F0" w:rsidRDefault="00115CDB">
      <w:pPr>
        <w:pStyle w:val="FootnoteText"/>
        <w:rPr>
          <w:color w:val="auto"/>
        </w:rPr>
      </w:pPr>
      <w:r w:rsidRPr="00AD08F0">
        <w:rPr>
          <w:rStyle w:val="FootnoteReference"/>
          <w:color w:val="auto"/>
        </w:rPr>
        <w:footnoteRef/>
      </w:r>
      <w:r w:rsidRPr="00AD08F0">
        <w:rPr>
          <w:color w:val="auto"/>
        </w:rPr>
        <w:t xml:space="preserve"> Noting that </w:t>
      </w:r>
      <w:r w:rsidRPr="00AD08F0">
        <w:rPr>
          <w:bCs/>
          <w:iCs/>
          <w:color w:val="auto"/>
        </w:rPr>
        <w:t xml:space="preserve">dialogue with some stakeholders will occur outside the program governance mechanisms and/or in some cases within the partnerships themselves through research advisory groups. </w:t>
      </w:r>
    </w:p>
  </w:footnote>
  <w:footnote w:id="32">
    <w:p w14:paraId="755A8B11" w14:textId="14BFF41D" w:rsidR="00115CDB" w:rsidRPr="00AD08F0" w:rsidRDefault="00115CDB">
      <w:pPr>
        <w:pStyle w:val="FootnoteText"/>
        <w:rPr>
          <w:color w:val="auto"/>
          <w:lang w:val="en-AU"/>
        </w:rPr>
      </w:pPr>
      <w:r w:rsidRPr="00AD08F0">
        <w:rPr>
          <w:rStyle w:val="FootnoteReference"/>
          <w:color w:val="auto"/>
        </w:rPr>
        <w:footnoteRef/>
      </w:r>
      <w:r w:rsidRPr="00AD08F0">
        <w:rPr>
          <w:color w:val="auto"/>
        </w:rPr>
        <w:t xml:space="preserve"> However, it is not envisaged that financial contributions will flow from other programs to KPP, nor that such programs be involved in ‘commissioning’ specific research under KPP.</w:t>
      </w:r>
    </w:p>
  </w:footnote>
  <w:footnote w:id="33">
    <w:p w14:paraId="2B665166" w14:textId="5C8CA520" w:rsidR="00115CDB" w:rsidRPr="00AD08F0" w:rsidRDefault="00115CDB">
      <w:pPr>
        <w:pStyle w:val="FootnoteText"/>
        <w:rPr>
          <w:color w:val="auto"/>
        </w:rPr>
      </w:pPr>
      <w:r w:rsidRPr="00AD08F0">
        <w:rPr>
          <w:rStyle w:val="FootnoteReference"/>
          <w:color w:val="auto"/>
        </w:rPr>
        <w:footnoteRef/>
      </w:r>
      <w:r w:rsidRPr="00AD08F0">
        <w:rPr>
          <w:color w:val="auto"/>
        </w:rPr>
        <w:t xml:space="preserve"> This analysis will be included as part of the KPP analytical agenda (see section D1).</w:t>
      </w:r>
    </w:p>
  </w:footnote>
  <w:footnote w:id="34">
    <w:p w14:paraId="3AA4F35D" w14:textId="77777777" w:rsidR="00764A3E" w:rsidRPr="00F13260" w:rsidRDefault="00764A3E" w:rsidP="00764A3E">
      <w:pPr>
        <w:pStyle w:val="FootnoteText"/>
        <w:rPr>
          <w:color w:val="auto"/>
          <w:lang w:val="en-AU"/>
        </w:rPr>
      </w:pPr>
      <w:r w:rsidRPr="00F83B6E">
        <w:rPr>
          <w:rStyle w:val="FootnoteReference"/>
          <w:color w:val="000000" w:themeColor="text1"/>
          <w:lang w:val="en-AU"/>
        </w:rPr>
        <w:footnoteRef/>
      </w:r>
      <w:r w:rsidRPr="00F83B6E">
        <w:rPr>
          <w:color w:val="000000" w:themeColor="text1"/>
          <w:lang w:val="en-AU"/>
        </w:rPr>
        <w:t xml:space="preserve"> </w:t>
      </w:r>
      <w:r w:rsidRPr="00F13260">
        <w:rPr>
          <w:color w:val="auto"/>
          <w:lang w:val="en-AU"/>
        </w:rPr>
        <w:t>This includes assessing the nature, strength and capacity of KPP-funded knowledge partnerships.</w:t>
      </w:r>
    </w:p>
  </w:footnote>
  <w:footnote w:id="35">
    <w:p w14:paraId="6518FD71" w14:textId="77777777" w:rsidR="00764A3E" w:rsidRPr="00F13260" w:rsidRDefault="00764A3E" w:rsidP="00764A3E">
      <w:pPr>
        <w:pStyle w:val="FootnoteText"/>
        <w:rPr>
          <w:color w:val="auto"/>
        </w:rPr>
      </w:pPr>
      <w:r w:rsidRPr="00F13260">
        <w:rPr>
          <w:rStyle w:val="FootnoteReference"/>
          <w:color w:val="auto"/>
          <w:lang w:val="en-AU"/>
        </w:rPr>
        <w:footnoteRef/>
      </w:r>
      <w:r w:rsidRPr="00F13260">
        <w:rPr>
          <w:color w:val="auto"/>
          <w:vertAlign w:val="superscript"/>
        </w:rPr>
        <w:t xml:space="preserve"> </w:t>
      </w:r>
      <w:r w:rsidRPr="00F13260">
        <w:rPr>
          <w:color w:val="auto"/>
        </w:rPr>
        <w:t xml:space="preserve">At this stage, the program’s impact is defined as the uptake of KPP supported knowledge. According to the program logic, knowledge uptake sits at the purpose level - within the sphere of program’s interest but outside of the program’s scope of accountability. Hence, this will be tracked as a learning question. </w:t>
      </w:r>
    </w:p>
  </w:footnote>
  <w:footnote w:id="36">
    <w:p w14:paraId="159B95B0" w14:textId="4C5FDCE4"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Representatives of organisations of people with disabilities will participate in KPP mainstream MEL activities and will specifically be requested to ensure KPP also learns to work effectively and equitably with people with disabilities.</w:t>
      </w:r>
    </w:p>
  </w:footnote>
  <w:footnote w:id="37">
    <w:p w14:paraId="6C3F6269" w14:textId="58E957B4" w:rsidR="00115CDB" w:rsidRPr="00AD08F0" w:rsidRDefault="00115CDB" w:rsidP="00C34A57">
      <w:pPr>
        <w:pStyle w:val="FootnoteText"/>
        <w:rPr>
          <w:color w:val="auto"/>
        </w:rPr>
      </w:pPr>
      <w:r w:rsidRPr="00AD08F0">
        <w:rPr>
          <w:rStyle w:val="FootnoteReference"/>
          <w:color w:val="auto"/>
        </w:rPr>
        <w:footnoteRef/>
      </w:r>
      <w:r w:rsidRPr="00AD08F0">
        <w:rPr>
          <w:color w:val="auto"/>
        </w:rPr>
        <w:t xml:space="preserve"> KPP may contribute to policy changes in two key areas (</w:t>
      </w:r>
      <w:proofErr w:type="spellStart"/>
      <w:r w:rsidRPr="00AD08F0">
        <w:rPr>
          <w:color w:val="auto"/>
        </w:rPr>
        <w:t>i</w:t>
      </w:r>
      <w:proofErr w:type="spellEnd"/>
      <w:r w:rsidRPr="00AD08F0">
        <w:rPr>
          <w:color w:val="auto"/>
        </w:rPr>
        <w:t>) changes to the policy enabling environment for international research partnerships, and (ii) policy changes in thematic research areas. On the latter, it is likely that KPP and its partnerships’ contribution to any significant policy change would be in collaboration with other programs and initiatives, as has been the case under DFAT’s existing knowledge sector programs.</w:t>
      </w:r>
    </w:p>
  </w:footnote>
  <w:footnote w:id="38">
    <w:p w14:paraId="51648C08" w14:textId="77777777"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Mainstreaming has garnered much criticism since being promoted at the Beijing Fourth World Conference on Women (1995) as an ineffective strategy for gender mainstreaming. This stems largely from the fact that it is often inadequately implemented, with insufficient leadership attention, resourcing, and monitoring. </w:t>
      </w:r>
    </w:p>
  </w:footnote>
  <w:footnote w:id="39">
    <w:p w14:paraId="7861CA9C" w14:textId="6CC6EB6A" w:rsidR="00115CDB" w:rsidRPr="00AD08F0" w:rsidRDefault="00115CDB" w:rsidP="00DD43F3">
      <w:pPr>
        <w:pStyle w:val="FootnoteText"/>
        <w:rPr>
          <w:color w:val="auto"/>
          <w:lang w:val="en-AU"/>
        </w:rPr>
      </w:pPr>
      <w:r w:rsidRPr="00AD08F0">
        <w:rPr>
          <w:rStyle w:val="FootnoteReference"/>
          <w:color w:val="auto"/>
          <w:lang w:val="en-AU"/>
        </w:rPr>
        <w:footnoteRef/>
      </w:r>
      <w:r w:rsidRPr="00AD08F0">
        <w:rPr>
          <w:color w:val="auto"/>
        </w:rPr>
        <w:t xml:space="preserve"> See OECD-DAC (2016). Network on Gender Equality (GENDERNET). Handbook on the DAC gender equality policy marker. See</w:t>
      </w:r>
      <w:r w:rsidRPr="00AD08F0">
        <w:rPr>
          <w:color w:val="auto"/>
          <w:lang w:val="en-AU"/>
        </w:rPr>
        <w:t xml:space="preserve"> https://www.oecd.org/dac/gender-development/dac-gender-equality-marker.htm </w:t>
      </w:r>
    </w:p>
  </w:footnote>
  <w:footnote w:id="40">
    <w:p w14:paraId="1CC13468" w14:textId="5F1284E4" w:rsidR="00115CDB" w:rsidRPr="00AD08F0" w:rsidRDefault="00115CDB" w:rsidP="00A54F0E">
      <w:pPr>
        <w:pStyle w:val="FootnoteText"/>
        <w:rPr>
          <w:color w:val="auto"/>
          <w:vertAlign w:val="superscript"/>
        </w:rPr>
      </w:pPr>
      <w:r w:rsidRPr="00AD08F0">
        <w:rPr>
          <w:rStyle w:val="FootnoteReference"/>
          <w:rFonts w:cstheme="minorHAnsi"/>
          <w:color w:val="auto"/>
          <w:lang w:val="en-AU"/>
        </w:rPr>
        <w:footnoteRef/>
      </w:r>
      <w:r w:rsidRPr="00AD08F0">
        <w:rPr>
          <w:rStyle w:val="FootnoteReference"/>
          <w:color w:val="auto"/>
          <w:lang w:val="en-AU"/>
        </w:rPr>
        <w:t xml:space="preserve"> </w:t>
      </w:r>
      <w:r w:rsidRPr="00AD08F0">
        <w:rPr>
          <w:color w:val="auto"/>
        </w:rPr>
        <w:t>These are: a gender analysis has been conducted; findings from this analysis have informed the design, and KPP adopts a ‘do no harm’ approach; there is at least one explicit gender equality objective and at least one gender-specific indicator (and direction to further this in the full MEF to be developed early in implementation); data and indicators are required to be disaggregated by sex/gender where applicable; and there is a requirement to monitor and report on KPP’s gender equality results, including in periodic evaluations.</w:t>
      </w:r>
    </w:p>
  </w:footnote>
  <w:footnote w:id="41">
    <w:p w14:paraId="3B0431E7" w14:textId="77777777" w:rsidR="00115CDB" w:rsidRPr="00AD08F0" w:rsidRDefault="00115CDB" w:rsidP="00A54F0E">
      <w:pPr>
        <w:pStyle w:val="FootnoteText"/>
        <w:rPr>
          <w:color w:val="auto"/>
        </w:rPr>
      </w:pPr>
      <w:r w:rsidRPr="00AD08F0">
        <w:rPr>
          <w:color w:val="auto"/>
          <w:vertAlign w:val="superscript"/>
        </w:rPr>
        <w:footnoteRef/>
      </w:r>
      <w:r w:rsidRPr="00AD08F0">
        <w:rPr>
          <w:color w:val="auto"/>
        </w:rPr>
        <w:t xml:space="preserve"> This means that in addition to the requirements for an assessment of significant, the main reason for undertaking the activity to promote gender equality and the activity would not take place without this focus.</w:t>
      </w:r>
    </w:p>
  </w:footnote>
  <w:footnote w:id="42">
    <w:p w14:paraId="5DBC54F3" w14:textId="77777777" w:rsidR="00115CDB" w:rsidRPr="00AD08F0" w:rsidRDefault="00115CDB" w:rsidP="00F528A4">
      <w:pPr>
        <w:pStyle w:val="FootnoteText"/>
        <w:rPr>
          <w:color w:val="auto"/>
        </w:rPr>
      </w:pPr>
      <w:r w:rsidRPr="00AD08F0">
        <w:rPr>
          <w:rStyle w:val="FootnoteReference"/>
          <w:color w:val="auto"/>
        </w:rPr>
        <w:footnoteRef/>
      </w:r>
      <w:r w:rsidRPr="00AD08F0">
        <w:rPr>
          <w:color w:val="auto"/>
        </w:rPr>
        <w:t xml:space="preserve"> </w:t>
      </w:r>
      <w:r w:rsidRPr="00AD08F0">
        <w:rPr>
          <w:color w:val="auto"/>
          <w:lang w:val="en-US"/>
        </w:rPr>
        <w:t xml:space="preserve">For example, while women have typically had less access to digital technology than men, women entrepreneurs in micro-businesses have had a higher uptake of such technologies in response to COVID-19. See </w:t>
      </w:r>
      <w:r w:rsidRPr="00AD08F0">
        <w:rPr>
          <w:color w:val="auto"/>
        </w:rPr>
        <w:t>Pulse Lab Jakarta and UN Women (2022).</w:t>
      </w:r>
    </w:p>
  </w:footnote>
  <w:footnote w:id="43">
    <w:p w14:paraId="4EAD2006" w14:textId="77777777" w:rsidR="00115CDB" w:rsidRPr="00AD08F0" w:rsidRDefault="00115CDB" w:rsidP="0068347E">
      <w:pPr>
        <w:pStyle w:val="FootnoteText"/>
        <w:rPr>
          <w:color w:val="auto"/>
          <w:lang w:val="en-AU"/>
        </w:rPr>
      </w:pPr>
      <w:r w:rsidRPr="00AD08F0">
        <w:rPr>
          <w:rStyle w:val="FootnoteReference"/>
          <w:color w:val="auto"/>
        </w:rPr>
        <w:footnoteRef/>
      </w:r>
      <w:r w:rsidRPr="00AD08F0">
        <w:rPr>
          <w:color w:val="auto"/>
        </w:rPr>
        <w:t xml:space="preserve"> ILO (2020) Opportunity or Challenge? Promoting greater participation of Indonesian women in STEM.</w:t>
      </w:r>
    </w:p>
  </w:footnote>
  <w:footnote w:id="44">
    <w:p w14:paraId="71CBB46B" w14:textId="19128A45" w:rsidR="00115CDB" w:rsidRPr="00AD08F0" w:rsidRDefault="00115CDB" w:rsidP="00A54F0E">
      <w:pPr>
        <w:pStyle w:val="FootnoteText"/>
        <w:rPr>
          <w:color w:val="auto"/>
        </w:rPr>
      </w:pPr>
      <w:r w:rsidRPr="00AD08F0">
        <w:rPr>
          <w:color w:val="auto"/>
          <w:vertAlign w:val="superscript"/>
        </w:rPr>
        <w:footnoteRef/>
      </w:r>
      <w:r w:rsidRPr="00AD08F0">
        <w:rPr>
          <w:color w:val="auto"/>
        </w:rPr>
        <w:t xml:space="preserve"> OECD-DAC (2020) Policy marker on the inclusion and empowerment of persons with disabilities: Handbook for data reporters and users. Paris: OECD.</w:t>
      </w:r>
    </w:p>
  </w:footnote>
  <w:footnote w:id="45">
    <w:p w14:paraId="7AD99533" w14:textId="550B29DE" w:rsidR="00115CDB" w:rsidRPr="00AD08F0" w:rsidRDefault="00115CDB">
      <w:pPr>
        <w:pStyle w:val="FootnoteText"/>
        <w:rPr>
          <w:color w:val="auto"/>
          <w:lang w:val="en-AU"/>
        </w:rPr>
      </w:pPr>
      <w:r w:rsidRPr="00AD08F0">
        <w:rPr>
          <w:rStyle w:val="FootnoteReference"/>
          <w:color w:val="auto"/>
        </w:rPr>
        <w:footnoteRef/>
      </w:r>
      <w:r w:rsidRPr="00AD08F0">
        <w:rPr>
          <w:color w:val="auto"/>
        </w:rPr>
        <w:t xml:space="preserve"> People with disabilities’ engagement can wrongly be limited to narrow roles on the assumption that their expertise only focuses on disability inclusion and/or that it requires additional logistic support that is too hard.</w:t>
      </w:r>
    </w:p>
  </w:footnote>
  <w:footnote w:id="46">
    <w:p w14:paraId="04D174EB" w14:textId="573BB769" w:rsidR="00115CDB" w:rsidRPr="00AD08F0" w:rsidRDefault="00115CDB" w:rsidP="00DD43F3">
      <w:pPr>
        <w:pStyle w:val="FootnoteText"/>
        <w:rPr>
          <w:color w:val="auto"/>
        </w:rPr>
      </w:pPr>
      <w:r w:rsidRPr="00AD08F0">
        <w:rPr>
          <w:rStyle w:val="FootnoteReference"/>
          <w:rFonts w:cstheme="minorHAnsi"/>
          <w:color w:val="auto"/>
          <w:lang w:val="en-AU"/>
        </w:rPr>
        <w:footnoteRef/>
      </w:r>
      <w:r w:rsidRPr="00AD08F0">
        <w:rPr>
          <w:color w:val="auto"/>
          <w:lang w:val="en-AU"/>
        </w:rPr>
        <w:t xml:space="preserve"> This budget co</w:t>
      </w:r>
      <w:proofErr w:type="spellStart"/>
      <w:r w:rsidRPr="00AD08F0">
        <w:rPr>
          <w:color w:val="auto"/>
        </w:rPr>
        <w:t>mplements</w:t>
      </w:r>
      <w:proofErr w:type="spellEnd"/>
      <w:r w:rsidRPr="00AD08F0">
        <w:rPr>
          <w:color w:val="auto"/>
        </w:rPr>
        <w:t xml:space="preserve"> other GEDSI budget line and is dedicated to maximising the accessibility of Platform Hub’s activities (e.g. sign language interpreting, accessible technology and online tools).</w:t>
      </w:r>
    </w:p>
  </w:footnote>
  <w:footnote w:id="47">
    <w:p w14:paraId="1F168762" w14:textId="77777777" w:rsidR="00115CDB" w:rsidRPr="00AD08F0" w:rsidRDefault="00115CDB" w:rsidP="00DD43F3">
      <w:pPr>
        <w:pStyle w:val="FootnoteText"/>
        <w:rPr>
          <w:color w:val="auto"/>
        </w:rPr>
      </w:pPr>
      <w:r w:rsidRPr="00AD08F0">
        <w:rPr>
          <w:color w:val="auto"/>
          <w:vertAlign w:val="superscript"/>
        </w:rPr>
        <w:footnoteRef/>
      </w:r>
      <w:r w:rsidRPr="00AD08F0">
        <w:rPr>
          <w:color w:val="auto"/>
          <w:vertAlign w:val="superscript"/>
        </w:rPr>
        <w:t xml:space="preserve"> </w:t>
      </w:r>
      <w:r w:rsidRPr="00AD08F0">
        <w:rPr>
          <w:color w:val="auto"/>
        </w:rPr>
        <w:t>This is a composite index based on an assessment of exposure, vulnerability, susceptibility, lack of coping capacities, and lack of adaptive capacities.</w:t>
      </w:r>
    </w:p>
  </w:footnote>
  <w:footnote w:id="48">
    <w:p w14:paraId="7105AB11" w14:textId="38A7D29D"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See World Bank. Climate Risk Profile: Indonesia (2021): The World Bank Group and Asian Development Bank. </w:t>
      </w:r>
    </w:p>
  </w:footnote>
  <w:footnote w:id="49">
    <w:p w14:paraId="073B56D5" w14:textId="05980377"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See Government of Indonesia (2017). Third National Communication under the United Nations Framework Convention on Climate Change. Jakarta: Government of Indonesia, 2018.</w:t>
      </w:r>
    </w:p>
  </w:footnote>
  <w:footnote w:id="50">
    <w:p w14:paraId="058709F2" w14:textId="00BC56DC" w:rsidR="00115CDB" w:rsidRPr="00AD08F0" w:rsidRDefault="00115CDB" w:rsidP="00DD43F3">
      <w:pPr>
        <w:pStyle w:val="FootnoteText"/>
        <w:rPr>
          <w:color w:val="auto"/>
        </w:rPr>
      </w:pPr>
      <w:r w:rsidRPr="00AD08F0">
        <w:rPr>
          <w:rStyle w:val="FootnoteReference"/>
          <w:color w:val="auto"/>
        </w:rPr>
        <w:footnoteRef/>
      </w:r>
      <w:r w:rsidRPr="00AD08F0">
        <w:rPr>
          <w:color w:val="auto"/>
        </w:rPr>
        <w:t xml:space="preserve"> Noting in this case the potential complementarity with and linkages to the DFAT-funded Investing in Women and its upcoming successor Women in Inclusive Sustainable Economic Recovery investments.</w:t>
      </w:r>
    </w:p>
  </w:footnote>
  <w:footnote w:id="51">
    <w:p w14:paraId="062FCE35" w14:textId="7039A31A"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See DFAT Investment Concept of Australia Indonesia Knowledge Partnerships Platform (2021), p.7-8</w:t>
      </w:r>
    </w:p>
  </w:footnote>
  <w:footnote w:id="52">
    <w:p w14:paraId="7E8A22CA" w14:textId="0998A709" w:rsidR="00115CDB" w:rsidRPr="00AD08F0" w:rsidRDefault="00115CDB" w:rsidP="00DD43F3">
      <w:pPr>
        <w:pStyle w:val="FootnoteText"/>
        <w:rPr>
          <w:color w:val="auto"/>
        </w:rPr>
      </w:pPr>
      <w:r w:rsidRPr="00AD08F0">
        <w:rPr>
          <w:rStyle w:val="FootnoteReference"/>
          <w:color w:val="auto"/>
          <w:lang w:val="en-AU"/>
        </w:rPr>
        <w:footnoteRef/>
      </w:r>
      <w:r w:rsidRPr="00AD08F0">
        <w:rPr>
          <w:color w:val="auto"/>
        </w:rPr>
        <w:t xml:space="preserve"> </w:t>
      </w:r>
      <w:proofErr w:type="spellStart"/>
      <w:r w:rsidRPr="00AD08F0">
        <w:rPr>
          <w:color w:val="auto"/>
        </w:rPr>
        <w:t>AusTender</w:t>
      </w:r>
      <w:proofErr w:type="spellEnd"/>
      <w:r w:rsidRPr="00AD08F0">
        <w:rPr>
          <w:color w:val="auto"/>
        </w:rPr>
        <w:t xml:space="preserve"> Approach to Market ID: REOI DFAT-351, issued on 26 April 2022.</w:t>
      </w:r>
    </w:p>
  </w:footnote>
  <w:footnote w:id="53">
    <w:p w14:paraId="0B1D6C6B" w14:textId="6634A1ED" w:rsidR="00115CDB" w:rsidRPr="00AD08F0" w:rsidRDefault="00115CDB">
      <w:pPr>
        <w:pStyle w:val="FootnoteText"/>
        <w:rPr>
          <w:color w:val="auto"/>
        </w:rPr>
      </w:pPr>
      <w:r w:rsidRPr="00AD08F0">
        <w:rPr>
          <w:rStyle w:val="FootnoteReference"/>
          <w:color w:val="auto"/>
        </w:rPr>
        <w:footnoteRef/>
      </w:r>
      <w:r w:rsidRPr="00AD08F0">
        <w:rPr>
          <w:color w:val="auto"/>
        </w:rPr>
        <w:t xml:space="preserve"> </w:t>
      </w:r>
      <w:r w:rsidRPr="00AD08F0">
        <w:rPr>
          <w:rFonts w:eastAsia="Times New Roman"/>
          <w:color w:val="auto"/>
        </w:rPr>
        <w:t>The appropriateness of the assessments in the risk register will be reviewed during the inception phase to confirm the accuracy of the overall rating.</w:t>
      </w:r>
    </w:p>
  </w:footnote>
  <w:footnote w:id="54">
    <w:p w14:paraId="2AADE637" w14:textId="1FCE2B87" w:rsidR="00115CDB" w:rsidRPr="00AD08F0" w:rsidRDefault="00115CDB">
      <w:pPr>
        <w:pStyle w:val="FootnoteText"/>
        <w:rPr>
          <w:color w:val="auto"/>
        </w:rPr>
      </w:pPr>
      <w:r w:rsidRPr="00AD08F0">
        <w:rPr>
          <w:rStyle w:val="FootnoteReference"/>
          <w:color w:val="auto"/>
        </w:rPr>
        <w:footnoteRef/>
      </w:r>
      <w:r w:rsidRPr="00AD08F0">
        <w:rPr>
          <w:color w:val="auto"/>
        </w:rPr>
        <w:t xml:space="preserve"> See https://www.dfat.gov.au/about-us/publications/Pages/environmental-social-safeguard-policy</w:t>
      </w:r>
    </w:p>
  </w:footnote>
  <w:footnote w:id="55">
    <w:p w14:paraId="69AF5BF8" w14:textId="610CD3EB" w:rsidR="00115CDB" w:rsidRPr="00AD08F0" w:rsidRDefault="00115CDB" w:rsidP="00443EEA">
      <w:pPr>
        <w:pStyle w:val="FootnoteText"/>
        <w:rPr>
          <w:color w:val="auto"/>
        </w:rPr>
      </w:pPr>
      <w:r w:rsidRPr="00AD08F0">
        <w:rPr>
          <w:rStyle w:val="FootnoteReference"/>
          <w:color w:val="auto"/>
        </w:rPr>
        <w:footnoteRef/>
      </w:r>
      <w:r w:rsidRPr="00AD08F0">
        <w:rPr>
          <w:color w:val="auto"/>
        </w:rPr>
        <w:t xml:space="preserve"> Noting that in the new DFAT template risk owner is necessarily an individual DFAT staff member, usually the investment manager but it could also be anyone who is actively involved in managing the risk (e.g. if it involved a strategic relationship through a high-level steering committee it could be a counsellor or minister-counsellor)</w:t>
      </w:r>
    </w:p>
  </w:footnote>
  <w:footnote w:id="56">
    <w:p w14:paraId="15B64D33" w14:textId="3408DFD5" w:rsidR="00115CDB" w:rsidRPr="00AD08F0" w:rsidRDefault="00115CDB">
      <w:pPr>
        <w:pStyle w:val="FootnoteText"/>
        <w:rPr>
          <w:color w:val="auto"/>
        </w:rPr>
      </w:pPr>
      <w:r w:rsidRPr="00AD08F0">
        <w:rPr>
          <w:rStyle w:val="FootnoteReference"/>
          <w:color w:val="auto"/>
        </w:rPr>
        <w:footnoteRef/>
      </w:r>
      <w:r w:rsidRPr="00AD08F0">
        <w:rPr>
          <w:color w:val="auto"/>
        </w:rPr>
        <w:t xml:space="preserve"> Fiduciary and fraud monitoring procedures for partnerships will be reviewed and further developed during the program inception period and spelled out in the Platform Hub Operations Manual.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00D2" w14:textId="14FA684D" w:rsidR="00115CDB" w:rsidRPr="000854FD" w:rsidRDefault="00115CDB" w:rsidP="00DB058C">
    <w:pPr>
      <w:pStyle w:val="Header"/>
      <w:tabs>
        <w:tab w:val="clear" w:pos="4513"/>
        <w:tab w:val="clear" w:pos="9026"/>
        <w:tab w:val="left" w:pos="948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E8A9" w14:textId="77777777" w:rsidR="00D251C2" w:rsidRDefault="00115CDB" w:rsidP="00D251C2">
    <w:pPr>
      <w:pStyle w:val="Header"/>
      <w:ind w:left="0"/>
    </w:pPr>
    <w:r w:rsidRPr="00943730">
      <w:rPr>
        <w:noProof/>
        <w:lang w:val="en-AU" w:eastAsia="en-AU"/>
      </w:rPr>
      <w:drawing>
        <wp:inline distT="0" distB="0" distL="0" distR="0" wp14:anchorId="2D153FD9" wp14:editId="059F9149">
          <wp:extent cx="3166745" cy="554355"/>
          <wp:effectExtent l="0" t="0" r="0" b="0"/>
          <wp:docPr id="39" name="Picture 39"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p>
  <w:p w14:paraId="68FF7E96" w14:textId="3C47231F" w:rsidR="00115CDB" w:rsidRPr="00943730" w:rsidRDefault="00115CDB" w:rsidP="00943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1185" w14:textId="4FDEC84C" w:rsidR="00115CDB" w:rsidRPr="00B6021E" w:rsidRDefault="00115CDB" w:rsidP="00B602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D9B5" w14:textId="569D06EE" w:rsidR="00115CDB" w:rsidRPr="009E4527" w:rsidRDefault="00115CDB" w:rsidP="009E4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ED8C128"/>
    <w:lvl w:ilvl="0">
      <w:start w:val="1"/>
      <w:numFmt w:val="decimal"/>
      <w:pStyle w:val="ListNumber"/>
      <w:lvlText w:val="%1."/>
      <w:lvlJc w:val="left"/>
      <w:pPr>
        <w:tabs>
          <w:tab w:val="num" w:pos="643"/>
        </w:tabs>
        <w:ind w:left="643" w:hanging="360"/>
      </w:pPr>
    </w:lvl>
  </w:abstractNum>
  <w:abstractNum w:abstractNumId="1" w15:restartNumberingAfterBreak="0">
    <w:nsid w:val="098C6882"/>
    <w:multiLevelType w:val="multilevel"/>
    <w:tmpl w:val="09B60810"/>
    <w:styleLink w:val="CurrentList5"/>
    <w:lvl w:ilvl="0">
      <w:start w:val="1"/>
      <w:numFmt w:val="upperLetter"/>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A9F3666"/>
    <w:multiLevelType w:val="multilevel"/>
    <w:tmpl w:val="96604790"/>
    <w:styleLink w:val="CurrentList2"/>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602B8A"/>
    <w:multiLevelType w:val="multilevel"/>
    <w:tmpl w:val="84F6312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6D353BB"/>
    <w:multiLevelType w:val="hybridMultilevel"/>
    <w:tmpl w:val="C37ACD4C"/>
    <w:lvl w:ilvl="0" w:tplc="04090003">
      <w:start w:val="1"/>
      <w:numFmt w:val="bullet"/>
      <w:lvlText w:val="o"/>
      <w:lvlJc w:val="left"/>
      <w:pPr>
        <w:ind w:left="360" w:hanging="360"/>
      </w:pPr>
      <w:rPr>
        <w:rFonts w:ascii="Courier New" w:hAnsi="Courier New" w:cs="Courier New"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B22FCD"/>
    <w:multiLevelType w:val="hybridMultilevel"/>
    <w:tmpl w:val="5E927A62"/>
    <w:lvl w:ilvl="0" w:tplc="93DE51EC">
      <w:start w:val="1"/>
      <w:numFmt w:val="bullet"/>
      <w:pStyle w:val="Heading4"/>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C3396"/>
    <w:multiLevelType w:val="hybridMultilevel"/>
    <w:tmpl w:val="9A3EB770"/>
    <w:lvl w:ilvl="0" w:tplc="F38872C0">
      <w:start w:val="1"/>
      <w:numFmt w:val="bullet"/>
      <w:lvlText w:val="•"/>
      <w:lvlJc w:val="left"/>
      <w:pPr>
        <w:tabs>
          <w:tab w:val="num" w:pos="720"/>
        </w:tabs>
        <w:ind w:left="720" w:hanging="360"/>
      </w:pPr>
      <w:rPr>
        <w:rFonts w:ascii="Arial" w:hAnsi="Arial" w:hint="default"/>
      </w:rPr>
    </w:lvl>
    <w:lvl w:ilvl="1" w:tplc="A686D3FE" w:tentative="1">
      <w:start w:val="1"/>
      <w:numFmt w:val="bullet"/>
      <w:lvlText w:val="•"/>
      <w:lvlJc w:val="left"/>
      <w:pPr>
        <w:tabs>
          <w:tab w:val="num" w:pos="1440"/>
        </w:tabs>
        <w:ind w:left="1440" w:hanging="360"/>
      </w:pPr>
      <w:rPr>
        <w:rFonts w:ascii="Arial" w:hAnsi="Arial" w:hint="default"/>
      </w:rPr>
    </w:lvl>
    <w:lvl w:ilvl="2" w:tplc="397236D6" w:tentative="1">
      <w:start w:val="1"/>
      <w:numFmt w:val="bullet"/>
      <w:lvlText w:val="•"/>
      <w:lvlJc w:val="left"/>
      <w:pPr>
        <w:tabs>
          <w:tab w:val="num" w:pos="2160"/>
        </w:tabs>
        <w:ind w:left="2160" w:hanging="360"/>
      </w:pPr>
      <w:rPr>
        <w:rFonts w:ascii="Arial" w:hAnsi="Arial" w:hint="default"/>
      </w:rPr>
    </w:lvl>
    <w:lvl w:ilvl="3" w:tplc="15C0C82C" w:tentative="1">
      <w:start w:val="1"/>
      <w:numFmt w:val="bullet"/>
      <w:lvlText w:val="•"/>
      <w:lvlJc w:val="left"/>
      <w:pPr>
        <w:tabs>
          <w:tab w:val="num" w:pos="2880"/>
        </w:tabs>
        <w:ind w:left="2880" w:hanging="360"/>
      </w:pPr>
      <w:rPr>
        <w:rFonts w:ascii="Arial" w:hAnsi="Arial" w:hint="default"/>
      </w:rPr>
    </w:lvl>
    <w:lvl w:ilvl="4" w:tplc="B624119E" w:tentative="1">
      <w:start w:val="1"/>
      <w:numFmt w:val="bullet"/>
      <w:lvlText w:val="•"/>
      <w:lvlJc w:val="left"/>
      <w:pPr>
        <w:tabs>
          <w:tab w:val="num" w:pos="3600"/>
        </w:tabs>
        <w:ind w:left="3600" w:hanging="360"/>
      </w:pPr>
      <w:rPr>
        <w:rFonts w:ascii="Arial" w:hAnsi="Arial" w:hint="default"/>
      </w:rPr>
    </w:lvl>
    <w:lvl w:ilvl="5" w:tplc="58704B5E" w:tentative="1">
      <w:start w:val="1"/>
      <w:numFmt w:val="bullet"/>
      <w:lvlText w:val="•"/>
      <w:lvlJc w:val="left"/>
      <w:pPr>
        <w:tabs>
          <w:tab w:val="num" w:pos="4320"/>
        </w:tabs>
        <w:ind w:left="4320" w:hanging="360"/>
      </w:pPr>
      <w:rPr>
        <w:rFonts w:ascii="Arial" w:hAnsi="Arial" w:hint="default"/>
      </w:rPr>
    </w:lvl>
    <w:lvl w:ilvl="6" w:tplc="EAC87AAC" w:tentative="1">
      <w:start w:val="1"/>
      <w:numFmt w:val="bullet"/>
      <w:lvlText w:val="•"/>
      <w:lvlJc w:val="left"/>
      <w:pPr>
        <w:tabs>
          <w:tab w:val="num" w:pos="5040"/>
        </w:tabs>
        <w:ind w:left="5040" w:hanging="360"/>
      </w:pPr>
      <w:rPr>
        <w:rFonts w:ascii="Arial" w:hAnsi="Arial" w:hint="default"/>
      </w:rPr>
    </w:lvl>
    <w:lvl w:ilvl="7" w:tplc="868ABF4C" w:tentative="1">
      <w:start w:val="1"/>
      <w:numFmt w:val="bullet"/>
      <w:lvlText w:val="•"/>
      <w:lvlJc w:val="left"/>
      <w:pPr>
        <w:tabs>
          <w:tab w:val="num" w:pos="5760"/>
        </w:tabs>
        <w:ind w:left="5760" w:hanging="360"/>
      </w:pPr>
      <w:rPr>
        <w:rFonts w:ascii="Arial" w:hAnsi="Arial" w:hint="default"/>
      </w:rPr>
    </w:lvl>
    <w:lvl w:ilvl="8" w:tplc="4B0209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AA0623"/>
    <w:multiLevelType w:val="multilevel"/>
    <w:tmpl w:val="2FF89B18"/>
    <w:styleLink w:val="CurrentList3"/>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A064FE"/>
    <w:multiLevelType w:val="hybridMultilevel"/>
    <w:tmpl w:val="604C9930"/>
    <w:lvl w:ilvl="0" w:tplc="E77E4978">
      <w:start w:val="1"/>
      <w:numFmt w:val="bullet"/>
      <w:lvlText w:val=""/>
      <w:lvlJc w:val="left"/>
      <w:pPr>
        <w:ind w:left="839" w:hanging="360"/>
      </w:pPr>
      <w:rPr>
        <w:rFonts w:ascii="Wingdings" w:hAnsi="Wingdings" w:hint="default"/>
        <w:sz w:val="16"/>
      </w:rPr>
    </w:lvl>
    <w:lvl w:ilvl="1" w:tplc="E77E4978">
      <w:start w:val="1"/>
      <w:numFmt w:val="bullet"/>
      <w:lvlText w:val=""/>
      <w:lvlJc w:val="left"/>
      <w:pPr>
        <w:ind w:left="1559" w:hanging="360"/>
      </w:pPr>
      <w:rPr>
        <w:rFonts w:ascii="Wingdings" w:hAnsi="Wingdings" w:hint="default"/>
        <w:sz w:val="16"/>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1" w15:restartNumberingAfterBreak="0">
    <w:nsid w:val="2B187F3C"/>
    <w:multiLevelType w:val="hybridMultilevel"/>
    <w:tmpl w:val="06680538"/>
    <w:lvl w:ilvl="0" w:tplc="983CAF82">
      <w:start w:val="3"/>
      <w:numFmt w:val="bullet"/>
      <w:lvlText w:val="-"/>
      <w:lvlJc w:val="left"/>
      <w:pPr>
        <w:ind w:left="720" w:hanging="360"/>
      </w:pPr>
      <w:rPr>
        <w:rFonts w:ascii="Calibri Light" w:eastAsiaTheme="minorHAnsi" w:hAnsi="Calibri Light" w:cs="Calibri Light"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E7B2F"/>
    <w:multiLevelType w:val="multilevel"/>
    <w:tmpl w:val="5E347E22"/>
    <w:lvl w:ilvl="0">
      <w:start w:val="1"/>
      <w:numFmt w:val="upperLetter"/>
      <w:pStyle w:val="Heading1"/>
      <w:lvlText w:val="%1."/>
      <w:lvlJc w:val="left"/>
      <w:pPr>
        <w:ind w:left="-180" w:hanging="360"/>
      </w:pPr>
      <w:rPr>
        <w:rFonts w:hint="default"/>
      </w:rPr>
    </w:lvl>
    <w:lvl w:ilvl="1">
      <w:start w:val="1"/>
      <w:numFmt w:val="decimal"/>
      <w:pStyle w:val="Heading2"/>
      <w:lvlText w:val="%1.%2."/>
      <w:lvlJc w:val="left"/>
      <w:pPr>
        <w:ind w:left="10072" w:hanging="432"/>
      </w:pPr>
      <w:rPr>
        <w:rFonts w:hint="default"/>
      </w:rPr>
    </w:lvl>
    <w:lvl w:ilvl="2">
      <w:start w:val="1"/>
      <w:numFmt w:val="decimal"/>
      <w:lvlText w:val="%1.%2.%3."/>
      <w:lvlJc w:val="left"/>
      <w:pPr>
        <w:ind w:left="684" w:hanging="504"/>
      </w:pPr>
      <w:rPr>
        <w:rFonts w:hint="default"/>
      </w:rPr>
    </w:lvl>
    <w:lvl w:ilvl="3">
      <w:start w:val="1"/>
      <w:numFmt w:val="decimal"/>
      <w:lvlText w:val="%1.%2.%3.%4."/>
      <w:lvlJc w:val="left"/>
      <w:pPr>
        <w:ind w:left="1188" w:hanging="648"/>
      </w:pPr>
      <w:rPr>
        <w:rFonts w:hint="default"/>
      </w:rPr>
    </w:lvl>
    <w:lvl w:ilvl="4">
      <w:start w:val="1"/>
      <w:numFmt w:val="decimal"/>
      <w:lvlText w:val="%1.%2.%3.%4.%5."/>
      <w:lvlJc w:val="left"/>
      <w:pPr>
        <w:ind w:left="1692" w:hanging="792"/>
      </w:pPr>
      <w:rPr>
        <w:rFonts w:hint="default"/>
      </w:rPr>
    </w:lvl>
    <w:lvl w:ilvl="5">
      <w:start w:val="1"/>
      <w:numFmt w:val="decimal"/>
      <w:lvlText w:val="%1.%2.%3.%4.%5.%6."/>
      <w:lvlJc w:val="left"/>
      <w:pPr>
        <w:ind w:left="2196" w:hanging="936"/>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204" w:hanging="1224"/>
      </w:pPr>
      <w:rPr>
        <w:rFonts w:hint="default"/>
      </w:rPr>
    </w:lvl>
    <w:lvl w:ilvl="8">
      <w:start w:val="1"/>
      <w:numFmt w:val="decimal"/>
      <w:lvlText w:val="%1.%2.%3.%4.%5.%6.%7.%8.%9."/>
      <w:lvlJc w:val="left"/>
      <w:pPr>
        <w:ind w:left="3780" w:hanging="1440"/>
      </w:pPr>
      <w:rPr>
        <w:rFonts w:hint="default"/>
      </w:rPr>
    </w:lvl>
  </w:abstractNum>
  <w:abstractNum w:abstractNumId="13" w15:restartNumberingAfterBreak="0">
    <w:nsid w:val="2B8D00D5"/>
    <w:multiLevelType w:val="hybridMultilevel"/>
    <w:tmpl w:val="4B78BE20"/>
    <w:lvl w:ilvl="0" w:tplc="983CAF82">
      <w:start w:val="3"/>
      <w:numFmt w:val="bullet"/>
      <w:lvlText w:val="-"/>
      <w:lvlJc w:val="left"/>
      <w:pPr>
        <w:ind w:left="844" w:hanging="360"/>
      </w:pPr>
      <w:rPr>
        <w:rFonts w:ascii="Calibri Light" w:eastAsiaTheme="minorHAnsi" w:hAnsi="Calibri Light" w:cs="Calibri Light"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14"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2D943FBD"/>
    <w:multiLevelType w:val="hybridMultilevel"/>
    <w:tmpl w:val="EF064EA2"/>
    <w:lvl w:ilvl="0" w:tplc="E77E4978">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C65FE"/>
    <w:multiLevelType w:val="hybridMultilevel"/>
    <w:tmpl w:val="F9165454"/>
    <w:lvl w:ilvl="0" w:tplc="983CAF82">
      <w:start w:val="3"/>
      <w:numFmt w:val="bullet"/>
      <w:lvlText w:val="-"/>
      <w:lvlJc w:val="left"/>
      <w:pPr>
        <w:ind w:left="720" w:hanging="360"/>
      </w:pPr>
      <w:rPr>
        <w:rFonts w:ascii="Calibri Light" w:eastAsiaTheme="minorHAnsi" w:hAnsi="Calibri Light" w:cs="Calibri Light"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D216A"/>
    <w:multiLevelType w:val="multilevel"/>
    <w:tmpl w:val="F0604E96"/>
    <w:lvl w:ilvl="0">
      <w:start w:val="1"/>
      <w:numFmt w:val="decimal"/>
      <w:suff w:val="space"/>
      <w:lvlText w:val="Annex %1"/>
      <w:lvlJc w:val="left"/>
      <w:pPr>
        <w:ind w:left="0" w:firstLine="0"/>
      </w:pPr>
      <w:rPr>
        <w:rFonts w:hint="default"/>
        <w:b/>
        <w:color w:val="495965" w:themeColor="text2"/>
        <w:sz w:val="22"/>
        <w:szCs w:val="22"/>
      </w:rPr>
    </w:lvl>
    <w:lvl w:ilvl="1">
      <w:start w:val="1"/>
      <w:numFmt w:val="decimal"/>
      <w:pStyle w:val="Annexheading2"/>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88807D4"/>
    <w:multiLevelType w:val="hybridMultilevel"/>
    <w:tmpl w:val="DC4A8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62AAC"/>
    <w:multiLevelType w:val="hybridMultilevel"/>
    <w:tmpl w:val="186C5800"/>
    <w:lvl w:ilvl="0" w:tplc="4F70E0E4">
      <w:start w:val="3"/>
      <w:numFmt w:val="bullet"/>
      <w:pStyle w:val="TableBullet1"/>
      <w:lvlText w:val="-"/>
      <w:lvlJc w:val="left"/>
      <w:pPr>
        <w:ind w:left="810" w:hanging="360"/>
      </w:pPr>
      <w:rPr>
        <w:rFonts w:ascii="Calibri Light" w:eastAsiaTheme="minorHAnsi" w:hAnsi="Calibri Light" w:cs="Calibri Light"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3E475BCD"/>
    <w:multiLevelType w:val="hybridMultilevel"/>
    <w:tmpl w:val="3196AD48"/>
    <w:lvl w:ilvl="0" w:tplc="E77E4978">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6669C7"/>
    <w:multiLevelType w:val="hybridMultilevel"/>
    <w:tmpl w:val="58CE47BC"/>
    <w:lvl w:ilvl="0" w:tplc="3F9002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7760CE"/>
    <w:multiLevelType w:val="hybridMultilevel"/>
    <w:tmpl w:val="34482C10"/>
    <w:lvl w:ilvl="0" w:tplc="04090003">
      <w:start w:val="1"/>
      <w:numFmt w:val="bullet"/>
      <w:lvlText w:val="o"/>
      <w:lvlJc w:val="left"/>
      <w:pPr>
        <w:ind w:left="400" w:hanging="360"/>
      </w:pPr>
      <w:rPr>
        <w:rFonts w:ascii="Courier New" w:hAnsi="Courier New" w:cs="Courier New" w:hint="default"/>
      </w:rPr>
    </w:lvl>
    <w:lvl w:ilvl="1" w:tplc="FFFFFFFF">
      <w:start w:val="1"/>
      <w:numFmt w:val="bullet"/>
      <w:lvlText w:val="o"/>
      <w:lvlJc w:val="left"/>
      <w:pPr>
        <w:ind w:left="1120" w:hanging="360"/>
      </w:pPr>
      <w:rPr>
        <w:rFonts w:ascii="Courier New" w:hAnsi="Courier New" w:cs="Courier New"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Courier New"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Courier New" w:hint="default"/>
      </w:rPr>
    </w:lvl>
    <w:lvl w:ilvl="8" w:tplc="FFFFFFFF">
      <w:start w:val="1"/>
      <w:numFmt w:val="bullet"/>
      <w:lvlText w:val=""/>
      <w:lvlJc w:val="left"/>
      <w:pPr>
        <w:ind w:left="6160" w:hanging="360"/>
      </w:pPr>
      <w:rPr>
        <w:rFonts w:ascii="Wingdings" w:hAnsi="Wingdings" w:hint="default"/>
      </w:rPr>
    </w:lvl>
  </w:abstractNum>
  <w:abstractNum w:abstractNumId="23" w15:restartNumberingAfterBreak="0">
    <w:nsid w:val="49E93165"/>
    <w:multiLevelType w:val="hybridMultilevel"/>
    <w:tmpl w:val="475CE1F0"/>
    <w:lvl w:ilvl="0" w:tplc="8CECCAB2">
      <w:start w:val="1"/>
      <w:numFmt w:val="decimal"/>
      <w:pStyle w:val="ListNumber2"/>
      <w:lvlText w:val="%1."/>
      <w:lvlJc w:val="left"/>
      <w:pPr>
        <w:tabs>
          <w:tab w:val="num" w:pos="947"/>
        </w:tabs>
        <w:ind w:left="947" w:hanging="360"/>
      </w:pPr>
      <w:rPr>
        <w:rFonts w:hint="default"/>
      </w:rPr>
    </w:lvl>
    <w:lvl w:ilvl="1" w:tplc="08090019" w:tentative="1">
      <w:start w:val="1"/>
      <w:numFmt w:val="lowerLetter"/>
      <w:lvlText w:val="%2."/>
      <w:lvlJc w:val="left"/>
      <w:pPr>
        <w:ind w:left="1744" w:hanging="360"/>
      </w:pPr>
    </w:lvl>
    <w:lvl w:ilvl="2" w:tplc="0809001B" w:tentative="1">
      <w:start w:val="1"/>
      <w:numFmt w:val="lowerRoman"/>
      <w:lvlText w:val="%3."/>
      <w:lvlJc w:val="right"/>
      <w:pPr>
        <w:ind w:left="2464" w:hanging="180"/>
      </w:pPr>
    </w:lvl>
    <w:lvl w:ilvl="3" w:tplc="0809000F" w:tentative="1">
      <w:start w:val="1"/>
      <w:numFmt w:val="decimal"/>
      <w:lvlText w:val="%4."/>
      <w:lvlJc w:val="left"/>
      <w:pPr>
        <w:ind w:left="3184" w:hanging="360"/>
      </w:pPr>
    </w:lvl>
    <w:lvl w:ilvl="4" w:tplc="08090019" w:tentative="1">
      <w:start w:val="1"/>
      <w:numFmt w:val="lowerLetter"/>
      <w:lvlText w:val="%5."/>
      <w:lvlJc w:val="left"/>
      <w:pPr>
        <w:ind w:left="3904" w:hanging="360"/>
      </w:pPr>
    </w:lvl>
    <w:lvl w:ilvl="5" w:tplc="0809001B" w:tentative="1">
      <w:start w:val="1"/>
      <w:numFmt w:val="lowerRoman"/>
      <w:lvlText w:val="%6."/>
      <w:lvlJc w:val="right"/>
      <w:pPr>
        <w:ind w:left="4624" w:hanging="180"/>
      </w:pPr>
    </w:lvl>
    <w:lvl w:ilvl="6" w:tplc="0809000F" w:tentative="1">
      <w:start w:val="1"/>
      <w:numFmt w:val="decimal"/>
      <w:lvlText w:val="%7."/>
      <w:lvlJc w:val="left"/>
      <w:pPr>
        <w:ind w:left="5344" w:hanging="360"/>
      </w:pPr>
    </w:lvl>
    <w:lvl w:ilvl="7" w:tplc="08090019" w:tentative="1">
      <w:start w:val="1"/>
      <w:numFmt w:val="lowerLetter"/>
      <w:lvlText w:val="%8."/>
      <w:lvlJc w:val="left"/>
      <w:pPr>
        <w:ind w:left="6064" w:hanging="360"/>
      </w:pPr>
    </w:lvl>
    <w:lvl w:ilvl="8" w:tplc="0809001B" w:tentative="1">
      <w:start w:val="1"/>
      <w:numFmt w:val="lowerRoman"/>
      <w:lvlText w:val="%9."/>
      <w:lvlJc w:val="right"/>
      <w:pPr>
        <w:ind w:left="6784" w:hanging="180"/>
      </w:pPr>
    </w:lvl>
  </w:abstractNum>
  <w:abstractNum w:abstractNumId="24" w15:restartNumberingAfterBreak="0">
    <w:nsid w:val="4BC911C4"/>
    <w:multiLevelType w:val="hybridMultilevel"/>
    <w:tmpl w:val="5AEEB39C"/>
    <w:lvl w:ilvl="0" w:tplc="E77E4978">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DB0A45"/>
    <w:multiLevelType w:val="hybridMultilevel"/>
    <w:tmpl w:val="672EEDD0"/>
    <w:lvl w:ilvl="0" w:tplc="52481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D425ED"/>
    <w:multiLevelType w:val="hybridMultilevel"/>
    <w:tmpl w:val="5B321116"/>
    <w:lvl w:ilvl="0" w:tplc="E77E4978">
      <w:start w:val="1"/>
      <w:numFmt w:val="bullet"/>
      <w:lvlText w:val=""/>
      <w:lvlJc w:val="left"/>
      <w:pPr>
        <w:ind w:left="718" w:hanging="360"/>
      </w:pPr>
      <w:rPr>
        <w:rFonts w:ascii="Wingdings" w:hAnsi="Wingdings" w:hint="default"/>
        <w:sz w:val="16"/>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7" w15:restartNumberingAfterBreak="0">
    <w:nsid w:val="50FA5601"/>
    <w:multiLevelType w:val="hybridMultilevel"/>
    <w:tmpl w:val="BB24F99C"/>
    <w:lvl w:ilvl="0" w:tplc="8C168C84">
      <w:start w:val="1"/>
      <w:numFmt w:val="bullet"/>
      <w:pStyle w:val="Bullet1"/>
      <w:lvlText w:val=""/>
      <w:lvlJc w:val="left"/>
      <w:pPr>
        <w:ind w:left="360" w:hanging="360"/>
      </w:pPr>
      <w:rPr>
        <w:rFonts w:ascii="Wingdings" w:hAnsi="Wingdings" w:hint="default"/>
        <w:sz w:val="16"/>
      </w:rPr>
    </w:lvl>
    <w:lvl w:ilvl="1" w:tplc="08090003">
      <w:start w:val="1"/>
      <w:numFmt w:val="bullet"/>
      <w:pStyle w:val="Bullet2"/>
      <w:lvlText w:val="o"/>
      <w:lvlJc w:val="left"/>
      <w:pPr>
        <w:ind w:left="1080" w:hanging="360"/>
      </w:pPr>
      <w:rPr>
        <w:rFonts w:ascii="Courier New" w:hAnsi="Courier New" w:cs="Courier New" w:hint="default"/>
      </w:rPr>
    </w:lvl>
    <w:lvl w:ilvl="2" w:tplc="08090005" w:tentative="1">
      <w:start w:val="1"/>
      <w:numFmt w:val="bullet"/>
      <w:pStyle w:val="Bullet3"/>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D451F0"/>
    <w:multiLevelType w:val="hybridMultilevel"/>
    <w:tmpl w:val="81F64520"/>
    <w:lvl w:ilvl="0" w:tplc="39EA3D02">
      <w:start w:val="1"/>
      <w:numFmt w:val="decimal"/>
      <w:pStyle w:val="Annexheading1"/>
      <w:lvlText w:val="Anne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D9B58E7"/>
    <w:multiLevelType w:val="hybridMultilevel"/>
    <w:tmpl w:val="F5B603E8"/>
    <w:lvl w:ilvl="0" w:tplc="245EA568">
      <w:start w:val="1"/>
      <w:numFmt w:val="bullet"/>
      <w:pStyle w:val="ListBullet3"/>
      <w:lvlText w:val="-"/>
      <w:lvlJc w:val="left"/>
      <w:pPr>
        <w:ind w:left="1082" w:hanging="360"/>
      </w:pPr>
      <w:rPr>
        <w:rFonts w:ascii="Courier New" w:hAnsi="Courier New"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E605966"/>
    <w:multiLevelType w:val="hybridMultilevel"/>
    <w:tmpl w:val="BBA656CA"/>
    <w:lvl w:ilvl="0" w:tplc="E77E4978">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41DD0"/>
    <w:multiLevelType w:val="multilevel"/>
    <w:tmpl w:val="FAB69C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D0348CC"/>
    <w:multiLevelType w:val="hybridMultilevel"/>
    <w:tmpl w:val="2A76706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2824EB"/>
    <w:multiLevelType w:val="hybridMultilevel"/>
    <w:tmpl w:val="B5448D4A"/>
    <w:lvl w:ilvl="0" w:tplc="8B34B478">
      <w:start w:val="1"/>
      <w:numFmt w:val="decimal"/>
      <w:pStyle w:val="ListNumbered"/>
      <w:lvlText w:val="%1."/>
      <w:lvlJc w:val="left"/>
      <w:pPr>
        <w:ind w:left="720" w:hanging="360"/>
      </w:pPr>
    </w:lvl>
    <w:lvl w:ilvl="1" w:tplc="C14AB4BE">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107305"/>
    <w:multiLevelType w:val="multilevel"/>
    <w:tmpl w:val="A6FA45D0"/>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50C10FD"/>
    <w:multiLevelType w:val="multilevel"/>
    <w:tmpl w:val="1F266862"/>
    <w:styleLink w:val="CurrentList4"/>
    <w:lvl w:ilvl="0">
      <w:start w:val="1"/>
      <w:numFmt w:val="decimal"/>
      <w:lvlText w:val="%1."/>
      <w:lvlJc w:val="left"/>
      <w:pPr>
        <w:ind w:left="360" w:hanging="360"/>
      </w:pPr>
      <w:rPr>
        <w:rFonts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7CB0C01"/>
    <w:multiLevelType w:val="hybridMultilevel"/>
    <w:tmpl w:val="5E3C9048"/>
    <w:lvl w:ilvl="0" w:tplc="E77E4978">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16cid:durableId="198128889">
    <w:abstractNumId w:val="36"/>
  </w:num>
  <w:num w:numId="2" w16cid:durableId="1016735762">
    <w:abstractNumId w:val="2"/>
  </w:num>
  <w:num w:numId="3" w16cid:durableId="730351684">
    <w:abstractNumId w:val="14"/>
  </w:num>
  <w:num w:numId="4" w16cid:durableId="818620123">
    <w:abstractNumId w:val="29"/>
  </w:num>
  <w:num w:numId="5" w16cid:durableId="2003851743">
    <w:abstractNumId w:val="31"/>
  </w:num>
  <w:num w:numId="6" w16cid:durableId="1632134093">
    <w:abstractNumId w:val="14"/>
  </w:num>
  <w:num w:numId="7" w16cid:durableId="299581142">
    <w:abstractNumId w:val="2"/>
  </w:num>
  <w:num w:numId="8" w16cid:durableId="1070036701">
    <w:abstractNumId w:val="5"/>
  </w:num>
  <w:num w:numId="9" w16cid:durableId="1766195765">
    <w:abstractNumId w:val="39"/>
  </w:num>
  <w:num w:numId="10" w16cid:durableId="947158022">
    <w:abstractNumId w:val="40"/>
  </w:num>
  <w:num w:numId="11" w16cid:durableId="1484657582">
    <w:abstractNumId w:val="7"/>
  </w:num>
  <w:num w:numId="12" w16cid:durableId="306469892">
    <w:abstractNumId w:val="17"/>
  </w:num>
  <w:num w:numId="13" w16cid:durableId="1576357847">
    <w:abstractNumId w:val="8"/>
  </w:num>
  <w:num w:numId="14" w16cid:durableId="1033382215">
    <w:abstractNumId w:val="27"/>
  </w:num>
  <w:num w:numId="15" w16cid:durableId="1059479213">
    <w:abstractNumId w:val="0"/>
  </w:num>
  <w:num w:numId="16" w16cid:durableId="1976981481">
    <w:abstractNumId w:val="4"/>
  </w:num>
  <w:num w:numId="17" w16cid:durableId="1421490215">
    <w:abstractNumId w:val="3"/>
  </w:num>
  <w:num w:numId="18" w16cid:durableId="1838495201">
    <w:abstractNumId w:val="12"/>
  </w:num>
  <w:num w:numId="19" w16cid:durableId="1930189175">
    <w:abstractNumId w:val="9"/>
  </w:num>
  <w:num w:numId="20" w16cid:durableId="148138198">
    <w:abstractNumId w:val="37"/>
  </w:num>
  <w:num w:numId="21" w16cid:durableId="293294310">
    <w:abstractNumId w:val="28"/>
  </w:num>
  <w:num w:numId="22" w16cid:durableId="8435927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4549607">
    <w:abstractNumId w:val="30"/>
  </w:num>
  <w:num w:numId="24" w16cid:durableId="1365325667">
    <w:abstractNumId w:val="26"/>
  </w:num>
  <w:num w:numId="25" w16cid:durableId="1215238477">
    <w:abstractNumId w:val="16"/>
  </w:num>
  <w:num w:numId="26" w16cid:durableId="1904639642">
    <w:abstractNumId w:val="19"/>
  </w:num>
  <w:num w:numId="27" w16cid:durableId="1676107588">
    <w:abstractNumId w:val="13"/>
  </w:num>
  <w:num w:numId="28" w16cid:durableId="1900482080">
    <w:abstractNumId w:val="1"/>
  </w:num>
  <w:num w:numId="29" w16cid:durableId="1864397946">
    <w:abstractNumId w:val="11"/>
  </w:num>
  <w:num w:numId="30" w16cid:durableId="2082605664">
    <w:abstractNumId w:val="34"/>
  </w:num>
  <w:num w:numId="31" w16cid:durableId="1644459088">
    <w:abstractNumId w:val="6"/>
  </w:num>
  <w:num w:numId="32" w16cid:durableId="419719828">
    <w:abstractNumId w:val="10"/>
  </w:num>
  <w:num w:numId="33" w16cid:durableId="1544710993">
    <w:abstractNumId w:val="23"/>
  </w:num>
  <w:num w:numId="34" w16cid:durableId="1618828229">
    <w:abstractNumId w:val="18"/>
  </w:num>
  <w:num w:numId="35" w16cid:durableId="177277924">
    <w:abstractNumId w:val="21"/>
  </w:num>
  <w:num w:numId="36" w16cid:durableId="101151910">
    <w:abstractNumId w:val="25"/>
  </w:num>
  <w:num w:numId="37" w16cid:durableId="1152017451">
    <w:abstractNumId w:val="32"/>
  </w:num>
  <w:num w:numId="38" w16cid:durableId="905921174">
    <w:abstractNumId w:val="38"/>
  </w:num>
  <w:num w:numId="39" w16cid:durableId="1654213193">
    <w:abstractNumId w:val="15"/>
  </w:num>
  <w:num w:numId="40" w16cid:durableId="638609826">
    <w:abstractNumId w:val="20"/>
  </w:num>
  <w:num w:numId="41" w16cid:durableId="1911190944">
    <w:abstractNumId w:val="35"/>
  </w:num>
  <w:num w:numId="42" w16cid:durableId="251203865">
    <w:abstractNumId w:val="33"/>
  </w:num>
  <w:num w:numId="43" w16cid:durableId="17537695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60838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872775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6876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53712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094055">
    <w:abstractNumId w:val="22"/>
  </w:num>
  <w:num w:numId="49" w16cid:durableId="876308751">
    <w:abstractNumId w:val="24"/>
  </w:num>
  <w:num w:numId="50" w16cid:durableId="1130585477">
    <w:abstractNumId w:val="27"/>
  </w:num>
  <w:num w:numId="51" w16cid:durableId="1864051943">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583"/>
    <w:rsid w:val="00000A09"/>
    <w:rsid w:val="00001DA8"/>
    <w:rsid w:val="000020C1"/>
    <w:rsid w:val="000020F7"/>
    <w:rsid w:val="00002F0C"/>
    <w:rsid w:val="00002F79"/>
    <w:rsid w:val="0000388C"/>
    <w:rsid w:val="00004503"/>
    <w:rsid w:val="00004512"/>
    <w:rsid w:val="00007381"/>
    <w:rsid w:val="000074D2"/>
    <w:rsid w:val="0001354B"/>
    <w:rsid w:val="00016AAD"/>
    <w:rsid w:val="0001720B"/>
    <w:rsid w:val="00017437"/>
    <w:rsid w:val="0002080A"/>
    <w:rsid w:val="00022E08"/>
    <w:rsid w:val="00023A84"/>
    <w:rsid w:val="0002406F"/>
    <w:rsid w:val="000245BE"/>
    <w:rsid w:val="00025C68"/>
    <w:rsid w:val="00025E2C"/>
    <w:rsid w:val="00026EE0"/>
    <w:rsid w:val="0002782F"/>
    <w:rsid w:val="00035BBF"/>
    <w:rsid w:val="0003672D"/>
    <w:rsid w:val="00040AE9"/>
    <w:rsid w:val="000469AD"/>
    <w:rsid w:val="00050806"/>
    <w:rsid w:val="00051096"/>
    <w:rsid w:val="0005150C"/>
    <w:rsid w:val="000546D9"/>
    <w:rsid w:val="00054E4D"/>
    <w:rsid w:val="000550A1"/>
    <w:rsid w:val="00056DA1"/>
    <w:rsid w:val="00060073"/>
    <w:rsid w:val="00060B29"/>
    <w:rsid w:val="000616C6"/>
    <w:rsid w:val="0006280C"/>
    <w:rsid w:val="00062B2F"/>
    <w:rsid w:val="00062FAE"/>
    <w:rsid w:val="00067260"/>
    <w:rsid w:val="0006740A"/>
    <w:rsid w:val="0006775B"/>
    <w:rsid w:val="000705FA"/>
    <w:rsid w:val="0007144C"/>
    <w:rsid w:val="000721D0"/>
    <w:rsid w:val="0007295C"/>
    <w:rsid w:val="00073E9C"/>
    <w:rsid w:val="00080A3E"/>
    <w:rsid w:val="000811DD"/>
    <w:rsid w:val="000854FD"/>
    <w:rsid w:val="00085685"/>
    <w:rsid w:val="000867C9"/>
    <w:rsid w:val="00087EC7"/>
    <w:rsid w:val="00090287"/>
    <w:rsid w:val="000909B9"/>
    <w:rsid w:val="000931C1"/>
    <w:rsid w:val="000953B9"/>
    <w:rsid w:val="00095A25"/>
    <w:rsid w:val="00096E0B"/>
    <w:rsid w:val="000A0314"/>
    <w:rsid w:val="000A0C1E"/>
    <w:rsid w:val="000A0C3E"/>
    <w:rsid w:val="000A2F02"/>
    <w:rsid w:val="000A446F"/>
    <w:rsid w:val="000A6E5B"/>
    <w:rsid w:val="000A79A3"/>
    <w:rsid w:val="000B37F5"/>
    <w:rsid w:val="000B61F4"/>
    <w:rsid w:val="000B7E20"/>
    <w:rsid w:val="000C1A88"/>
    <w:rsid w:val="000C2FB2"/>
    <w:rsid w:val="000C510C"/>
    <w:rsid w:val="000C5934"/>
    <w:rsid w:val="000C6943"/>
    <w:rsid w:val="000C748B"/>
    <w:rsid w:val="000D0CA3"/>
    <w:rsid w:val="000D1497"/>
    <w:rsid w:val="000D196B"/>
    <w:rsid w:val="000D2503"/>
    <w:rsid w:val="000D3711"/>
    <w:rsid w:val="000D4083"/>
    <w:rsid w:val="000D66D6"/>
    <w:rsid w:val="000E1458"/>
    <w:rsid w:val="000E16C1"/>
    <w:rsid w:val="000E633F"/>
    <w:rsid w:val="000E7F80"/>
    <w:rsid w:val="000F0165"/>
    <w:rsid w:val="000F0AAC"/>
    <w:rsid w:val="000F5140"/>
    <w:rsid w:val="000F7C2D"/>
    <w:rsid w:val="001026D9"/>
    <w:rsid w:val="00105ABB"/>
    <w:rsid w:val="00107369"/>
    <w:rsid w:val="001107A1"/>
    <w:rsid w:val="00111F76"/>
    <w:rsid w:val="00113288"/>
    <w:rsid w:val="00115CDB"/>
    <w:rsid w:val="001160F6"/>
    <w:rsid w:val="00120017"/>
    <w:rsid w:val="001200C5"/>
    <w:rsid w:val="001214BE"/>
    <w:rsid w:val="001222E9"/>
    <w:rsid w:val="00122DD0"/>
    <w:rsid w:val="0013101C"/>
    <w:rsid w:val="001316CF"/>
    <w:rsid w:val="00133D36"/>
    <w:rsid w:val="00135CCC"/>
    <w:rsid w:val="00137A4E"/>
    <w:rsid w:val="00143F6A"/>
    <w:rsid w:val="001461D6"/>
    <w:rsid w:val="00147C2A"/>
    <w:rsid w:val="00147CA5"/>
    <w:rsid w:val="00150387"/>
    <w:rsid w:val="001530B0"/>
    <w:rsid w:val="001541EA"/>
    <w:rsid w:val="00157060"/>
    <w:rsid w:val="00164C19"/>
    <w:rsid w:val="00167233"/>
    <w:rsid w:val="00167A3B"/>
    <w:rsid w:val="001704AA"/>
    <w:rsid w:val="00170A62"/>
    <w:rsid w:val="001713C5"/>
    <w:rsid w:val="00172A87"/>
    <w:rsid w:val="00172D7E"/>
    <w:rsid w:val="00174803"/>
    <w:rsid w:val="00175A70"/>
    <w:rsid w:val="0017623C"/>
    <w:rsid w:val="00187488"/>
    <w:rsid w:val="00190ABD"/>
    <w:rsid w:val="00190F53"/>
    <w:rsid w:val="0019245B"/>
    <w:rsid w:val="001938C9"/>
    <w:rsid w:val="00193CF1"/>
    <w:rsid w:val="00194EE9"/>
    <w:rsid w:val="001964AA"/>
    <w:rsid w:val="001A269C"/>
    <w:rsid w:val="001A31B0"/>
    <w:rsid w:val="001A6D3B"/>
    <w:rsid w:val="001B0F81"/>
    <w:rsid w:val="001B2BD4"/>
    <w:rsid w:val="001B31FB"/>
    <w:rsid w:val="001B3584"/>
    <w:rsid w:val="001B7A01"/>
    <w:rsid w:val="001C015A"/>
    <w:rsid w:val="001C1591"/>
    <w:rsid w:val="001C44F0"/>
    <w:rsid w:val="001C4592"/>
    <w:rsid w:val="001C4BCD"/>
    <w:rsid w:val="001D164F"/>
    <w:rsid w:val="001D167D"/>
    <w:rsid w:val="001D21C4"/>
    <w:rsid w:val="001D305D"/>
    <w:rsid w:val="001D33EC"/>
    <w:rsid w:val="001D3A41"/>
    <w:rsid w:val="001D5158"/>
    <w:rsid w:val="001D663E"/>
    <w:rsid w:val="001D7C1D"/>
    <w:rsid w:val="001E1DC0"/>
    <w:rsid w:val="001E27C3"/>
    <w:rsid w:val="001E5BBA"/>
    <w:rsid w:val="001E77E7"/>
    <w:rsid w:val="001E7D7B"/>
    <w:rsid w:val="001F0A18"/>
    <w:rsid w:val="001F3853"/>
    <w:rsid w:val="001F41B6"/>
    <w:rsid w:val="001F6C8E"/>
    <w:rsid w:val="001F704A"/>
    <w:rsid w:val="001F77C4"/>
    <w:rsid w:val="00202768"/>
    <w:rsid w:val="00203277"/>
    <w:rsid w:val="00205B2E"/>
    <w:rsid w:val="002070B3"/>
    <w:rsid w:val="002109FD"/>
    <w:rsid w:val="00211BAC"/>
    <w:rsid w:val="00213CB4"/>
    <w:rsid w:val="002142A3"/>
    <w:rsid w:val="00215C4D"/>
    <w:rsid w:val="00221AD6"/>
    <w:rsid w:val="002232B2"/>
    <w:rsid w:val="00225AED"/>
    <w:rsid w:val="00225BF6"/>
    <w:rsid w:val="00232107"/>
    <w:rsid w:val="002339CE"/>
    <w:rsid w:val="0023598E"/>
    <w:rsid w:val="00236C22"/>
    <w:rsid w:val="00240697"/>
    <w:rsid w:val="0024209B"/>
    <w:rsid w:val="00245C90"/>
    <w:rsid w:val="00247F4F"/>
    <w:rsid w:val="00252C04"/>
    <w:rsid w:val="00253EA2"/>
    <w:rsid w:val="002541A6"/>
    <w:rsid w:val="00254844"/>
    <w:rsid w:val="00254E11"/>
    <w:rsid w:val="002564D3"/>
    <w:rsid w:val="0025777F"/>
    <w:rsid w:val="00257ACC"/>
    <w:rsid w:val="00260AF4"/>
    <w:rsid w:val="00262B54"/>
    <w:rsid w:val="002643DC"/>
    <w:rsid w:val="00264B5C"/>
    <w:rsid w:val="00265579"/>
    <w:rsid w:val="0026658D"/>
    <w:rsid w:val="002667B4"/>
    <w:rsid w:val="0026735A"/>
    <w:rsid w:val="002701C9"/>
    <w:rsid w:val="0027114E"/>
    <w:rsid w:val="00271846"/>
    <w:rsid w:val="002741E6"/>
    <w:rsid w:val="00274F31"/>
    <w:rsid w:val="002772FD"/>
    <w:rsid w:val="0028256E"/>
    <w:rsid w:val="00285569"/>
    <w:rsid w:val="00285CFA"/>
    <w:rsid w:val="0028602A"/>
    <w:rsid w:val="002870F3"/>
    <w:rsid w:val="00287371"/>
    <w:rsid w:val="002900E9"/>
    <w:rsid w:val="0029460E"/>
    <w:rsid w:val="00295198"/>
    <w:rsid w:val="0029599A"/>
    <w:rsid w:val="00296429"/>
    <w:rsid w:val="00297EFB"/>
    <w:rsid w:val="002A01B1"/>
    <w:rsid w:val="002A2142"/>
    <w:rsid w:val="002A51DB"/>
    <w:rsid w:val="002A650D"/>
    <w:rsid w:val="002A7065"/>
    <w:rsid w:val="002A717E"/>
    <w:rsid w:val="002A7B40"/>
    <w:rsid w:val="002B3EAE"/>
    <w:rsid w:val="002B5D59"/>
    <w:rsid w:val="002B5E10"/>
    <w:rsid w:val="002B60C2"/>
    <w:rsid w:val="002B704B"/>
    <w:rsid w:val="002C2030"/>
    <w:rsid w:val="002C2FA4"/>
    <w:rsid w:val="002C45C8"/>
    <w:rsid w:val="002C5D59"/>
    <w:rsid w:val="002C793D"/>
    <w:rsid w:val="002D0847"/>
    <w:rsid w:val="002D0FA6"/>
    <w:rsid w:val="002D19A8"/>
    <w:rsid w:val="002D4474"/>
    <w:rsid w:val="002D57CF"/>
    <w:rsid w:val="002D5B25"/>
    <w:rsid w:val="002D5CAB"/>
    <w:rsid w:val="002D5EEF"/>
    <w:rsid w:val="002D648B"/>
    <w:rsid w:val="002D7631"/>
    <w:rsid w:val="002E0C27"/>
    <w:rsid w:val="002E1A92"/>
    <w:rsid w:val="002E1DD3"/>
    <w:rsid w:val="002E51F4"/>
    <w:rsid w:val="002F0A93"/>
    <w:rsid w:val="002F2A2D"/>
    <w:rsid w:val="002F4D39"/>
    <w:rsid w:val="002F4F2B"/>
    <w:rsid w:val="002F6CB2"/>
    <w:rsid w:val="002F7AF2"/>
    <w:rsid w:val="0030000E"/>
    <w:rsid w:val="003002C0"/>
    <w:rsid w:val="00301144"/>
    <w:rsid w:val="00301A2D"/>
    <w:rsid w:val="003031C6"/>
    <w:rsid w:val="00304984"/>
    <w:rsid w:val="003105AE"/>
    <w:rsid w:val="00312BF8"/>
    <w:rsid w:val="003148B7"/>
    <w:rsid w:val="003158C3"/>
    <w:rsid w:val="00316774"/>
    <w:rsid w:val="00316A62"/>
    <w:rsid w:val="00316E0D"/>
    <w:rsid w:val="00317B15"/>
    <w:rsid w:val="003201D8"/>
    <w:rsid w:val="003274CD"/>
    <w:rsid w:val="003310FF"/>
    <w:rsid w:val="003323D6"/>
    <w:rsid w:val="00333501"/>
    <w:rsid w:val="0033386A"/>
    <w:rsid w:val="00335756"/>
    <w:rsid w:val="00335B83"/>
    <w:rsid w:val="00337ACA"/>
    <w:rsid w:val="003457C4"/>
    <w:rsid w:val="0035119D"/>
    <w:rsid w:val="00352325"/>
    <w:rsid w:val="00353792"/>
    <w:rsid w:val="003552B2"/>
    <w:rsid w:val="0035538E"/>
    <w:rsid w:val="00355EA3"/>
    <w:rsid w:val="00360789"/>
    <w:rsid w:val="0036178A"/>
    <w:rsid w:val="0036234A"/>
    <w:rsid w:val="00363B50"/>
    <w:rsid w:val="0036556B"/>
    <w:rsid w:val="00367EEE"/>
    <w:rsid w:val="00372D2A"/>
    <w:rsid w:val="0037372D"/>
    <w:rsid w:val="00374D09"/>
    <w:rsid w:val="00376FCE"/>
    <w:rsid w:val="003773B8"/>
    <w:rsid w:val="0038318F"/>
    <w:rsid w:val="00384418"/>
    <w:rsid w:val="00384D40"/>
    <w:rsid w:val="00385381"/>
    <w:rsid w:val="00385ACF"/>
    <w:rsid w:val="003872DE"/>
    <w:rsid w:val="00392230"/>
    <w:rsid w:val="0039344A"/>
    <w:rsid w:val="00395163"/>
    <w:rsid w:val="00395D7D"/>
    <w:rsid w:val="00396F2A"/>
    <w:rsid w:val="00397040"/>
    <w:rsid w:val="003A0448"/>
    <w:rsid w:val="003A068E"/>
    <w:rsid w:val="003A0AA4"/>
    <w:rsid w:val="003A29D8"/>
    <w:rsid w:val="003A3BDF"/>
    <w:rsid w:val="003A411D"/>
    <w:rsid w:val="003A4D71"/>
    <w:rsid w:val="003A6396"/>
    <w:rsid w:val="003B285F"/>
    <w:rsid w:val="003B33B7"/>
    <w:rsid w:val="003B4F12"/>
    <w:rsid w:val="003B5AE8"/>
    <w:rsid w:val="003C0629"/>
    <w:rsid w:val="003C115E"/>
    <w:rsid w:val="003C5255"/>
    <w:rsid w:val="003C746D"/>
    <w:rsid w:val="003D2479"/>
    <w:rsid w:val="003D5438"/>
    <w:rsid w:val="003D554E"/>
    <w:rsid w:val="003D5A80"/>
    <w:rsid w:val="003E02A4"/>
    <w:rsid w:val="003E06C6"/>
    <w:rsid w:val="003E14B6"/>
    <w:rsid w:val="003E2138"/>
    <w:rsid w:val="003E2DD1"/>
    <w:rsid w:val="003E5852"/>
    <w:rsid w:val="003E6D79"/>
    <w:rsid w:val="003F2041"/>
    <w:rsid w:val="003F23EF"/>
    <w:rsid w:val="003F2FF6"/>
    <w:rsid w:val="003F425D"/>
    <w:rsid w:val="0040281E"/>
    <w:rsid w:val="00402ACC"/>
    <w:rsid w:val="00402C96"/>
    <w:rsid w:val="00406E9B"/>
    <w:rsid w:val="004120EC"/>
    <w:rsid w:val="0041759A"/>
    <w:rsid w:val="00421264"/>
    <w:rsid w:val="00422865"/>
    <w:rsid w:val="00423F31"/>
    <w:rsid w:val="00424253"/>
    <w:rsid w:val="00425114"/>
    <w:rsid w:val="00427EB3"/>
    <w:rsid w:val="00430BE4"/>
    <w:rsid w:val="00431899"/>
    <w:rsid w:val="0043522E"/>
    <w:rsid w:val="00436588"/>
    <w:rsid w:val="00436C1A"/>
    <w:rsid w:val="0043722D"/>
    <w:rsid w:val="00437E67"/>
    <w:rsid w:val="00440B78"/>
    <w:rsid w:val="00441617"/>
    <w:rsid w:val="00442055"/>
    <w:rsid w:val="00442B62"/>
    <w:rsid w:val="00443EEA"/>
    <w:rsid w:val="0044682C"/>
    <w:rsid w:val="004471D5"/>
    <w:rsid w:val="00451604"/>
    <w:rsid w:val="00453868"/>
    <w:rsid w:val="00453888"/>
    <w:rsid w:val="00453B26"/>
    <w:rsid w:val="0045496A"/>
    <w:rsid w:val="00455052"/>
    <w:rsid w:val="00456F74"/>
    <w:rsid w:val="00457F26"/>
    <w:rsid w:val="004628DA"/>
    <w:rsid w:val="00466B8B"/>
    <w:rsid w:val="00470EB2"/>
    <w:rsid w:val="00471BDC"/>
    <w:rsid w:val="004736A5"/>
    <w:rsid w:val="004738BD"/>
    <w:rsid w:val="00480B0C"/>
    <w:rsid w:val="0048227C"/>
    <w:rsid w:val="00482386"/>
    <w:rsid w:val="0048247A"/>
    <w:rsid w:val="00482AE8"/>
    <w:rsid w:val="0048492D"/>
    <w:rsid w:val="00486804"/>
    <w:rsid w:val="00491563"/>
    <w:rsid w:val="00491C3F"/>
    <w:rsid w:val="004939C4"/>
    <w:rsid w:val="00493F28"/>
    <w:rsid w:val="004948AE"/>
    <w:rsid w:val="00494E86"/>
    <w:rsid w:val="004953AC"/>
    <w:rsid w:val="00495675"/>
    <w:rsid w:val="004A0982"/>
    <w:rsid w:val="004A09B5"/>
    <w:rsid w:val="004A1AED"/>
    <w:rsid w:val="004A1BB9"/>
    <w:rsid w:val="004A1CEA"/>
    <w:rsid w:val="004A29FD"/>
    <w:rsid w:val="004A536A"/>
    <w:rsid w:val="004B06C0"/>
    <w:rsid w:val="004B1FB5"/>
    <w:rsid w:val="004B26DA"/>
    <w:rsid w:val="004B3775"/>
    <w:rsid w:val="004B3909"/>
    <w:rsid w:val="004B6D1B"/>
    <w:rsid w:val="004B6E6C"/>
    <w:rsid w:val="004B72FF"/>
    <w:rsid w:val="004C01F3"/>
    <w:rsid w:val="004C061C"/>
    <w:rsid w:val="004C1F9A"/>
    <w:rsid w:val="004C3292"/>
    <w:rsid w:val="004C3DE8"/>
    <w:rsid w:val="004C4A4D"/>
    <w:rsid w:val="004C6342"/>
    <w:rsid w:val="004C7370"/>
    <w:rsid w:val="004D0BA0"/>
    <w:rsid w:val="004D18CD"/>
    <w:rsid w:val="004D2F94"/>
    <w:rsid w:val="004D3191"/>
    <w:rsid w:val="004D43E3"/>
    <w:rsid w:val="004D4794"/>
    <w:rsid w:val="004D5589"/>
    <w:rsid w:val="004D6925"/>
    <w:rsid w:val="004D6B98"/>
    <w:rsid w:val="004E0567"/>
    <w:rsid w:val="004E058F"/>
    <w:rsid w:val="004E0A7E"/>
    <w:rsid w:val="004E3744"/>
    <w:rsid w:val="004E3B87"/>
    <w:rsid w:val="004E7495"/>
    <w:rsid w:val="004F0B7B"/>
    <w:rsid w:val="004F2AF9"/>
    <w:rsid w:val="004F470C"/>
    <w:rsid w:val="004F4C0E"/>
    <w:rsid w:val="004F52AB"/>
    <w:rsid w:val="004F58AC"/>
    <w:rsid w:val="004F70E2"/>
    <w:rsid w:val="004F718A"/>
    <w:rsid w:val="00500DD2"/>
    <w:rsid w:val="00502A01"/>
    <w:rsid w:val="00502F7F"/>
    <w:rsid w:val="00503590"/>
    <w:rsid w:val="00504E35"/>
    <w:rsid w:val="00505B5B"/>
    <w:rsid w:val="00506141"/>
    <w:rsid w:val="0050699D"/>
    <w:rsid w:val="0051005C"/>
    <w:rsid w:val="00510921"/>
    <w:rsid w:val="00510AD3"/>
    <w:rsid w:val="00512A9B"/>
    <w:rsid w:val="005132EE"/>
    <w:rsid w:val="00513348"/>
    <w:rsid w:val="00513AD8"/>
    <w:rsid w:val="00514A64"/>
    <w:rsid w:val="005153CF"/>
    <w:rsid w:val="0051723A"/>
    <w:rsid w:val="005204D2"/>
    <w:rsid w:val="00520CCA"/>
    <w:rsid w:val="00522009"/>
    <w:rsid w:val="00522396"/>
    <w:rsid w:val="00525542"/>
    <w:rsid w:val="00526BE4"/>
    <w:rsid w:val="00533B5D"/>
    <w:rsid w:val="00540219"/>
    <w:rsid w:val="00541939"/>
    <w:rsid w:val="00543302"/>
    <w:rsid w:val="0054485F"/>
    <w:rsid w:val="0054487F"/>
    <w:rsid w:val="00546988"/>
    <w:rsid w:val="005471EB"/>
    <w:rsid w:val="0054742C"/>
    <w:rsid w:val="0054782F"/>
    <w:rsid w:val="00555464"/>
    <w:rsid w:val="005579BB"/>
    <w:rsid w:val="005603FA"/>
    <w:rsid w:val="005608A3"/>
    <w:rsid w:val="00561301"/>
    <w:rsid w:val="00561C97"/>
    <w:rsid w:val="005661BD"/>
    <w:rsid w:val="00566889"/>
    <w:rsid w:val="005670E8"/>
    <w:rsid w:val="0057341A"/>
    <w:rsid w:val="00573CF9"/>
    <w:rsid w:val="00573EAF"/>
    <w:rsid w:val="00573F5A"/>
    <w:rsid w:val="00580BE5"/>
    <w:rsid w:val="00580FA0"/>
    <w:rsid w:val="00580FA5"/>
    <w:rsid w:val="00585D9B"/>
    <w:rsid w:val="005863DC"/>
    <w:rsid w:val="00587D04"/>
    <w:rsid w:val="00590504"/>
    <w:rsid w:val="00591C0B"/>
    <w:rsid w:val="00593D8D"/>
    <w:rsid w:val="00595284"/>
    <w:rsid w:val="00596DD9"/>
    <w:rsid w:val="005972B4"/>
    <w:rsid w:val="005A0771"/>
    <w:rsid w:val="005A1B92"/>
    <w:rsid w:val="005A20F6"/>
    <w:rsid w:val="005A366F"/>
    <w:rsid w:val="005A394D"/>
    <w:rsid w:val="005A407C"/>
    <w:rsid w:val="005A4BD1"/>
    <w:rsid w:val="005B1CE0"/>
    <w:rsid w:val="005B4F49"/>
    <w:rsid w:val="005B53E7"/>
    <w:rsid w:val="005B55E8"/>
    <w:rsid w:val="005B598D"/>
    <w:rsid w:val="005B69BA"/>
    <w:rsid w:val="005B6E45"/>
    <w:rsid w:val="005B6EF5"/>
    <w:rsid w:val="005C14DC"/>
    <w:rsid w:val="005C75DD"/>
    <w:rsid w:val="005C7C57"/>
    <w:rsid w:val="005C7E1A"/>
    <w:rsid w:val="005D3056"/>
    <w:rsid w:val="005D3655"/>
    <w:rsid w:val="005D58DB"/>
    <w:rsid w:val="005D713F"/>
    <w:rsid w:val="005D72C7"/>
    <w:rsid w:val="005E19D3"/>
    <w:rsid w:val="005E1CA1"/>
    <w:rsid w:val="005E3B54"/>
    <w:rsid w:val="005E3E72"/>
    <w:rsid w:val="005E4830"/>
    <w:rsid w:val="005E58C9"/>
    <w:rsid w:val="005E67A2"/>
    <w:rsid w:val="00600ACC"/>
    <w:rsid w:val="00600E3B"/>
    <w:rsid w:val="0060191D"/>
    <w:rsid w:val="0060230D"/>
    <w:rsid w:val="00603C55"/>
    <w:rsid w:val="00603D4C"/>
    <w:rsid w:val="00604ABD"/>
    <w:rsid w:val="00606189"/>
    <w:rsid w:val="00607081"/>
    <w:rsid w:val="00610DBB"/>
    <w:rsid w:val="00611E5A"/>
    <w:rsid w:val="0061290F"/>
    <w:rsid w:val="00612FE0"/>
    <w:rsid w:val="0061309E"/>
    <w:rsid w:val="0062000A"/>
    <w:rsid w:val="006202ED"/>
    <w:rsid w:val="00621042"/>
    <w:rsid w:val="00621831"/>
    <w:rsid w:val="0062226A"/>
    <w:rsid w:val="0062233E"/>
    <w:rsid w:val="00622442"/>
    <w:rsid w:val="00622B86"/>
    <w:rsid w:val="00623BA1"/>
    <w:rsid w:val="00625BCA"/>
    <w:rsid w:val="00630562"/>
    <w:rsid w:val="00631795"/>
    <w:rsid w:val="00633BD2"/>
    <w:rsid w:val="006346BC"/>
    <w:rsid w:val="006361B3"/>
    <w:rsid w:val="0064247C"/>
    <w:rsid w:val="006427AB"/>
    <w:rsid w:val="006436B8"/>
    <w:rsid w:val="006438C5"/>
    <w:rsid w:val="00644448"/>
    <w:rsid w:val="00645228"/>
    <w:rsid w:val="006463D8"/>
    <w:rsid w:val="00646B33"/>
    <w:rsid w:val="00646CD6"/>
    <w:rsid w:val="0065356B"/>
    <w:rsid w:val="00655157"/>
    <w:rsid w:val="0065724B"/>
    <w:rsid w:val="006619A7"/>
    <w:rsid w:val="0066223F"/>
    <w:rsid w:val="0066287B"/>
    <w:rsid w:val="00662D2C"/>
    <w:rsid w:val="00664984"/>
    <w:rsid w:val="0066652A"/>
    <w:rsid w:val="00667650"/>
    <w:rsid w:val="006707A3"/>
    <w:rsid w:val="006713C3"/>
    <w:rsid w:val="006719C3"/>
    <w:rsid w:val="00671BCA"/>
    <w:rsid w:val="006748F2"/>
    <w:rsid w:val="00675C3A"/>
    <w:rsid w:val="0067609B"/>
    <w:rsid w:val="00680522"/>
    <w:rsid w:val="00681D59"/>
    <w:rsid w:val="00682167"/>
    <w:rsid w:val="00682B2F"/>
    <w:rsid w:val="0068347E"/>
    <w:rsid w:val="00683A7E"/>
    <w:rsid w:val="00685C0F"/>
    <w:rsid w:val="006871E3"/>
    <w:rsid w:val="00691A1C"/>
    <w:rsid w:val="00692E6B"/>
    <w:rsid w:val="00695FF6"/>
    <w:rsid w:val="006A0332"/>
    <w:rsid w:val="006A25D8"/>
    <w:rsid w:val="006A2BDD"/>
    <w:rsid w:val="006A3A13"/>
    <w:rsid w:val="006A569B"/>
    <w:rsid w:val="006A6F3D"/>
    <w:rsid w:val="006A6F56"/>
    <w:rsid w:val="006B0D93"/>
    <w:rsid w:val="006B2DE3"/>
    <w:rsid w:val="006B4DC5"/>
    <w:rsid w:val="006B4FC9"/>
    <w:rsid w:val="006B69FC"/>
    <w:rsid w:val="006C00C2"/>
    <w:rsid w:val="006C0ECA"/>
    <w:rsid w:val="006C1DF7"/>
    <w:rsid w:val="006C42AF"/>
    <w:rsid w:val="006C4360"/>
    <w:rsid w:val="006C45B6"/>
    <w:rsid w:val="006C5308"/>
    <w:rsid w:val="006C5E70"/>
    <w:rsid w:val="006D3A51"/>
    <w:rsid w:val="006D3B1F"/>
    <w:rsid w:val="006D47D9"/>
    <w:rsid w:val="006E0EA9"/>
    <w:rsid w:val="006E3857"/>
    <w:rsid w:val="006E7490"/>
    <w:rsid w:val="006F182D"/>
    <w:rsid w:val="006F1A73"/>
    <w:rsid w:val="006F23A3"/>
    <w:rsid w:val="006F2BE3"/>
    <w:rsid w:val="006F4DB3"/>
    <w:rsid w:val="006F55CB"/>
    <w:rsid w:val="006F602A"/>
    <w:rsid w:val="006F7D3D"/>
    <w:rsid w:val="00700985"/>
    <w:rsid w:val="00701215"/>
    <w:rsid w:val="007019ED"/>
    <w:rsid w:val="00706B0C"/>
    <w:rsid w:val="00711D8E"/>
    <w:rsid w:val="00712672"/>
    <w:rsid w:val="007146C0"/>
    <w:rsid w:val="00715075"/>
    <w:rsid w:val="00716657"/>
    <w:rsid w:val="00717AF2"/>
    <w:rsid w:val="00721E77"/>
    <w:rsid w:val="00722E23"/>
    <w:rsid w:val="00723592"/>
    <w:rsid w:val="0072504D"/>
    <w:rsid w:val="00733F30"/>
    <w:rsid w:val="00734423"/>
    <w:rsid w:val="00734C81"/>
    <w:rsid w:val="00734E3F"/>
    <w:rsid w:val="0073588C"/>
    <w:rsid w:val="00736985"/>
    <w:rsid w:val="00742005"/>
    <w:rsid w:val="00745DF5"/>
    <w:rsid w:val="007527A0"/>
    <w:rsid w:val="00752DDA"/>
    <w:rsid w:val="00756512"/>
    <w:rsid w:val="007573D4"/>
    <w:rsid w:val="00761527"/>
    <w:rsid w:val="0076250F"/>
    <w:rsid w:val="00764A3E"/>
    <w:rsid w:val="00764B7C"/>
    <w:rsid w:val="00767EB2"/>
    <w:rsid w:val="007706B8"/>
    <w:rsid w:val="00772D64"/>
    <w:rsid w:val="00774EE4"/>
    <w:rsid w:val="00777256"/>
    <w:rsid w:val="007808A7"/>
    <w:rsid w:val="00780FA5"/>
    <w:rsid w:val="007813F4"/>
    <w:rsid w:val="00781FF9"/>
    <w:rsid w:val="00782393"/>
    <w:rsid w:val="00784342"/>
    <w:rsid w:val="00784DA2"/>
    <w:rsid w:val="0078537B"/>
    <w:rsid w:val="00786117"/>
    <w:rsid w:val="00787918"/>
    <w:rsid w:val="00787B66"/>
    <w:rsid w:val="007903B6"/>
    <w:rsid w:val="0079126F"/>
    <w:rsid w:val="00792ECC"/>
    <w:rsid w:val="00793723"/>
    <w:rsid w:val="007A06C0"/>
    <w:rsid w:val="007A43E0"/>
    <w:rsid w:val="007A607E"/>
    <w:rsid w:val="007B10D9"/>
    <w:rsid w:val="007B25CC"/>
    <w:rsid w:val="007B2D79"/>
    <w:rsid w:val="007B2F63"/>
    <w:rsid w:val="007B39D3"/>
    <w:rsid w:val="007B4690"/>
    <w:rsid w:val="007B6200"/>
    <w:rsid w:val="007B717A"/>
    <w:rsid w:val="007C2CB7"/>
    <w:rsid w:val="007C4FCB"/>
    <w:rsid w:val="007C5A04"/>
    <w:rsid w:val="007C7E3E"/>
    <w:rsid w:val="007D192E"/>
    <w:rsid w:val="007D2183"/>
    <w:rsid w:val="007D2C70"/>
    <w:rsid w:val="007D2FC9"/>
    <w:rsid w:val="007D5155"/>
    <w:rsid w:val="007D5CA8"/>
    <w:rsid w:val="007D69E3"/>
    <w:rsid w:val="007D7322"/>
    <w:rsid w:val="007D7CC1"/>
    <w:rsid w:val="007E11E8"/>
    <w:rsid w:val="007E43AD"/>
    <w:rsid w:val="007E58B8"/>
    <w:rsid w:val="007E63B9"/>
    <w:rsid w:val="007E673D"/>
    <w:rsid w:val="007F14FD"/>
    <w:rsid w:val="007F3395"/>
    <w:rsid w:val="007F4900"/>
    <w:rsid w:val="00801B9F"/>
    <w:rsid w:val="0080204D"/>
    <w:rsid w:val="00802194"/>
    <w:rsid w:val="008034A7"/>
    <w:rsid w:val="00804B75"/>
    <w:rsid w:val="00804D27"/>
    <w:rsid w:val="00804E8B"/>
    <w:rsid w:val="0080522B"/>
    <w:rsid w:val="00805B9C"/>
    <w:rsid w:val="00806836"/>
    <w:rsid w:val="00813026"/>
    <w:rsid w:val="008130C2"/>
    <w:rsid w:val="0081553C"/>
    <w:rsid w:val="00815A9B"/>
    <w:rsid w:val="00815CC8"/>
    <w:rsid w:val="008168B6"/>
    <w:rsid w:val="00816FC9"/>
    <w:rsid w:val="00820162"/>
    <w:rsid w:val="008206B5"/>
    <w:rsid w:val="008208E6"/>
    <w:rsid w:val="00821010"/>
    <w:rsid w:val="00822A1B"/>
    <w:rsid w:val="00823082"/>
    <w:rsid w:val="00823907"/>
    <w:rsid w:val="00824D86"/>
    <w:rsid w:val="0082636F"/>
    <w:rsid w:val="00826D9D"/>
    <w:rsid w:val="00827915"/>
    <w:rsid w:val="0083052F"/>
    <w:rsid w:val="00831D99"/>
    <w:rsid w:val="00832082"/>
    <w:rsid w:val="00832401"/>
    <w:rsid w:val="008350C4"/>
    <w:rsid w:val="00836E02"/>
    <w:rsid w:val="008403A2"/>
    <w:rsid w:val="00840A40"/>
    <w:rsid w:val="00841973"/>
    <w:rsid w:val="00847146"/>
    <w:rsid w:val="008471B9"/>
    <w:rsid w:val="008475F0"/>
    <w:rsid w:val="0084793F"/>
    <w:rsid w:val="00850CA1"/>
    <w:rsid w:val="00850D67"/>
    <w:rsid w:val="00853087"/>
    <w:rsid w:val="008537E6"/>
    <w:rsid w:val="0085423A"/>
    <w:rsid w:val="008557A7"/>
    <w:rsid w:val="00856ED2"/>
    <w:rsid w:val="00857ED2"/>
    <w:rsid w:val="008601B8"/>
    <w:rsid w:val="00861FB9"/>
    <w:rsid w:val="00864B70"/>
    <w:rsid w:val="00866C1E"/>
    <w:rsid w:val="00870928"/>
    <w:rsid w:val="00872756"/>
    <w:rsid w:val="00880ED8"/>
    <w:rsid w:val="00881F7A"/>
    <w:rsid w:val="00883F56"/>
    <w:rsid w:val="00885A62"/>
    <w:rsid w:val="00885B6C"/>
    <w:rsid w:val="00886F45"/>
    <w:rsid w:val="00887A77"/>
    <w:rsid w:val="008907D5"/>
    <w:rsid w:val="008913BB"/>
    <w:rsid w:val="00892E8D"/>
    <w:rsid w:val="0089405C"/>
    <w:rsid w:val="00895C53"/>
    <w:rsid w:val="008974BB"/>
    <w:rsid w:val="00897FA2"/>
    <w:rsid w:val="008A06B7"/>
    <w:rsid w:val="008A0825"/>
    <w:rsid w:val="008A0D42"/>
    <w:rsid w:val="008A25C6"/>
    <w:rsid w:val="008A3469"/>
    <w:rsid w:val="008A437C"/>
    <w:rsid w:val="008A4D75"/>
    <w:rsid w:val="008A528E"/>
    <w:rsid w:val="008A5AFE"/>
    <w:rsid w:val="008A724F"/>
    <w:rsid w:val="008B142F"/>
    <w:rsid w:val="008B27EB"/>
    <w:rsid w:val="008B7E5F"/>
    <w:rsid w:val="008C00D8"/>
    <w:rsid w:val="008C0998"/>
    <w:rsid w:val="008C0ED1"/>
    <w:rsid w:val="008C322E"/>
    <w:rsid w:val="008C5A0E"/>
    <w:rsid w:val="008C6A48"/>
    <w:rsid w:val="008C6BA1"/>
    <w:rsid w:val="008C6E26"/>
    <w:rsid w:val="008D00AD"/>
    <w:rsid w:val="008D7BCF"/>
    <w:rsid w:val="008D7D98"/>
    <w:rsid w:val="008E6405"/>
    <w:rsid w:val="008E6438"/>
    <w:rsid w:val="008E6969"/>
    <w:rsid w:val="008E7415"/>
    <w:rsid w:val="008E75A2"/>
    <w:rsid w:val="008F2110"/>
    <w:rsid w:val="008F41E7"/>
    <w:rsid w:val="008F791C"/>
    <w:rsid w:val="009013CB"/>
    <w:rsid w:val="0090797A"/>
    <w:rsid w:val="00907F0B"/>
    <w:rsid w:val="009144D3"/>
    <w:rsid w:val="00914E25"/>
    <w:rsid w:val="0091596C"/>
    <w:rsid w:val="009201C7"/>
    <w:rsid w:val="00920CB8"/>
    <w:rsid w:val="00923531"/>
    <w:rsid w:val="00924625"/>
    <w:rsid w:val="0092470E"/>
    <w:rsid w:val="00926B38"/>
    <w:rsid w:val="00930F86"/>
    <w:rsid w:val="009322C2"/>
    <w:rsid w:val="00932C87"/>
    <w:rsid w:val="00932CA5"/>
    <w:rsid w:val="0093409F"/>
    <w:rsid w:val="009372D4"/>
    <w:rsid w:val="00937682"/>
    <w:rsid w:val="00943730"/>
    <w:rsid w:val="00944D54"/>
    <w:rsid w:val="009473FD"/>
    <w:rsid w:val="009500E0"/>
    <w:rsid w:val="00950348"/>
    <w:rsid w:val="00950692"/>
    <w:rsid w:val="0095110A"/>
    <w:rsid w:val="00953F85"/>
    <w:rsid w:val="0095413C"/>
    <w:rsid w:val="00954A1F"/>
    <w:rsid w:val="009571BF"/>
    <w:rsid w:val="00960A4B"/>
    <w:rsid w:val="00960F43"/>
    <w:rsid w:val="0096192D"/>
    <w:rsid w:val="00961E72"/>
    <w:rsid w:val="00964CC5"/>
    <w:rsid w:val="00965ABB"/>
    <w:rsid w:val="00966D00"/>
    <w:rsid w:val="00967C5F"/>
    <w:rsid w:val="009708C4"/>
    <w:rsid w:val="009728D1"/>
    <w:rsid w:val="009736E2"/>
    <w:rsid w:val="0097468C"/>
    <w:rsid w:val="00975302"/>
    <w:rsid w:val="00975CA5"/>
    <w:rsid w:val="009806F6"/>
    <w:rsid w:val="00980A34"/>
    <w:rsid w:val="0098248C"/>
    <w:rsid w:val="00983AED"/>
    <w:rsid w:val="00985D6B"/>
    <w:rsid w:val="00986590"/>
    <w:rsid w:val="0099127E"/>
    <w:rsid w:val="00991649"/>
    <w:rsid w:val="00991E53"/>
    <w:rsid w:val="00992C76"/>
    <w:rsid w:val="0099301A"/>
    <w:rsid w:val="009969D6"/>
    <w:rsid w:val="009A2C9F"/>
    <w:rsid w:val="009A3061"/>
    <w:rsid w:val="009A38BC"/>
    <w:rsid w:val="009A3DD2"/>
    <w:rsid w:val="009A3ED6"/>
    <w:rsid w:val="009A599D"/>
    <w:rsid w:val="009B13E6"/>
    <w:rsid w:val="009B40BD"/>
    <w:rsid w:val="009B4D3B"/>
    <w:rsid w:val="009B5725"/>
    <w:rsid w:val="009B6281"/>
    <w:rsid w:val="009B7942"/>
    <w:rsid w:val="009C0262"/>
    <w:rsid w:val="009C1146"/>
    <w:rsid w:val="009C187A"/>
    <w:rsid w:val="009C1E15"/>
    <w:rsid w:val="009C6B3B"/>
    <w:rsid w:val="009C76D6"/>
    <w:rsid w:val="009D0A61"/>
    <w:rsid w:val="009D0ACB"/>
    <w:rsid w:val="009D32F4"/>
    <w:rsid w:val="009D5AEC"/>
    <w:rsid w:val="009D6E0A"/>
    <w:rsid w:val="009D7156"/>
    <w:rsid w:val="009D7407"/>
    <w:rsid w:val="009D7C10"/>
    <w:rsid w:val="009E03FA"/>
    <w:rsid w:val="009E0792"/>
    <w:rsid w:val="009E0866"/>
    <w:rsid w:val="009E0FF6"/>
    <w:rsid w:val="009E1799"/>
    <w:rsid w:val="009E1AE8"/>
    <w:rsid w:val="009E273C"/>
    <w:rsid w:val="009E4527"/>
    <w:rsid w:val="009F1350"/>
    <w:rsid w:val="009F16C6"/>
    <w:rsid w:val="009F2273"/>
    <w:rsid w:val="009F2379"/>
    <w:rsid w:val="009F5854"/>
    <w:rsid w:val="009F6082"/>
    <w:rsid w:val="009F6423"/>
    <w:rsid w:val="00A041E9"/>
    <w:rsid w:val="00A04291"/>
    <w:rsid w:val="00A058A2"/>
    <w:rsid w:val="00A05E99"/>
    <w:rsid w:val="00A06046"/>
    <w:rsid w:val="00A07161"/>
    <w:rsid w:val="00A116BB"/>
    <w:rsid w:val="00A11CEE"/>
    <w:rsid w:val="00A1247A"/>
    <w:rsid w:val="00A16BAA"/>
    <w:rsid w:val="00A175B3"/>
    <w:rsid w:val="00A206BF"/>
    <w:rsid w:val="00A20C88"/>
    <w:rsid w:val="00A216A4"/>
    <w:rsid w:val="00A22E4E"/>
    <w:rsid w:val="00A23C79"/>
    <w:rsid w:val="00A24A62"/>
    <w:rsid w:val="00A26047"/>
    <w:rsid w:val="00A27736"/>
    <w:rsid w:val="00A27FF1"/>
    <w:rsid w:val="00A30010"/>
    <w:rsid w:val="00A316D3"/>
    <w:rsid w:val="00A31AE1"/>
    <w:rsid w:val="00A31C9F"/>
    <w:rsid w:val="00A32222"/>
    <w:rsid w:val="00A32858"/>
    <w:rsid w:val="00A36B85"/>
    <w:rsid w:val="00A36E9C"/>
    <w:rsid w:val="00A40654"/>
    <w:rsid w:val="00A4144F"/>
    <w:rsid w:val="00A4278E"/>
    <w:rsid w:val="00A45701"/>
    <w:rsid w:val="00A46592"/>
    <w:rsid w:val="00A46E65"/>
    <w:rsid w:val="00A520A5"/>
    <w:rsid w:val="00A5393F"/>
    <w:rsid w:val="00A545AB"/>
    <w:rsid w:val="00A54F0E"/>
    <w:rsid w:val="00A578DF"/>
    <w:rsid w:val="00A57A4E"/>
    <w:rsid w:val="00A614B0"/>
    <w:rsid w:val="00A6152F"/>
    <w:rsid w:val="00A61B4D"/>
    <w:rsid w:val="00A61C61"/>
    <w:rsid w:val="00A62EC0"/>
    <w:rsid w:val="00A63FBA"/>
    <w:rsid w:val="00A670A1"/>
    <w:rsid w:val="00A6739A"/>
    <w:rsid w:val="00A7002B"/>
    <w:rsid w:val="00A7134F"/>
    <w:rsid w:val="00A72311"/>
    <w:rsid w:val="00A723DE"/>
    <w:rsid w:val="00A72779"/>
    <w:rsid w:val="00A74624"/>
    <w:rsid w:val="00A757CC"/>
    <w:rsid w:val="00A76A7E"/>
    <w:rsid w:val="00A778C0"/>
    <w:rsid w:val="00A778D3"/>
    <w:rsid w:val="00A80DBC"/>
    <w:rsid w:val="00A80F95"/>
    <w:rsid w:val="00A82B32"/>
    <w:rsid w:val="00A8490C"/>
    <w:rsid w:val="00A85D74"/>
    <w:rsid w:val="00A86E6F"/>
    <w:rsid w:val="00A91795"/>
    <w:rsid w:val="00A917F5"/>
    <w:rsid w:val="00A917FF"/>
    <w:rsid w:val="00A91DFD"/>
    <w:rsid w:val="00A9429A"/>
    <w:rsid w:val="00A946BF"/>
    <w:rsid w:val="00A967BC"/>
    <w:rsid w:val="00A96C63"/>
    <w:rsid w:val="00A972EC"/>
    <w:rsid w:val="00A97BF1"/>
    <w:rsid w:val="00AA1057"/>
    <w:rsid w:val="00AA1504"/>
    <w:rsid w:val="00AA21B7"/>
    <w:rsid w:val="00AA298A"/>
    <w:rsid w:val="00AA315B"/>
    <w:rsid w:val="00AA31F8"/>
    <w:rsid w:val="00AA3ABC"/>
    <w:rsid w:val="00AA594B"/>
    <w:rsid w:val="00AA775C"/>
    <w:rsid w:val="00AA7F80"/>
    <w:rsid w:val="00AB1267"/>
    <w:rsid w:val="00AB3BB8"/>
    <w:rsid w:val="00AB6667"/>
    <w:rsid w:val="00AB706C"/>
    <w:rsid w:val="00AC0915"/>
    <w:rsid w:val="00AC164A"/>
    <w:rsid w:val="00AC1A42"/>
    <w:rsid w:val="00AC2845"/>
    <w:rsid w:val="00AC5534"/>
    <w:rsid w:val="00AC567B"/>
    <w:rsid w:val="00AD057D"/>
    <w:rsid w:val="00AD08F0"/>
    <w:rsid w:val="00AD21B0"/>
    <w:rsid w:val="00AE0471"/>
    <w:rsid w:val="00AE28B4"/>
    <w:rsid w:val="00AE32C3"/>
    <w:rsid w:val="00AE448A"/>
    <w:rsid w:val="00AF1131"/>
    <w:rsid w:val="00AF14D4"/>
    <w:rsid w:val="00AF16CE"/>
    <w:rsid w:val="00AF1C02"/>
    <w:rsid w:val="00AF2050"/>
    <w:rsid w:val="00AF52A6"/>
    <w:rsid w:val="00AF72D9"/>
    <w:rsid w:val="00AF7392"/>
    <w:rsid w:val="00AF7669"/>
    <w:rsid w:val="00B00315"/>
    <w:rsid w:val="00B03CA8"/>
    <w:rsid w:val="00B03E9D"/>
    <w:rsid w:val="00B04D0C"/>
    <w:rsid w:val="00B04D1F"/>
    <w:rsid w:val="00B04FB1"/>
    <w:rsid w:val="00B06090"/>
    <w:rsid w:val="00B129D2"/>
    <w:rsid w:val="00B16A01"/>
    <w:rsid w:val="00B20CC2"/>
    <w:rsid w:val="00B22583"/>
    <w:rsid w:val="00B238B4"/>
    <w:rsid w:val="00B23FDC"/>
    <w:rsid w:val="00B241B9"/>
    <w:rsid w:val="00B24F3E"/>
    <w:rsid w:val="00B26EE7"/>
    <w:rsid w:val="00B2762A"/>
    <w:rsid w:val="00B30B85"/>
    <w:rsid w:val="00B32DFE"/>
    <w:rsid w:val="00B334DE"/>
    <w:rsid w:val="00B33C0A"/>
    <w:rsid w:val="00B353A6"/>
    <w:rsid w:val="00B369A5"/>
    <w:rsid w:val="00B40D51"/>
    <w:rsid w:val="00B41E47"/>
    <w:rsid w:val="00B423B3"/>
    <w:rsid w:val="00B4299C"/>
    <w:rsid w:val="00B44DE8"/>
    <w:rsid w:val="00B46212"/>
    <w:rsid w:val="00B46C38"/>
    <w:rsid w:val="00B50D8B"/>
    <w:rsid w:val="00B521B4"/>
    <w:rsid w:val="00B52896"/>
    <w:rsid w:val="00B55E19"/>
    <w:rsid w:val="00B6021E"/>
    <w:rsid w:val="00B6057B"/>
    <w:rsid w:val="00B60E27"/>
    <w:rsid w:val="00B6202F"/>
    <w:rsid w:val="00B64D56"/>
    <w:rsid w:val="00B65E8D"/>
    <w:rsid w:val="00B66824"/>
    <w:rsid w:val="00B669AB"/>
    <w:rsid w:val="00B66C51"/>
    <w:rsid w:val="00B67220"/>
    <w:rsid w:val="00B80F3F"/>
    <w:rsid w:val="00B84FA0"/>
    <w:rsid w:val="00B85055"/>
    <w:rsid w:val="00B85D8E"/>
    <w:rsid w:val="00B87772"/>
    <w:rsid w:val="00B9059D"/>
    <w:rsid w:val="00B91543"/>
    <w:rsid w:val="00B91E89"/>
    <w:rsid w:val="00B92D40"/>
    <w:rsid w:val="00B9354F"/>
    <w:rsid w:val="00B941EC"/>
    <w:rsid w:val="00B94758"/>
    <w:rsid w:val="00BA0333"/>
    <w:rsid w:val="00BA3064"/>
    <w:rsid w:val="00BA3B5F"/>
    <w:rsid w:val="00BA4263"/>
    <w:rsid w:val="00BA4A56"/>
    <w:rsid w:val="00BA4B6D"/>
    <w:rsid w:val="00BA4C79"/>
    <w:rsid w:val="00BA581C"/>
    <w:rsid w:val="00BA5945"/>
    <w:rsid w:val="00BA6B94"/>
    <w:rsid w:val="00BB0219"/>
    <w:rsid w:val="00BB0E3A"/>
    <w:rsid w:val="00BB0E4C"/>
    <w:rsid w:val="00BB1045"/>
    <w:rsid w:val="00BB26C5"/>
    <w:rsid w:val="00BB2F38"/>
    <w:rsid w:val="00BB7277"/>
    <w:rsid w:val="00BC06D2"/>
    <w:rsid w:val="00BC1889"/>
    <w:rsid w:val="00BC2490"/>
    <w:rsid w:val="00BC31BD"/>
    <w:rsid w:val="00BC6825"/>
    <w:rsid w:val="00BC6D44"/>
    <w:rsid w:val="00BD1560"/>
    <w:rsid w:val="00BD20A3"/>
    <w:rsid w:val="00BD6DCB"/>
    <w:rsid w:val="00BD6F5B"/>
    <w:rsid w:val="00BD7ACD"/>
    <w:rsid w:val="00BE11AD"/>
    <w:rsid w:val="00BE2CD8"/>
    <w:rsid w:val="00BE6074"/>
    <w:rsid w:val="00BE6247"/>
    <w:rsid w:val="00BE6697"/>
    <w:rsid w:val="00BF0307"/>
    <w:rsid w:val="00BF080A"/>
    <w:rsid w:val="00BF152E"/>
    <w:rsid w:val="00BF156A"/>
    <w:rsid w:val="00BF2E65"/>
    <w:rsid w:val="00BF4DE6"/>
    <w:rsid w:val="00BF6CF4"/>
    <w:rsid w:val="00BF7091"/>
    <w:rsid w:val="00BF73A2"/>
    <w:rsid w:val="00C00B6B"/>
    <w:rsid w:val="00C00BFB"/>
    <w:rsid w:val="00C03BBA"/>
    <w:rsid w:val="00C040FE"/>
    <w:rsid w:val="00C045E3"/>
    <w:rsid w:val="00C04EEE"/>
    <w:rsid w:val="00C0621F"/>
    <w:rsid w:val="00C06B13"/>
    <w:rsid w:val="00C06DAA"/>
    <w:rsid w:val="00C10AAF"/>
    <w:rsid w:val="00C123F5"/>
    <w:rsid w:val="00C139CE"/>
    <w:rsid w:val="00C15569"/>
    <w:rsid w:val="00C16282"/>
    <w:rsid w:val="00C16A9F"/>
    <w:rsid w:val="00C16C74"/>
    <w:rsid w:val="00C17867"/>
    <w:rsid w:val="00C21780"/>
    <w:rsid w:val="00C21D1A"/>
    <w:rsid w:val="00C2428D"/>
    <w:rsid w:val="00C27D25"/>
    <w:rsid w:val="00C27EA1"/>
    <w:rsid w:val="00C27F75"/>
    <w:rsid w:val="00C317D8"/>
    <w:rsid w:val="00C34A57"/>
    <w:rsid w:val="00C34E05"/>
    <w:rsid w:val="00C34F22"/>
    <w:rsid w:val="00C36F9A"/>
    <w:rsid w:val="00C40886"/>
    <w:rsid w:val="00C42411"/>
    <w:rsid w:val="00C42541"/>
    <w:rsid w:val="00C428B1"/>
    <w:rsid w:val="00C42CDE"/>
    <w:rsid w:val="00C46F96"/>
    <w:rsid w:val="00C509C6"/>
    <w:rsid w:val="00C5182A"/>
    <w:rsid w:val="00C519ED"/>
    <w:rsid w:val="00C536A1"/>
    <w:rsid w:val="00C55992"/>
    <w:rsid w:val="00C55B16"/>
    <w:rsid w:val="00C62666"/>
    <w:rsid w:val="00C63EE9"/>
    <w:rsid w:val="00C674C1"/>
    <w:rsid w:val="00C7205D"/>
    <w:rsid w:val="00C737F4"/>
    <w:rsid w:val="00C73D3D"/>
    <w:rsid w:val="00C76BCE"/>
    <w:rsid w:val="00C773DB"/>
    <w:rsid w:val="00C77B1F"/>
    <w:rsid w:val="00C80322"/>
    <w:rsid w:val="00C82204"/>
    <w:rsid w:val="00C867A1"/>
    <w:rsid w:val="00C90472"/>
    <w:rsid w:val="00C905BA"/>
    <w:rsid w:val="00C929AF"/>
    <w:rsid w:val="00C92BCE"/>
    <w:rsid w:val="00C94188"/>
    <w:rsid w:val="00CA16F3"/>
    <w:rsid w:val="00CA23D1"/>
    <w:rsid w:val="00CA37B1"/>
    <w:rsid w:val="00CA483E"/>
    <w:rsid w:val="00CA5E15"/>
    <w:rsid w:val="00CB0D32"/>
    <w:rsid w:val="00CB139F"/>
    <w:rsid w:val="00CB1959"/>
    <w:rsid w:val="00CB28BD"/>
    <w:rsid w:val="00CB2B3B"/>
    <w:rsid w:val="00CB2D6B"/>
    <w:rsid w:val="00CB3522"/>
    <w:rsid w:val="00CB5A7C"/>
    <w:rsid w:val="00CB5D29"/>
    <w:rsid w:val="00CB7D9C"/>
    <w:rsid w:val="00CC1856"/>
    <w:rsid w:val="00CC2E98"/>
    <w:rsid w:val="00CC45DA"/>
    <w:rsid w:val="00CC741B"/>
    <w:rsid w:val="00CD0E4B"/>
    <w:rsid w:val="00CD22F9"/>
    <w:rsid w:val="00CD420A"/>
    <w:rsid w:val="00CD5518"/>
    <w:rsid w:val="00CD5C80"/>
    <w:rsid w:val="00CE4665"/>
    <w:rsid w:val="00CE4C89"/>
    <w:rsid w:val="00CE513F"/>
    <w:rsid w:val="00CE5FF3"/>
    <w:rsid w:val="00CE79F5"/>
    <w:rsid w:val="00CE7C45"/>
    <w:rsid w:val="00CF0071"/>
    <w:rsid w:val="00CF07BA"/>
    <w:rsid w:val="00CF1148"/>
    <w:rsid w:val="00CF27ED"/>
    <w:rsid w:val="00CF40E3"/>
    <w:rsid w:val="00CF4F4E"/>
    <w:rsid w:val="00CF620E"/>
    <w:rsid w:val="00D02464"/>
    <w:rsid w:val="00D0296C"/>
    <w:rsid w:val="00D02C7C"/>
    <w:rsid w:val="00D05463"/>
    <w:rsid w:val="00D11C69"/>
    <w:rsid w:val="00D1263A"/>
    <w:rsid w:val="00D13512"/>
    <w:rsid w:val="00D17B90"/>
    <w:rsid w:val="00D2125D"/>
    <w:rsid w:val="00D21678"/>
    <w:rsid w:val="00D21EB2"/>
    <w:rsid w:val="00D23AD9"/>
    <w:rsid w:val="00D24B20"/>
    <w:rsid w:val="00D251C2"/>
    <w:rsid w:val="00D268DE"/>
    <w:rsid w:val="00D27B43"/>
    <w:rsid w:val="00D32D6F"/>
    <w:rsid w:val="00D3324B"/>
    <w:rsid w:val="00D34742"/>
    <w:rsid w:val="00D36053"/>
    <w:rsid w:val="00D37647"/>
    <w:rsid w:val="00D37B04"/>
    <w:rsid w:val="00D40253"/>
    <w:rsid w:val="00D40316"/>
    <w:rsid w:val="00D40D63"/>
    <w:rsid w:val="00D417D4"/>
    <w:rsid w:val="00D41E17"/>
    <w:rsid w:val="00D462F0"/>
    <w:rsid w:val="00D47290"/>
    <w:rsid w:val="00D540C6"/>
    <w:rsid w:val="00D56274"/>
    <w:rsid w:val="00D56B59"/>
    <w:rsid w:val="00D5754B"/>
    <w:rsid w:val="00D6031F"/>
    <w:rsid w:val="00D60574"/>
    <w:rsid w:val="00D607CA"/>
    <w:rsid w:val="00D64BD1"/>
    <w:rsid w:val="00D64D1A"/>
    <w:rsid w:val="00D65B3A"/>
    <w:rsid w:val="00D67FB7"/>
    <w:rsid w:val="00D67FD1"/>
    <w:rsid w:val="00D7168A"/>
    <w:rsid w:val="00D72089"/>
    <w:rsid w:val="00D73BD1"/>
    <w:rsid w:val="00D75882"/>
    <w:rsid w:val="00D76877"/>
    <w:rsid w:val="00D81A33"/>
    <w:rsid w:val="00D837CB"/>
    <w:rsid w:val="00D8447D"/>
    <w:rsid w:val="00D9048E"/>
    <w:rsid w:val="00D90E9D"/>
    <w:rsid w:val="00D92254"/>
    <w:rsid w:val="00D93E43"/>
    <w:rsid w:val="00D9464A"/>
    <w:rsid w:val="00DA13CB"/>
    <w:rsid w:val="00DA4306"/>
    <w:rsid w:val="00DA6603"/>
    <w:rsid w:val="00DB058C"/>
    <w:rsid w:val="00DB1853"/>
    <w:rsid w:val="00DB1BEB"/>
    <w:rsid w:val="00DB2B27"/>
    <w:rsid w:val="00DB2F31"/>
    <w:rsid w:val="00DB67F3"/>
    <w:rsid w:val="00DB746A"/>
    <w:rsid w:val="00DC0238"/>
    <w:rsid w:val="00DC2B14"/>
    <w:rsid w:val="00DC2DF2"/>
    <w:rsid w:val="00DC4EBF"/>
    <w:rsid w:val="00DC668F"/>
    <w:rsid w:val="00DC7545"/>
    <w:rsid w:val="00DC7619"/>
    <w:rsid w:val="00DD13F1"/>
    <w:rsid w:val="00DD13FB"/>
    <w:rsid w:val="00DD4179"/>
    <w:rsid w:val="00DD43F3"/>
    <w:rsid w:val="00DD6392"/>
    <w:rsid w:val="00DE084C"/>
    <w:rsid w:val="00DE09ED"/>
    <w:rsid w:val="00DE1602"/>
    <w:rsid w:val="00DE1D6F"/>
    <w:rsid w:val="00DE2D43"/>
    <w:rsid w:val="00DE4D75"/>
    <w:rsid w:val="00DE5FBE"/>
    <w:rsid w:val="00DF213A"/>
    <w:rsid w:val="00E0449D"/>
    <w:rsid w:val="00E07EA8"/>
    <w:rsid w:val="00E10094"/>
    <w:rsid w:val="00E11C08"/>
    <w:rsid w:val="00E12D3D"/>
    <w:rsid w:val="00E13C54"/>
    <w:rsid w:val="00E14F51"/>
    <w:rsid w:val="00E15862"/>
    <w:rsid w:val="00E17273"/>
    <w:rsid w:val="00E211A7"/>
    <w:rsid w:val="00E21584"/>
    <w:rsid w:val="00E22214"/>
    <w:rsid w:val="00E22EC6"/>
    <w:rsid w:val="00E25CE3"/>
    <w:rsid w:val="00E260F8"/>
    <w:rsid w:val="00E300F3"/>
    <w:rsid w:val="00E300F7"/>
    <w:rsid w:val="00E30355"/>
    <w:rsid w:val="00E34CDE"/>
    <w:rsid w:val="00E3541D"/>
    <w:rsid w:val="00E3550B"/>
    <w:rsid w:val="00E357B7"/>
    <w:rsid w:val="00E36537"/>
    <w:rsid w:val="00E43071"/>
    <w:rsid w:val="00E43E11"/>
    <w:rsid w:val="00E532C0"/>
    <w:rsid w:val="00E53800"/>
    <w:rsid w:val="00E55A2B"/>
    <w:rsid w:val="00E56C4A"/>
    <w:rsid w:val="00E56E32"/>
    <w:rsid w:val="00E57246"/>
    <w:rsid w:val="00E604B8"/>
    <w:rsid w:val="00E6081F"/>
    <w:rsid w:val="00E6087B"/>
    <w:rsid w:val="00E6202D"/>
    <w:rsid w:val="00E64884"/>
    <w:rsid w:val="00E66106"/>
    <w:rsid w:val="00E670FA"/>
    <w:rsid w:val="00E67EE9"/>
    <w:rsid w:val="00E73C62"/>
    <w:rsid w:val="00E742FD"/>
    <w:rsid w:val="00E74B29"/>
    <w:rsid w:val="00E74DD1"/>
    <w:rsid w:val="00E76D57"/>
    <w:rsid w:val="00E77A31"/>
    <w:rsid w:val="00E82236"/>
    <w:rsid w:val="00E8296D"/>
    <w:rsid w:val="00E8457B"/>
    <w:rsid w:val="00E8531A"/>
    <w:rsid w:val="00E85B07"/>
    <w:rsid w:val="00E85FCC"/>
    <w:rsid w:val="00E87912"/>
    <w:rsid w:val="00E937FE"/>
    <w:rsid w:val="00EA04B2"/>
    <w:rsid w:val="00EA20F3"/>
    <w:rsid w:val="00EA39BA"/>
    <w:rsid w:val="00EA44E4"/>
    <w:rsid w:val="00EB0346"/>
    <w:rsid w:val="00EB1CD0"/>
    <w:rsid w:val="00EB1DB8"/>
    <w:rsid w:val="00EB21FF"/>
    <w:rsid w:val="00EB4044"/>
    <w:rsid w:val="00EB4F87"/>
    <w:rsid w:val="00EB74EB"/>
    <w:rsid w:val="00EB7DBB"/>
    <w:rsid w:val="00EC3B28"/>
    <w:rsid w:val="00EC5671"/>
    <w:rsid w:val="00ED108B"/>
    <w:rsid w:val="00ED18BD"/>
    <w:rsid w:val="00ED1EEB"/>
    <w:rsid w:val="00ED26C3"/>
    <w:rsid w:val="00ED2831"/>
    <w:rsid w:val="00ED43D1"/>
    <w:rsid w:val="00ED48C7"/>
    <w:rsid w:val="00EE0481"/>
    <w:rsid w:val="00EE1A25"/>
    <w:rsid w:val="00EE25F4"/>
    <w:rsid w:val="00EE4414"/>
    <w:rsid w:val="00EE4EE1"/>
    <w:rsid w:val="00EE6001"/>
    <w:rsid w:val="00EF0E36"/>
    <w:rsid w:val="00EF11E5"/>
    <w:rsid w:val="00EF1A8A"/>
    <w:rsid w:val="00EF43DD"/>
    <w:rsid w:val="00EF4574"/>
    <w:rsid w:val="00EF5FB3"/>
    <w:rsid w:val="00F0165F"/>
    <w:rsid w:val="00F016C7"/>
    <w:rsid w:val="00F0400A"/>
    <w:rsid w:val="00F04E19"/>
    <w:rsid w:val="00F06442"/>
    <w:rsid w:val="00F06E03"/>
    <w:rsid w:val="00F07DC2"/>
    <w:rsid w:val="00F13260"/>
    <w:rsid w:val="00F142F1"/>
    <w:rsid w:val="00F17D59"/>
    <w:rsid w:val="00F204DC"/>
    <w:rsid w:val="00F216E4"/>
    <w:rsid w:val="00F22360"/>
    <w:rsid w:val="00F22B30"/>
    <w:rsid w:val="00F25A93"/>
    <w:rsid w:val="00F260A4"/>
    <w:rsid w:val="00F2684E"/>
    <w:rsid w:val="00F27241"/>
    <w:rsid w:val="00F3077E"/>
    <w:rsid w:val="00F33449"/>
    <w:rsid w:val="00F33D92"/>
    <w:rsid w:val="00F34796"/>
    <w:rsid w:val="00F37163"/>
    <w:rsid w:val="00F40042"/>
    <w:rsid w:val="00F40381"/>
    <w:rsid w:val="00F408A8"/>
    <w:rsid w:val="00F4344B"/>
    <w:rsid w:val="00F44C08"/>
    <w:rsid w:val="00F4614B"/>
    <w:rsid w:val="00F464D9"/>
    <w:rsid w:val="00F46E6E"/>
    <w:rsid w:val="00F47E47"/>
    <w:rsid w:val="00F518CF"/>
    <w:rsid w:val="00F528A4"/>
    <w:rsid w:val="00F5404C"/>
    <w:rsid w:val="00F54810"/>
    <w:rsid w:val="00F56C17"/>
    <w:rsid w:val="00F61EB2"/>
    <w:rsid w:val="00F65734"/>
    <w:rsid w:val="00F6718B"/>
    <w:rsid w:val="00F672A4"/>
    <w:rsid w:val="00F67743"/>
    <w:rsid w:val="00F70108"/>
    <w:rsid w:val="00F729EF"/>
    <w:rsid w:val="00F73CBD"/>
    <w:rsid w:val="00F744A2"/>
    <w:rsid w:val="00F75E1A"/>
    <w:rsid w:val="00F75EF7"/>
    <w:rsid w:val="00F76368"/>
    <w:rsid w:val="00F77434"/>
    <w:rsid w:val="00F77605"/>
    <w:rsid w:val="00F778F2"/>
    <w:rsid w:val="00F77CAE"/>
    <w:rsid w:val="00F819A9"/>
    <w:rsid w:val="00F82271"/>
    <w:rsid w:val="00F83428"/>
    <w:rsid w:val="00F83B6E"/>
    <w:rsid w:val="00F84992"/>
    <w:rsid w:val="00F84B63"/>
    <w:rsid w:val="00F87D27"/>
    <w:rsid w:val="00F87FA2"/>
    <w:rsid w:val="00F906B5"/>
    <w:rsid w:val="00F92F2E"/>
    <w:rsid w:val="00F9460C"/>
    <w:rsid w:val="00F954EE"/>
    <w:rsid w:val="00F96BB9"/>
    <w:rsid w:val="00F9721B"/>
    <w:rsid w:val="00FB016E"/>
    <w:rsid w:val="00FB2F9C"/>
    <w:rsid w:val="00FB3A94"/>
    <w:rsid w:val="00FB589A"/>
    <w:rsid w:val="00FC14B0"/>
    <w:rsid w:val="00FC31DA"/>
    <w:rsid w:val="00FC322F"/>
    <w:rsid w:val="00FC38A5"/>
    <w:rsid w:val="00FC5E00"/>
    <w:rsid w:val="00FD0844"/>
    <w:rsid w:val="00FD1AB9"/>
    <w:rsid w:val="00FD1EBC"/>
    <w:rsid w:val="00FD3D08"/>
    <w:rsid w:val="00FD4638"/>
    <w:rsid w:val="00FD4E72"/>
    <w:rsid w:val="00FD4FF6"/>
    <w:rsid w:val="00FD5C76"/>
    <w:rsid w:val="00FD5D01"/>
    <w:rsid w:val="00FD5D8E"/>
    <w:rsid w:val="00FE0175"/>
    <w:rsid w:val="00FE0E43"/>
    <w:rsid w:val="00FE627B"/>
    <w:rsid w:val="00FE6D51"/>
    <w:rsid w:val="00FE6F2A"/>
    <w:rsid w:val="00FE7086"/>
    <w:rsid w:val="00FE7A2A"/>
    <w:rsid w:val="00FF0DFB"/>
    <w:rsid w:val="00FF24F5"/>
    <w:rsid w:val="00FF3DBC"/>
    <w:rsid w:val="00FF4152"/>
    <w:rsid w:val="00FF43EB"/>
    <w:rsid w:val="00FF6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B06C0"/>
    <w:pPr>
      <w:suppressAutoHyphens/>
      <w:spacing w:after="0" w:line="240" w:lineRule="auto"/>
    </w:pPr>
    <w:rPr>
      <w:color w:val="495965" w:themeColor="text2"/>
      <w:sz w:val="20"/>
      <w:lang w:val="en-GB"/>
    </w:rPr>
  </w:style>
  <w:style w:type="paragraph" w:styleId="Heading1">
    <w:name w:val="heading 1"/>
    <w:basedOn w:val="Normal"/>
    <w:next w:val="Normal"/>
    <w:link w:val="Heading1Char"/>
    <w:uiPriority w:val="9"/>
    <w:qFormat/>
    <w:rsid w:val="0062233E"/>
    <w:pPr>
      <w:keepNext/>
      <w:numPr>
        <w:numId w:val="18"/>
      </w:numPr>
      <w:pBdr>
        <w:top w:val="single" w:sz="4" w:space="4" w:color="677370" w:themeColor="background2" w:themeShade="80"/>
        <w:left w:val="single" w:sz="4" w:space="4" w:color="677370" w:themeColor="background2" w:themeShade="80"/>
        <w:bottom w:val="single" w:sz="4" w:space="4" w:color="677370" w:themeColor="background2" w:themeShade="80"/>
        <w:right w:val="single" w:sz="4" w:space="4" w:color="677370" w:themeColor="background2" w:themeShade="80"/>
      </w:pBdr>
      <w:shd w:val="clear" w:color="auto" w:fill="E0F3EF" w:themeFill="accent1" w:themeFillTint="33"/>
      <w:suppressAutoHyphens w:val="0"/>
      <w:spacing w:before="300" w:after="200"/>
      <w:ind w:left="539" w:hanging="539"/>
      <w:outlineLvl w:val="0"/>
    </w:pPr>
    <w:rPr>
      <w:rFonts w:ascii="Arial" w:eastAsia="Times New Roman" w:hAnsi="Arial" w:cs="Arial"/>
      <w:b/>
      <w:bCs/>
      <w:color w:val="auto"/>
      <w:sz w:val="24"/>
      <w:szCs w:val="24"/>
      <w:lang w:val="en-AU" w:eastAsia="en-GB"/>
    </w:rPr>
  </w:style>
  <w:style w:type="paragraph" w:styleId="Heading2">
    <w:name w:val="heading 2"/>
    <w:basedOn w:val="Normal"/>
    <w:next w:val="Normal"/>
    <w:link w:val="Heading2Char"/>
    <w:uiPriority w:val="9"/>
    <w:unhideWhenUsed/>
    <w:qFormat/>
    <w:rsid w:val="00F27241"/>
    <w:pPr>
      <w:keepNext/>
      <w:numPr>
        <w:ilvl w:val="1"/>
        <w:numId w:val="18"/>
      </w:numPr>
      <w:suppressAutoHyphens w:val="0"/>
      <w:spacing w:before="300" w:after="200" w:line="280" w:lineRule="exact"/>
      <w:ind w:left="539" w:hanging="539"/>
      <w:outlineLvl w:val="1"/>
    </w:pPr>
    <w:rPr>
      <w:rFonts w:ascii="Arial" w:eastAsia="Times New Roman" w:hAnsi="Arial" w:cs="Times New Roman"/>
      <w:bCs/>
      <w:color w:val="auto"/>
      <w:sz w:val="24"/>
      <w:szCs w:val="26"/>
      <w:lang w:val="en-AU" w:eastAsia="en-GB"/>
    </w:rPr>
  </w:style>
  <w:style w:type="paragraph" w:styleId="Heading3">
    <w:name w:val="heading 3"/>
    <w:basedOn w:val="BodyText"/>
    <w:next w:val="Normal"/>
    <w:link w:val="Heading3Char"/>
    <w:uiPriority w:val="9"/>
    <w:unhideWhenUsed/>
    <w:qFormat/>
    <w:rsid w:val="00B9354F"/>
    <w:pPr>
      <w:keepNext/>
      <w:outlineLvl w:val="2"/>
    </w:pPr>
    <w:rPr>
      <w:rFonts w:ascii="Arial" w:hAnsi="Arial" w:cs="Arial"/>
    </w:rPr>
  </w:style>
  <w:style w:type="paragraph" w:styleId="Heading4">
    <w:name w:val="heading 4"/>
    <w:basedOn w:val="ListParagraph"/>
    <w:next w:val="Normal"/>
    <w:link w:val="Heading4Char"/>
    <w:uiPriority w:val="9"/>
    <w:unhideWhenUsed/>
    <w:qFormat/>
    <w:rsid w:val="009E1799"/>
    <w:pPr>
      <w:keepNext/>
      <w:numPr>
        <w:numId w:val="11"/>
      </w:numPr>
      <w:spacing w:before="200" w:after="100" w:line="281" w:lineRule="auto"/>
      <w:ind w:left="714" w:hanging="357"/>
      <w:contextualSpacing w:val="0"/>
      <w:jc w:val="both"/>
      <w:outlineLvl w:val="3"/>
    </w:pPr>
    <w:rPr>
      <w:b/>
      <w:sz w:val="22"/>
      <w:lang w:val="en-AU"/>
    </w:rPr>
  </w:style>
  <w:style w:type="paragraph" w:styleId="Heading5">
    <w:name w:val="heading 5"/>
    <w:basedOn w:val="Heading4"/>
    <w:next w:val="Normal"/>
    <w:link w:val="Heading5Char"/>
    <w:uiPriority w:val="9"/>
    <w:unhideWhenUsed/>
    <w:qFormat/>
    <w:rsid w:val="007706B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rPr>
  </w:style>
  <w:style w:type="paragraph" w:styleId="Heading9">
    <w:name w:val="heading 9"/>
    <w:basedOn w:val="Heading8"/>
    <w:next w:val="Normal"/>
    <w:link w:val="Heading9Char"/>
    <w:uiPriority w:val="9"/>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33E"/>
    <w:rPr>
      <w:rFonts w:ascii="Arial" w:eastAsia="Times New Roman" w:hAnsi="Arial" w:cs="Arial"/>
      <w:b/>
      <w:bCs/>
      <w:sz w:val="24"/>
      <w:szCs w:val="24"/>
      <w:shd w:val="clear" w:color="auto" w:fill="E0F3EF" w:themeFill="accent1" w:themeFillTint="33"/>
      <w:lang w:eastAsia="en-GB"/>
    </w:rPr>
  </w:style>
  <w:style w:type="character" w:customStyle="1" w:styleId="Heading2Char">
    <w:name w:val="Heading 2 Char"/>
    <w:basedOn w:val="DefaultParagraphFont"/>
    <w:link w:val="Heading2"/>
    <w:uiPriority w:val="9"/>
    <w:rsid w:val="00F27241"/>
    <w:rPr>
      <w:rFonts w:ascii="Arial" w:eastAsia="Times New Roman" w:hAnsi="Arial" w:cs="Times New Roman"/>
      <w:bCs/>
      <w:sz w:val="24"/>
      <w:szCs w:val="26"/>
      <w:lang w:eastAsia="en-GB"/>
    </w:rPr>
  </w:style>
  <w:style w:type="character" w:customStyle="1" w:styleId="Heading3Char">
    <w:name w:val="Heading 3 Char"/>
    <w:basedOn w:val="DefaultParagraphFont"/>
    <w:link w:val="Heading3"/>
    <w:uiPriority w:val="9"/>
    <w:rsid w:val="00B9354F"/>
    <w:rPr>
      <w:rFonts w:ascii="Arial" w:hAnsi="Arial" w:cs="Arial"/>
      <w:color w:val="495965" w:themeColor="text2"/>
      <w:sz w:val="21"/>
      <w:szCs w:val="21"/>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Arial" w:eastAsia="Times New Roman" w:hAnsi="Arial" w:cs="Arial"/>
      <w:b/>
      <w:bCs/>
      <w:spacing w:val="-10"/>
      <w:kern w:val="28"/>
      <w:sz w:val="24"/>
      <w:szCs w:val="52"/>
      <w:shd w:val="clear" w:color="auto" w:fill="E0F3EF" w:themeFill="accent1" w:themeFillTint="33"/>
      <w:lang w:eastAsia="en-GB"/>
    </w:rPr>
  </w:style>
  <w:style w:type="paragraph" w:styleId="Subtitle">
    <w:name w:val="Subtitle"/>
    <w:basedOn w:val="TOC1"/>
    <w:next w:val="Normal"/>
    <w:link w:val="SubtitleChar"/>
    <w:uiPriority w:val="11"/>
    <w:qFormat/>
    <w:rsid w:val="00C139CE"/>
    <w:rPr>
      <w:lang w:val="en-AU"/>
    </w:rPr>
  </w:style>
  <w:style w:type="character" w:customStyle="1" w:styleId="SubtitleChar">
    <w:name w:val="Subtitle Char"/>
    <w:basedOn w:val="DefaultParagraphFont"/>
    <w:link w:val="Subtitle"/>
    <w:uiPriority w:val="11"/>
    <w:rsid w:val="00C139CE"/>
    <w:rPr>
      <w:b/>
      <w:caps/>
      <w:noProof/>
      <w:color w:val="65C5B4" w:themeColor="accent1"/>
    </w:rPr>
  </w:style>
  <w:style w:type="paragraph" w:customStyle="1" w:styleId="Bullet1">
    <w:name w:val="Bullet 1"/>
    <w:basedOn w:val="ListParagraph"/>
    <w:qFormat/>
    <w:rsid w:val="00E6202D"/>
    <w:pPr>
      <w:numPr>
        <w:numId w:val="14"/>
      </w:numPr>
      <w:spacing w:before="100" w:line="281" w:lineRule="auto"/>
      <w:contextualSpacing w:val="0"/>
      <w:jc w:val="both"/>
    </w:pPr>
    <w:rPr>
      <w:sz w:val="21"/>
      <w:szCs w:val="21"/>
      <w:lang w:val="en-AU"/>
    </w:r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BodyTextitalics">
    <w:name w:val="Body Text italics"/>
    <w:aliases w:val="box"/>
    <w:basedOn w:val="BodyText"/>
    <w:qFormat/>
    <w:rsid w:val="003A29D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pPr>
    <w:rPr>
      <w:i/>
      <w:iCs/>
    </w:rPr>
  </w:style>
  <w:style w:type="numbering" w:customStyle="1" w:styleId="CurrentList4">
    <w:name w:val="Current List4"/>
    <w:uiPriority w:val="99"/>
    <w:rsid w:val="004A09B5"/>
    <w:pPr>
      <w:numPr>
        <w:numId w:val="20"/>
      </w:numPr>
    </w:p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pacing w:after="600"/>
      <w:outlineLvl w:val="9"/>
    </w:pPr>
    <w:rPr>
      <w:bCs w:val="0"/>
      <w:szCs w:val="32"/>
    </w:rPr>
  </w:style>
  <w:style w:type="character" w:customStyle="1" w:styleId="Heading4Char">
    <w:name w:val="Heading 4 Char"/>
    <w:basedOn w:val="DefaultParagraphFont"/>
    <w:link w:val="Heading4"/>
    <w:uiPriority w:val="9"/>
    <w:rsid w:val="009E1799"/>
    <w:rPr>
      <w:b/>
      <w:color w:val="495965" w:themeColor="text2"/>
    </w:rPr>
  </w:style>
  <w:style w:type="paragraph" w:styleId="TOC1">
    <w:name w:val="toc 1"/>
    <w:basedOn w:val="Normal"/>
    <w:next w:val="Normal"/>
    <w:autoRedefine/>
    <w:uiPriority w:val="39"/>
    <w:unhideWhenUsed/>
    <w:rsid w:val="007808A7"/>
    <w:pPr>
      <w:tabs>
        <w:tab w:val="left" w:pos="720"/>
        <w:tab w:val="left" w:pos="1260"/>
        <w:tab w:val="right" w:pos="9639"/>
      </w:tabs>
      <w:spacing w:before="60" w:after="40" w:line="260" w:lineRule="atLeast"/>
    </w:pPr>
    <w:rPr>
      <w:b/>
      <w:caps/>
      <w:noProof/>
      <w:color w:val="65C5B4" w:themeColor="accent1"/>
      <w:sz w:val="22"/>
    </w:rPr>
  </w:style>
  <w:style w:type="paragraph" w:styleId="TOC2">
    <w:name w:val="toc 2"/>
    <w:basedOn w:val="Normal"/>
    <w:next w:val="Normal"/>
    <w:autoRedefine/>
    <w:uiPriority w:val="39"/>
    <w:unhideWhenUsed/>
    <w:rsid w:val="007808A7"/>
    <w:pPr>
      <w:tabs>
        <w:tab w:val="left" w:pos="880"/>
        <w:tab w:val="right" w:pos="8721"/>
      </w:tabs>
      <w:spacing w:before="40"/>
      <w:ind w:left="198" w:right="454"/>
    </w:pPr>
    <w:rPr>
      <w:noProof/>
    </w:r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ind w:left="227"/>
    </w:pPr>
    <w:rPr>
      <w:b/>
      <w:caps/>
      <w:color w:val="FFFFFF" w:themeColor="background1"/>
    </w:rPr>
  </w:style>
  <w:style w:type="paragraph" w:styleId="TOC4">
    <w:name w:val="toc 4"/>
    <w:basedOn w:val="Normal"/>
    <w:next w:val="Normal"/>
    <w:autoRedefine/>
    <w:uiPriority w:val="39"/>
    <w:unhideWhenUsed/>
    <w:locked/>
    <w:rsid w:val="0035119D"/>
    <w:pPr>
      <w:suppressAutoHyphens w:val="0"/>
      <w:spacing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aliases w:val="DPS 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qFormat/>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color w:val="495965" w:themeColor="text2"/>
    </w:rPr>
  </w:style>
  <w:style w:type="paragraph" w:styleId="Caption">
    <w:name w:val="caption"/>
    <w:basedOn w:val="Normal"/>
    <w:next w:val="Normal"/>
    <w:uiPriority w:val="35"/>
    <w:unhideWhenUsed/>
    <w:qFormat/>
    <w:rsid w:val="0006740A"/>
    <w:pPr>
      <w:keepNext/>
      <w:spacing w:before="240" w:after="180" w:line="240" w:lineRule="atLeast"/>
      <w:ind w:left="1077" w:hanging="1077"/>
      <w:contextualSpacing/>
    </w:pPr>
    <w:rPr>
      <w:rFonts w:ascii="Arial" w:hAnsi="Arial" w:cs="Arial"/>
    </w:rPr>
  </w:style>
  <w:style w:type="paragraph" w:styleId="Footer">
    <w:name w:val="footer"/>
    <w:basedOn w:val="Normal"/>
    <w:link w:val="FooterChar"/>
    <w:uiPriority w:val="99"/>
    <w:unhideWhenUsed/>
    <w:rsid w:val="00FC322F"/>
    <w:pPr>
      <w:spacing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color w:val="286B5F" w:themeColor="accent1" w:themeShade="7F"/>
    </w:rPr>
  </w:style>
  <w:style w:type="character" w:customStyle="1" w:styleId="Heading7Char">
    <w:name w:val="Heading 7 Char"/>
    <w:basedOn w:val="DefaultParagraphFont"/>
    <w:link w:val="Heading7"/>
    <w:uiPriority w:val="9"/>
    <w:semiHidden/>
    <w:rsid w:val="00486804"/>
    <w:rPr>
      <w:i/>
      <w:iCs/>
      <w:color w:val="286B5F" w:themeColor="accent1" w:themeShade="7F"/>
    </w:rPr>
  </w:style>
  <w:style w:type="character" w:customStyle="1" w:styleId="Heading8Char">
    <w:name w:val="Heading 8 Char"/>
    <w:basedOn w:val="DefaultParagraphFont"/>
    <w:link w:val="Heading8"/>
    <w:uiPriority w:val="9"/>
    <w:semiHidden/>
    <w:rsid w:val="00486804"/>
    <w:rPr>
      <w:i/>
      <w:iCs/>
      <w:color w:val="272727" w:themeColor="text1" w:themeTint="D8"/>
      <w:sz w:val="21"/>
    </w:rPr>
  </w:style>
  <w:style w:type="character" w:customStyle="1" w:styleId="Heading9Char">
    <w:name w:val="Heading 9 Char"/>
    <w:basedOn w:val="DefaultParagraphFont"/>
    <w:link w:val="Heading9"/>
    <w:uiPriority w:val="9"/>
    <w:rsid w:val="00486804"/>
    <w:rPr>
      <w:color w:val="272727" w:themeColor="text1" w:themeTint="D8"/>
      <w:sz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Char Char,ft,Footnote Text Quote,single space,Footnote Text Char1 Char,Footnote Text Char Char Char,Footnote Text Char1 Char1 Char Char,Footnote Text Char Char Char Char Char,Footnote Text Char1 Char Char Char Char,fn,C,ADB"/>
    <w:basedOn w:val="Normal"/>
    <w:link w:val="FootnoteTextChar"/>
    <w:uiPriority w:val="99"/>
    <w:unhideWhenUsed/>
    <w:qFormat/>
    <w:rsid w:val="00236C22"/>
    <w:pPr>
      <w:spacing w:before="60"/>
      <w:ind w:left="170" w:hanging="170"/>
    </w:pPr>
    <w:rPr>
      <w:rFonts w:ascii="Arial" w:hAnsi="Arial"/>
      <w:color w:val="808080" w:themeColor="background1" w:themeShade="80"/>
      <w:sz w:val="18"/>
      <w:szCs w:val="18"/>
    </w:rPr>
  </w:style>
  <w:style w:type="character" w:customStyle="1" w:styleId="FootnoteTextChar">
    <w:name w:val="Footnote Text Char"/>
    <w:aliases w:val="Char Char Char1,ft Char,Footnote Text Quote Char1,single space Char1,Footnote Text Char1 Char Char,Footnote Text Char Char Char Char,Footnote Text Char1 Char1 Char Char Char,Footnote Text Char Char Char Char Char Char,fn Char,C Char"/>
    <w:basedOn w:val="DefaultParagraphFont"/>
    <w:link w:val="FootnoteText"/>
    <w:uiPriority w:val="99"/>
    <w:qFormat/>
    <w:rsid w:val="00236C22"/>
    <w:rPr>
      <w:rFonts w:ascii="Arial" w:hAnsi="Arial"/>
      <w:color w:val="808080" w:themeColor="background1" w:themeShade="80"/>
      <w:sz w:val="18"/>
      <w:szCs w:val="18"/>
      <w:lang w:val="en-GB"/>
    </w:rPr>
  </w:style>
  <w:style w:type="character" w:styleId="FootnoteReference">
    <w:name w:val="footnote reference"/>
    <w:aliases w:val="Normal + Font:9 Point,Superscript 3 Point Times,Ref,de nota al pie,ftref,16 Point,Superscript 6 Point,BVI fnr,(Diplomarbeit FZ),4_G,註腳內容,註????,Footnote Reference 2,Footnote Reference1,Footnote refernce,ftrf,Error-Fußnotenzeichen5,fr"/>
    <w:basedOn w:val="DefaultParagraphFont"/>
    <w:link w:val="Char2"/>
    <w:uiPriority w:val="99"/>
    <w:unhideWhenUsed/>
    <w:qFormat/>
    <w:rsid w:val="003002C0"/>
    <w:rPr>
      <w:vertAlign w:val="superscript"/>
    </w:rPr>
  </w:style>
  <w:style w:type="paragraph" w:customStyle="1" w:styleId="GreyRoundBoxText">
    <w:name w:val="Grey Round Box Text"/>
    <w:basedOn w:val="Normal"/>
    <w:qFormat/>
    <w:rsid w:val="000D66D6"/>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numbering" w:customStyle="1" w:styleId="CurrentList3">
    <w:name w:val="Current List3"/>
    <w:uiPriority w:val="99"/>
    <w:rsid w:val="00C16A9F"/>
    <w:pPr>
      <w:numPr>
        <w:numId w:val="19"/>
      </w:numPr>
    </w:pPr>
  </w:style>
  <w:style w:type="paragraph" w:customStyle="1" w:styleId="TableBullet1">
    <w:name w:val="Table Bullet 1"/>
    <w:basedOn w:val="TableText"/>
    <w:qFormat/>
    <w:rsid w:val="00E43E11"/>
    <w:pPr>
      <w:numPr>
        <w:numId w:val="26"/>
      </w:numPr>
      <w:ind w:left="171" w:right="35" w:hanging="141"/>
    </w:pPr>
    <w:rPr>
      <w:lang w:val="en-AU"/>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4A09B5"/>
    <w:pPr>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link w:val="TableTextChar"/>
    <w:qFormat/>
    <w:rsid w:val="0007144C"/>
    <w:pPr>
      <w:spacing w:before="60" w:after="40" w:line="240" w:lineRule="exact"/>
    </w:pPr>
    <w:rPr>
      <w:rFonts w:ascii="Calibri Light" w:hAnsi="Calibri Light" w:cs="Calibri Light"/>
      <w:szCs w:val="20"/>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B91543"/>
    <w:pPr>
      <w:tabs>
        <w:tab w:val="left" w:pos="284"/>
      </w:tabs>
      <w:spacing w:before="200" w:line="281" w:lineRule="auto"/>
      <w:jc w:val="both"/>
    </w:pPr>
    <w:rPr>
      <w:sz w:val="21"/>
      <w:szCs w:val="21"/>
      <w:lang w:val="en-AU"/>
    </w:rPr>
  </w:style>
  <w:style w:type="character" w:customStyle="1" w:styleId="BodyTextChar">
    <w:name w:val="Body Text Char"/>
    <w:basedOn w:val="DefaultParagraphFont"/>
    <w:link w:val="BodyText"/>
    <w:uiPriority w:val="99"/>
    <w:rsid w:val="00B91543"/>
    <w:rPr>
      <w:color w:val="495965" w:themeColor="text2"/>
      <w:sz w:val="21"/>
      <w:szCs w:val="21"/>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BodyText"/>
    <w:link w:val="BodyText3Char"/>
    <w:uiPriority w:val="99"/>
    <w:unhideWhenUsed/>
    <w:locked/>
    <w:rsid w:val="0007144C"/>
    <w:pPr>
      <w:spacing w:before="100"/>
      <w:ind w:left="357" w:hanging="357"/>
    </w:pPr>
  </w:style>
  <w:style w:type="character" w:customStyle="1" w:styleId="BodyText3Char">
    <w:name w:val="Body Text 3 Char"/>
    <w:basedOn w:val="DefaultParagraphFont"/>
    <w:link w:val="BodyText3"/>
    <w:uiPriority w:val="99"/>
    <w:rsid w:val="0007144C"/>
    <w:rPr>
      <w:color w:val="495965" w:themeColor="text2"/>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sz w:val="21"/>
      <w:szCs w:val="21"/>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rPr>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CAB - List Bullet,List Bullet Cab,Bullet point,Bullet text,Bulleted Para,Bullets,FooterText,List Paragraph2,Medium Grid 1 - Accent 21,Recommendation,List Paragraph1,References,L,CV text,COOP,Primary Bullet List,F5 List Paragraph,Dot pt"/>
    <w:basedOn w:val="Normal"/>
    <w:link w:val="ListParagraphChar"/>
    <w:uiPriority w:val="34"/>
    <w:qFormat/>
    <w:locked/>
    <w:rsid w:val="00A32858"/>
    <w:pPr>
      <w:ind w:left="720"/>
      <w:contextualSpacing/>
    </w:pPr>
  </w:style>
  <w:style w:type="paragraph" w:styleId="ListBullet">
    <w:name w:val="List Bullet"/>
    <w:basedOn w:val="BodyText"/>
    <w:uiPriority w:val="99"/>
    <w:qFormat/>
    <w:locked/>
    <w:rsid w:val="00A32858"/>
    <w:pPr>
      <w:numPr>
        <w:numId w:val="10"/>
      </w:numPr>
      <w:suppressAutoHyphens w:val="0"/>
      <w:spacing w:before="0" w:after="120" w:line="280" w:lineRule="exact"/>
    </w:pPr>
    <w:rPr>
      <w:rFonts w:ascii="Franklin Gothic Book" w:eastAsia="Times New Roman" w:hAnsi="Franklin Gothic Book" w:cs="Times New Roman"/>
      <w:szCs w:val="24"/>
      <w:lang w:eastAsia="en-AU"/>
    </w:rPr>
  </w:style>
  <w:style w:type="table" w:customStyle="1" w:styleId="TableGrid1">
    <w:name w:val="Table Grid1"/>
    <w:basedOn w:val="TableNormal"/>
    <w:next w:val="TableGrid"/>
    <w:uiPriority w:val="39"/>
    <w:locked/>
    <w:rsid w:val="00B2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B22583"/>
    <w:rPr>
      <w:rFonts w:ascii="Calibri" w:eastAsiaTheme="majorEastAsia" w:hAnsi="Calibri" w:cstheme="majorBidi"/>
      <w:b/>
      <w:bCs/>
      <w:caps/>
      <w:color w:val="7C8C88"/>
      <w:sz w:val="26"/>
      <w:szCs w:val="26"/>
      <w:lang w:val="en-GB" w:eastAsia="en-GB"/>
    </w:rPr>
  </w:style>
  <w:style w:type="paragraph" w:customStyle="1" w:styleId="Tablecolumnheading">
    <w:name w:val="Table column heading"/>
    <w:basedOn w:val="Normal"/>
    <w:qFormat/>
    <w:rsid w:val="00B22583"/>
    <w:pPr>
      <w:keepNext/>
      <w:suppressAutoHyphens w:val="0"/>
      <w:spacing w:before="57" w:after="57" w:line="220" w:lineRule="atLeast"/>
      <w:ind w:left="96" w:right="96"/>
      <w:jc w:val="center"/>
    </w:pPr>
    <w:rPr>
      <w:rFonts w:eastAsia="Times New Roman" w:cs="Times New Roman"/>
      <w:b/>
      <w:color w:val="FFFFFF" w:themeColor="background1"/>
      <w:szCs w:val="20"/>
      <w:lang w:val="en-AU"/>
    </w:rPr>
  </w:style>
  <w:style w:type="paragraph" w:customStyle="1" w:styleId="BodyTextHanging">
    <w:name w:val="Body Text Hanging"/>
    <w:basedOn w:val="BodyText3"/>
    <w:link w:val="BodyTextHangingChar"/>
    <w:qFormat/>
    <w:rsid w:val="00442B62"/>
    <w:pPr>
      <w:tabs>
        <w:tab w:val="clear" w:pos="284"/>
        <w:tab w:val="left" w:pos="360"/>
      </w:tabs>
      <w:ind w:left="360" w:hanging="360"/>
    </w:pPr>
  </w:style>
  <w:style w:type="character" w:customStyle="1" w:styleId="BodyTextHangingChar">
    <w:name w:val="Body Text Hanging Char"/>
    <w:basedOn w:val="BodyTextChar"/>
    <w:link w:val="BodyTextHanging"/>
    <w:rsid w:val="00442B62"/>
    <w:rPr>
      <w:color w:val="495965" w:themeColor="text2"/>
      <w:sz w:val="21"/>
      <w:szCs w:val="21"/>
      <w:lang w:val="en-GB"/>
    </w:rPr>
  </w:style>
  <w:style w:type="table" w:styleId="GridTable1Light">
    <w:name w:val="Grid Table 1 Light"/>
    <w:basedOn w:val="TableNormal"/>
    <w:uiPriority w:val="46"/>
    <w:locked/>
    <w:rsid w:val="003617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074"/>
    <w:rPr>
      <w:color w:val="800080" w:themeColor="followedHyperlink"/>
      <w:u w:val="single"/>
    </w:rPr>
  </w:style>
  <w:style w:type="paragraph" w:styleId="NormalWeb">
    <w:name w:val="Normal (Web)"/>
    <w:basedOn w:val="Normal"/>
    <w:uiPriority w:val="99"/>
    <w:unhideWhenUsed/>
    <w:rsid w:val="00C34E05"/>
    <w:pPr>
      <w:suppressAutoHyphens w:val="0"/>
      <w:spacing w:before="100" w:beforeAutospacing="1" w:after="100" w:afterAutospacing="1"/>
    </w:pPr>
    <w:rPr>
      <w:rFonts w:ascii="Times New Roman" w:eastAsia="Times New Roman" w:hAnsi="Times New Roman" w:cs="Times New Roman"/>
      <w:color w:val="auto"/>
      <w:sz w:val="24"/>
      <w:szCs w:val="24"/>
      <w:lang w:val="en-AU" w:eastAsia="en-GB"/>
    </w:rPr>
  </w:style>
  <w:style w:type="character" w:customStyle="1" w:styleId="js-about-item-abstr">
    <w:name w:val="js-about-item-abstr"/>
    <w:basedOn w:val="DefaultParagraphFont"/>
    <w:rsid w:val="00580FA0"/>
  </w:style>
  <w:style w:type="character" w:customStyle="1" w:styleId="ListParagraphChar">
    <w:name w:val="List Paragraph Char"/>
    <w:aliases w:val="CAB - List Bullet Char,List Bullet Cab Char,Bullet point Char,Bullet text Char,Bulleted Para Char,Bullets Char,FooterText Char,List Paragraph2 Char,Medium Grid 1 - Accent 21 Char,Recommendation Char,List Paragraph1 Char,L Char"/>
    <w:link w:val="ListParagraph"/>
    <w:uiPriority w:val="34"/>
    <w:qFormat/>
    <w:locked/>
    <w:rsid w:val="004E0567"/>
    <w:rPr>
      <w:color w:val="495965" w:themeColor="text2"/>
      <w:lang w:val="en-GB"/>
    </w:rPr>
  </w:style>
  <w:style w:type="paragraph" w:styleId="List">
    <w:name w:val="List"/>
    <w:basedOn w:val="BodyText"/>
    <w:uiPriority w:val="99"/>
    <w:unhideWhenUsed/>
    <w:locked/>
    <w:rsid w:val="00AC1A42"/>
    <w:pPr>
      <w:suppressAutoHyphens w:val="0"/>
      <w:spacing w:before="100"/>
      <w:ind w:left="357"/>
    </w:pPr>
    <w:rPr>
      <w:rFonts w:eastAsia="Times New Roman" w:cs="Times New Roman"/>
      <w:color w:val="auto"/>
      <w:szCs w:val="24"/>
      <w:lang w:eastAsia="en-GB"/>
    </w:rPr>
  </w:style>
  <w:style w:type="paragraph" w:styleId="ListNumber">
    <w:name w:val="List Number"/>
    <w:basedOn w:val="ListNumber2"/>
    <w:qFormat/>
    <w:locked/>
    <w:rsid w:val="004A09B5"/>
    <w:pPr>
      <w:numPr>
        <w:numId w:val="15"/>
      </w:numPr>
      <w:spacing w:before="100" w:line="240" w:lineRule="exact"/>
      <w:contextualSpacing w:val="0"/>
    </w:pPr>
  </w:style>
  <w:style w:type="character" w:customStyle="1" w:styleId="TableTextChar">
    <w:name w:val="Table Text Char"/>
    <w:basedOn w:val="DefaultParagraphFont"/>
    <w:link w:val="TableText"/>
    <w:rsid w:val="0007144C"/>
    <w:rPr>
      <w:rFonts w:ascii="Calibri Light" w:hAnsi="Calibri Light" w:cs="Calibri Light"/>
      <w:color w:val="495965" w:themeColor="text2"/>
      <w:sz w:val="20"/>
      <w:szCs w:val="20"/>
      <w:lang w:val="en-GB"/>
    </w:rPr>
  </w:style>
  <w:style w:type="paragraph" w:customStyle="1" w:styleId="TableHeaderWhite">
    <w:name w:val="Table Header White"/>
    <w:basedOn w:val="TableText"/>
    <w:qFormat/>
    <w:rsid w:val="009144D3"/>
    <w:pPr>
      <w:suppressAutoHyphens w:val="0"/>
      <w:spacing w:beforeLines="40" w:before="96" w:afterLines="20" w:after="48" w:line="240" w:lineRule="auto"/>
    </w:pPr>
    <w:rPr>
      <w:rFonts w:ascii="Arial" w:eastAsia="Times New Roman" w:hAnsi="Arial" w:cs="Arial"/>
      <w:b/>
      <w:bCs/>
      <w:color w:val="FFFFFF" w:themeColor="background1" w:themeTint="BF"/>
      <w:sz w:val="21"/>
      <w:lang w:val="en-AU" w:eastAsia="en-GB"/>
    </w:rPr>
  </w:style>
  <w:style w:type="paragraph" w:customStyle="1" w:styleId="Char2">
    <w:name w:val="Char2"/>
    <w:basedOn w:val="Normal"/>
    <w:link w:val="FootnoteReference"/>
    <w:uiPriority w:val="99"/>
    <w:rsid w:val="005D72C7"/>
    <w:pPr>
      <w:suppressAutoHyphens w:val="0"/>
      <w:spacing w:after="160" w:line="240" w:lineRule="exact"/>
      <w:jc w:val="both"/>
    </w:pPr>
    <w:rPr>
      <w:color w:val="auto"/>
      <w:vertAlign w:val="superscript"/>
      <w:lang w:val="en-AU"/>
    </w:rPr>
  </w:style>
  <w:style w:type="paragraph" w:customStyle="1" w:styleId="Annexheading2">
    <w:name w:val="Annex heading 2"/>
    <w:qFormat/>
    <w:rsid w:val="00D21678"/>
    <w:pPr>
      <w:numPr>
        <w:ilvl w:val="1"/>
        <w:numId w:val="12"/>
      </w:numPr>
      <w:spacing w:before="300" w:after="200" w:line="300" w:lineRule="exact"/>
    </w:pPr>
    <w:rPr>
      <w:rFonts w:ascii="Arial" w:hAnsi="Arial"/>
      <w:bCs/>
      <w:color w:val="495965" w:themeColor="text2"/>
      <w:sz w:val="24"/>
      <w:szCs w:val="26"/>
      <w:lang w:val="en-GB"/>
    </w:rPr>
  </w:style>
  <w:style w:type="character" w:customStyle="1" w:styleId="metacategory">
    <w:name w:val="meta__category"/>
    <w:basedOn w:val="DefaultParagraphFont"/>
    <w:rsid w:val="00D21678"/>
  </w:style>
  <w:style w:type="character" w:customStyle="1" w:styleId="metadate">
    <w:name w:val="meta__date"/>
    <w:basedOn w:val="DefaultParagraphFont"/>
    <w:rsid w:val="00D21678"/>
  </w:style>
  <w:style w:type="character" w:customStyle="1" w:styleId="tweetable">
    <w:name w:val="tweetable"/>
    <w:basedOn w:val="DefaultParagraphFont"/>
    <w:rsid w:val="00F84B63"/>
  </w:style>
  <w:style w:type="paragraph" w:styleId="BodyTextIndent3">
    <w:name w:val="Body Text Indent 3"/>
    <w:basedOn w:val="Normal"/>
    <w:link w:val="BodyTextIndent3Char"/>
    <w:uiPriority w:val="99"/>
    <w:unhideWhenUsed/>
    <w:locked/>
    <w:rsid w:val="00F84B63"/>
    <w:pPr>
      <w:suppressAutoHyphens w:val="0"/>
      <w:spacing w:after="120"/>
      <w:ind w:left="283"/>
    </w:pPr>
    <w:rPr>
      <w:rFonts w:ascii="Times New Roman" w:eastAsia="Times New Roman" w:hAnsi="Times New Roman" w:cs="Times New Roman"/>
      <w:color w:val="auto"/>
      <w:sz w:val="16"/>
      <w:szCs w:val="16"/>
      <w:lang w:val="en-AU" w:eastAsia="en-GB"/>
    </w:rPr>
  </w:style>
  <w:style w:type="character" w:customStyle="1" w:styleId="BodyTextIndent3Char">
    <w:name w:val="Body Text Indent 3 Char"/>
    <w:basedOn w:val="DefaultParagraphFont"/>
    <w:link w:val="BodyTextIndent3"/>
    <w:uiPriority w:val="99"/>
    <w:rsid w:val="00F84B63"/>
    <w:rPr>
      <w:rFonts w:ascii="Times New Roman" w:eastAsia="Times New Roman" w:hAnsi="Times New Roman" w:cs="Times New Roman"/>
      <w:sz w:val="16"/>
      <w:szCs w:val="16"/>
      <w:lang w:eastAsia="en-GB"/>
    </w:rPr>
  </w:style>
  <w:style w:type="numbering" w:customStyle="1" w:styleId="CurrentList1">
    <w:name w:val="Current List1"/>
    <w:uiPriority w:val="99"/>
    <w:rsid w:val="00E15862"/>
    <w:pPr>
      <w:numPr>
        <w:numId w:val="16"/>
      </w:numPr>
    </w:pPr>
  </w:style>
  <w:style w:type="numbering" w:customStyle="1" w:styleId="CurrentList2">
    <w:name w:val="Current List2"/>
    <w:uiPriority w:val="99"/>
    <w:rsid w:val="00C16A9F"/>
    <w:pPr>
      <w:numPr>
        <w:numId w:val="17"/>
      </w:numPr>
    </w:pPr>
  </w:style>
  <w:style w:type="paragraph" w:styleId="ListNumber2">
    <w:name w:val="List Number 2"/>
    <w:basedOn w:val="Normal"/>
    <w:uiPriority w:val="99"/>
    <w:unhideWhenUsed/>
    <w:locked/>
    <w:rsid w:val="004A09B5"/>
    <w:pPr>
      <w:numPr>
        <w:numId w:val="33"/>
      </w:numPr>
      <w:contextualSpacing/>
    </w:pPr>
  </w:style>
  <w:style w:type="paragraph" w:customStyle="1" w:styleId="Annexheading1">
    <w:name w:val="Annex heading 1"/>
    <w:qFormat/>
    <w:rsid w:val="004B06C0"/>
    <w:pPr>
      <w:pageBreakBefore/>
      <w:numPr>
        <w:numId w:val="21"/>
      </w:numPr>
      <w:pBdr>
        <w:bottom w:val="single" w:sz="18" w:space="1" w:color="7F7F7F" w:themeColor="text1" w:themeTint="80"/>
      </w:pBdr>
    </w:pPr>
    <w:rPr>
      <w:rFonts w:ascii="Arial" w:eastAsia="Times New Roman" w:hAnsi="Arial" w:cs="Times New Roman (Body CS)"/>
      <w:bCs/>
      <w:sz w:val="24"/>
      <w:szCs w:val="26"/>
      <w:lang w:eastAsia="en-GB"/>
    </w:rPr>
  </w:style>
  <w:style w:type="paragraph" w:customStyle="1" w:styleId="TableText8ptitalics">
    <w:name w:val="Table Text 8 pt italics"/>
    <w:basedOn w:val="TableText"/>
    <w:qFormat/>
    <w:rsid w:val="00EB1CD0"/>
    <w:pPr>
      <w:spacing w:before="40" w:after="20" w:line="200" w:lineRule="exact"/>
    </w:pPr>
    <w:rPr>
      <w:i/>
      <w:iCs/>
      <w:sz w:val="16"/>
      <w:szCs w:val="16"/>
    </w:rPr>
  </w:style>
  <w:style w:type="paragraph" w:styleId="ListBullet3">
    <w:name w:val="List Bullet 3"/>
    <w:basedOn w:val="TableText"/>
    <w:uiPriority w:val="99"/>
    <w:unhideWhenUsed/>
    <w:locked/>
    <w:rsid w:val="005A366F"/>
    <w:pPr>
      <w:numPr>
        <w:numId w:val="23"/>
      </w:numPr>
      <w:spacing w:before="40" w:after="0"/>
    </w:pPr>
  </w:style>
  <w:style w:type="character" w:customStyle="1" w:styleId="apple-converted-space">
    <w:name w:val="apple-converted-space"/>
    <w:basedOn w:val="DefaultParagraphFont"/>
    <w:rsid w:val="002F6CB2"/>
  </w:style>
  <w:style w:type="character" w:styleId="UnresolvedMention">
    <w:name w:val="Unresolved Mention"/>
    <w:basedOn w:val="DefaultParagraphFont"/>
    <w:uiPriority w:val="99"/>
    <w:semiHidden/>
    <w:unhideWhenUsed/>
    <w:rsid w:val="006F182D"/>
    <w:rPr>
      <w:color w:val="605E5C"/>
      <w:shd w:val="clear" w:color="auto" w:fill="E1DFDD"/>
    </w:rPr>
  </w:style>
  <w:style w:type="character" w:customStyle="1" w:styleId="ts-alignment-element">
    <w:name w:val="ts-alignment-element"/>
    <w:basedOn w:val="DefaultParagraphFont"/>
    <w:rsid w:val="00143F6A"/>
  </w:style>
  <w:style w:type="paragraph" w:styleId="Revision">
    <w:name w:val="Revision"/>
    <w:hidden/>
    <w:uiPriority w:val="99"/>
    <w:semiHidden/>
    <w:rsid w:val="00926B38"/>
    <w:pPr>
      <w:spacing w:after="0" w:line="240" w:lineRule="auto"/>
    </w:pPr>
    <w:rPr>
      <w:color w:val="495965" w:themeColor="text2"/>
      <w:sz w:val="20"/>
      <w:lang w:val="en-GB"/>
    </w:rPr>
  </w:style>
  <w:style w:type="numbering" w:customStyle="1" w:styleId="CurrentList5">
    <w:name w:val="Current List5"/>
    <w:uiPriority w:val="99"/>
    <w:rsid w:val="009C1146"/>
    <w:pPr>
      <w:numPr>
        <w:numId w:val="28"/>
      </w:numPr>
    </w:pPr>
  </w:style>
  <w:style w:type="paragraph" w:customStyle="1" w:styleId="LADLFHeading2">
    <w:name w:val="LADLF Heading 2"/>
    <w:basedOn w:val="Heading2"/>
    <w:link w:val="LADLFHeading2Char"/>
    <w:qFormat/>
    <w:rsid w:val="003F23EF"/>
    <w:pPr>
      <w:numPr>
        <w:ilvl w:val="0"/>
        <w:numId w:val="0"/>
      </w:numPr>
      <w:spacing w:before="240" w:after="120" w:line="288" w:lineRule="auto"/>
      <w:ind w:left="1440" w:hanging="360"/>
      <w:jc w:val="both"/>
    </w:pPr>
    <w:rPr>
      <w:rFonts w:eastAsiaTheme="majorEastAsia" w:cs="Arial"/>
      <w:b/>
      <w:iCs/>
      <w:noProof/>
      <w:color w:val="3DA18F" w:themeColor="accent1" w:themeShade="BF"/>
      <w:sz w:val="28"/>
      <w:szCs w:val="32"/>
    </w:rPr>
  </w:style>
  <w:style w:type="character" w:customStyle="1" w:styleId="LADLFHeading2Char">
    <w:name w:val="LADLF Heading 2 Char"/>
    <w:basedOn w:val="Heading2Char"/>
    <w:link w:val="LADLFHeading2"/>
    <w:rsid w:val="003F23EF"/>
    <w:rPr>
      <w:rFonts w:ascii="Arial" w:eastAsiaTheme="majorEastAsia" w:hAnsi="Arial" w:cs="Arial"/>
      <w:b/>
      <w:bCs/>
      <w:iCs/>
      <w:noProof/>
      <w:color w:val="3DA18F" w:themeColor="accent1" w:themeShade="BF"/>
      <w:sz w:val="28"/>
      <w:szCs w:val="32"/>
      <w:lang w:eastAsia="en-GB"/>
    </w:rPr>
  </w:style>
  <w:style w:type="table" w:customStyle="1" w:styleId="TableGrid11">
    <w:name w:val="Table Grid11"/>
    <w:basedOn w:val="TableNormal"/>
    <w:next w:val="TableGrid"/>
    <w:uiPriority w:val="39"/>
    <w:rsid w:val="00C12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autoRedefine/>
    <w:qFormat/>
    <w:rsid w:val="00BB2F38"/>
    <w:pPr>
      <w:spacing w:before="60" w:after="60" w:line="260" w:lineRule="exact"/>
    </w:pPr>
    <w:rPr>
      <w:color w:val="000000" w:themeColor="text1"/>
    </w:rPr>
  </w:style>
  <w:style w:type="paragraph" w:customStyle="1" w:styleId="ListNumbered">
    <w:name w:val="List Numbered"/>
    <w:basedOn w:val="Body"/>
    <w:qFormat/>
    <w:rsid w:val="00BB2F38"/>
    <w:pPr>
      <w:numPr>
        <w:numId w:val="41"/>
      </w:numPr>
      <w:ind w:left="568" w:hanging="284"/>
    </w:pPr>
  </w:style>
  <w:style w:type="character" w:customStyle="1" w:styleId="BodyChar">
    <w:name w:val="Body Char"/>
    <w:basedOn w:val="DefaultParagraphFont"/>
    <w:link w:val="Body"/>
    <w:rsid w:val="00BB2F38"/>
    <w:rPr>
      <w:color w:val="000000" w:themeColor="text1"/>
    </w:rPr>
  </w:style>
  <w:style w:type="paragraph" w:styleId="BodyTextIndent2">
    <w:name w:val="Body Text Indent 2"/>
    <w:basedOn w:val="Normal"/>
    <w:link w:val="BodyTextIndent2Char"/>
    <w:uiPriority w:val="99"/>
    <w:semiHidden/>
    <w:unhideWhenUsed/>
    <w:locked/>
    <w:rsid w:val="00BB2F38"/>
    <w:pPr>
      <w:spacing w:before="120" w:after="120" w:line="480" w:lineRule="auto"/>
      <w:ind w:left="283"/>
    </w:pPr>
    <w:rPr>
      <w:rFonts w:cstheme="majorBidi"/>
      <w:color w:val="000000" w:themeColor="text1"/>
      <w:sz w:val="22"/>
      <w:szCs w:val="32"/>
      <w:lang w:val="en-AU"/>
    </w:rPr>
  </w:style>
  <w:style w:type="character" w:customStyle="1" w:styleId="BodyTextIndent2Char">
    <w:name w:val="Body Text Indent 2 Char"/>
    <w:basedOn w:val="DefaultParagraphFont"/>
    <w:link w:val="BodyTextIndent2"/>
    <w:uiPriority w:val="99"/>
    <w:semiHidden/>
    <w:rsid w:val="00BB2F38"/>
    <w:rPr>
      <w:rFonts w:cstheme="majorBidi"/>
      <w:color w:val="000000" w:themeColor="text1"/>
      <w:szCs w:val="32"/>
    </w:rPr>
  </w:style>
  <w:style w:type="character" w:customStyle="1" w:styleId="FootnoteTextChar1">
    <w:name w:val="Footnote Text Char1"/>
    <w:aliases w:val="Char Char Char,ft Char1,Footnote Text Quote Char,single space Char,Footnote Text Char1 Char Char1,Footnote Text Char Char Char Char1,Footnote Text Char1 Char1 Char Char Char1,Footnote Text Char Char Char Char Char Char1,fn Char1"/>
    <w:basedOn w:val="DefaultParagraphFont"/>
    <w:uiPriority w:val="99"/>
    <w:rsid w:val="0057341A"/>
    <w:rPr>
      <w:sz w:val="20"/>
      <w:szCs w:val="20"/>
    </w:rPr>
  </w:style>
  <w:style w:type="table" w:styleId="GridTable2-Accent1">
    <w:name w:val="Grid Table 2 Accent 1"/>
    <w:basedOn w:val="TableNormal"/>
    <w:uiPriority w:val="47"/>
    <w:locked/>
    <w:rsid w:val="00850D67"/>
    <w:pPr>
      <w:spacing w:after="0" w:line="240" w:lineRule="auto"/>
    </w:pPr>
    <w:tblPr>
      <w:tblStyleRowBandSize w:val="1"/>
      <w:tblStyleColBandSize w:val="1"/>
      <w:tblBorders>
        <w:top w:val="single" w:sz="2" w:space="0" w:color="A2DCD1" w:themeColor="accent1" w:themeTint="99"/>
        <w:bottom w:val="single" w:sz="2" w:space="0" w:color="A2DCD1" w:themeColor="accent1" w:themeTint="99"/>
        <w:insideH w:val="single" w:sz="2" w:space="0" w:color="A2DCD1" w:themeColor="accent1" w:themeTint="99"/>
        <w:insideV w:val="single" w:sz="2" w:space="0" w:color="A2DCD1" w:themeColor="accent1" w:themeTint="99"/>
      </w:tblBorders>
    </w:tblPr>
    <w:tblStylePr w:type="firstRow">
      <w:rPr>
        <w:b/>
        <w:bCs/>
      </w:rPr>
      <w:tblPr/>
      <w:tcPr>
        <w:tcBorders>
          <w:top w:val="nil"/>
          <w:bottom w:val="single" w:sz="12" w:space="0" w:color="A2DCD1" w:themeColor="accent1" w:themeTint="99"/>
          <w:insideH w:val="nil"/>
          <w:insideV w:val="nil"/>
        </w:tcBorders>
        <w:shd w:val="clear" w:color="auto" w:fill="FFFFFF" w:themeFill="background1"/>
      </w:tcPr>
    </w:tblStylePr>
    <w:tblStylePr w:type="lastRow">
      <w:rPr>
        <w:b/>
        <w:bCs/>
      </w:rPr>
      <w:tblPr/>
      <w:tcPr>
        <w:tcBorders>
          <w:top w:val="double" w:sz="2" w:space="0" w:color="A2DCD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GridTable5Dark-Accent2">
    <w:name w:val="Grid Table 5 Dark Accent 2"/>
    <w:basedOn w:val="TableNormal"/>
    <w:uiPriority w:val="50"/>
    <w:locked/>
    <w:rsid w:val="00850D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5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D0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D0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D0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D08C" w:themeFill="accent2"/>
      </w:tcPr>
    </w:tblStylePr>
    <w:tblStylePr w:type="band1Vert">
      <w:tblPr/>
      <w:tcPr>
        <w:shd w:val="clear" w:color="auto" w:fill="DDECD0" w:themeFill="accent2" w:themeFillTint="66"/>
      </w:tcPr>
    </w:tblStylePr>
    <w:tblStylePr w:type="band1Horz">
      <w:tblPr/>
      <w:tcPr>
        <w:shd w:val="clear" w:color="auto" w:fill="DDECD0" w:themeFill="accent2" w:themeFillTint="66"/>
      </w:tcPr>
    </w:tblStylePr>
  </w:style>
  <w:style w:type="table" w:styleId="GridTable3-Accent5">
    <w:name w:val="Grid Table 3 Accent 5"/>
    <w:basedOn w:val="TableNormal"/>
    <w:uiPriority w:val="48"/>
    <w:locked/>
    <w:rsid w:val="0019245B"/>
    <w:pPr>
      <w:spacing w:after="0" w:line="240" w:lineRule="auto"/>
    </w:pPr>
    <w:tblPr>
      <w:tblStyleRowBandSize w:val="1"/>
      <w:tblStyleColBandSize w:val="1"/>
      <w:tblBorders>
        <w:top w:val="single" w:sz="4" w:space="0" w:color="84CDA2" w:themeColor="accent5" w:themeTint="99"/>
        <w:left w:val="single" w:sz="4" w:space="0" w:color="84CDA2" w:themeColor="accent5" w:themeTint="99"/>
        <w:bottom w:val="single" w:sz="4" w:space="0" w:color="84CDA2" w:themeColor="accent5" w:themeTint="99"/>
        <w:right w:val="single" w:sz="4" w:space="0" w:color="84CDA2" w:themeColor="accent5" w:themeTint="99"/>
        <w:insideH w:val="single" w:sz="4" w:space="0" w:color="84CDA2" w:themeColor="accent5" w:themeTint="99"/>
        <w:insideV w:val="single" w:sz="4" w:space="0" w:color="84CDA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EE0" w:themeFill="accent5" w:themeFillTint="33"/>
      </w:tcPr>
    </w:tblStylePr>
    <w:tblStylePr w:type="band1Horz">
      <w:tblPr/>
      <w:tcPr>
        <w:shd w:val="clear" w:color="auto" w:fill="D5EEE0" w:themeFill="accent5" w:themeFillTint="33"/>
      </w:tcPr>
    </w:tblStylePr>
    <w:tblStylePr w:type="neCell">
      <w:tblPr/>
      <w:tcPr>
        <w:tcBorders>
          <w:bottom w:val="single" w:sz="4" w:space="0" w:color="84CDA2" w:themeColor="accent5" w:themeTint="99"/>
        </w:tcBorders>
      </w:tcPr>
    </w:tblStylePr>
    <w:tblStylePr w:type="nwCell">
      <w:tblPr/>
      <w:tcPr>
        <w:tcBorders>
          <w:bottom w:val="single" w:sz="4" w:space="0" w:color="84CDA2" w:themeColor="accent5" w:themeTint="99"/>
        </w:tcBorders>
      </w:tcPr>
    </w:tblStylePr>
    <w:tblStylePr w:type="seCell">
      <w:tblPr/>
      <w:tcPr>
        <w:tcBorders>
          <w:top w:val="single" w:sz="4" w:space="0" w:color="84CDA2" w:themeColor="accent5" w:themeTint="99"/>
        </w:tcBorders>
      </w:tcPr>
    </w:tblStylePr>
    <w:tblStylePr w:type="swCell">
      <w:tblPr/>
      <w:tcPr>
        <w:tcBorders>
          <w:top w:val="single" w:sz="4" w:space="0" w:color="84CDA2" w:themeColor="accent5" w:themeTint="99"/>
        </w:tcBorders>
      </w:tcPr>
    </w:tblStylePr>
  </w:style>
  <w:style w:type="table" w:styleId="GridTable4-Accent2">
    <w:name w:val="Grid Table 4 Accent 2"/>
    <w:basedOn w:val="TableNormal"/>
    <w:uiPriority w:val="49"/>
    <w:locked/>
    <w:rsid w:val="0019245B"/>
    <w:pPr>
      <w:spacing w:after="0" w:line="240" w:lineRule="auto"/>
    </w:pPr>
    <w:tblPr>
      <w:tblStyleRowBandSize w:val="1"/>
      <w:tblStyleColBandSize w:val="1"/>
      <w:tblBorders>
        <w:top w:val="single" w:sz="4" w:space="0" w:color="CDE2B9" w:themeColor="accent2" w:themeTint="99"/>
        <w:left w:val="single" w:sz="4" w:space="0" w:color="CDE2B9" w:themeColor="accent2" w:themeTint="99"/>
        <w:bottom w:val="single" w:sz="4" w:space="0" w:color="CDE2B9" w:themeColor="accent2" w:themeTint="99"/>
        <w:right w:val="single" w:sz="4" w:space="0" w:color="CDE2B9" w:themeColor="accent2" w:themeTint="99"/>
        <w:insideH w:val="single" w:sz="4" w:space="0" w:color="CDE2B9" w:themeColor="accent2" w:themeTint="99"/>
        <w:insideV w:val="single" w:sz="4" w:space="0" w:color="CDE2B9" w:themeColor="accent2" w:themeTint="99"/>
      </w:tblBorders>
    </w:tblPr>
    <w:tblStylePr w:type="firstRow">
      <w:rPr>
        <w:b/>
        <w:bCs/>
        <w:color w:val="FFFFFF" w:themeColor="background1"/>
      </w:rPr>
      <w:tblPr/>
      <w:tcPr>
        <w:tcBorders>
          <w:top w:val="single" w:sz="4" w:space="0" w:color="ACD08C" w:themeColor="accent2"/>
          <w:left w:val="single" w:sz="4" w:space="0" w:color="ACD08C" w:themeColor="accent2"/>
          <w:bottom w:val="single" w:sz="4" w:space="0" w:color="ACD08C" w:themeColor="accent2"/>
          <w:right w:val="single" w:sz="4" w:space="0" w:color="ACD08C" w:themeColor="accent2"/>
          <w:insideH w:val="nil"/>
          <w:insideV w:val="nil"/>
        </w:tcBorders>
        <w:shd w:val="clear" w:color="auto" w:fill="ACD08C" w:themeFill="accent2"/>
      </w:tcPr>
    </w:tblStylePr>
    <w:tblStylePr w:type="lastRow">
      <w:rPr>
        <w:b/>
        <w:bCs/>
      </w:rPr>
      <w:tblPr/>
      <w:tcPr>
        <w:tcBorders>
          <w:top w:val="double" w:sz="4" w:space="0" w:color="ACD08C" w:themeColor="accent2"/>
        </w:tcBorders>
      </w:tcPr>
    </w:tblStylePr>
    <w:tblStylePr w:type="firstCol">
      <w:rPr>
        <w:b/>
        <w:bCs/>
      </w:rPr>
    </w:tblStylePr>
    <w:tblStylePr w:type="lastCol">
      <w:rPr>
        <w:b/>
        <w:bCs/>
      </w:rPr>
    </w:tblStylePr>
    <w:tblStylePr w:type="band1Vert">
      <w:tblPr/>
      <w:tcPr>
        <w:shd w:val="clear" w:color="auto" w:fill="EEF5E7" w:themeFill="accent2" w:themeFillTint="33"/>
      </w:tcPr>
    </w:tblStylePr>
    <w:tblStylePr w:type="band1Horz">
      <w:tblPr/>
      <w:tcPr>
        <w:shd w:val="clear" w:color="auto" w:fill="EEF5E7" w:themeFill="accent2" w:themeFillTint="33"/>
      </w:tcPr>
    </w:tblStylePr>
  </w:style>
  <w:style w:type="table" w:styleId="GridTable3-Accent2">
    <w:name w:val="Grid Table 3 Accent 2"/>
    <w:basedOn w:val="TableNormal"/>
    <w:uiPriority w:val="48"/>
    <w:locked/>
    <w:rsid w:val="0019245B"/>
    <w:pPr>
      <w:spacing w:after="0" w:line="240" w:lineRule="auto"/>
    </w:pPr>
    <w:tblPr>
      <w:tblStyleRowBandSize w:val="1"/>
      <w:tblStyleColBandSize w:val="1"/>
      <w:tblBorders>
        <w:top w:val="single" w:sz="4" w:space="0" w:color="CDE2B9" w:themeColor="accent2" w:themeTint="99"/>
        <w:left w:val="single" w:sz="4" w:space="0" w:color="CDE2B9" w:themeColor="accent2" w:themeTint="99"/>
        <w:bottom w:val="single" w:sz="4" w:space="0" w:color="CDE2B9" w:themeColor="accent2" w:themeTint="99"/>
        <w:right w:val="single" w:sz="4" w:space="0" w:color="CDE2B9" w:themeColor="accent2" w:themeTint="99"/>
        <w:insideH w:val="single" w:sz="4" w:space="0" w:color="CDE2B9" w:themeColor="accent2" w:themeTint="99"/>
        <w:insideV w:val="single" w:sz="4" w:space="0" w:color="CDE2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5E7" w:themeFill="accent2" w:themeFillTint="33"/>
      </w:tcPr>
    </w:tblStylePr>
    <w:tblStylePr w:type="band1Horz">
      <w:tblPr/>
      <w:tcPr>
        <w:shd w:val="clear" w:color="auto" w:fill="EEF5E7" w:themeFill="accent2" w:themeFillTint="33"/>
      </w:tcPr>
    </w:tblStylePr>
    <w:tblStylePr w:type="neCell">
      <w:tblPr/>
      <w:tcPr>
        <w:tcBorders>
          <w:bottom w:val="single" w:sz="4" w:space="0" w:color="CDE2B9" w:themeColor="accent2" w:themeTint="99"/>
        </w:tcBorders>
      </w:tcPr>
    </w:tblStylePr>
    <w:tblStylePr w:type="nwCell">
      <w:tblPr/>
      <w:tcPr>
        <w:tcBorders>
          <w:bottom w:val="single" w:sz="4" w:space="0" w:color="CDE2B9" w:themeColor="accent2" w:themeTint="99"/>
        </w:tcBorders>
      </w:tcPr>
    </w:tblStylePr>
    <w:tblStylePr w:type="seCell">
      <w:tblPr/>
      <w:tcPr>
        <w:tcBorders>
          <w:top w:val="single" w:sz="4" w:space="0" w:color="CDE2B9" w:themeColor="accent2" w:themeTint="99"/>
        </w:tcBorders>
      </w:tcPr>
    </w:tblStylePr>
    <w:tblStylePr w:type="swCell">
      <w:tblPr/>
      <w:tcPr>
        <w:tcBorders>
          <w:top w:val="single" w:sz="4" w:space="0" w:color="CDE2B9" w:themeColor="accent2" w:themeTint="99"/>
        </w:tcBorders>
      </w:tcPr>
    </w:tblStylePr>
  </w:style>
  <w:style w:type="table" w:styleId="GridTable6Colorful-Accent5">
    <w:name w:val="Grid Table 6 Colorful Accent 5"/>
    <w:basedOn w:val="TableNormal"/>
    <w:uiPriority w:val="51"/>
    <w:locked/>
    <w:rsid w:val="0019245B"/>
    <w:pPr>
      <w:spacing w:after="0" w:line="240" w:lineRule="auto"/>
    </w:pPr>
    <w:rPr>
      <w:color w:val="30774D" w:themeColor="accent5" w:themeShade="BF"/>
    </w:rPr>
    <w:tblPr>
      <w:tblStyleRowBandSize w:val="1"/>
      <w:tblStyleColBandSize w:val="1"/>
      <w:tblBorders>
        <w:top w:val="single" w:sz="4" w:space="0" w:color="84CDA2" w:themeColor="accent5" w:themeTint="99"/>
        <w:left w:val="single" w:sz="4" w:space="0" w:color="84CDA2" w:themeColor="accent5" w:themeTint="99"/>
        <w:bottom w:val="single" w:sz="4" w:space="0" w:color="84CDA2" w:themeColor="accent5" w:themeTint="99"/>
        <w:right w:val="single" w:sz="4" w:space="0" w:color="84CDA2" w:themeColor="accent5" w:themeTint="99"/>
        <w:insideH w:val="single" w:sz="4" w:space="0" w:color="84CDA2" w:themeColor="accent5" w:themeTint="99"/>
        <w:insideV w:val="single" w:sz="4" w:space="0" w:color="84CDA2" w:themeColor="accent5" w:themeTint="99"/>
      </w:tblBorders>
    </w:tblPr>
    <w:tblStylePr w:type="firstRow">
      <w:rPr>
        <w:b/>
        <w:bCs/>
      </w:rPr>
      <w:tblPr/>
      <w:tcPr>
        <w:tcBorders>
          <w:bottom w:val="single" w:sz="12" w:space="0" w:color="84CDA2" w:themeColor="accent5" w:themeTint="99"/>
        </w:tcBorders>
      </w:tcPr>
    </w:tblStylePr>
    <w:tblStylePr w:type="lastRow">
      <w:rPr>
        <w:b/>
        <w:bCs/>
      </w:rPr>
      <w:tblPr/>
      <w:tcPr>
        <w:tcBorders>
          <w:top w:val="double" w:sz="4" w:space="0" w:color="84CDA2" w:themeColor="accent5" w:themeTint="99"/>
        </w:tcBorders>
      </w:tcPr>
    </w:tblStylePr>
    <w:tblStylePr w:type="firstCol">
      <w:rPr>
        <w:b/>
        <w:bCs/>
      </w:rPr>
    </w:tblStylePr>
    <w:tblStylePr w:type="lastCol">
      <w:rPr>
        <w:b/>
        <w:bCs/>
      </w:rPr>
    </w:tblStylePr>
    <w:tblStylePr w:type="band1Vert">
      <w:tblPr/>
      <w:tcPr>
        <w:shd w:val="clear" w:color="auto" w:fill="D5EEE0" w:themeFill="accent5" w:themeFillTint="33"/>
      </w:tcPr>
    </w:tblStylePr>
    <w:tblStylePr w:type="band1Horz">
      <w:tblPr/>
      <w:tcPr>
        <w:shd w:val="clear" w:color="auto" w:fill="D5EEE0" w:themeFill="accent5" w:themeFillTint="33"/>
      </w:tcPr>
    </w:tblStylePr>
  </w:style>
  <w:style w:type="table" w:styleId="GridTable4-Accent5">
    <w:name w:val="Grid Table 4 Accent 5"/>
    <w:basedOn w:val="TableNormal"/>
    <w:uiPriority w:val="49"/>
    <w:locked/>
    <w:rsid w:val="0019245B"/>
    <w:pPr>
      <w:spacing w:after="0" w:line="240" w:lineRule="auto"/>
    </w:pPr>
    <w:tblPr>
      <w:tblStyleRowBandSize w:val="1"/>
      <w:tblStyleColBandSize w:val="1"/>
      <w:tblBorders>
        <w:top w:val="single" w:sz="4" w:space="0" w:color="84CDA2" w:themeColor="accent5" w:themeTint="99"/>
        <w:left w:val="single" w:sz="4" w:space="0" w:color="84CDA2" w:themeColor="accent5" w:themeTint="99"/>
        <w:bottom w:val="single" w:sz="4" w:space="0" w:color="84CDA2" w:themeColor="accent5" w:themeTint="99"/>
        <w:right w:val="single" w:sz="4" w:space="0" w:color="84CDA2" w:themeColor="accent5" w:themeTint="99"/>
        <w:insideH w:val="single" w:sz="4" w:space="0" w:color="84CDA2" w:themeColor="accent5" w:themeTint="99"/>
        <w:insideV w:val="single" w:sz="4" w:space="0" w:color="84CDA2" w:themeColor="accent5" w:themeTint="99"/>
      </w:tblBorders>
    </w:tblPr>
    <w:tblStylePr w:type="firstRow">
      <w:rPr>
        <w:b/>
        <w:bCs/>
        <w:color w:val="FFFFFF" w:themeColor="background1"/>
      </w:rPr>
      <w:tblPr/>
      <w:tcPr>
        <w:tcBorders>
          <w:top w:val="single" w:sz="4" w:space="0" w:color="409F68" w:themeColor="accent5"/>
          <w:left w:val="single" w:sz="4" w:space="0" w:color="409F68" w:themeColor="accent5"/>
          <w:bottom w:val="single" w:sz="4" w:space="0" w:color="409F68" w:themeColor="accent5"/>
          <w:right w:val="single" w:sz="4" w:space="0" w:color="409F68" w:themeColor="accent5"/>
          <w:insideH w:val="nil"/>
          <w:insideV w:val="nil"/>
        </w:tcBorders>
        <w:shd w:val="clear" w:color="auto" w:fill="409F68" w:themeFill="accent5"/>
      </w:tcPr>
    </w:tblStylePr>
    <w:tblStylePr w:type="lastRow">
      <w:rPr>
        <w:b/>
        <w:bCs/>
      </w:rPr>
      <w:tblPr/>
      <w:tcPr>
        <w:tcBorders>
          <w:top w:val="double" w:sz="4" w:space="0" w:color="409F68" w:themeColor="accent5"/>
        </w:tcBorders>
      </w:tcPr>
    </w:tblStylePr>
    <w:tblStylePr w:type="firstCol">
      <w:rPr>
        <w:b/>
        <w:bCs/>
      </w:rPr>
    </w:tblStylePr>
    <w:tblStylePr w:type="lastCol">
      <w:rPr>
        <w:b/>
        <w:bCs/>
      </w:rPr>
    </w:tblStylePr>
    <w:tblStylePr w:type="band1Vert">
      <w:tblPr/>
      <w:tcPr>
        <w:shd w:val="clear" w:color="auto" w:fill="D5EEE0" w:themeFill="accent5" w:themeFillTint="33"/>
      </w:tcPr>
    </w:tblStylePr>
    <w:tblStylePr w:type="band1Horz">
      <w:tblPr/>
      <w:tcPr>
        <w:shd w:val="clear" w:color="auto" w:fill="D5EEE0" w:themeFill="accent5" w:themeFillTint="33"/>
      </w:tcPr>
    </w:tblStylePr>
  </w:style>
  <w:style w:type="table" w:styleId="GridTable5Dark-Accent1">
    <w:name w:val="Grid Table 5 Dark Accent 1"/>
    <w:basedOn w:val="TableNormal"/>
    <w:uiPriority w:val="50"/>
    <w:locked/>
    <w:rsid w:val="001924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3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C5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C5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C5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C5B4" w:themeFill="accent1"/>
      </w:tcPr>
    </w:tblStylePr>
    <w:tblStylePr w:type="band1Vert">
      <w:tblPr/>
      <w:tcPr>
        <w:shd w:val="clear" w:color="auto" w:fill="C1E7E0" w:themeFill="accent1" w:themeFillTint="66"/>
      </w:tcPr>
    </w:tblStylePr>
    <w:tblStylePr w:type="band1Horz">
      <w:tblPr/>
      <w:tcPr>
        <w:shd w:val="clear" w:color="auto" w:fill="C1E7E0" w:themeFill="accent1" w:themeFillTint="66"/>
      </w:tcPr>
    </w:tblStylePr>
  </w:style>
  <w:style w:type="table" w:styleId="GridTable4-Accent1">
    <w:name w:val="Grid Table 4 Accent 1"/>
    <w:basedOn w:val="TableNormal"/>
    <w:uiPriority w:val="49"/>
    <w:locked/>
    <w:rsid w:val="003C746D"/>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GridTable4-Accent6">
    <w:name w:val="Grid Table 4 Accent 6"/>
    <w:basedOn w:val="TableNormal"/>
    <w:uiPriority w:val="49"/>
    <w:locked/>
    <w:rsid w:val="00840A40"/>
    <w:pPr>
      <w:spacing w:after="0" w:line="240" w:lineRule="auto"/>
    </w:pPr>
    <w:tblPr>
      <w:tblStyleRowBandSize w:val="1"/>
      <w:tblStyleColBandSize w:val="1"/>
      <w:tblBorders>
        <w:top w:val="single" w:sz="4" w:space="0" w:color="1FE9FF" w:themeColor="accent6" w:themeTint="99"/>
        <w:left w:val="single" w:sz="4" w:space="0" w:color="1FE9FF" w:themeColor="accent6" w:themeTint="99"/>
        <w:bottom w:val="single" w:sz="4" w:space="0" w:color="1FE9FF" w:themeColor="accent6" w:themeTint="99"/>
        <w:right w:val="single" w:sz="4" w:space="0" w:color="1FE9FF" w:themeColor="accent6" w:themeTint="99"/>
        <w:insideH w:val="single" w:sz="4" w:space="0" w:color="1FE9FF" w:themeColor="accent6" w:themeTint="99"/>
        <w:insideV w:val="single" w:sz="4" w:space="0" w:color="1FE9FF" w:themeColor="accent6" w:themeTint="99"/>
      </w:tblBorders>
    </w:tblPr>
    <w:tblStylePr w:type="firstRow">
      <w:rPr>
        <w:b/>
        <w:bCs/>
        <w:color w:val="FFFFFF" w:themeColor="background1"/>
      </w:rPr>
      <w:tblPr/>
      <w:tcPr>
        <w:tcBorders>
          <w:top w:val="single" w:sz="4" w:space="0" w:color="007C89" w:themeColor="accent6"/>
          <w:left w:val="single" w:sz="4" w:space="0" w:color="007C89" w:themeColor="accent6"/>
          <w:bottom w:val="single" w:sz="4" w:space="0" w:color="007C89" w:themeColor="accent6"/>
          <w:right w:val="single" w:sz="4" w:space="0" w:color="007C89" w:themeColor="accent6"/>
          <w:insideH w:val="nil"/>
          <w:insideV w:val="nil"/>
        </w:tcBorders>
        <w:shd w:val="clear" w:color="auto" w:fill="007C89" w:themeFill="accent6"/>
      </w:tcPr>
    </w:tblStylePr>
    <w:tblStylePr w:type="lastRow">
      <w:rPr>
        <w:b/>
        <w:bCs/>
      </w:rPr>
      <w:tblPr/>
      <w:tcPr>
        <w:tcBorders>
          <w:top w:val="double" w:sz="4" w:space="0" w:color="007C89" w:themeColor="accent6"/>
        </w:tcBorders>
      </w:tcPr>
    </w:tblStylePr>
    <w:tblStylePr w:type="firstCol">
      <w:rPr>
        <w:b/>
        <w:bCs/>
      </w:rPr>
    </w:tblStylePr>
    <w:tblStylePr w:type="lastCol">
      <w:rPr>
        <w:b/>
        <w:bCs/>
      </w:rPr>
    </w:tblStylePr>
    <w:tblStylePr w:type="band1Vert">
      <w:tblPr/>
      <w:tcPr>
        <w:shd w:val="clear" w:color="auto" w:fill="B4F7FF" w:themeFill="accent6" w:themeFillTint="33"/>
      </w:tcPr>
    </w:tblStylePr>
    <w:tblStylePr w:type="band1Horz">
      <w:tblPr/>
      <w:tcPr>
        <w:shd w:val="clear" w:color="auto" w:fill="B4F7FF" w:themeFill="accent6" w:themeFillTint="33"/>
      </w:tcPr>
    </w:tblStylePr>
  </w:style>
  <w:style w:type="table" w:styleId="GridTable1Light-Accent1">
    <w:name w:val="Grid Table 1 Light Accent 1"/>
    <w:basedOn w:val="TableNormal"/>
    <w:uiPriority w:val="46"/>
    <w:locked/>
    <w:rsid w:val="00E8531A"/>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AF1131"/>
    <w:pPr>
      <w:spacing w:after="0" w:line="240" w:lineRule="auto"/>
    </w:pPr>
    <w:tblPr>
      <w:tblStyleRowBandSize w:val="1"/>
      <w:tblStyleColBandSize w:val="1"/>
      <w:tblBorders>
        <w:top w:val="single" w:sz="4" w:space="0" w:color="ADDEC1" w:themeColor="accent5" w:themeTint="66"/>
        <w:left w:val="single" w:sz="4" w:space="0" w:color="ADDEC1" w:themeColor="accent5" w:themeTint="66"/>
        <w:bottom w:val="single" w:sz="4" w:space="0" w:color="ADDEC1" w:themeColor="accent5" w:themeTint="66"/>
        <w:right w:val="single" w:sz="4" w:space="0" w:color="ADDEC1" w:themeColor="accent5" w:themeTint="66"/>
        <w:insideH w:val="single" w:sz="4" w:space="0" w:color="ADDEC1" w:themeColor="accent5" w:themeTint="66"/>
        <w:insideV w:val="single" w:sz="4" w:space="0" w:color="ADDEC1" w:themeColor="accent5" w:themeTint="66"/>
      </w:tblBorders>
    </w:tblPr>
    <w:tblStylePr w:type="firstRow">
      <w:rPr>
        <w:b/>
        <w:bCs/>
      </w:rPr>
      <w:tblPr/>
      <w:tcPr>
        <w:tcBorders>
          <w:bottom w:val="single" w:sz="12" w:space="0" w:color="84CDA2" w:themeColor="accent5" w:themeTint="99"/>
        </w:tcBorders>
      </w:tcPr>
    </w:tblStylePr>
    <w:tblStylePr w:type="lastRow">
      <w:rPr>
        <w:b/>
        <w:bCs/>
      </w:rPr>
      <w:tblPr/>
      <w:tcPr>
        <w:tcBorders>
          <w:top w:val="double" w:sz="2" w:space="0" w:color="84CDA2"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locked/>
    <w:rsid w:val="00EE6001"/>
    <w:pPr>
      <w:spacing w:after="0" w:line="240" w:lineRule="auto"/>
    </w:pPr>
    <w:tblPr>
      <w:tblStyleRowBandSize w:val="1"/>
      <w:tblStyleColBandSize w:val="1"/>
      <w:tblBorders>
        <w:top w:val="single" w:sz="2" w:space="0" w:color="CDE2B9" w:themeColor="accent2" w:themeTint="99"/>
        <w:bottom w:val="single" w:sz="2" w:space="0" w:color="CDE2B9" w:themeColor="accent2" w:themeTint="99"/>
        <w:insideH w:val="single" w:sz="2" w:space="0" w:color="CDE2B9" w:themeColor="accent2" w:themeTint="99"/>
        <w:insideV w:val="single" w:sz="2" w:space="0" w:color="CDE2B9" w:themeColor="accent2" w:themeTint="99"/>
      </w:tblBorders>
    </w:tblPr>
    <w:tblStylePr w:type="firstRow">
      <w:rPr>
        <w:b/>
        <w:bCs/>
      </w:rPr>
      <w:tblPr/>
      <w:tcPr>
        <w:tcBorders>
          <w:top w:val="nil"/>
          <w:bottom w:val="single" w:sz="12" w:space="0" w:color="CDE2B9" w:themeColor="accent2" w:themeTint="99"/>
          <w:insideH w:val="nil"/>
          <w:insideV w:val="nil"/>
        </w:tcBorders>
        <w:shd w:val="clear" w:color="auto" w:fill="FFFFFF" w:themeFill="background1"/>
      </w:tcPr>
    </w:tblStylePr>
    <w:tblStylePr w:type="lastRow">
      <w:rPr>
        <w:b/>
        <w:bCs/>
      </w:rPr>
      <w:tblPr/>
      <w:tcPr>
        <w:tcBorders>
          <w:top w:val="double" w:sz="2" w:space="0" w:color="CDE2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5E7" w:themeFill="accent2" w:themeFillTint="33"/>
      </w:tcPr>
    </w:tblStylePr>
    <w:tblStylePr w:type="band1Horz">
      <w:tblPr/>
      <w:tcPr>
        <w:shd w:val="clear" w:color="auto" w:fill="EEF5E7" w:themeFill="accent2" w:themeFillTint="33"/>
      </w:tcPr>
    </w:tblStylePr>
  </w:style>
  <w:style w:type="table" w:styleId="ListTable3-Accent2">
    <w:name w:val="List Table 3 Accent 2"/>
    <w:basedOn w:val="TableNormal"/>
    <w:uiPriority w:val="48"/>
    <w:locked/>
    <w:rsid w:val="00EE6001"/>
    <w:pPr>
      <w:spacing w:after="0" w:line="240" w:lineRule="auto"/>
    </w:pPr>
    <w:tblPr>
      <w:tblStyleRowBandSize w:val="1"/>
      <w:tblStyleColBandSize w:val="1"/>
      <w:tblBorders>
        <w:top w:val="single" w:sz="4" w:space="0" w:color="ACD08C" w:themeColor="accent2"/>
        <w:left w:val="single" w:sz="4" w:space="0" w:color="ACD08C" w:themeColor="accent2"/>
        <w:bottom w:val="single" w:sz="4" w:space="0" w:color="ACD08C" w:themeColor="accent2"/>
        <w:right w:val="single" w:sz="4" w:space="0" w:color="ACD08C" w:themeColor="accent2"/>
      </w:tblBorders>
    </w:tblPr>
    <w:tblStylePr w:type="firstRow">
      <w:rPr>
        <w:b/>
        <w:bCs/>
        <w:color w:val="FFFFFF" w:themeColor="background1"/>
      </w:rPr>
      <w:tblPr/>
      <w:tcPr>
        <w:shd w:val="clear" w:color="auto" w:fill="ACD08C" w:themeFill="accent2"/>
      </w:tcPr>
    </w:tblStylePr>
    <w:tblStylePr w:type="lastRow">
      <w:rPr>
        <w:b/>
        <w:bCs/>
      </w:rPr>
      <w:tblPr/>
      <w:tcPr>
        <w:tcBorders>
          <w:top w:val="double" w:sz="4" w:space="0" w:color="ACD0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CD08C" w:themeColor="accent2"/>
          <w:right w:val="single" w:sz="4" w:space="0" w:color="ACD08C" w:themeColor="accent2"/>
        </w:tcBorders>
      </w:tcPr>
    </w:tblStylePr>
    <w:tblStylePr w:type="band1Horz">
      <w:tblPr/>
      <w:tcPr>
        <w:tcBorders>
          <w:top w:val="single" w:sz="4" w:space="0" w:color="ACD08C" w:themeColor="accent2"/>
          <w:bottom w:val="single" w:sz="4" w:space="0" w:color="ACD0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CD08C" w:themeColor="accent2"/>
          <w:left w:val="nil"/>
        </w:tcBorders>
      </w:tcPr>
    </w:tblStylePr>
    <w:tblStylePr w:type="swCell">
      <w:tblPr/>
      <w:tcPr>
        <w:tcBorders>
          <w:top w:val="double" w:sz="4" w:space="0" w:color="ACD08C"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7">
      <w:bodyDiv w:val="1"/>
      <w:marLeft w:val="0"/>
      <w:marRight w:val="0"/>
      <w:marTop w:val="0"/>
      <w:marBottom w:val="0"/>
      <w:divBdr>
        <w:top w:val="none" w:sz="0" w:space="0" w:color="auto"/>
        <w:left w:val="none" w:sz="0" w:space="0" w:color="auto"/>
        <w:bottom w:val="none" w:sz="0" w:space="0" w:color="auto"/>
        <w:right w:val="none" w:sz="0" w:space="0" w:color="auto"/>
      </w:divBdr>
    </w:div>
    <w:div w:id="12653099">
      <w:bodyDiv w:val="1"/>
      <w:marLeft w:val="0"/>
      <w:marRight w:val="0"/>
      <w:marTop w:val="0"/>
      <w:marBottom w:val="0"/>
      <w:divBdr>
        <w:top w:val="none" w:sz="0" w:space="0" w:color="auto"/>
        <w:left w:val="none" w:sz="0" w:space="0" w:color="auto"/>
        <w:bottom w:val="none" w:sz="0" w:space="0" w:color="auto"/>
        <w:right w:val="none" w:sz="0" w:space="0" w:color="auto"/>
      </w:divBdr>
    </w:div>
    <w:div w:id="26377230">
      <w:bodyDiv w:val="1"/>
      <w:marLeft w:val="0"/>
      <w:marRight w:val="0"/>
      <w:marTop w:val="0"/>
      <w:marBottom w:val="0"/>
      <w:divBdr>
        <w:top w:val="none" w:sz="0" w:space="0" w:color="auto"/>
        <w:left w:val="none" w:sz="0" w:space="0" w:color="auto"/>
        <w:bottom w:val="none" w:sz="0" w:space="0" w:color="auto"/>
        <w:right w:val="none" w:sz="0" w:space="0" w:color="auto"/>
      </w:divBdr>
      <w:divsChild>
        <w:div w:id="1851531186">
          <w:marLeft w:val="0"/>
          <w:marRight w:val="0"/>
          <w:marTop w:val="0"/>
          <w:marBottom w:val="0"/>
          <w:divBdr>
            <w:top w:val="none" w:sz="0" w:space="0" w:color="auto"/>
            <w:left w:val="none" w:sz="0" w:space="0" w:color="auto"/>
            <w:bottom w:val="none" w:sz="0" w:space="0" w:color="auto"/>
            <w:right w:val="none" w:sz="0" w:space="0" w:color="auto"/>
          </w:divBdr>
          <w:divsChild>
            <w:div w:id="1140733902">
              <w:marLeft w:val="0"/>
              <w:marRight w:val="0"/>
              <w:marTop w:val="0"/>
              <w:marBottom w:val="0"/>
              <w:divBdr>
                <w:top w:val="none" w:sz="0" w:space="0" w:color="auto"/>
                <w:left w:val="none" w:sz="0" w:space="0" w:color="auto"/>
                <w:bottom w:val="none" w:sz="0" w:space="0" w:color="auto"/>
                <w:right w:val="none" w:sz="0" w:space="0" w:color="auto"/>
              </w:divBdr>
              <w:divsChild>
                <w:div w:id="14108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8924">
      <w:bodyDiv w:val="1"/>
      <w:marLeft w:val="0"/>
      <w:marRight w:val="0"/>
      <w:marTop w:val="0"/>
      <w:marBottom w:val="0"/>
      <w:divBdr>
        <w:top w:val="none" w:sz="0" w:space="0" w:color="auto"/>
        <w:left w:val="none" w:sz="0" w:space="0" w:color="auto"/>
        <w:bottom w:val="none" w:sz="0" w:space="0" w:color="auto"/>
        <w:right w:val="none" w:sz="0" w:space="0" w:color="auto"/>
      </w:divBdr>
      <w:divsChild>
        <w:div w:id="728308207">
          <w:marLeft w:val="0"/>
          <w:marRight w:val="0"/>
          <w:marTop w:val="0"/>
          <w:marBottom w:val="0"/>
          <w:divBdr>
            <w:top w:val="none" w:sz="0" w:space="0" w:color="auto"/>
            <w:left w:val="none" w:sz="0" w:space="0" w:color="auto"/>
            <w:bottom w:val="none" w:sz="0" w:space="0" w:color="auto"/>
            <w:right w:val="none" w:sz="0" w:space="0" w:color="auto"/>
          </w:divBdr>
          <w:divsChild>
            <w:div w:id="1756586599">
              <w:marLeft w:val="0"/>
              <w:marRight w:val="0"/>
              <w:marTop w:val="0"/>
              <w:marBottom w:val="0"/>
              <w:divBdr>
                <w:top w:val="none" w:sz="0" w:space="0" w:color="auto"/>
                <w:left w:val="none" w:sz="0" w:space="0" w:color="auto"/>
                <w:bottom w:val="none" w:sz="0" w:space="0" w:color="auto"/>
                <w:right w:val="none" w:sz="0" w:space="0" w:color="auto"/>
              </w:divBdr>
              <w:divsChild>
                <w:div w:id="650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1983">
      <w:bodyDiv w:val="1"/>
      <w:marLeft w:val="0"/>
      <w:marRight w:val="0"/>
      <w:marTop w:val="0"/>
      <w:marBottom w:val="0"/>
      <w:divBdr>
        <w:top w:val="none" w:sz="0" w:space="0" w:color="auto"/>
        <w:left w:val="none" w:sz="0" w:space="0" w:color="auto"/>
        <w:bottom w:val="none" w:sz="0" w:space="0" w:color="auto"/>
        <w:right w:val="none" w:sz="0" w:space="0" w:color="auto"/>
      </w:divBdr>
    </w:div>
    <w:div w:id="61299115">
      <w:bodyDiv w:val="1"/>
      <w:marLeft w:val="0"/>
      <w:marRight w:val="0"/>
      <w:marTop w:val="0"/>
      <w:marBottom w:val="0"/>
      <w:divBdr>
        <w:top w:val="none" w:sz="0" w:space="0" w:color="auto"/>
        <w:left w:val="none" w:sz="0" w:space="0" w:color="auto"/>
        <w:bottom w:val="none" w:sz="0" w:space="0" w:color="auto"/>
        <w:right w:val="none" w:sz="0" w:space="0" w:color="auto"/>
      </w:divBdr>
    </w:div>
    <w:div w:id="108134817">
      <w:bodyDiv w:val="1"/>
      <w:marLeft w:val="0"/>
      <w:marRight w:val="0"/>
      <w:marTop w:val="0"/>
      <w:marBottom w:val="0"/>
      <w:divBdr>
        <w:top w:val="none" w:sz="0" w:space="0" w:color="auto"/>
        <w:left w:val="none" w:sz="0" w:space="0" w:color="auto"/>
        <w:bottom w:val="none" w:sz="0" w:space="0" w:color="auto"/>
        <w:right w:val="none" w:sz="0" w:space="0" w:color="auto"/>
      </w:divBdr>
      <w:divsChild>
        <w:div w:id="1569075454">
          <w:marLeft w:val="0"/>
          <w:marRight w:val="0"/>
          <w:marTop w:val="0"/>
          <w:marBottom w:val="0"/>
          <w:divBdr>
            <w:top w:val="none" w:sz="0" w:space="0" w:color="auto"/>
            <w:left w:val="none" w:sz="0" w:space="0" w:color="auto"/>
            <w:bottom w:val="none" w:sz="0" w:space="0" w:color="auto"/>
            <w:right w:val="none" w:sz="0" w:space="0" w:color="auto"/>
          </w:divBdr>
          <w:divsChild>
            <w:div w:id="1386833543">
              <w:marLeft w:val="0"/>
              <w:marRight w:val="0"/>
              <w:marTop w:val="0"/>
              <w:marBottom w:val="0"/>
              <w:divBdr>
                <w:top w:val="none" w:sz="0" w:space="0" w:color="auto"/>
                <w:left w:val="none" w:sz="0" w:space="0" w:color="auto"/>
                <w:bottom w:val="none" w:sz="0" w:space="0" w:color="auto"/>
                <w:right w:val="none" w:sz="0" w:space="0" w:color="auto"/>
              </w:divBdr>
              <w:divsChild>
                <w:div w:id="3438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5811">
      <w:bodyDiv w:val="1"/>
      <w:marLeft w:val="0"/>
      <w:marRight w:val="0"/>
      <w:marTop w:val="0"/>
      <w:marBottom w:val="0"/>
      <w:divBdr>
        <w:top w:val="none" w:sz="0" w:space="0" w:color="auto"/>
        <w:left w:val="none" w:sz="0" w:space="0" w:color="auto"/>
        <w:bottom w:val="none" w:sz="0" w:space="0" w:color="auto"/>
        <w:right w:val="none" w:sz="0" w:space="0" w:color="auto"/>
      </w:divBdr>
    </w:div>
    <w:div w:id="208493773">
      <w:bodyDiv w:val="1"/>
      <w:marLeft w:val="0"/>
      <w:marRight w:val="0"/>
      <w:marTop w:val="0"/>
      <w:marBottom w:val="0"/>
      <w:divBdr>
        <w:top w:val="none" w:sz="0" w:space="0" w:color="auto"/>
        <w:left w:val="none" w:sz="0" w:space="0" w:color="auto"/>
        <w:bottom w:val="none" w:sz="0" w:space="0" w:color="auto"/>
        <w:right w:val="none" w:sz="0" w:space="0" w:color="auto"/>
      </w:divBdr>
      <w:divsChild>
        <w:div w:id="1169129444">
          <w:marLeft w:val="0"/>
          <w:marRight w:val="0"/>
          <w:marTop w:val="0"/>
          <w:marBottom w:val="0"/>
          <w:divBdr>
            <w:top w:val="none" w:sz="0" w:space="0" w:color="auto"/>
            <w:left w:val="none" w:sz="0" w:space="0" w:color="auto"/>
            <w:bottom w:val="none" w:sz="0" w:space="0" w:color="auto"/>
            <w:right w:val="none" w:sz="0" w:space="0" w:color="auto"/>
          </w:divBdr>
          <w:divsChild>
            <w:div w:id="1934851980">
              <w:marLeft w:val="0"/>
              <w:marRight w:val="0"/>
              <w:marTop w:val="0"/>
              <w:marBottom w:val="0"/>
              <w:divBdr>
                <w:top w:val="none" w:sz="0" w:space="0" w:color="auto"/>
                <w:left w:val="none" w:sz="0" w:space="0" w:color="auto"/>
                <w:bottom w:val="none" w:sz="0" w:space="0" w:color="auto"/>
                <w:right w:val="none" w:sz="0" w:space="0" w:color="auto"/>
              </w:divBdr>
              <w:divsChild>
                <w:div w:id="168447485">
                  <w:marLeft w:val="0"/>
                  <w:marRight w:val="0"/>
                  <w:marTop w:val="0"/>
                  <w:marBottom w:val="0"/>
                  <w:divBdr>
                    <w:top w:val="none" w:sz="0" w:space="0" w:color="auto"/>
                    <w:left w:val="none" w:sz="0" w:space="0" w:color="auto"/>
                    <w:bottom w:val="none" w:sz="0" w:space="0" w:color="auto"/>
                    <w:right w:val="none" w:sz="0" w:space="0" w:color="auto"/>
                  </w:divBdr>
                  <w:divsChild>
                    <w:div w:id="4415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232">
      <w:bodyDiv w:val="1"/>
      <w:marLeft w:val="0"/>
      <w:marRight w:val="0"/>
      <w:marTop w:val="0"/>
      <w:marBottom w:val="0"/>
      <w:divBdr>
        <w:top w:val="none" w:sz="0" w:space="0" w:color="auto"/>
        <w:left w:val="none" w:sz="0" w:space="0" w:color="auto"/>
        <w:bottom w:val="none" w:sz="0" w:space="0" w:color="auto"/>
        <w:right w:val="none" w:sz="0" w:space="0" w:color="auto"/>
      </w:divBdr>
      <w:divsChild>
        <w:div w:id="364721049">
          <w:marLeft w:val="0"/>
          <w:marRight w:val="0"/>
          <w:marTop w:val="0"/>
          <w:marBottom w:val="0"/>
          <w:divBdr>
            <w:top w:val="none" w:sz="0" w:space="0" w:color="auto"/>
            <w:left w:val="none" w:sz="0" w:space="0" w:color="auto"/>
            <w:bottom w:val="none" w:sz="0" w:space="0" w:color="auto"/>
            <w:right w:val="none" w:sz="0" w:space="0" w:color="auto"/>
          </w:divBdr>
          <w:divsChild>
            <w:div w:id="1632129904">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4961">
      <w:bodyDiv w:val="1"/>
      <w:marLeft w:val="0"/>
      <w:marRight w:val="0"/>
      <w:marTop w:val="0"/>
      <w:marBottom w:val="0"/>
      <w:divBdr>
        <w:top w:val="none" w:sz="0" w:space="0" w:color="auto"/>
        <w:left w:val="none" w:sz="0" w:space="0" w:color="auto"/>
        <w:bottom w:val="none" w:sz="0" w:space="0" w:color="auto"/>
        <w:right w:val="none" w:sz="0" w:space="0" w:color="auto"/>
      </w:divBdr>
    </w:div>
    <w:div w:id="225799381">
      <w:bodyDiv w:val="1"/>
      <w:marLeft w:val="0"/>
      <w:marRight w:val="0"/>
      <w:marTop w:val="0"/>
      <w:marBottom w:val="0"/>
      <w:divBdr>
        <w:top w:val="none" w:sz="0" w:space="0" w:color="auto"/>
        <w:left w:val="none" w:sz="0" w:space="0" w:color="auto"/>
        <w:bottom w:val="none" w:sz="0" w:space="0" w:color="auto"/>
        <w:right w:val="none" w:sz="0" w:space="0" w:color="auto"/>
      </w:divBdr>
    </w:div>
    <w:div w:id="231081993">
      <w:bodyDiv w:val="1"/>
      <w:marLeft w:val="0"/>
      <w:marRight w:val="0"/>
      <w:marTop w:val="0"/>
      <w:marBottom w:val="0"/>
      <w:divBdr>
        <w:top w:val="none" w:sz="0" w:space="0" w:color="auto"/>
        <w:left w:val="none" w:sz="0" w:space="0" w:color="auto"/>
        <w:bottom w:val="none" w:sz="0" w:space="0" w:color="auto"/>
        <w:right w:val="none" w:sz="0" w:space="0" w:color="auto"/>
      </w:divBdr>
      <w:divsChild>
        <w:div w:id="1932274164">
          <w:marLeft w:val="274"/>
          <w:marRight w:val="0"/>
          <w:marTop w:val="0"/>
          <w:marBottom w:val="0"/>
          <w:divBdr>
            <w:top w:val="none" w:sz="0" w:space="0" w:color="auto"/>
            <w:left w:val="none" w:sz="0" w:space="0" w:color="auto"/>
            <w:bottom w:val="none" w:sz="0" w:space="0" w:color="auto"/>
            <w:right w:val="none" w:sz="0" w:space="0" w:color="auto"/>
          </w:divBdr>
        </w:div>
      </w:divsChild>
    </w:div>
    <w:div w:id="236864963">
      <w:bodyDiv w:val="1"/>
      <w:marLeft w:val="0"/>
      <w:marRight w:val="0"/>
      <w:marTop w:val="0"/>
      <w:marBottom w:val="0"/>
      <w:divBdr>
        <w:top w:val="none" w:sz="0" w:space="0" w:color="auto"/>
        <w:left w:val="none" w:sz="0" w:space="0" w:color="auto"/>
        <w:bottom w:val="none" w:sz="0" w:space="0" w:color="auto"/>
        <w:right w:val="none" w:sz="0" w:space="0" w:color="auto"/>
      </w:divBdr>
    </w:div>
    <w:div w:id="248972571">
      <w:bodyDiv w:val="1"/>
      <w:marLeft w:val="0"/>
      <w:marRight w:val="0"/>
      <w:marTop w:val="0"/>
      <w:marBottom w:val="0"/>
      <w:divBdr>
        <w:top w:val="none" w:sz="0" w:space="0" w:color="auto"/>
        <w:left w:val="none" w:sz="0" w:space="0" w:color="auto"/>
        <w:bottom w:val="none" w:sz="0" w:space="0" w:color="auto"/>
        <w:right w:val="none" w:sz="0" w:space="0" w:color="auto"/>
      </w:divBdr>
      <w:divsChild>
        <w:div w:id="1227302078">
          <w:marLeft w:val="0"/>
          <w:marRight w:val="0"/>
          <w:marTop w:val="0"/>
          <w:marBottom w:val="0"/>
          <w:divBdr>
            <w:top w:val="none" w:sz="0" w:space="0" w:color="auto"/>
            <w:left w:val="none" w:sz="0" w:space="0" w:color="auto"/>
            <w:bottom w:val="none" w:sz="0" w:space="0" w:color="auto"/>
            <w:right w:val="none" w:sz="0" w:space="0" w:color="auto"/>
          </w:divBdr>
          <w:divsChild>
            <w:div w:id="1491143349">
              <w:marLeft w:val="0"/>
              <w:marRight w:val="0"/>
              <w:marTop w:val="0"/>
              <w:marBottom w:val="0"/>
              <w:divBdr>
                <w:top w:val="none" w:sz="0" w:space="0" w:color="auto"/>
                <w:left w:val="none" w:sz="0" w:space="0" w:color="auto"/>
                <w:bottom w:val="none" w:sz="0" w:space="0" w:color="auto"/>
                <w:right w:val="none" w:sz="0" w:space="0" w:color="auto"/>
              </w:divBdr>
              <w:divsChild>
                <w:div w:id="573783697">
                  <w:marLeft w:val="0"/>
                  <w:marRight w:val="0"/>
                  <w:marTop w:val="0"/>
                  <w:marBottom w:val="0"/>
                  <w:divBdr>
                    <w:top w:val="none" w:sz="0" w:space="0" w:color="auto"/>
                    <w:left w:val="none" w:sz="0" w:space="0" w:color="auto"/>
                    <w:bottom w:val="none" w:sz="0" w:space="0" w:color="auto"/>
                    <w:right w:val="none" w:sz="0" w:space="0" w:color="auto"/>
                  </w:divBdr>
                  <w:divsChild>
                    <w:div w:id="667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999683">
      <w:bodyDiv w:val="1"/>
      <w:marLeft w:val="0"/>
      <w:marRight w:val="0"/>
      <w:marTop w:val="0"/>
      <w:marBottom w:val="0"/>
      <w:divBdr>
        <w:top w:val="none" w:sz="0" w:space="0" w:color="auto"/>
        <w:left w:val="none" w:sz="0" w:space="0" w:color="auto"/>
        <w:bottom w:val="none" w:sz="0" w:space="0" w:color="auto"/>
        <w:right w:val="none" w:sz="0" w:space="0" w:color="auto"/>
      </w:divBdr>
      <w:divsChild>
        <w:div w:id="2081097619">
          <w:marLeft w:val="0"/>
          <w:marRight w:val="0"/>
          <w:marTop w:val="0"/>
          <w:marBottom w:val="0"/>
          <w:divBdr>
            <w:top w:val="none" w:sz="0" w:space="0" w:color="auto"/>
            <w:left w:val="none" w:sz="0" w:space="0" w:color="auto"/>
            <w:bottom w:val="none" w:sz="0" w:space="0" w:color="auto"/>
            <w:right w:val="none" w:sz="0" w:space="0" w:color="auto"/>
          </w:divBdr>
          <w:divsChild>
            <w:div w:id="343750923">
              <w:marLeft w:val="0"/>
              <w:marRight w:val="0"/>
              <w:marTop w:val="0"/>
              <w:marBottom w:val="0"/>
              <w:divBdr>
                <w:top w:val="none" w:sz="0" w:space="0" w:color="auto"/>
                <w:left w:val="none" w:sz="0" w:space="0" w:color="auto"/>
                <w:bottom w:val="none" w:sz="0" w:space="0" w:color="auto"/>
                <w:right w:val="none" w:sz="0" w:space="0" w:color="auto"/>
              </w:divBdr>
              <w:divsChild>
                <w:div w:id="1384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12983">
      <w:bodyDiv w:val="1"/>
      <w:marLeft w:val="0"/>
      <w:marRight w:val="0"/>
      <w:marTop w:val="0"/>
      <w:marBottom w:val="0"/>
      <w:divBdr>
        <w:top w:val="none" w:sz="0" w:space="0" w:color="auto"/>
        <w:left w:val="none" w:sz="0" w:space="0" w:color="auto"/>
        <w:bottom w:val="none" w:sz="0" w:space="0" w:color="auto"/>
        <w:right w:val="none" w:sz="0" w:space="0" w:color="auto"/>
      </w:divBdr>
    </w:div>
    <w:div w:id="283077972">
      <w:bodyDiv w:val="1"/>
      <w:marLeft w:val="0"/>
      <w:marRight w:val="0"/>
      <w:marTop w:val="0"/>
      <w:marBottom w:val="0"/>
      <w:divBdr>
        <w:top w:val="none" w:sz="0" w:space="0" w:color="auto"/>
        <w:left w:val="none" w:sz="0" w:space="0" w:color="auto"/>
        <w:bottom w:val="none" w:sz="0" w:space="0" w:color="auto"/>
        <w:right w:val="none" w:sz="0" w:space="0" w:color="auto"/>
      </w:divBdr>
      <w:divsChild>
        <w:div w:id="310133061">
          <w:marLeft w:val="0"/>
          <w:marRight w:val="0"/>
          <w:marTop w:val="0"/>
          <w:marBottom w:val="0"/>
          <w:divBdr>
            <w:top w:val="none" w:sz="0" w:space="0" w:color="auto"/>
            <w:left w:val="none" w:sz="0" w:space="0" w:color="auto"/>
            <w:bottom w:val="none" w:sz="0" w:space="0" w:color="auto"/>
            <w:right w:val="none" w:sz="0" w:space="0" w:color="auto"/>
          </w:divBdr>
          <w:divsChild>
            <w:div w:id="1246038594">
              <w:marLeft w:val="0"/>
              <w:marRight w:val="0"/>
              <w:marTop w:val="0"/>
              <w:marBottom w:val="0"/>
              <w:divBdr>
                <w:top w:val="none" w:sz="0" w:space="0" w:color="auto"/>
                <w:left w:val="none" w:sz="0" w:space="0" w:color="auto"/>
                <w:bottom w:val="none" w:sz="0" w:space="0" w:color="auto"/>
                <w:right w:val="none" w:sz="0" w:space="0" w:color="auto"/>
              </w:divBdr>
              <w:divsChild>
                <w:div w:id="2295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229502">
      <w:bodyDiv w:val="1"/>
      <w:marLeft w:val="0"/>
      <w:marRight w:val="0"/>
      <w:marTop w:val="0"/>
      <w:marBottom w:val="0"/>
      <w:divBdr>
        <w:top w:val="none" w:sz="0" w:space="0" w:color="auto"/>
        <w:left w:val="none" w:sz="0" w:space="0" w:color="auto"/>
        <w:bottom w:val="none" w:sz="0" w:space="0" w:color="auto"/>
        <w:right w:val="none" w:sz="0" w:space="0" w:color="auto"/>
      </w:divBdr>
    </w:div>
    <w:div w:id="341053430">
      <w:bodyDiv w:val="1"/>
      <w:marLeft w:val="0"/>
      <w:marRight w:val="0"/>
      <w:marTop w:val="0"/>
      <w:marBottom w:val="0"/>
      <w:divBdr>
        <w:top w:val="none" w:sz="0" w:space="0" w:color="auto"/>
        <w:left w:val="none" w:sz="0" w:space="0" w:color="auto"/>
        <w:bottom w:val="none" w:sz="0" w:space="0" w:color="auto"/>
        <w:right w:val="none" w:sz="0" w:space="0" w:color="auto"/>
      </w:divBdr>
    </w:div>
    <w:div w:id="343947302">
      <w:bodyDiv w:val="1"/>
      <w:marLeft w:val="0"/>
      <w:marRight w:val="0"/>
      <w:marTop w:val="0"/>
      <w:marBottom w:val="0"/>
      <w:divBdr>
        <w:top w:val="none" w:sz="0" w:space="0" w:color="auto"/>
        <w:left w:val="none" w:sz="0" w:space="0" w:color="auto"/>
        <w:bottom w:val="none" w:sz="0" w:space="0" w:color="auto"/>
        <w:right w:val="none" w:sz="0" w:space="0" w:color="auto"/>
      </w:divBdr>
      <w:divsChild>
        <w:div w:id="1665812575">
          <w:marLeft w:val="0"/>
          <w:marRight w:val="0"/>
          <w:marTop w:val="0"/>
          <w:marBottom w:val="0"/>
          <w:divBdr>
            <w:top w:val="none" w:sz="0" w:space="0" w:color="auto"/>
            <w:left w:val="none" w:sz="0" w:space="0" w:color="auto"/>
            <w:bottom w:val="none" w:sz="0" w:space="0" w:color="auto"/>
            <w:right w:val="none" w:sz="0" w:space="0" w:color="auto"/>
          </w:divBdr>
          <w:divsChild>
            <w:div w:id="2026468983">
              <w:marLeft w:val="0"/>
              <w:marRight w:val="0"/>
              <w:marTop w:val="0"/>
              <w:marBottom w:val="0"/>
              <w:divBdr>
                <w:top w:val="none" w:sz="0" w:space="0" w:color="auto"/>
                <w:left w:val="none" w:sz="0" w:space="0" w:color="auto"/>
                <w:bottom w:val="none" w:sz="0" w:space="0" w:color="auto"/>
                <w:right w:val="none" w:sz="0" w:space="0" w:color="auto"/>
              </w:divBdr>
              <w:divsChild>
                <w:div w:id="13040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3695">
      <w:bodyDiv w:val="1"/>
      <w:marLeft w:val="0"/>
      <w:marRight w:val="0"/>
      <w:marTop w:val="0"/>
      <w:marBottom w:val="0"/>
      <w:divBdr>
        <w:top w:val="none" w:sz="0" w:space="0" w:color="auto"/>
        <w:left w:val="none" w:sz="0" w:space="0" w:color="auto"/>
        <w:bottom w:val="none" w:sz="0" w:space="0" w:color="auto"/>
        <w:right w:val="none" w:sz="0" w:space="0" w:color="auto"/>
      </w:divBdr>
    </w:div>
    <w:div w:id="354698593">
      <w:bodyDiv w:val="1"/>
      <w:marLeft w:val="0"/>
      <w:marRight w:val="0"/>
      <w:marTop w:val="0"/>
      <w:marBottom w:val="0"/>
      <w:divBdr>
        <w:top w:val="none" w:sz="0" w:space="0" w:color="auto"/>
        <w:left w:val="none" w:sz="0" w:space="0" w:color="auto"/>
        <w:bottom w:val="none" w:sz="0" w:space="0" w:color="auto"/>
        <w:right w:val="none" w:sz="0" w:space="0" w:color="auto"/>
      </w:divBdr>
    </w:div>
    <w:div w:id="419259589">
      <w:bodyDiv w:val="1"/>
      <w:marLeft w:val="0"/>
      <w:marRight w:val="0"/>
      <w:marTop w:val="0"/>
      <w:marBottom w:val="0"/>
      <w:divBdr>
        <w:top w:val="none" w:sz="0" w:space="0" w:color="auto"/>
        <w:left w:val="none" w:sz="0" w:space="0" w:color="auto"/>
        <w:bottom w:val="none" w:sz="0" w:space="0" w:color="auto"/>
        <w:right w:val="none" w:sz="0" w:space="0" w:color="auto"/>
      </w:divBdr>
      <w:divsChild>
        <w:div w:id="480511673">
          <w:marLeft w:val="0"/>
          <w:marRight w:val="0"/>
          <w:marTop w:val="0"/>
          <w:marBottom w:val="0"/>
          <w:divBdr>
            <w:top w:val="none" w:sz="0" w:space="0" w:color="auto"/>
            <w:left w:val="none" w:sz="0" w:space="0" w:color="auto"/>
            <w:bottom w:val="none" w:sz="0" w:space="0" w:color="auto"/>
            <w:right w:val="none" w:sz="0" w:space="0" w:color="auto"/>
          </w:divBdr>
        </w:div>
        <w:div w:id="1149441691">
          <w:marLeft w:val="0"/>
          <w:marRight w:val="0"/>
          <w:marTop w:val="0"/>
          <w:marBottom w:val="0"/>
          <w:divBdr>
            <w:top w:val="none" w:sz="0" w:space="0" w:color="auto"/>
            <w:left w:val="none" w:sz="0" w:space="0" w:color="auto"/>
            <w:bottom w:val="none" w:sz="0" w:space="0" w:color="auto"/>
            <w:right w:val="none" w:sz="0" w:space="0" w:color="auto"/>
          </w:divBdr>
        </w:div>
        <w:div w:id="1257396886">
          <w:marLeft w:val="0"/>
          <w:marRight w:val="0"/>
          <w:marTop w:val="0"/>
          <w:marBottom w:val="0"/>
          <w:divBdr>
            <w:top w:val="none" w:sz="0" w:space="0" w:color="auto"/>
            <w:left w:val="none" w:sz="0" w:space="0" w:color="auto"/>
            <w:bottom w:val="none" w:sz="0" w:space="0" w:color="auto"/>
            <w:right w:val="none" w:sz="0" w:space="0" w:color="auto"/>
          </w:divBdr>
        </w:div>
        <w:div w:id="1432622622">
          <w:marLeft w:val="0"/>
          <w:marRight w:val="0"/>
          <w:marTop w:val="0"/>
          <w:marBottom w:val="0"/>
          <w:divBdr>
            <w:top w:val="none" w:sz="0" w:space="0" w:color="auto"/>
            <w:left w:val="none" w:sz="0" w:space="0" w:color="auto"/>
            <w:bottom w:val="none" w:sz="0" w:space="0" w:color="auto"/>
            <w:right w:val="none" w:sz="0" w:space="0" w:color="auto"/>
          </w:divBdr>
        </w:div>
        <w:div w:id="1595632001">
          <w:marLeft w:val="0"/>
          <w:marRight w:val="0"/>
          <w:marTop w:val="0"/>
          <w:marBottom w:val="0"/>
          <w:divBdr>
            <w:top w:val="none" w:sz="0" w:space="0" w:color="auto"/>
            <w:left w:val="none" w:sz="0" w:space="0" w:color="auto"/>
            <w:bottom w:val="none" w:sz="0" w:space="0" w:color="auto"/>
            <w:right w:val="none" w:sz="0" w:space="0" w:color="auto"/>
          </w:divBdr>
        </w:div>
      </w:divsChild>
    </w:div>
    <w:div w:id="435832915">
      <w:bodyDiv w:val="1"/>
      <w:marLeft w:val="0"/>
      <w:marRight w:val="0"/>
      <w:marTop w:val="0"/>
      <w:marBottom w:val="0"/>
      <w:divBdr>
        <w:top w:val="none" w:sz="0" w:space="0" w:color="auto"/>
        <w:left w:val="none" w:sz="0" w:space="0" w:color="auto"/>
        <w:bottom w:val="none" w:sz="0" w:space="0" w:color="auto"/>
        <w:right w:val="none" w:sz="0" w:space="0" w:color="auto"/>
      </w:divBdr>
    </w:div>
    <w:div w:id="443159817">
      <w:bodyDiv w:val="1"/>
      <w:marLeft w:val="0"/>
      <w:marRight w:val="0"/>
      <w:marTop w:val="0"/>
      <w:marBottom w:val="0"/>
      <w:divBdr>
        <w:top w:val="none" w:sz="0" w:space="0" w:color="auto"/>
        <w:left w:val="none" w:sz="0" w:space="0" w:color="auto"/>
        <w:bottom w:val="none" w:sz="0" w:space="0" w:color="auto"/>
        <w:right w:val="none" w:sz="0" w:space="0" w:color="auto"/>
      </w:divBdr>
    </w:div>
    <w:div w:id="443883963">
      <w:bodyDiv w:val="1"/>
      <w:marLeft w:val="0"/>
      <w:marRight w:val="0"/>
      <w:marTop w:val="0"/>
      <w:marBottom w:val="0"/>
      <w:divBdr>
        <w:top w:val="none" w:sz="0" w:space="0" w:color="auto"/>
        <w:left w:val="none" w:sz="0" w:space="0" w:color="auto"/>
        <w:bottom w:val="none" w:sz="0" w:space="0" w:color="auto"/>
        <w:right w:val="none" w:sz="0" w:space="0" w:color="auto"/>
      </w:divBdr>
    </w:div>
    <w:div w:id="460809723">
      <w:bodyDiv w:val="1"/>
      <w:marLeft w:val="0"/>
      <w:marRight w:val="0"/>
      <w:marTop w:val="0"/>
      <w:marBottom w:val="0"/>
      <w:divBdr>
        <w:top w:val="none" w:sz="0" w:space="0" w:color="auto"/>
        <w:left w:val="none" w:sz="0" w:space="0" w:color="auto"/>
        <w:bottom w:val="none" w:sz="0" w:space="0" w:color="auto"/>
        <w:right w:val="none" w:sz="0" w:space="0" w:color="auto"/>
      </w:divBdr>
      <w:divsChild>
        <w:div w:id="1680035152">
          <w:marLeft w:val="0"/>
          <w:marRight w:val="0"/>
          <w:marTop w:val="0"/>
          <w:marBottom w:val="0"/>
          <w:divBdr>
            <w:top w:val="none" w:sz="0" w:space="0" w:color="auto"/>
            <w:left w:val="none" w:sz="0" w:space="0" w:color="auto"/>
            <w:bottom w:val="none" w:sz="0" w:space="0" w:color="auto"/>
            <w:right w:val="none" w:sz="0" w:space="0" w:color="auto"/>
          </w:divBdr>
          <w:divsChild>
            <w:div w:id="975381212">
              <w:marLeft w:val="0"/>
              <w:marRight w:val="0"/>
              <w:marTop w:val="0"/>
              <w:marBottom w:val="0"/>
              <w:divBdr>
                <w:top w:val="none" w:sz="0" w:space="0" w:color="auto"/>
                <w:left w:val="none" w:sz="0" w:space="0" w:color="auto"/>
                <w:bottom w:val="none" w:sz="0" w:space="0" w:color="auto"/>
                <w:right w:val="none" w:sz="0" w:space="0" w:color="auto"/>
              </w:divBdr>
              <w:divsChild>
                <w:div w:id="5217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9740">
      <w:bodyDiv w:val="1"/>
      <w:marLeft w:val="0"/>
      <w:marRight w:val="0"/>
      <w:marTop w:val="0"/>
      <w:marBottom w:val="0"/>
      <w:divBdr>
        <w:top w:val="none" w:sz="0" w:space="0" w:color="auto"/>
        <w:left w:val="none" w:sz="0" w:space="0" w:color="auto"/>
        <w:bottom w:val="none" w:sz="0" w:space="0" w:color="auto"/>
        <w:right w:val="none" w:sz="0" w:space="0" w:color="auto"/>
      </w:divBdr>
      <w:divsChild>
        <w:div w:id="192115791">
          <w:marLeft w:val="274"/>
          <w:marRight w:val="0"/>
          <w:marTop w:val="0"/>
          <w:marBottom w:val="0"/>
          <w:divBdr>
            <w:top w:val="none" w:sz="0" w:space="0" w:color="auto"/>
            <w:left w:val="none" w:sz="0" w:space="0" w:color="auto"/>
            <w:bottom w:val="none" w:sz="0" w:space="0" w:color="auto"/>
            <w:right w:val="none" w:sz="0" w:space="0" w:color="auto"/>
          </w:divBdr>
        </w:div>
        <w:div w:id="356128600">
          <w:marLeft w:val="274"/>
          <w:marRight w:val="0"/>
          <w:marTop w:val="0"/>
          <w:marBottom w:val="0"/>
          <w:divBdr>
            <w:top w:val="none" w:sz="0" w:space="0" w:color="auto"/>
            <w:left w:val="none" w:sz="0" w:space="0" w:color="auto"/>
            <w:bottom w:val="none" w:sz="0" w:space="0" w:color="auto"/>
            <w:right w:val="none" w:sz="0" w:space="0" w:color="auto"/>
          </w:divBdr>
        </w:div>
        <w:div w:id="432479525">
          <w:marLeft w:val="274"/>
          <w:marRight w:val="0"/>
          <w:marTop w:val="0"/>
          <w:marBottom w:val="0"/>
          <w:divBdr>
            <w:top w:val="none" w:sz="0" w:space="0" w:color="auto"/>
            <w:left w:val="none" w:sz="0" w:space="0" w:color="auto"/>
            <w:bottom w:val="none" w:sz="0" w:space="0" w:color="auto"/>
            <w:right w:val="none" w:sz="0" w:space="0" w:color="auto"/>
          </w:divBdr>
        </w:div>
        <w:div w:id="669254553">
          <w:marLeft w:val="274"/>
          <w:marRight w:val="0"/>
          <w:marTop w:val="0"/>
          <w:marBottom w:val="0"/>
          <w:divBdr>
            <w:top w:val="none" w:sz="0" w:space="0" w:color="auto"/>
            <w:left w:val="none" w:sz="0" w:space="0" w:color="auto"/>
            <w:bottom w:val="none" w:sz="0" w:space="0" w:color="auto"/>
            <w:right w:val="none" w:sz="0" w:space="0" w:color="auto"/>
          </w:divBdr>
        </w:div>
      </w:divsChild>
    </w:div>
    <w:div w:id="471868154">
      <w:bodyDiv w:val="1"/>
      <w:marLeft w:val="0"/>
      <w:marRight w:val="0"/>
      <w:marTop w:val="0"/>
      <w:marBottom w:val="0"/>
      <w:divBdr>
        <w:top w:val="none" w:sz="0" w:space="0" w:color="auto"/>
        <w:left w:val="none" w:sz="0" w:space="0" w:color="auto"/>
        <w:bottom w:val="none" w:sz="0" w:space="0" w:color="auto"/>
        <w:right w:val="none" w:sz="0" w:space="0" w:color="auto"/>
      </w:divBdr>
      <w:divsChild>
        <w:div w:id="513350460">
          <w:marLeft w:val="274"/>
          <w:marRight w:val="0"/>
          <w:marTop w:val="0"/>
          <w:marBottom w:val="0"/>
          <w:divBdr>
            <w:top w:val="none" w:sz="0" w:space="0" w:color="auto"/>
            <w:left w:val="none" w:sz="0" w:space="0" w:color="auto"/>
            <w:bottom w:val="none" w:sz="0" w:space="0" w:color="auto"/>
            <w:right w:val="none" w:sz="0" w:space="0" w:color="auto"/>
          </w:divBdr>
        </w:div>
        <w:div w:id="702054119">
          <w:marLeft w:val="274"/>
          <w:marRight w:val="0"/>
          <w:marTop w:val="0"/>
          <w:marBottom w:val="0"/>
          <w:divBdr>
            <w:top w:val="none" w:sz="0" w:space="0" w:color="auto"/>
            <w:left w:val="none" w:sz="0" w:space="0" w:color="auto"/>
            <w:bottom w:val="none" w:sz="0" w:space="0" w:color="auto"/>
            <w:right w:val="none" w:sz="0" w:space="0" w:color="auto"/>
          </w:divBdr>
        </w:div>
        <w:div w:id="1215195729">
          <w:marLeft w:val="274"/>
          <w:marRight w:val="0"/>
          <w:marTop w:val="0"/>
          <w:marBottom w:val="0"/>
          <w:divBdr>
            <w:top w:val="none" w:sz="0" w:space="0" w:color="auto"/>
            <w:left w:val="none" w:sz="0" w:space="0" w:color="auto"/>
            <w:bottom w:val="none" w:sz="0" w:space="0" w:color="auto"/>
            <w:right w:val="none" w:sz="0" w:space="0" w:color="auto"/>
          </w:divBdr>
        </w:div>
      </w:divsChild>
    </w:div>
    <w:div w:id="515462253">
      <w:bodyDiv w:val="1"/>
      <w:marLeft w:val="0"/>
      <w:marRight w:val="0"/>
      <w:marTop w:val="0"/>
      <w:marBottom w:val="0"/>
      <w:divBdr>
        <w:top w:val="none" w:sz="0" w:space="0" w:color="auto"/>
        <w:left w:val="none" w:sz="0" w:space="0" w:color="auto"/>
        <w:bottom w:val="none" w:sz="0" w:space="0" w:color="auto"/>
        <w:right w:val="none" w:sz="0" w:space="0" w:color="auto"/>
      </w:divBdr>
    </w:div>
    <w:div w:id="516427404">
      <w:bodyDiv w:val="1"/>
      <w:marLeft w:val="0"/>
      <w:marRight w:val="0"/>
      <w:marTop w:val="0"/>
      <w:marBottom w:val="0"/>
      <w:divBdr>
        <w:top w:val="none" w:sz="0" w:space="0" w:color="auto"/>
        <w:left w:val="none" w:sz="0" w:space="0" w:color="auto"/>
        <w:bottom w:val="none" w:sz="0" w:space="0" w:color="auto"/>
        <w:right w:val="none" w:sz="0" w:space="0" w:color="auto"/>
      </w:divBdr>
    </w:div>
    <w:div w:id="560485612">
      <w:bodyDiv w:val="1"/>
      <w:marLeft w:val="0"/>
      <w:marRight w:val="0"/>
      <w:marTop w:val="0"/>
      <w:marBottom w:val="0"/>
      <w:divBdr>
        <w:top w:val="none" w:sz="0" w:space="0" w:color="auto"/>
        <w:left w:val="none" w:sz="0" w:space="0" w:color="auto"/>
        <w:bottom w:val="none" w:sz="0" w:space="0" w:color="auto"/>
        <w:right w:val="none" w:sz="0" w:space="0" w:color="auto"/>
      </w:divBdr>
    </w:div>
    <w:div w:id="562519955">
      <w:bodyDiv w:val="1"/>
      <w:marLeft w:val="0"/>
      <w:marRight w:val="0"/>
      <w:marTop w:val="0"/>
      <w:marBottom w:val="0"/>
      <w:divBdr>
        <w:top w:val="none" w:sz="0" w:space="0" w:color="auto"/>
        <w:left w:val="none" w:sz="0" w:space="0" w:color="auto"/>
        <w:bottom w:val="none" w:sz="0" w:space="0" w:color="auto"/>
        <w:right w:val="none" w:sz="0" w:space="0" w:color="auto"/>
      </w:divBdr>
    </w:div>
    <w:div w:id="581305417">
      <w:bodyDiv w:val="1"/>
      <w:marLeft w:val="0"/>
      <w:marRight w:val="0"/>
      <w:marTop w:val="0"/>
      <w:marBottom w:val="0"/>
      <w:divBdr>
        <w:top w:val="none" w:sz="0" w:space="0" w:color="auto"/>
        <w:left w:val="none" w:sz="0" w:space="0" w:color="auto"/>
        <w:bottom w:val="none" w:sz="0" w:space="0" w:color="auto"/>
        <w:right w:val="none" w:sz="0" w:space="0" w:color="auto"/>
      </w:divBdr>
      <w:divsChild>
        <w:div w:id="1962834803">
          <w:marLeft w:val="0"/>
          <w:marRight w:val="0"/>
          <w:marTop w:val="0"/>
          <w:marBottom w:val="225"/>
          <w:divBdr>
            <w:top w:val="none" w:sz="0" w:space="0" w:color="auto"/>
            <w:left w:val="none" w:sz="0" w:space="0" w:color="auto"/>
            <w:bottom w:val="none" w:sz="0" w:space="0" w:color="auto"/>
            <w:right w:val="none" w:sz="0" w:space="0" w:color="auto"/>
          </w:divBdr>
          <w:divsChild>
            <w:div w:id="1284262820">
              <w:marLeft w:val="0"/>
              <w:marRight w:val="0"/>
              <w:marTop w:val="0"/>
              <w:marBottom w:val="0"/>
              <w:divBdr>
                <w:top w:val="none" w:sz="0" w:space="0" w:color="auto"/>
                <w:left w:val="none" w:sz="0" w:space="0" w:color="auto"/>
                <w:bottom w:val="none" w:sz="0" w:space="0" w:color="auto"/>
                <w:right w:val="none" w:sz="0" w:space="0" w:color="auto"/>
              </w:divBdr>
              <w:divsChild>
                <w:div w:id="300428343">
                  <w:marLeft w:val="0"/>
                  <w:marRight w:val="0"/>
                  <w:marTop w:val="0"/>
                  <w:marBottom w:val="225"/>
                  <w:divBdr>
                    <w:top w:val="none" w:sz="0" w:space="0" w:color="auto"/>
                    <w:left w:val="none" w:sz="0" w:space="0" w:color="auto"/>
                    <w:bottom w:val="none" w:sz="0" w:space="0" w:color="auto"/>
                    <w:right w:val="none" w:sz="0" w:space="0" w:color="auto"/>
                  </w:divBdr>
                  <w:divsChild>
                    <w:div w:id="1388337943">
                      <w:marLeft w:val="0"/>
                      <w:marRight w:val="0"/>
                      <w:marTop w:val="0"/>
                      <w:marBottom w:val="0"/>
                      <w:divBdr>
                        <w:top w:val="none" w:sz="0" w:space="0" w:color="auto"/>
                        <w:left w:val="none" w:sz="0" w:space="0" w:color="auto"/>
                        <w:bottom w:val="none" w:sz="0" w:space="0" w:color="auto"/>
                        <w:right w:val="none" w:sz="0" w:space="0" w:color="auto"/>
                      </w:divBdr>
                      <w:divsChild>
                        <w:div w:id="2098625400">
                          <w:marLeft w:val="0"/>
                          <w:marRight w:val="0"/>
                          <w:marTop w:val="0"/>
                          <w:marBottom w:val="0"/>
                          <w:divBdr>
                            <w:top w:val="none" w:sz="0" w:space="0" w:color="auto"/>
                            <w:left w:val="none" w:sz="0" w:space="0" w:color="auto"/>
                            <w:bottom w:val="none" w:sz="0" w:space="0" w:color="auto"/>
                            <w:right w:val="none" w:sz="0" w:space="0" w:color="auto"/>
                          </w:divBdr>
                          <w:divsChild>
                            <w:div w:id="1916426489">
                              <w:marLeft w:val="0"/>
                              <w:marRight w:val="0"/>
                              <w:marTop w:val="0"/>
                              <w:marBottom w:val="0"/>
                              <w:divBdr>
                                <w:top w:val="none" w:sz="0" w:space="0" w:color="auto"/>
                                <w:left w:val="none" w:sz="0" w:space="0" w:color="auto"/>
                                <w:bottom w:val="none" w:sz="0" w:space="0" w:color="auto"/>
                                <w:right w:val="none" w:sz="0" w:space="0" w:color="auto"/>
                              </w:divBdr>
                              <w:divsChild>
                                <w:div w:id="576285950">
                                  <w:marLeft w:val="0"/>
                                  <w:marRight w:val="0"/>
                                  <w:marTop w:val="0"/>
                                  <w:marBottom w:val="0"/>
                                  <w:divBdr>
                                    <w:top w:val="none" w:sz="0" w:space="0" w:color="auto"/>
                                    <w:left w:val="none" w:sz="0" w:space="0" w:color="auto"/>
                                    <w:bottom w:val="none" w:sz="0" w:space="0" w:color="auto"/>
                                    <w:right w:val="none" w:sz="0" w:space="0" w:color="auto"/>
                                  </w:divBdr>
                                  <w:divsChild>
                                    <w:div w:id="498817241">
                                      <w:marLeft w:val="0"/>
                                      <w:marRight w:val="0"/>
                                      <w:marTop w:val="0"/>
                                      <w:marBottom w:val="0"/>
                                      <w:divBdr>
                                        <w:top w:val="none" w:sz="0" w:space="0" w:color="auto"/>
                                        <w:left w:val="none" w:sz="0" w:space="0" w:color="auto"/>
                                        <w:bottom w:val="none" w:sz="0" w:space="0" w:color="auto"/>
                                        <w:right w:val="none" w:sz="0" w:space="0" w:color="auto"/>
                                      </w:divBdr>
                                      <w:divsChild>
                                        <w:div w:id="1428844963">
                                          <w:marLeft w:val="0"/>
                                          <w:marRight w:val="0"/>
                                          <w:marTop w:val="0"/>
                                          <w:marBottom w:val="0"/>
                                          <w:divBdr>
                                            <w:top w:val="none" w:sz="0" w:space="0" w:color="auto"/>
                                            <w:left w:val="none" w:sz="0" w:space="0" w:color="auto"/>
                                            <w:bottom w:val="none" w:sz="0" w:space="0" w:color="auto"/>
                                            <w:right w:val="none" w:sz="0" w:space="0" w:color="auto"/>
                                          </w:divBdr>
                                          <w:divsChild>
                                            <w:div w:id="13886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2590583">
      <w:bodyDiv w:val="1"/>
      <w:marLeft w:val="0"/>
      <w:marRight w:val="0"/>
      <w:marTop w:val="0"/>
      <w:marBottom w:val="0"/>
      <w:divBdr>
        <w:top w:val="none" w:sz="0" w:space="0" w:color="auto"/>
        <w:left w:val="none" w:sz="0" w:space="0" w:color="auto"/>
        <w:bottom w:val="none" w:sz="0" w:space="0" w:color="auto"/>
        <w:right w:val="none" w:sz="0" w:space="0" w:color="auto"/>
      </w:divBdr>
      <w:divsChild>
        <w:div w:id="32386494">
          <w:marLeft w:val="274"/>
          <w:marRight w:val="0"/>
          <w:marTop w:val="0"/>
          <w:marBottom w:val="0"/>
          <w:divBdr>
            <w:top w:val="none" w:sz="0" w:space="0" w:color="auto"/>
            <w:left w:val="none" w:sz="0" w:space="0" w:color="auto"/>
            <w:bottom w:val="none" w:sz="0" w:space="0" w:color="auto"/>
            <w:right w:val="none" w:sz="0" w:space="0" w:color="auto"/>
          </w:divBdr>
        </w:div>
        <w:div w:id="115373398">
          <w:marLeft w:val="274"/>
          <w:marRight w:val="0"/>
          <w:marTop w:val="0"/>
          <w:marBottom w:val="0"/>
          <w:divBdr>
            <w:top w:val="none" w:sz="0" w:space="0" w:color="auto"/>
            <w:left w:val="none" w:sz="0" w:space="0" w:color="auto"/>
            <w:bottom w:val="none" w:sz="0" w:space="0" w:color="auto"/>
            <w:right w:val="none" w:sz="0" w:space="0" w:color="auto"/>
          </w:divBdr>
        </w:div>
        <w:div w:id="163590735">
          <w:marLeft w:val="274"/>
          <w:marRight w:val="0"/>
          <w:marTop w:val="0"/>
          <w:marBottom w:val="0"/>
          <w:divBdr>
            <w:top w:val="none" w:sz="0" w:space="0" w:color="auto"/>
            <w:left w:val="none" w:sz="0" w:space="0" w:color="auto"/>
            <w:bottom w:val="none" w:sz="0" w:space="0" w:color="auto"/>
            <w:right w:val="none" w:sz="0" w:space="0" w:color="auto"/>
          </w:divBdr>
        </w:div>
        <w:div w:id="180240900">
          <w:marLeft w:val="1166"/>
          <w:marRight w:val="0"/>
          <w:marTop w:val="0"/>
          <w:marBottom w:val="0"/>
          <w:divBdr>
            <w:top w:val="none" w:sz="0" w:space="0" w:color="auto"/>
            <w:left w:val="none" w:sz="0" w:space="0" w:color="auto"/>
            <w:bottom w:val="none" w:sz="0" w:space="0" w:color="auto"/>
            <w:right w:val="none" w:sz="0" w:space="0" w:color="auto"/>
          </w:divBdr>
        </w:div>
        <w:div w:id="237063560">
          <w:marLeft w:val="1166"/>
          <w:marRight w:val="0"/>
          <w:marTop w:val="0"/>
          <w:marBottom w:val="0"/>
          <w:divBdr>
            <w:top w:val="none" w:sz="0" w:space="0" w:color="auto"/>
            <w:left w:val="none" w:sz="0" w:space="0" w:color="auto"/>
            <w:bottom w:val="none" w:sz="0" w:space="0" w:color="auto"/>
            <w:right w:val="none" w:sz="0" w:space="0" w:color="auto"/>
          </w:divBdr>
        </w:div>
        <w:div w:id="307169670">
          <w:marLeft w:val="274"/>
          <w:marRight w:val="0"/>
          <w:marTop w:val="0"/>
          <w:marBottom w:val="0"/>
          <w:divBdr>
            <w:top w:val="none" w:sz="0" w:space="0" w:color="auto"/>
            <w:left w:val="none" w:sz="0" w:space="0" w:color="auto"/>
            <w:bottom w:val="none" w:sz="0" w:space="0" w:color="auto"/>
            <w:right w:val="none" w:sz="0" w:space="0" w:color="auto"/>
          </w:divBdr>
        </w:div>
        <w:div w:id="436798084">
          <w:marLeft w:val="274"/>
          <w:marRight w:val="0"/>
          <w:marTop w:val="0"/>
          <w:marBottom w:val="0"/>
          <w:divBdr>
            <w:top w:val="none" w:sz="0" w:space="0" w:color="auto"/>
            <w:left w:val="none" w:sz="0" w:space="0" w:color="auto"/>
            <w:bottom w:val="none" w:sz="0" w:space="0" w:color="auto"/>
            <w:right w:val="none" w:sz="0" w:space="0" w:color="auto"/>
          </w:divBdr>
        </w:div>
        <w:div w:id="446317400">
          <w:marLeft w:val="274"/>
          <w:marRight w:val="0"/>
          <w:marTop w:val="0"/>
          <w:marBottom w:val="0"/>
          <w:divBdr>
            <w:top w:val="none" w:sz="0" w:space="0" w:color="auto"/>
            <w:left w:val="none" w:sz="0" w:space="0" w:color="auto"/>
            <w:bottom w:val="none" w:sz="0" w:space="0" w:color="auto"/>
            <w:right w:val="none" w:sz="0" w:space="0" w:color="auto"/>
          </w:divBdr>
        </w:div>
        <w:div w:id="508984850">
          <w:marLeft w:val="274"/>
          <w:marRight w:val="0"/>
          <w:marTop w:val="0"/>
          <w:marBottom w:val="0"/>
          <w:divBdr>
            <w:top w:val="none" w:sz="0" w:space="0" w:color="auto"/>
            <w:left w:val="none" w:sz="0" w:space="0" w:color="auto"/>
            <w:bottom w:val="none" w:sz="0" w:space="0" w:color="auto"/>
            <w:right w:val="none" w:sz="0" w:space="0" w:color="auto"/>
          </w:divBdr>
        </w:div>
        <w:div w:id="708532965">
          <w:marLeft w:val="1166"/>
          <w:marRight w:val="0"/>
          <w:marTop w:val="0"/>
          <w:marBottom w:val="0"/>
          <w:divBdr>
            <w:top w:val="none" w:sz="0" w:space="0" w:color="auto"/>
            <w:left w:val="none" w:sz="0" w:space="0" w:color="auto"/>
            <w:bottom w:val="none" w:sz="0" w:space="0" w:color="auto"/>
            <w:right w:val="none" w:sz="0" w:space="0" w:color="auto"/>
          </w:divBdr>
        </w:div>
        <w:div w:id="714239210">
          <w:marLeft w:val="274"/>
          <w:marRight w:val="0"/>
          <w:marTop w:val="0"/>
          <w:marBottom w:val="0"/>
          <w:divBdr>
            <w:top w:val="none" w:sz="0" w:space="0" w:color="auto"/>
            <w:left w:val="none" w:sz="0" w:space="0" w:color="auto"/>
            <w:bottom w:val="none" w:sz="0" w:space="0" w:color="auto"/>
            <w:right w:val="none" w:sz="0" w:space="0" w:color="auto"/>
          </w:divBdr>
        </w:div>
        <w:div w:id="747652570">
          <w:marLeft w:val="1166"/>
          <w:marRight w:val="0"/>
          <w:marTop w:val="0"/>
          <w:marBottom w:val="0"/>
          <w:divBdr>
            <w:top w:val="none" w:sz="0" w:space="0" w:color="auto"/>
            <w:left w:val="none" w:sz="0" w:space="0" w:color="auto"/>
            <w:bottom w:val="none" w:sz="0" w:space="0" w:color="auto"/>
            <w:right w:val="none" w:sz="0" w:space="0" w:color="auto"/>
          </w:divBdr>
        </w:div>
        <w:div w:id="792558137">
          <w:marLeft w:val="274"/>
          <w:marRight w:val="0"/>
          <w:marTop w:val="0"/>
          <w:marBottom w:val="0"/>
          <w:divBdr>
            <w:top w:val="none" w:sz="0" w:space="0" w:color="auto"/>
            <w:left w:val="none" w:sz="0" w:space="0" w:color="auto"/>
            <w:bottom w:val="none" w:sz="0" w:space="0" w:color="auto"/>
            <w:right w:val="none" w:sz="0" w:space="0" w:color="auto"/>
          </w:divBdr>
        </w:div>
        <w:div w:id="958033111">
          <w:marLeft w:val="1166"/>
          <w:marRight w:val="0"/>
          <w:marTop w:val="0"/>
          <w:marBottom w:val="0"/>
          <w:divBdr>
            <w:top w:val="none" w:sz="0" w:space="0" w:color="auto"/>
            <w:left w:val="none" w:sz="0" w:space="0" w:color="auto"/>
            <w:bottom w:val="none" w:sz="0" w:space="0" w:color="auto"/>
            <w:right w:val="none" w:sz="0" w:space="0" w:color="auto"/>
          </w:divBdr>
        </w:div>
        <w:div w:id="965624995">
          <w:marLeft w:val="274"/>
          <w:marRight w:val="0"/>
          <w:marTop w:val="0"/>
          <w:marBottom w:val="0"/>
          <w:divBdr>
            <w:top w:val="none" w:sz="0" w:space="0" w:color="auto"/>
            <w:left w:val="none" w:sz="0" w:space="0" w:color="auto"/>
            <w:bottom w:val="none" w:sz="0" w:space="0" w:color="auto"/>
            <w:right w:val="none" w:sz="0" w:space="0" w:color="auto"/>
          </w:divBdr>
        </w:div>
        <w:div w:id="983897985">
          <w:marLeft w:val="1166"/>
          <w:marRight w:val="0"/>
          <w:marTop w:val="0"/>
          <w:marBottom w:val="0"/>
          <w:divBdr>
            <w:top w:val="none" w:sz="0" w:space="0" w:color="auto"/>
            <w:left w:val="none" w:sz="0" w:space="0" w:color="auto"/>
            <w:bottom w:val="none" w:sz="0" w:space="0" w:color="auto"/>
            <w:right w:val="none" w:sz="0" w:space="0" w:color="auto"/>
          </w:divBdr>
        </w:div>
        <w:div w:id="1301883323">
          <w:marLeft w:val="274"/>
          <w:marRight w:val="0"/>
          <w:marTop w:val="0"/>
          <w:marBottom w:val="0"/>
          <w:divBdr>
            <w:top w:val="none" w:sz="0" w:space="0" w:color="auto"/>
            <w:left w:val="none" w:sz="0" w:space="0" w:color="auto"/>
            <w:bottom w:val="none" w:sz="0" w:space="0" w:color="auto"/>
            <w:right w:val="none" w:sz="0" w:space="0" w:color="auto"/>
          </w:divBdr>
        </w:div>
        <w:div w:id="1348482329">
          <w:marLeft w:val="274"/>
          <w:marRight w:val="0"/>
          <w:marTop w:val="0"/>
          <w:marBottom w:val="0"/>
          <w:divBdr>
            <w:top w:val="none" w:sz="0" w:space="0" w:color="auto"/>
            <w:left w:val="none" w:sz="0" w:space="0" w:color="auto"/>
            <w:bottom w:val="none" w:sz="0" w:space="0" w:color="auto"/>
            <w:right w:val="none" w:sz="0" w:space="0" w:color="auto"/>
          </w:divBdr>
        </w:div>
        <w:div w:id="1537110889">
          <w:marLeft w:val="1166"/>
          <w:marRight w:val="0"/>
          <w:marTop w:val="0"/>
          <w:marBottom w:val="0"/>
          <w:divBdr>
            <w:top w:val="none" w:sz="0" w:space="0" w:color="auto"/>
            <w:left w:val="none" w:sz="0" w:space="0" w:color="auto"/>
            <w:bottom w:val="none" w:sz="0" w:space="0" w:color="auto"/>
            <w:right w:val="none" w:sz="0" w:space="0" w:color="auto"/>
          </w:divBdr>
        </w:div>
        <w:div w:id="1585652980">
          <w:marLeft w:val="274"/>
          <w:marRight w:val="0"/>
          <w:marTop w:val="0"/>
          <w:marBottom w:val="0"/>
          <w:divBdr>
            <w:top w:val="none" w:sz="0" w:space="0" w:color="auto"/>
            <w:left w:val="none" w:sz="0" w:space="0" w:color="auto"/>
            <w:bottom w:val="none" w:sz="0" w:space="0" w:color="auto"/>
            <w:right w:val="none" w:sz="0" w:space="0" w:color="auto"/>
          </w:divBdr>
        </w:div>
        <w:div w:id="1629042615">
          <w:marLeft w:val="274"/>
          <w:marRight w:val="0"/>
          <w:marTop w:val="0"/>
          <w:marBottom w:val="0"/>
          <w:divBdr>
            <w:top w:val="none" w:sz="0" w:space="0" w:color="auto"/>
            <w:left w:val="none" w:sz="0" w:space="0" w:color="auto"/>
            <w:bottom w:val="none" w:sz="0" w:space="0" w:color="auto"/>
            <w:right w:val="none" w:sz="0" w:space="0" w:color="auto"/>
          </w:divBdr>
        </w:div>
        <w:div w:id="1679576140">
          <w:marLeft w:val="274"/>
          <w:marRight w:val="0"/>
          <w:marTop w:val="0"/>
          <w:marBottom w:val="0"/>
          <w:divBdr>
            <w:top w:val="none" w:sz="0" w:space="0" w:color="auto"/>
            <w:left w:val="none" w:sz="0" w:space="0" w:color="auto"/>
            <w:bottom w:val="none" w:sz="0" w:space="0" w:color="auto"/>
            <w:right w:val="none" w:sz="0" w:space="0" w:color="auto"/>
          </w:divBdr>
        </w:div>
        <w:div w:id="1861897241">
          <w:marLeft w:val="274"/>
          <w:marRight w:val="0"/>
          <w:marTop w:val="0"/>
          <w:marBottom w:val="0"/>
          <w:divBdr>
            <w:top w:val="none" w:sz="0" w:space="0" w:color="auto"/>
            <w:left w:val="none" w:sz="0" w:space="0" w:color="auto"/>
            <w:bottom w:val="none" w:sz="0" w:space="0" w:color="auto"/>
            <w:right w:val="none" w:sz="0" w:space="0" w:color="auto"/>
          </w:divBdr>
        </w:div>
        <w:div w:id="1886982004">
          <w:marLeft w:val="1166"/>
          <w:marRight w:val="0"/>
          <w:marTop w:val="0"/>
          <w:marBottom w:val="0"/>
          <w:divBdr>
            <w:top w:val="none" w:sz="0" w:space="0" w:color="auto"/>
            <w:left w:val="none" w:sz="0" w:space="0" w:color="auto"/>
            <w:bottom w:val="none" w:sz="0" w:space="0" w:color="auto"/>
            <w:right w:val="none" w:sz="0" w:space="0" w:color="auto"/>
          </w:divBdr>
        </w:div>
        <w:div w:id="1943100079">
          <w:marLeft w:val="1166"/>
          <w:marRight w:val="0"/>
          <w:marTop w:val="0"/>
          <w:marBottom w:val="0"/>
          <w:divBdr>
            <w:top w:val="none" w:sz="0" w:space="0" w:color="auto"/>
            <w:left w:val="none" w:sz="0" w:space="0" w:color="auto"/>
            <w:bottom w:val="none" w:sz="0" w:space="0" w:color="auto"/>
            <w:right w:val="none" w:sz="0" w:space="0" w:color="auto"/>
          </w:divBdr>
        </w:div>
        <w:div w:id="1952274960">
          <w:marLeft w:val="274"/>
          <w:marRight w:val="0"/>
          <w:marTop w:val="0"/>
          <w:marBottom w:val="0"/>
          <w:divBdr>
            <w:top w:val="none" w:sz="0" w:space="0" w:color="auto"/>
            <w:left w:val="none" w:sz="0" w:space="0" w:color="auto"/>
            <w:bottom w:val="none" w:sz="0" w:space="0" w:color="auto"/>
            <w:right w:val="none" w:sz="0" w:space="0" w:color="auto"/>
          </w:divBdr>
        </w:div>
        <w:div w:id="2057705560">
          <w:marLeft w:val="274"/>
          <w:marRight w:val="0"/>
          <w:marTop w:val="0"/>
          <w:marBottom w:val="0"/>
          <w:divBdr>
            <w:top w:val="none" w:sz="0" w:space="0" w:color="auto"/>
            <w:left w:val="none" w:sz="0" w:space="0" w:color="auto"/>
            <w:bottom w:val="none" w:sz="0" w:space="0" w:color="auto"/>
            <w:right w:val="none" w:sz="0" w:space="0" w:color="auto"/>
          </w:divBdr>
        </w:div>
      </w:divsChild>
    </w:div>
    <w:div w:id="681860972">
      <w:bodyDiv w:val="1"/>
      <w:marLeft w:val="0"/>
      <w:marRight w:val="0"/>
      <w:marTop w:val="0"/>
      <w:marBottom w:val="0"/>
      <w:divBdr>
        <w:top w:val="none" w:sz="0" w:space="0" w:color="auto"/>
        <w:left w:val="none" w:sz="0" w:space="0" w:color="auto"/>
        <w:bottom w:val="none" w:sz="0" w:space="0" w:color="auto"/>
        <w:right w:val="none" w:sz="0" w:space="0" w:color="auto"/>
      </w:divBdr>
    </w:div>
    <w:div w:id="693652181">
      <w:bodyDiv w:val="1"/>
      <w:marLeft w:val="0"/>
      <w:marRight w:val="0"/>
      <w:marTop w:val="0"/>
      <w:marBottom w:val="0"/>
      <w:divBdr>
        <w:top w:val="none" w:sz="0" w:space="0" w:color="auto"/>
        <w:left w:val="none" w:sz="0" w:space="0" w:color="auto"/>
        <w:bottom w:val="none" w:sz="0" w:space="0" w:color="auto"/>
        <w:right w:val="none" w:sz="0" w:space="0" w:color="auto"/>
      </w:divBdr>
    </w:div>
    <w:div w:id="693926115">
      <w:bodyDiv w:val="1"/>
      <w:marLeft w:val="0"/>
      <w:marRight w:val="0"/>
      <w:marTop w:val="0"/>
      <w:marBottom w:val="0"/>
      <w:divBdr>
        <w:top w:val="none" w:sz="0" w:space="0" w:color="auto"/>
        <w:left w:val="none" w:sz="0" w:space="0" w:color="auto"/>
        <w:bottom w:val="none" w:sz="0" w:space="0" w:color="auto"/>
        <w:right w:val="none" w:sz="0" w:space="0" w:color="auto"/>
      </w:divBdr>
      <w:divsChild>
        <w:div w:id="881131704">
          <w:marLeft w:val="0"/>
          <w:marRight w:val="0"/>
          <w:marTop w:val="0"/>
          <w:marBottom w:val="0"/>
          <w:divBdr>
            <w:top w:val="none" w:sz="0" w:space="0" w:color="auto"/>
            <w:left w:val="none" w:sz="0" w:space="0" w:color="auto"/>
            <w:bottom w:val="none" w:sz="0" w:space="0" w:color="auto"/>
            <w:right w:val="none" w:sz="0" w:space="0" w:color="auto"/>
          </w:divBdr>
          <w:divsChild>
            <w:div w:id="1681615947">
              <w:marLeft w:val="0"/>
              <w:marRight w:val="0"/>
              <w:marTop w:val="0"/>
              <w:marBottom w:val="0"/>
              <w:divBdr>
                <w:top w:val="none" w:sz="0" w:space="0" w:color="auto"/>
                <w:left w:val="none" w:sz="0" w:space="0" w:color="auto"/>
                <w:bottom w:val="none" w:sz="0" w:space="0" w:color="auto"/>
                <w:right w:val="none" w:sz="0" w:space="0" w:color="auto"/>
              </w:divBdr>
              <w:divsChild>
                <w:div w:id="1638105049">
                  <w:marLeft w:val="0"/>
                  <w:marRight w:val="0"/>
                  <w:marTop w:val="0"/>
                  <w:marBottom w:val="0"/>
                  <w:divBdr>
                    <w:top w:val="none" w:sz="0" w:space="0" w:color="auto"/>
                    <w:left w:val="none" w:sz="0" w:space="0" w:color="auto"/>
                    <w:bottom w:val="none" w:sz="0" w:space="0" w:color="auto"/>
                    <w:right w:val="none" w:sz="0" w:space="0" w:color="auto"/>
                  </w:divBdr>
                  <w:divsChild>
                    <w:div w:id="16365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73763">
      <w:bodyDiv w:val="1"/>
      <w:marLeft w:val="0"/>
      <w:marRight w:val="0"/>
      <w:marTop w:val="0"/>
      <w:marBottom w:val="0"/>
      <w:divBdr>
        <w:top w:val="none" w:sz="0" w:space="0" w:color="auto"/>
        <w:left w:val="none" w:sz="0" w:space="0" w:color="auto"/>
        <w:bottom w:val="none" w:sz="0" w:space="0" w:color="auto"/>
        <w:right w:val="none" w:sz="0" w:space="0" w:color="auto"/>
      </w:divBdr>
    </w:div>
    <w:div w:id="722753936">
      <w:bodyDiv w:val="1"/>
      <w:marLeft w:val="0"/>
      <w:marRight w:val="0"/>
      <w:marTop w:val="0"/>
      <w:marBottom w:val="0"/>
      <w:divBdr>
        <w:top w:val="none" w:sz="0" w:space="0" w:color="auto"/>
        <w:left w:val="none" w:sz="0" w:space="0" w:color="auto"/>
        <w:bottom w:val="none" w:sz="0" w:space="0" w:color="auto"/>
        <w:right w:val="none" w:sz="0" w:space="0" w:color="auto"/>
      </w:divBdr>
    </w:div>
    <w:div w:id="731586642">
      <w:bodyDiv w:val="1"/>
      <w:marLeft w:val="0"/>
      <w:marRight w:val="0"/>
      <w:marTop w:val="0"/>
      <w:marBottom w:val="0"/>
      <w:divBdr>
        <w:top w:val="none" w:sz="0" w:space="0" w:color="auto"/>
        <w:left w:val="none" w:sz="0" w:space="0" w:color="auto"/>
        <w:bottom w:val="none" w:sz="0" w:space="0" w:color="auto"/>
        <w:right w:val="none" w:sz="0" w:space="0" w:color="auto"/>
      </w:divBdr>
      <w:divsChild>
        <w:div w:id="1383284511">
          <w:marLeft w:val="0"/>
          <w:marRight w:val="0"/>
          <w:marTop w:val="0"/>
          <w:marBottom w:val="0"/>
          <w:divBdr>
            <w:top w:val="none" w:sz="0" w:space="0" w:color="auto"/>
            <w:left w:val="none" w:sz="0" w:space="0" w:color="auto"/>
            <w:bottom w:val="none" w:sz="0" w:space="0" w:color="auto"/>
            <w:right w:val="none" w:sz="0" w:space="0" w:color="auto"/>
          </w:divBdr>
          <w:divsChild>
            <w:div w:id="1506432889">
              <w:marLeft w:val="0"/>
              <w:marRight w:val="0"/>
              <w:marTop w:val="0"/>
              <w:marBottom w:val="0"/>
              <w:divBdr>
                <w:top w:val="none" w:sz="0" w:space="0" w:color="auto"/>
                <w:left w:val="none" w:sz="0" w:space="0" w:color="auto"/>
                <w:bottom w:val="none" w:sz="0" w:space="0" w:color="auto"/>
                <w:right w:val="none" w:sz="0" w:space="0" w:color="auto"/>
              </w:divBdr>
              <w:divsChild>
                <w:div w:id="13732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13832">
      <w:bodyDiv w:val="1"/>
      <w:marLeft w:val="0"/>
      <w:marRight w:val="0"/>
      <w:marTop w:val="0"/>
      <w:marBottom w:val="0"/>
      <w:divBdr>
        <w:top w:val="none" w:sz="0" w:space="0" w:color="auto"/>
        <w:left w:val="none" w:sz="0" w:space="0" w:color="auto"/>
        <w:bottom w:val="none" w:sz="0" w:space="0" w:color="auto"/>
        <w:right w:val="none" w:sz="0" w:space="0" w:color="auto"/>
      </w:divBdr>
    </w:div>
    <w:div w:id="750858951">
      <w:bodyDiv w:val="1"/>
      <w:marLeft w:val="0"/>
      <w:marRight w:val="0"/>
      <w:marTop w:val="0"/>
      <w:marBottom w:val="0"/>
      <w:divBdr>
        <w:top w:val="none" w:sz="0" w:space="0" w:color="auto"/>
        <w:left w:val="none" w:sz="0" w:space="0" w:color="auto"/>
        <w:bottom w:val="none" w:sz="0" w:space="0" w:color="auto"/>
        <w:right w:val="none" w:sz="0" w:space="0" w:color="auto"/>
      </w:divBdr>
    </w:div>
    <w:div w:id="769393195">
      <w:bodyDiv w:val="1"/>
      <w:marLeft w:val="0"/>
      <w:marRight w:val="0"/>
      <w:marTop w:val="0"/>
      <w:marBottom w:val="0"/>
      <w:divBdr>
        <w:top w:val="none" w:sz="0" w:space="0" w:color="auto"/>
        <w:left w:val="none" w:sz="0" w:space="0" w:color="auto"/>
        <w:bottom w:val="none" w:sz="0" w:space="0" w:color="auto"/>
        <w:right w:val="none" w:sz="0" w:space="0" w:color="auto"/>
      </w:divBdr>
      <w:divsChild>
        <w:div w:id="1935279089">
          <w:marLeft w:val="0"/>
          <w:marRight w:val="0"/>
          <w:marTop w:val="0"/>
          <w:marBottom w:val="0"/>
          <w:divBdr>
            <w:top w:val="none" w:sz="0" w:space="0" w:color="auto"/>
            <w:left w:val="none" w:sz="0" w:space="0" w:color="auto"/>
            <w:bottom w:val="none" w:sz="0" w:space="0" w:color="auto"/>
            <w:right w:val="none" w:sz="0" w:space="0" w:color="auto"/>
          </w:divBdr>
          <w:divsChild>
            <w:div w:id="2009094240">
              <w:marLeft w:val="0"/>
              <w:marRight w:val="0"/>
              <w:marTop w:val="0"/>
              <w:marBottom w:val="0"/>
              <w:divBdr>
                <w:top w:val="none" w:sz="0" w:space="0" w:color="auto"/>
                <w:left w:val="none" w:sz="0" w:space="0" w:color="auto"/>
                <w:bottom w:val="none" w:sz="0" w:space="0" w:color="auto"/>
                <w:right w:val="none" w:sz="0" w:space="0" w:color="auto"/>
              </w:divBdr>
              <w:divsChild>
                <w:div w:id="401410096">
                  <w:marLeft w:val="0"/>
                  <w:marRight w:val="0"/>
                  <w:marTop w:val="0"/>
                  <w:marBottom w:val="0"/>
                  <w:divBdr>
                    <w:top w:val="none" w:sz="0" w:space="0" w:color="auto"/>
                    <w:left w:val="none" w:sz="0" w:space="0" w:color="auto"/>
                    <w:bottom w:val="none" w:sz="0" w:space="0" w:color="auto"/>
                    <w:right w:val="none" w:sz="0" w:space="0" w:color="auto"/>
                  </w:divBdr>
                  <w:divsChild>
                    <w:div w:id="575363723">
                      <w:marLeft w:val="0"/>
                      <w:marRight w:val="0"/>
                      <w:marTop w:val="0"/>
                      <w:marBottom w:val="0"/>
                      <w:divBdr>
                        <w:top w:val="none" w:sz="0" w:space="0" w:color="auto"/>
                        <w:left w:val="none" w:sz="0" w:space="0" w:color="auto"/>
                        <w:bottom w:val="none" w:sz="0" w:space="0" w:color="auto"/>
                        <w:right w:val="none" w:sz="0" w:space="0" w:color="auto"/>
                      </w:divBdr>
                    </w:div>
                  </w:divsChild>
                </w:div>
                <w:div w:id="1655572660">
                  <w:marLeft w:val="0"/>
                  <w:marRight w:val="0"/>
                  <w:marTop w:val="0"/>
                  <w:marBottom w:val="0"/>
                  <w:divBdr>
                    <w:top w:val="none" w:sz="0" w:space="0" w:color="auto"/>
                    <w:left w:val="none" w:sz="0" w:space="0" w:color="auto"/>
                    <w:bottom w:val="none" w:sz="0" w:space="0" w:color="auto"/>
                    <w:right w:val="none" w:sz="0" w:space="0" w:color="auto"/>
                  </w:divBdr>
                  <w:divsChild>
                    <w:div w:id="8694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17050">
      <w:bodyDiv w:val="1"/>
      <w:marLeft w:val="0"/>
      <w:marRight w:val="0"/>
      <w:marTop w:val="0"/>
      <w:marBottom w:val="0"/>
      <w:divBdr>
        <w:top w:val="none" w:sz="0" w:space="0" w:color="auto"/>
        <w:left w:val="none" w:sz="0" w:space="0" w:color="auto"/>
        <w:bottom w:val="none" w:sz="0" w:space="0" w:color="auto"/>
        <w:right w:val="none" w:sz="0" w:space="0" w:color="auto"/>
      </w:divBdr>
      <w:divsChild>
        <w:div w:id="149175193">
          <w:marLeft w:val="274"/>
          <w:marRight w:val="0"/>
          <w:marTop w:val="0"/>
          <w:marBottom w:val="0"/>
          <w:divBdr>
            <w:top w:val="none" w:sz="0" w:space="0" w:color="auto"/>
            <w:left w:val="none" w:sz="0" w:space="0" w:color="auto"/>
            <w:bottom w:val="none" w:sz="0" w:space="0" w:color="auto"/>
            <w:right w:val="none" w:sz="0" w:space="0" w:color="auto"/>
          </w:divBdr>
        </w:div>
        <w:div w:id="177089493">
          <w:marLeft w:val="274"/>
          <w:marRight w:val="0"/>
          <w:marTop w:val="0"/>
          <w:marBottom w:val="0"/>
          <w:divBdr>
            <w:top w:val="none" w:sz="0" w:space="0" w:color="auto"/>
            <w:left w:val="none" w:sz="0" w:space="0" w:color="auto"/>
            <w:bottom w:val="none" w:sz="0" w:space="0" w:color="auto"/>
            <w:right w:val="none" w:sz="0" w:space="0" w:color="auto"/>
          </w:divBdr>
        </w:div>
        <w:div w:id="1381519953">
          <w:marLeft w:val="274"/>
          <w:marRight w:val="0"/>
          <w:marTop w:val="0"/>
          <w:marBottom w:val="0"/>
          <w:divBdr>
            <w:top w:val="none" w:sz="0" w:space="0" w:color="auto"/>
            <w:left w:val="none" w:sz="0" w:space="0" w:color="auto"/>
            <w:bottom w:val="none" w:sz="0" w:space="0" w:color="auto"/>
            <w:right w:val="none" w:sz="0" w:space="0" w:color="auto"/>
          </w:divBdr>
        </w:div>
        <w:div w:id="1973558719">
          <w:marLeft w:val="274"/>
          <w:marRight w:val="0"/>
          <w:marTop w:val="0"/>
          <w:marBottom w:val="0"/>
          <w:divBdr>
            <w:top w:val="none" w:sz="0" w:space="0" w:color="auto"/>
            <w:left w:val="none" w:sz="0" w:space="0" w:color="auto"/>
            <w:bottom w:val="none" w:sz="0" w:space="0" w:color="auto"/>
            <w:right w:val="none" w:sz="0" w:space="0" w:color="auto"/>
          </w:divBdr>
        </w:div>
      </w:divsChild>
    </w:div>
    <w:div w:id="809516931">
      <w:bodyDiv w:val="1"/>
      <w:marLeft w:val="0"/>
      <w:marRight w:val="0"/>
      <w:marTop w:val="0"/>
      <w:marBottom w:val="0"/>
      <w:divBdr>
        <w:top w:val="none" w:sz="0" w:space="0" w:color="auto"/>
        <w:left w:val="none" w:sz="0" w:space="0" w:color="auto"/>
        <w:bottom w:val="none" w:sz="0" w:space="0" w:color="auto"/>
        <w:right w:val="none" w:sz="0" w:space="0" w:color="auto"/>
      </w:divBdr>
      <w:divsChild>
        <w:div w:id="88152561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715960">
              <w:marLeft w:val="0"/>
              <w:marRight w:val="0"/>
              <w:marTop w:val="0"/>
              <w:marBottom w:val="0"/>
              <w:divBdr>
                <w:top w:val="none" w:sz="0" w:space="0" w:color="auto"/>
                <w:left w:val="none" w:sz="0" w:space="0" w:color="auto"/>
                <w:bottom w:val="none" w:sz="0" w:space="0" w:color="auto"/>
                <w:right w:val="none" w:sz="0" w:space="0" w:color="auto"/>
              </w:divBdr>
              <w:divsChild>
                <w:div w:id="554895154">
                  <w:marLeft w:val="0"/>
                  <w:marRight w:val="0"/>
                  <w:marTop w:val="0"/>
                  <w:marBottom w:val="0"/>
                  <w:divBdr>
                    <w:top w:val="none" w:sz="0" w:space="0" w:color="auto"/>
                    <w:left w:val="none" w:sz="0" w:space="0" w:color="auto"/>
                    <w:bottom w:val="none" w:sz="0" w:space="0" w:color="auto"/>
                    <w:right w:val="none" w:sz="0" w:space="0" w:color="auto"/>
                  </w:divBdr>
                </w:div>
              </w:divsChild>
            </w:div>
            <w:div w:id="1667707686">
              <w:marLeft w:val="0"/>
              <w:marRight w:val="0"/>
              <w:marTop w:val="0"/>
              <w:marBottom w:val="0"/>
              <w:divBdr>
                <w:top w:val="none" w:sz="0" w:space="0" w:color="auto"/>
                <w:left w:val="none" w:sz="0" w:space="0" w:color="auto"/>
                <w:bottom w:val="none" w:sz="0" w:space="0" w:color="auto"/>
                <w:right w:val="none" w:sz="0" w:space="0" w:color="auto"/>
              </w:divBdr>
              <w:divsChild>
                <w:div w:id="528877831">
                  <w:marLeft w:val="0"/>
                  <w:marRight w:val="0"/>
                  <w:marTop w:val="0"/>
                  <w:marBottom w:val="0"/>
                  <w:divBdr>
                    <w:top w:val="none" w:sz="0" w:space="0" w:color="auto"/>
                    <w:left w:val="none" w:sz="0" w:space="0" w:color="auto"/>
                    <w:bottom w:val="none" w:sz="0" w:space="0" w:color="auto"/>
                    <w:right w:val="none" w:sz="0" w:space="0" w:color="auto"/>
                  </w:divBdr>
                </w:div>
              </w:divsChild>
            </w:div>
            <w:div w:id="1945728396">
              <w:marLeft w:val="0"/>
              <w:marRight w:val="0"/>
              <w:marTop w:val="0"/>
              <w:marBottom w:val="0"/>
              <w:divBdr>
                <w:top w:val="none" w:sz="0" w:space="0" w:color="auto"/>
                <w:left w:val="none" w:sz="0" w:space="0" w:color="auto"/>
                <w:bottom w:val="none" w:sz="0" w:space="0" w:color="auto"/>
                <w:right w:val="none" w:sz="0" w:space="0" w:color="auto"/>
              </w:divBdr>
              <w:divsChild>
                <w:div w:id="10977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1091">
      <w:bodyDiv w:val="1"/>
      <w:marLeft w:val="0"/>
      <w:marRight w:val="0"/>
      <w:marTop w:val="0"/>
      <w:marBottom w:val="0"/>
      <w:divBdr>
        <w:top w:val="none" w:sz="0" w:space="0" w:color="auto"/>
        <w:left w:val="none" w:sz="0" w:space="0" w:color="auto"/>
        <w:bottom w:val="none" w:sz="0" w:space="0" w:color="auto"/>
        <w:right w:val="none" w:sz="0" w:space="0" w:color="auto"/>
      </w:divBdr>
    </w:div>
    <w:div w:id="860363813">
      <w:bodyDiv w:val="1"/>
      <w:marLeft w:val="0"/>
      <w:marRight w:val="0"/>
      <w:marTop w:val="0"/>
      <w:marBottom w:val="0"/>
      <w:divBdr>
        <w:top w:val="none" w:sz="0" w:space="0" w:color="auto"/>
        <w:left w:val="none" w:sz="0" w:space="0" w:color="auto"/>
        <w:bottom w:val="none" w:sz="0" w:space="0" w:color="auto"/>
        <w:right w:val="none" w:sz="0" w:space="0" w:color="auto"/>
      </w:divBdr>
    </w:div>
    <w:div w:id="879631586">
      <w:bodyDiv w:val="1"/>
      <w:marLeft w:val="0"/>
      <w:marRight w:val="0"/>
      <w:marTop w:val="0"/>
      <w:marBottom w:val="0"/>
      <w:divBdr>
        <w:top w:val="none" w:sz="0" w:space="0" w:color="auto"/>
        <w:left w:val="none" w:sz="0" w:space="0" w:color="auto"/>
        <w:bottom w:val="none" w:sz="0" w:space="0" w:color="auto"/>
        <w:right w:val="none" w:sz="0" w:space="0" w:color="auto"/>
      </w:divBdr>
    </w:div>
    <w:div w:id="898516451">
      <w:bodyDiv w:val="1"/>
      <w:marLeft w:val="0"/>
      <w:marRight w:val="0"/>
      <w:marTop w:val="0"/>
      <w:marBottom w:val="0"/>
      <w:divBdr>
        <w:top w:val="none" w:sz="0" w:space="0" w:color="auto"/>
        <w:left w:val="none" w:sz="0" w:space="0" w:color="auto"/>
        <w:bottom w:val="none" w:sz="0" w:space="0" w:color="auto"/>
        <w:right w:val="none" w:sz="0" w:space="0" w:color="auto"/>
      </w:divBdr>
      <w:divsChild>
        <w:div w:id="83035517">
          <w:marLeft w:val="274"/>
          <w:marRight w:val="0"/>
          <w:marTop w:val="0"/>
          <w:marBottom w:val="0"/>
          <w:divBdr>
            <w:top w:val="none" w:sz="0" w:space="0" w:color="auto"/>
            <w:left w:val="none" w:sz="0" w:space="0" w:color="auto"/>
            <w:bottom w:val="none" w:sz="0" w:space="0" w:color="auto"/>
            <w:right w:val="none" w:sz="0" w:space="0" w:color="auto"/>
          </w:divBdr>
        </w:div>
        <w:div w:id="112091462">
          <w:marLeft w:val="274"/>
          <w:marRight w:val="0"/>
          <w:marTop w:val="0"/>
          <w:marBottom w:val="0"/>
          <w:divBdr>
            <w:top w:val="none" w:sz="0" w:space="0" w:color="auto"/>
            <w:left w:val="none" w:sz="0" w:space="0" w:color="auto"/>
            <w:bottom w:val="none" w:sz="0" w:space="0" w:color="auto"/>
            <w:right w:val="none" w:sz="0" w:space="0" w:color="auto"/>
          </w:divBdr>
        </w:div>
        <w:div w:id="309751373">
          <w:marLeft w:val="274"/>
          <w:marRight w:val="0"/>
          <w:marTop w:val="0"/>
          <w:marBottom w:val="0"/>
          <w:divBdr>
            <w:top w:val="none" w:sz="0" w:space="0" w:color="auto"/>
            <w:left w:val="none" w:sz="0" w:space="0" w:color="auto"/>
            <w:bottom w:val="none" w:sz="0" w:space="0" w:color="auto"/>
            <w:right w:val="none" w:sz="0" w:space="0" w:color="auto"/>
          </w:divBdr>
        </w:div>
        <w:div w:id="321543912">
          <w:marLeft w:val="274"/>
          <w:marRight w:val="0"/>
          <w:marTop w:val="0"/>
          <w:marBottom w:val="0"/>
          <w:divBdr>
            <w:top w:val="none" w:sz="0" w:space="0" w:color="auto"/>
            <w:left w:val="none" w:sz="0" w:space="0" w:color="auto"/>
            <w:bottom w:val="none" w:sz="0" w:space="0" w:color="auto"/>
            <w:right w:val="none" w:sz="0" w:space="0" w:color="auto"/>
          </w:divBdr>
        </w:div>
        <w:div w:id="359942858">
          <w:marLeft w:val="274"/>
          <w:marRight w:val="0"/>
          <w:marTop w:val="0"/>
          <w:marBottom w:val="0"/>
          <w:divBdr>
            <w:top w:val="none" w:sz="0" w:space="0" w:color="auto"/>
            <w:left w:val="none" w:sz="0" w:space="0" w:color="auto"/>
            <w:bottom w:val="none" w:sz="0" w:space="0" w:color="auto"/>
            <w:right w:val="none" w:sz="0" w:space="0" w:color="auto"/>
          </w:divBdr>
        </w:div>
        <w:div w:id="379860139">
          <w:marLeft w:val="274"/>
          <w:marRight w:val="0"/>
          <w:marTop w:val="0"/>
          <w:marBottom w:val="0"/>
          <w:divBdr>
            <w:top w:val="none" w:sz="0" w:space="0" w:color="auto"/>
            <w:left w:val="none" w:sz="0" w:space="0" w:color="auto"/>
            <w:bottom w:val="none" w:sz="0" w:space="0" w:color="auto"/>
            <w:right w:val="none" w:sz="0" w:space="0" w:color="auto"/>
          </w:divBdr>
        </w:div>
        <w:div w:id="398990182">
          <w:marLeft w:val="274"/>
          <w:marRight w:val="0"/>
          <w:marTop w:val="0"/>
          <w:marBottom w:val="0"/>
          <w:divBdr>
            <w:top w:val="none" w:sz="0" w:space="0" w:color="auto"/>
            <w:left w:val="none" w:sz="0" w:space="0" w:color="auto"/>
            <w:bottom w:val="none" w:sz="0" w:space="0" w:color="auto"/>
            <w:right w:val="none" w:sz="0" w:space="0" w:color="auto"/>
          </w:divBdr>
        </w:div>
        <w:div w:id="441536484">
          <w:marLeft w:val="274"/>
          <w:marRight w:val="0"/>
          <w:marTop w:val="0"/>
          <w:marBottom w:val="0"/>
          <w:divBdr>
            <w:top w:val="none" w:sz="0" w:space="0" w:color="auto"/>
            <w:left w:val="none" w:sz="0" w:space="0" w:color="auto"/>
            <w:bottom w:val="none" w:sz="0" w:space="0" w:color="auto"/>
            <w:right w:val="none" w:sz="0" w:space="0" w:color="auto"/>
          </w:divBdr>
        </w:div>
        <w:div w:id="476646704">
          <w:marLeft w:val="274"/>
          <w:marRight w:val="0"/>
          <w:marTop w:val="0"/>
          <w:marBottom w:val="0"/>
          <w:divBdr>
            <w:top w:val="none" w:sz="0" w:space="0" w:color="auto"/>
            <w:left w:val="none" w:sz="0" w:space="0" w:color="auto"/>
            <w:bottom w:val="none" w:sz="0" w:space="0" w:color="auto"/>
            <w:right w:val="none" w:sz="0" w:space="0" w:color="auto"/>
          </w:divBdr>
        </w:div>
        <w:div w:id="490297220">
          <w:marLeft w:val="274"/>
          <w:marRight w:val="0"/>
          <w:marTop w:val="0"/>
          <w:marBottom w:val="0"/>
          <w:divBdr>
            <w:top w:val="none" w:sz="0" w:space="0" w:color="auto"/>
            <w:left w:val="none" w:sz="0" w:space="0" w:color="auto"/>
            <w:bottom w:val="none" w:sz="0" w:space="0" w:color="auto"/>
            <w:right w:val="none" w:sz="0" w:space="0" w:color="auto"/>
          </w:divBdr>
        </w:div>
        <w:div w:id="518664311">
          <w:marLeft w:val="274"/>
          <w:marRight w:val="0"/>
          <w:marTop w:val="0"/>
          <w:marBottom w:val="0"/>
          <w:divBdr>
            <w:top w:val="none" w:sz="0" w:space="0" w:color="auto"/>
            <w:left w:val="none" w:sz="0" w:space="0" w:color="auto"/>
            <w:bottom w:val="none" w:sz="0" w:space="0" w:color="auto"/>
            <w:right w:val="none" w:sz="0" w:space="0" w:color="auto"/>
          </w:divBdr>
        </w:div>
        <w:div w:id="647052084">
          <w:marLeft w:val="274"/>
          <w:marRight w:val="0"/>
          <w:marTop w:val="0"/>
          <w:marBottom w:val="0"/>
          <w:divBdr>
            <w:top w:val="none" w:sz="0" w:space="0" w:color="auto"/>
            <w:left w:val="none" w:sz="0" w:space="0" w:color="auto"/>
            <w:bottom w:val="none" w:sz="0" w:space="0" w:color="auto"/>
            <w:right w:val="none" w:sz="0" w:space="0" w:color="auto"/>
          </w:divBdr>
        </w:div>
        <w:div w:id="679549436">
          <w:marLeft w:val="274"/>
          <w:marRight w:val="0"/>
          <w:marTop w:val="0"/>
          <w:marBottom w:val="0"/>
          <w:divBdr>
            <w:top w:val="none" w:sz="0" w:space="0" w:color="auto"/>
            <w:left w:val="none" w:sz="0" w:space="0" w:color="auto"/>
            <w:bottom w:val="none" w:sz="0" w:space="0" w:color="auto"/>
            <w:right w:val="none" w:sz="0" w:space="0" w:color="auto"/>
          </w:divBdr>
        </w:div>
        <w:div w:id="705718239">
          <w:marLeft w:val="274"/>
          <w:marRight w:val="0"/>
          <w:marTop w:val="0"/>
          <w:marBottom w:val="0"/>
          <w:divBdr>
            <w:top w:val="none" w:sz="0" w:space="0" w:color="auto"/>
            <w:left w:val="none" w:sz="0" w:space="0" w:color="auto"/>
            <w:bottom w:val="none" w:sz="0" w:space="0" w:color="auto"/>
            <w:right w:val="none" w:sz="0" w:space="0" w:color="auto"/>
          </w:divBdr>
        </w:div>
        <w:div w:id="907807473">
          <w:marLeft w:val="274"/>
          <w:marRight w:val="0"/>
          <w:marTop w:val="0"/>
          <w:marBottom w:val="0"/>
          <w:divBdr>
            <w:top w:val="none" w:sz="0" w:space="0" w:color="auto"/>
            <w:left w:val="none" w:sz="0" w:space="0" w:color="auto"/>
            <w:bottom w:val="none" w:sz="0" w:space="0" w:color="auto"/>
            <w:right w:val="none" w:sz="0" w:space="0" w:color="auto"/>
          </w:divBdr>
        </w:div>
        <w:div w:id="967005512">
          <w:marLeft w:val="274"/>
          <w:marRight w:val="0"/>
          <w:marTop w:val="0"/>
          <w:marBottom w:val="0"/>
          <w:divBdr>
            <w:top w:val="none" w:sz="0" w:space="0" w:color="auto"/>
            <w:left w:val="none" w:sz="0" w:space="0" w:color="auto"/>
            <w:bottom w:val="none" w:sz="0" w:space="0" w:color="auto"/>
            <w:right w:val="none" w:sz="0" w:space="0" w:color="auto"/>
          </w:divBdr>
        </w:div>
        <w:div w:id="1095899845">
          <w:marLeft w:val="274"/>
          <w:marRight w:val="0"/>
          <w:marTop w:val="0"/>
          <w:marBottom w:val="0"/>
          <w:divBdr>
            <w:top w:val="none" w:sz="0" w:space="0" w:color="auto"/>
            <w:left w:val="none" w:sz="0" w:space="0" w:color="auto"/>
            <w:bottom w:val="none" w:sz="0" w:space="0" w:color="auto"/>
            <w:right w:val="none" w:sz="0" w:space="0" w:color="auto"/>
          </w:divBdr>
        </w:div>
        <w:div w:id="1106271706">
          <w:marLeft w:val="274"/>
          <w:marRight w:val="0"/>
          <w:marTop w:val="0"/>
          <w:marBottom w:val="0"/>
          <w:divBdr>
            <w:top w:val="none" w:sz="0" w:space="0" w:color="auto"/>
            <w:left w:val="none" w:sz="0" w:space="0" w:color="auto"/>
            <w:bottom w:val="none" w:sz="0" w:space="0" w:color="auto"/>
            <w:right w:val="none" w:sz="0" w:space="0" w:color="auto"/>
          </w:divBdr>
        </w:div>
        <w:div w:id="1325625277">
          <w:marLeft w:val="274"/>
          <w:marRight w:val="0"/>
          <w:marTop w:val="0"/>
          <w:marBottom w:val="0"/>
          <w:divBdr>
            <w:top w:val="none" w:sz="0" w:space="0" w:color="auto"/>
            <w:left w:val="none" w:sz="0" w:space="0" w:color="auto"/>
            <w:bottom w:val="none" w:sz="0" w:space="0" w:color="auto"/>
            <w:right w:val="none" w:sz="0" w:space="0" w:color="auto"/>
          </w:divBdr>
        </w:div>
        <w:div w:id="1333337172">
          <w:marLeft w:val="274"/>
          <w:marRight w:val="0"/>
          <w:marTop w:val="0"/>
          <w:marBottom w:val="0"/>
          <w:divBdr>
            <w:top w:val="none" w:sz="0" w:space="0" w:color="auto"/>
            <w:left w:val="none" w:sz="0" w:space="0" w:color="auto"/>
            <w:bottom w:val="none" w:sz="0" w:space="0" w:color="auto"/>
            <w:right w:val="none" w:sz="0" w:space="0" w:color="auto"/>
          </w:divBdr>
        </w:div>
        <w:div w:id="1339039724">
          <w:marLeft w:val="274"/>
          <w:marRight w:val="0"/>
          <w:marTop w:val="0"/>
          <w:marBottom w:val="0"/>
          <w:divBdr>
            <w:top w:val="none" w:sz="0" w:space="0" w:color="auto"/>
            <w:left w:val="none" w:sz="0" w:space="0" w:color="auto"/>
            <w:bottom w:val="none" w:sz="0" w:space="0" w:color="auto"/>
            <w:right w:val="none" w:sz="0" w:space="0" w:color="auto"/>
          </w:divBdr>
        </w:div>
        <w:div w:id="1415475100">
          <w:marLeft w:val="274"/>
          <w:marRight w:val="0"/>
          <w:marTop w:val="0"/>
          <w:marBottom w:val="0"/>
          <w:divBdr>
            <w:top w:val="none" w:sz="0" w:space="0" w:color="auto"/>
            <w:left w:val="none" w:sz="0" w:space="0" w:color="auto"/>
            <w:bottom w:val="none" w:sz="0" w:space="0" w:color="auto"/>
            <w:right w:val="none" w:sz="0" w:space="0" w:color="auto"/>
          </w:divBdr>
        </w:div>
        <w:div w:id="1554272534">
          <w:marLeft w:val="274"/>
          <w:marRight w:val="0"/>
          <w:marTop w:val="0"/>
          <w:marBottom w:val="0"/>
          <w:divBdr>
            <w:top w:val="none" w:sz="0" w:space="0" w:color="auto"/>
            <w:left w:val="none" w:sz="0" w:space="0" w:color="auto"/>
            <w:bottom w:val="none" w:sz="0" w:space="0" w:color="auto"/>
            <w:right w:val="none" w:sz="0" w:space="0" w:color="auto"/>
          </w:divBdr>
        </w:div>
        <w:div w:id="1595474374">
          <w:marLeft w:val="274"/>
          <w:marRight w:val="0"/>
          <w:marTop w:val="0"/>
          <w:marBottom w:val="0"/>
          <w:divBdr>
            <w:top w:val="none" w:sz="0" w:space="0" w:color="auto"/>
            <w:left w:val="none" w:sz="0" w:space="0" w:color="auto"/>
            <w:bottom w:val="none" w:sz="0" w:space="0" w:color="auto"/>
            <w:right w:val="none" w:sz="0" w:space="0" w:color="auto"/>
          </w:divBdr>
        </w:div>
        <w:div w:id="1667437676">
          <w:marLeft w:val="274"/>
          <w:marRight w:val="0"/>
          <w:marTop w:val="0"/>
          <w:marBottom w:val="0"/>
          <w:divBdr>
            <w:top w:val="none" w:sz="0" w:space="0" w:color="auto"/>
            <w:left w:val="none" w:sz="0" w:space="0" w:color="auto"/>
            <w:bottom w:val="none" w:sz="0" w:space="0" w:color="auto"/>
            <w:right w:val="none" w:sz="0" w:space="0" w:color="auto"/>
          </w:divBdr>
        </w:div>
        <w:div w:id="1740907051">
          <w:marLeft w:val="274"/>
          <w:marRight w:val="0"/>
          <w:marTop w:val="0"/>
          <w:marBottom w:val="0"/>
          <w:divBdr>
            <w:top w:val="none" w:sz="0" w:space="0" w:color="auto"/>
            <w:left w:val="none" w:sz="0" w:space="0" w:color="auto"/>
            <w:bottom w:val="none" w:sz="0" w:space="0" w:color="auto"/>
            <w:right w:val="none" w:sz="0" w:space="0" w:color="auto"/>
          </w:divBdr>
        </w:div>
        <w:div w:id="1784107767">
          <w:marLeft w:val="274"/>
          <w:marRight w:val="0"/>
          <w:marTop w:val="0"/>
          <w:marBottom w:val="0"/>
          <w:divBdr>
            <w:top w:val="none" w:sz="0" w:space="0" w:color="auto"/>
            <w:left w:val="none" w:sz="0" w:space="0" w:color="auto"/>
            <w:bottom w:val="none" w:sz="0" w:space="0" w:color="auto"/>
            <w:right w:val="none" w:sz="0" w:space="0" w:color="auto"/>
          </w:divBdr>
        </w:div>
        <w:div w:id="1880892856">
          <w:marLeft w:val="274"/>
          <w:marRight w:val="0"/>
          <w:marTop w:val="0"/>
          <w:marBottom w:val="0"/>
          <w:divBdr>
            <w:top w:val="none" w:sz="0" w:space="0" w:color="auto"/>
            <w:left w:val="none" w:sz="0" w:space="0" w:color="auto"/>
            <w:bottom w:val="none" w:sz="0" w:space="0" w:color="auto"/>
            <w:right w:val="none" w:sz="0" w:space="0" w:color="auto"/>
          </w:divBdr>
        </w:div>
        <w:div w:id="1937401106">
          <w:marLeft w:val="274"/>
          <w:marRight w:val="0"/>
          <w:marTop w:val="0"/>
          <w:marBottom w:val="0"/>
          <w:divBdr>
            <w:top w:val="none" w:sz="0" w:space="0" w:color="auto"/>
            <w:left w:val="none" w:sz="0" w:space="0" w:color="auto"/>
            <w:bottom w:val="none" w:sz="0" w:space="0" w:color="auto"/>
            <w:right w:val="none" w:sz="0" w:space="0" w:color="auto"/>
          </w:divBdr>
        </w:div>
        <w:div w:id="1945377068">
          <w:marLeft w:val="274"/>
          <w:marRight w:val="0"/>
          <w:marTop w:val="0"/>
          <w:marBottom w:val="0"/>
          <w:divBdr>
            <w:top w:val="none" w:sz="0" w:space="0" w:color="auto"/>
            <w:left w:val="none" w:sz="0" w:space="0" w:color="auto"/>
            <w:bottom w:val="none" w:sz="0" w:space="0" w:color="auto"/>
            <w:right w:val="none" w:sz="0" w:space="0" w:color="auto"/>
          </w:divBdr>
        </w:div>
        <w:div w:id="2105104139">
          <w:marLeft w:val="274"/>
          <w:marRight w:val="0"/>
          <w:marTop w:val="0"/>
          <w:marBottom w:val="0"/>
          <w:divBdr>
            <w:top w:val="none" w:sz="0" w:space="0" w:color="auto"/>
            <w:left w:val="none" w:sz="0" w:space="0" w:color="auto"/>
            <w:bottom w:val="none" w:sz="0" w:space="0" w:color="auto"/>
            <w:right w:val="none" w:sz="0" w:space="0" w:color="auto"/>
          </w:divBdr>
        </w:div>
        <w:div w:id="2123457481">
          <w:marLeft w:val="274"/>
          <w:marRight w:val="0"/>
          <w:marTop w:val="0"/>
          <w:marBottom w:val="0"/>
          <w:divBdr>
            <w:top w:val="none" w:sz="0" w:space="0" w:color="auto"/>
            <w:left w:val="none" w:sz="0" w:space="0" w:color="auto"/>
            <w:bottom w:val="none" w:sz="0" w:space="0" w:color="auto"/>
            <w:right w:val="none" w:sz="0" w:space="0" w:color="auto"/>
          </w:divBdr>
        </w:div>
        <w:div w:id="2147161578">
          <w:marLeft w:val="274"/>
          <w:marRight w:val="0"/>
          <w:marTop w:val="0"/>
          <w:marBottom w:val="0"/>
          <w:divBdr>
            <w:top w:val="none" w:sz="0" w:space="0" w:color="auto"/>
            <w:left w:val="none" w:sz="0" w:space="0" w:color="auto"/>
            <w:bottom w:val="none" w:sz="0" w:space="0" w:color="auto"/>
            <w:right w:val="none" w:sz="0" w:space="0" w:color="auto"/>
          </w:divBdr>
        </w:div>
      </w:divsChild>
    </w:div>
    <w:div w:id="917786544">
      <w:bodyDiv w:val="1"/>
      <w:marLeft w:val="0"/>
      <w:marRight w:val="0"/>
      <w:marTop w:val="0"/>
      <w:marBottom w:val="0"/>
      <w:divBdr>
        <w:top w:val="none" w:sz="0" w:space="0" w:color="auto"/>
        <w:left w:val="none" w:sz="0" w:space="0" w:color="auto"/>
        <w:bottom w:val="none" w:sz="0" w:space="0" w:color="auto"/>
        <w:right w:val="none" w:sz="0" w:space="0" w:color="auto"/>
      </w:divBdr>
    </w:div>
    <w:div w:id="950357407">
      <w:bodyDiv w:val="1"/>
      <w:marLeft w:val="0"/>
      <w:marRight w:val="0"/>
      <w:marTop w:val="0"/>
      <w:marBottom w:val="0"/>
      <w:divBdr>
        <w:top w:val="none" w:sz="0" w:space="0" w:color="auto"/>
        <w:left w:val="none" w:sz="0" w:space="0" w:color="auto"/>
        <w:bottom w:val="none" w:sz="0" w:space="0" w:color="auto"/>
        <w:right w:val="none" w:sz="0" w:space="0" w:color="auto"/>
      </w:divBdr>
      <w:divsChild>
        <w:div w:id="1864128119">
          <w:marLeft w:val="0"/>
          <w:marRight w:val="0"/>
          <w:marTop w:val="0"/>
          <w:marBottom w:val="0"/>
          <w:divBdr>
            <w:top w:val="none" w:sz="0" w:space="0" w:color="auto"/>
            <w:left w:val="none" w:sz="0" w:space="0" w:color="auto"/>
            <w:bottom w:val="none" w:sz="0" w:space="0" w:color="auto"/>
            <w:right w:val="none" w:sz="0" w:space="0" w:color="auto"/>
          </w:divBdr>
          <w:divsChild>
            <w:div w:id="1788043751">
              <w:marLeft w:val="0"/>
              <w:marRight w:val="0"/>
              <w:marTop w:val="0"/>
              <w:marBottom w:val="0"/>
              <w:divBdr>
                <w:top w:val="none" w:sz="0" w:space="0" w:color="auto"/>
                <w:left w:val="none" w:sz="0" w:space="0" w:color="auto"/>
                <w:bottom w:val="none" w:sz="0" w:space="0" w:color="auto"/>
                <w:right w:val="none" w:sz="0" w:space="0" w:color="auto"/>
              </w:divBdr>
              <w:divsChild>
                <w:div w:id="21313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801">
      <w:bodyDiv w:val="1"/>
      <w:marLeft w:val="0"/>
      <w:marRight w:val="0"/>
      <w:marTop w:val="0"/>
      <w:marBottom w:val="0"/>
      <w:divBdr>
        <w:top w:val="none" w:sz="0" w:space="0" w:color="auto"/>
        <w:left w:val="none" w:sz="0" w:space="0" w:color="auto"/>
        <w:bottom w:val="none" w:sz="0" w:space="0" w:color="auto"/>
        <w:right w:val="none" w:sz="0" w:space="0" w:color="auto"/>
      </w:divBdr>
    </w:div>
    <w:div w:id="963778201">
      <w:bodyDiv w:val="1"/>
      <w:marLeft w:val="0"/>
      <w:marRight w:val="0"/>
      <w:marTop w:val="0"/>
      <w:marBottom w:val="0"/>
      <w:divBdr>
        <w:top w:val="none" w:sz="0" w:space="0" w:color="auto"/>
        <w:left w:val="none" w:sz="0" w:space="0" w:color="auto"/>
        <w:bottom w:val="none" w:sz="0" w:space="0" w:color="auto"/>
        <w:right w:val="none" w:sz="0" w:space="0" w:color="auto"/>
      </w:divBdr>
    </w:div>
    <w:div w:id="990446780">
      <w:bodyDiv w:val="1"/>
      <w:marLeft w:val="0"/>
      <w:marRight w:val="0"/>
      <w:marTop w:val="0"/>
      <w:marBottom w:val="0"/>
      <w:divBdr>
        <w:top w:val="none" w:sz="0" w:space="0" w:color="auto"/>
        <w:left w:val="none" w:sz="0" w:space="0" w:color="auto"/>
        <w:bottom w:val="none" w:sz="0" w:space="0" w:color="auto"/>
        <w:right w:val="none" w:sz="0" w:space="0" w:color="auto"/>
      </w:divBdr>
      <w:divsChild>
        <w:div w:id="925648295">
          <w:marLeft w:val="0"/>
          <w:marRight w:val="0"/>
          <w:marTop w:val="0"/>
          <w:marBottom w:val="0"/>
          <w:divBdr>
            <w:top w:val="none" w:sz="0" w:space="0" w:color="auto"/>
            <w:left w:val="none" w:sz="0" w:space="0" w:color="auto"/>
            <w:bottom w:val="none" w:sz="0" w:space="0" w:color="auto"/>
            <w:right w:val="none" w:sz="0" w:space="0" w:color="auto"/>
          </w:divBdr>
          <w:divsChild>
            <w:div w:id="255018033">
              <w:marLeft w:val="0"/>
              <w:marRight w:val="0"/>
              <w:marTop w:val="0"/>
              <w:marBottom w:val="0"/>
              <w:divBdr>
                <w:top w:val="none" w:sz="0" w:space="0" w:color="auto"/>
                <w:left w:val="none" w:sz="0" w:space="0" w:color="auto"/>
                <w:bottom w:val="none" w:sz="0" w:space="0" w:color="auto"/>
                <w:right w:val="none" w:sz="0" w:space="0" w:color="auto"/>
              </w:divBdr>
              <w:divsChild>
                <w:div w:id="1051005977">
                  <w:marLeft w:val="0"/>
                  <w:marRight w:val="0"/>
                  <w:marTop w:val="0"/>
                  <w:marBottom w:val="0"/>
                  <w:divBdr>
                    <w:top w:val="none" w:sz="0" w:space="0" w:color="auto"/>
                    <w:left w:val="none" w:sz="0" w:space="0" w:color="auto"/>
                    <w:bottom w:val="none" w:sz="0" w:space="0" w:color="auto"/>
                    <w:right w:val="none" w:sz="0" w:space="0" w:color="auto"/>
                  </w:divBdr>
                  <w:divsChild>
                    <w:div w:id="14367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86136">
      <w:bodyDiv w:val="1"/>
      <w:marLeft w:val="0"/>
      <w:marRight w:val="0"/>
      <w:marTop w:val="0"/>
      <w:marBottom w:val="0"/>
      <w:divBdr>
        <w:top w:val="none" w:sz="0" w:space="0" w:color="auto"/>
        <w:left w:val="none" w:sz="0" w:space="0" w:color="auto"/>
        <w:bottom w:val="none" w:sz="0" w:space="0" w:color="auto"/>
        <w:right w:val="none" w:sz="0" w:space="0" w:color="auto"/>
      </w:divBdr>
      <w:divsChild>
        <w:div w:id="26877610">
          <w:marLeft w:val="490"/>
          <w:marRight w:val="0"/>
          <w:marTop w:val="0"/>
          <w:marBottom w:val="60"/>
          <w:divBdr>
            <w:top w:val="none" w:sz="0" w:space="0" w:color="auto"/>
            <w:left w:val="none" w:sz="0" w:space="0" w:color="auto"/>
            <w:bottom w:val="none" w:sz="0" w:space="0" w:color="auto"/>
            <w:right w:val="none" w:sz="0" w:space="0" w:color="auto"/>
          </w:divBdr>
        </w:div>
        <w:div w:id="60175953">
          <w:marLeft w:val="677"/>
          <w:marRight w:val="0"/>
          <w:marTop w:val="0"/>
          <w:marBottom w:val="0"/>
          <w:divBdr>
            <w:top w:val="none" w:sz="0" w:space="0" w:color="auto"/>
            <w:left w:val="none" w:sz="0" w:space="0" w:color="auto"/>
            <w:bottom w:val="none" w:sz="0" w:space="0" w:color="auto"/>
            <w:right w:val="none" w:sz="0" w:space="0" w:color="auto"/>
          </w:divBdr>
        </w:div>
        <w:div w:id="291443451">
          <w:marLeft w:val="677"/>
          <w:marRight w:val="0"/>
          <w:marTop w:val="0"/>
          <w:marBottom w:val="0"/>
          <w:divBdr>
            <w:top w:val="none" w:sz="0" w:space="0" w:color="auto"/>
            <w:left w:val="none" w:sz="0" w:space="0" w:color="auto"/>
            <w:bottom w:val="none" w:sz="0" w:space="0" w:color="auto"/>
            <w:right w:val="none" w:sz="0" w:space="0" w:color="auto"/>
          </w:divBdr>
        </w:div>
        <w:div w:id="323554072">
          <w:marLeft w:val="490"/>
          <w:marRight w:val="0"/>
          <w:marTop w:val="0"/>
          <w:marBottom w:val="60"/>
          <w:divBdr>
            <w:top w:val="none" w:sz="0" w:space="0" w:color="auto"/>
            <w:left w:val="none" w:sz="0" w:space="0" w:color="auto"/>
            <w:bottom w:val="none" w:sz="0" w:space="0" w:color="auto"/>
            <w:right w:val="none" w:sz="0" w:space="0" w:color="auto"/>
          </w:divBdr>
        </w:div>
        <w:div w:id="334111656">
          <w:marLeft w:val="677"/>
          <w:marRight w:val="0"/>
          <w:marTop w:val="0"/>
          <w:marBottom w:val="0"/>
          <w:divBdr>
            <w:top w:val="none" w:sz="0" w:space="0" w:color="auto"/>
            <w:left w:val="none" w:sz="0" w:space="0" w:color="auto"/>
            <w:bottom w:val="none" w:sz="0" w:space="0" w:color="auto"/>
            <w:right w:val="none" w:sz="0" w:space="0" w:color="auto"/>
          </w:divBdr>
        </w:div>
        <w:div w:id="343676094">
          <w:marLeft w:val="677"/>
          <w:marRight w:val="0"/>
          <w:marTop w:val="0"/>
          <w:marBottom w:val="0"/>
          <w:divBdr>
            <w:top w:val="none" w:sz="0" w:space="0" w:color="auto"/>
            <w:left w:val="none" w:sz="0" w:space="0" w:color="auto"/>
            <w:bottom w:val="none" w:sz="0" w:space="0" w:color="auto"/>
            <w:right w:val="none" w:sz="0" w:space="0" w:color="auto"/>
          </w:divBdr>
        </w:div>
        <w:div w:id="372732800">
          <w:marLeft w:val="677"/>
          <w:marRight w:val="0"/>
          <w:marTop w:val="0"/>
          <w:marBottom w:val="0"/>
          <w:divBdr>
            <w:top w:val="none" w:sz="0" w:space="0" w:color="auto"/>
            <w:left w:val="none" w:sz="0" w:space="0" w:color="auto"/>
            <w:bottom w:val="none" w:sz="0" w:space="0" w:color="auto"/>
            <w:right w:val="none" w:sz="0" w:space="0" w:color="auto"/>
          </w:divBdr>
        </w:div>
        <w:div w:id="414977175">
          <w:marLeft w:val="490"/>
          <w:marRight w:val="0"/>
          <w:marTop w:val="0"/>
          <w:marBottom w:val="60"/>
          <w:divBdr>
            <w:top w:val="none" w:sz="0" w:space="0" w:color="auto"/>
            <w:left w:val="none" w:sz="0" w:space="0" w:color="auto"/>
            <w:bottom w:val="none" w:sz="0" w:space="0" w:color="auto"/>
            <w:right w:val="none" w:sz="0" w:space="0" w:color="auto"/>
          </w:divBdr>
        </w:div>
        <w:div w:id="453990027">
          <w:marLeft w:val="490"/>
          <w:marRight w:val="0"/>
          <w:marTop w:val="0"/>
          <w:marBottom w:val="60"/>
          <w:divBdr>
            <w:top w:val="none" w:sz="0" w:space="0" w:color="auto"/>
            <w:left w:val="none" w:sz="0" w:space="0" w:color="auto"/>
            <w:bottom w:val="none" w:sz="0" w:space="0" w:color="auto"/>
            <w:right w:val="none" w:sz="0" w:space="0" w:color="auto"/>
          </w:divBdr>
        </w:div>
        <w:div w:id="519008344">
          <w:marLeft w:val="490"/>
          <w:marRight w:val="0"/>
          <w:marTop w:val="120"/>
          <w:marBottom w:val="60"/>
          <w:divBdr>
            <w:top w:val="none" w:sz="0" w:space="0" w:color="auto"/>
            <w:left w:val="none" w:sz="0" w:space="0" w:color="auto"/>
            <w:bottom w:val="none" w:sz="0" w:space="0" w:color="auto"/>
            <w:right w:val="none" w:sz="0" w:space="0" w:color="auto"/>
          </w:divBdr>
        </w:div>
        <w:div w:id="603880450">
          <w:marLeft w:val="677"/>
          <w:marRight w:val="0"/>
          <w:marTop w:val="0"/>
          <w:marBottom w:val="0"/>
          <w:divBdr>
            <w:top w:val="none" w:sz="0" w:space="0" w:color="auto"/>
            <w:left w:val="none" w:sz="0" w:space="0" w:color="auto"/>
            <w:bottom w:val="none" w:sz="0" w:space="0" w:color="auto"/>
            <w:right w:val="none" w:sz="0" w:space="0" w:color="auto"/>
          </w:divBdr>
        </w:div>
        <w:div w:id="751775588">
          <w:marLeft w:val="490"/>
          <w:marRight w:val="0"/>
          <w:marTop w:val="0"/>
          <w:marBottom w:val="60"/>
          <w:divBdr>
            <w:top w:val="none" w:sz="0" w:space="0" w:color="auto"/>
            <w:left w:val="none" w:sz="0" w:space="0" w:color="auto"/>
            <w:bottom w:val="none" w:sz="0" w:space="0" w:color="auto"/>
            <w:right w:val="none" w:sz="0" w:space="0" w:color="auto"/>
          </w:divBdr>
        </w:div>
        <w:div w:id="850992416">
          <w:marLeft w:val="490"/>
          <w:marRight w:val="0"/>
          <w:marTop w:val="0"/>
          <w:marBottom w:val="60"/>
          <w:divBdr>
            <w:top w:val="none" w:sz="0" w:space="0" w:color="auto"/>
            <w:left w:val="none" w:sz="0" w:space="0" w:color="auto"/>
            <w:bottom w:val="none" w:sz="0" w:space="0" w:color="auto"/>
            <w:right w:val="none" w:sz="0" w:space="0" w:color="auto"/>
          </w:divBdr>
        </w:div>
        <w:div w:id="896891195">
          <w:marLeft w:val="490"/>
          <w:marRight w:val="0"/>
          <w:marTop w:val="0"/>
          <w:marBottom w:val="60"/>
          <w:divBdr>
            <w:top w:val="none" w:sz="0" w:space="0" w:color="auto"/>
            <w:left w:val="none" w:sz="0" w:space="0" w:color="auto"/>
            <w:bottom w:val="none" w:sz="0" w:space="0" w:color="auto"/>
            <w:right w:val="none" w:sz="0" w:space="0" w:color="auto"/>
          </w:divBdr>
        </w:div>
        <w:div w:id="1101216308">
          <w:marLeft w:val="677"/>
          <w:marRight w:val="0"/>
          <w:marTop w:val="0"/>
          <w:marBottom w:val="0"/>
          <w:divBdr>
            <w:top w:val="none" w:sz="0" w:space="0" w:color="auto"/>
            <w:left w:val="none" w:sz="0" w:space="0" w:color="auto"/>
            <w:bottom w:val="none" w:sz="0" w:space="0" w:color="auto"/>
            <w:right w:val="none" w:sz="0" w:space="0" w:color="auto"/>
          </w:divBdr>
        </w:div>
        <w:div w:id="1189374015">
          <w:marLeft w:val="490"/>
          <w:marRight w:val="0"/>
          <w:marTop w:val="0"/>
          <w:marBottom w:val="60"/>
          <w:divBdr>
            <w:top w:val="none" w:sz="0" w:space="0" w:color="auto"/>
            <w:left w:val="none" w:sz="0" w:space="0" w:color="auto"/>
            <w:bottom w:val="none" w:sz="0" w:space="0" w:color="auto"/>
            <w:right w:val="none" w:sz="0" w:space="0" w:color="auto"/>
          </w:divBdr>
        </w:div>
        <w:div w:id="1337804222">
          <w:marLeft w:val="490"/>
          <w:marRight w:val="0"/>
          <w:marTop w:val="0"/>
          <w:marBottom w:val="60"/>
          <w:divBdr>
            <w:top w:val="none" w:sz="0" w:space="0" w:color="auto"/>
            <w:left w:val="none" w:sz="0" w:space="0" w:color="auto"/>
            <w:bottom w:val="none" w:sz="0" w:space="0" w:color="auto"/>
            <w:right w:val="none" w:sz="0" w:space="0" w:color="auto"/>
          </w:divBdr>
        </w:div>
        <w:div w:id="1431125216">
          <w:marLeft w:val="490"/>
          <w:marRight w:val="0"/>
          <w:marTop w:val="0"/>
          <w:marBottom w:val="60"/>
          <w:divBdr>
            <w:top w:val="none" w:sz="0" w:space="0" w:color="auto"/>
            <w:left w:val="none" w:sz="0" w:space="0" w:color="auto"/>
            <w:bottom w:val="none" w:sz="0" w:space="0" w:color="auto"/>
            <w:right w:val="none" w:sz="0" w:space="0" w:color="auto"/>
          </w:divBdr>
        </w:div>
        <w:div w:id="1532838454">
          <w:marLeft w:val="677"/>
          <w:marRight w:val="0"/>
          <w:marTop w:val="0"/>
          <w:marBottom w:val="0"/>
          <w:divBdr>
            <w:top w:val="none" w:sz="0" w:space="0" w:color="auto"/>
            <w:left w:val="none" w:sz="0" w:space="0" w:color="auto"/>
            <w:bottom w:val="none" w:sz="0" w:space="0" w:color="auto"/>
            <w:right w:val="none" w:sz="0" w:space="0" w:color="auto"/>
          </w:divBdr>
        </w:div>
        <w:div w:id="1576282936">
          <w:marLeft w:val="677"/>
          <w:marRight w:val="0"/>
          <w:marTop w:val="0"/>
          <w:marBottom w:val="0"/>
          <w:divBdr>
            <w:top w:val="none" w:sz="0" w:space="0" w:color="auto"/>
            <w:left w:val="none" w:sz="0" w:space="0" w:color="auto"/>
            <w:bottom w:val="none" w:sz="0" w:space="0" w:color="auto"/>
            <w:right w:val="none" w:sz="0" w:space="0" w:color="auto"/>
          </w:divBdr>
        </w:div>
        <w:div w:id="1656059707">
          <w:marLeft w:val="490"/>
          <w:marRight w:val="0"/>
          <w:marTop w:val="0"/>
          <w:marBottom w:val="60"/>
          <w:divBdr>
            <w:top w:val="none" w:sz="0" w:space="0" w:color="auto"/>
            <w:left w:val="none" w:sz="0" w:space="0" w:color="auto"/>
            <w:bottom w:val="none" w:sz="0" w:space="0" w:color="auto"/>
            <w:right w:val="none" w:sz="0" w:space="0" w:color="auto"/>
          </w:divBdr>
        </w:div>
        <w:div w:id="1662074103">
          <w:marLeft w:val="677"/>
          <w:marRight w:val="0"/>
          <w:marTop w:val="0"/>
          <w:marBottom w:val="0"/>
          <w:divBdr>
            <w:top w:val="none" w:sz="0" w:space="0" w:color="auto"/>
            <w:left w:val="none" w:sz="0" w:space="0" w:color="auto"/>
            <w:bottom w:val="none" w:sz="0" w:space="0" w:color="auto"/>
            <w:right w:val="none" w:sz="0" w:space="0" w:color="auto"/>
          </w:divBdr>
        </w:div>
        <w:div w:id="1703751826">
          <w:marLeft w:val="490"/>
          <w:marRight w:val="0"/>
          <w:marTop w:val="0"/>
          <w:marBottom w:val="60"/>
          <w:divBdr>
            <w:top w:val="none" w:sz="0" w:space="0" w:color="auto"/>
            <w:left w:val="none" w:sz="0" w:space="0" w:color="auto"/>
            <w:bottom w:val="none" w:sz="0" w:space="0" w:color="auto"/>
            <w:right w:val="none" w:sz="0" w:space="0" w:color="auto"/>
          </w:divBdr>
        </w:div>
        <w:div w:id="1720745137">
          <w:marLeft w:val="490"/>
          <w:marRight w:val="0"/>
          <w:marTop w:val="0"/>
          <w:marBottom w:val="60"/>
          <w:divBdr>
            <w:top w:val="none" w:sz="0" w:space="0" w:color="auto"/>
            <w:left w:val="none" w:sz="0" w:space="0" w:color="auto"/>
            <w:bottom w:val="none" w:sz="0" w:space="0" w:color="auto"/>
            <w:right w:val="none" w:sz="0" w:space="0" w:color="auto"/>
          </w:divBdr>
        </w:div>
        <w:div w:id="1880432575">
          <w:marLeft w:val="490"/>
          <w:marRight w:val="0"/>
          <w:marTop w:val="0"/>
          <w:marBottom w:val="60"/>
          <w:divBdr>
            <w:top w:val="none" w:sz="0" w:space="0" w:color="auto"/>
            <w:left w:val="none" w:sz="0" w:space="0" w:color="auto"/>
            <w:bottom w:val="none" w:sz="0" w:space="0" w:color="auto"/>
            <w:right w:val="none" w:sz="0" w:space="0" w:color="auto"/>
          </w:divBdr>
        </w:div>
      </w:divsChild>
    </w:div>
    <w:div w:id="1055466911">
      <w:bodyDiv w:val="1"/>
      <w:marLeft w:val="0"/>
      <w:marRight w:val="0"/>
      <w:marTop w:val="0"/>
      <w:marBottom w:val="0"/>
      <w:divBdr>
        <w:top w:val="none" w:sz="0" w:space="0" w:color="auto"/>
        <w:left w:val="none" w:sz="0" w:space="0" w:color="auto"/>
        <w:bottom w:val="none" w:sz="0" w:space="0" w:color="auto"/>
        <w:right w:val="none" w:sz="0" w:space="0" w:color="auto"/>
      </w:divBdr>
      <w:divsChild>
        <w:div w:id="1044064607">
          <w:marLeft w:val="0"/>
          <w:marRight w:val="0"/>
          <w:marTop w:val="0"/>
          <w:marBottom w:val="0"/>
          <w:divBdr>
            <w:top w:val="none" w:sz="0" w:space="0" w:color="auto"/>
            <w:left w:val="none" w:sz="0" w:space="0" w:color="auto"/>
            <w:bottom w:val="none" w:sz="0" w:space="0" w:color="auto"/>
            <w:right w:val="none" w:sz="0" w:space="0" w:color="auto"/>
          </w:divBdr>
          <w:divsChild>
            <w:div w:id="1185901901">
              <w:marLeft w:val="0"/>
              <w:marRight w:val="0"/>
              <w:marTop w:val="0"/>
              <w:marBottom w:val="0"/>
              <w:divBdr>
                <w:top w:val="none" w:sz="0" w:space="0" w:color="auto"/>
                <w:left w:val="none" w:sz="0" w:space="0" w:color="auto"/>
                <w:bottom w:val="none" w:sz="0" w:space="0" w:color="auto"/>
                <w:right w:val="none" w:sz="0" w:space="0" w:color="auto"/>
              </w:divBdr>
              <w:divsChild>
                <w:div w:id="8294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38037">
      <w:bodyDiv w:val="1"/>
      <w:marLeft w:val="0"/>
      <w:marRight w:val="0"/>
      <w:marTop w:val="0"/>
      <w:marBottom w:val="0"/>
      <w:divBdr>
        <w:top w:val="none" w:sz="0" w:space="0" w:color="auto"/>
        <w:left w:val="none" w:sz="0" w:space="0" w:color="auto"/>
        <w:bottom w:val="none" w:sz="0" w:space="0" w:color="auto"/>
        <w:right w:val="none" w:sz="0" w:space="0" w:color="auto"/>
      </w:divBdr>
      <w:divsChild>
        <w:div w:id="2038004286">
          <w:marLeft w:val="0"/>
          <w:marRight w:val="0"/>
          <w:marTop w:val="0"/>
          <w:marBottom w:val="0"/>
          <w:divBdr>
            <w:top w:val="none" w:sz="0" w:space="0" w:color="auto"/>
            <w:left w:val="none" w:sz="0" w:space="0" w:color="auto"/>
            <w:bottom w:val="none" w:sz="0" w:space="0" w:color="auto"/>
            <w:right w:val="none" w:sz="0" w:space="0" w:color="auto"/>
          </w:divBdr>
          <w:divsChild>
            <w:div w:id="1478451176">
              <w:marLeft w:val="0"/>
              <w:marRight w:val="0"/>
              <w:marTop w:val="0"/>
              <w:marBottom w:val="0"/>
              <w:divBdr>
                <w:top w:val="none" w:sz="0" w:space="0" w:color="auto"/>
                <w:left w:val="none" w:sz="0" w:space="0" w:color="auto"/>
                <w:bottom w:val="none" w:sz="0" w:space="0" w:color="auto"/>
                <w:right w:val="none" w:sz="0" w:space="0" w:color="auto"/>
              </w:divBdr>
              <w:divsChild>
                <w:div w:id="9753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6921">
      <w:bodyDiv w:val="1"/>
      <w:marLeft w:val="0"/>
      <w:marRight w:val="0"/>
      <w:marTop w:val="0"/>
      <w:marBottom w:val="0"/>
      <w:divBdr>
        <w:top w:val="none" w:sz="0" w:space="0" w:color="auto"/>
        <w:left w:val="none" w:sz="0" w:space="0" w:color="auto"/>
        <w:bottom w:val="none" w:sz="0" w:space="0" w:color="auto"/>
        <w:right w:val="none" w:sz="0" w:space="0" w:color="auto"/>
      </w:divBdr>
      <w:divsChild>
        <w:div w:id="212350559">
          <w:marLeft w:val="1382"/>
          <w:marRight w:val="0"/>
          <w:marTop w:val="60"/>
          <w:marBottom w:val="60"/>
          <w:divBdr>
            <w:top w:val="none" w:sz="0" w:space="0" w:color="auto"/>
            <w:left w:val="none" w:sz="0" w:space="0" w:color="auto"/>
            <w:bottom w:val="none" w:sz="0" w:space="0" w:color="auto"/>
            <w:right w:val="none" w:sz="0" w:space="0" w:color="auto"/>
          </w:divBdr>
        </w:div>
        <w:div w:id="217012183">
          <w:marLeft w:val="662"/>
          <w:marRight w:val="0"/>
          <w:marTop w:val="60"/>
          <w:marBottom w:val="60"/>
          <w:divBdr>
            <w:top w:val="none" w:sz="0" w:space="0" w:color="auto"/>
            <w:left w:val="none" w:sz="0" w:space="0" w:color="auto"/>
            <w:bottom w:val="none" w:sz="0" w:space="0" w:color="auto"/>
            <w:right w:val="none" w:sz="0" w:space="0" w:color="auto"/>
          </w:divBdr>
        </w:div>
        <w:div w:id="353464652">
          <w:marLeft w:val="662"/>
          <w:marRight w:val="0"/>
          <w:marTop w:val="60"/>
          <w:marBottom w:val="60"/>
          <w:divBdr>
            <w:top w:val="none" w:sz="0" w:space="0" w:color="auto"/>
            <w:left w:val="none" w:sz="0" w:space="0" w:color="auto"/>
            <w:bottom w:val="none" w:sz="0" w:space="0" w:color="auto"/>
            <w:right w:val="none" w:sz="0" w:space="0" w:color="auto"/>
          </w:divBdr>
        </w:div>
        <w:div w:id="1051658105">
          <w:marLeft w:val="1382"/>
          <w:marRight w:val="0"/>
          <w:marTop w:val="60"/>
          <w:marBottom w:val="60"/>
          <w:divBdr>
            <w:top w:val="none" w:sz="0" w:space="0" w:color="auto"/>
            <w:left w:val="none" w:sz="0" w:space="0" w:color="auto"/>
            <w:bottom w:val="none" w:sz="0" w:space="0" w:color="auto"/>
            <w:right w:val="none" w:sz="0" w:space="0" w:color="auto"/>
          </w:divBdr>
        </w:div>
        <w:div w:id="1102917042">
          <w:marLeft w:val="662"/>
          <w:marRight w:val="0"/>
          <w:marTop w:val="60"/>
          <w:marBottom w:val="60"/>
          <w:divBdr>
            <w:top w:val="none" w:sz="0" w:space="0" w:color="auto"/>
            <w:left w:val="none" w:sz="0" w:space="0" w:color="auto"/>
            <w:bottom w:val="none" w:sz="0" w:space="0" w:color="auto"/>
            <w:right w:val="none" w:sz="0" w:space="0" w:color="auto"/>
          </w:divBdr>
        </w:div>
        <w:div w:id="1168138493">
          <w:marLeft w:val="662"/>
          <w:marRight w:val="0"/>
          <w:marTop w:val="60"/>
          <w:marBottom w:val="60"/>
          <w:divBdr>
            <w:top w:val="none" w:sz="0" w:space="0" w:color="auto"/>
            <w:left w:val="none" w:sz="0" w:space="0" w:color="auto"/>
            <w:bottom w:val="none" w:sz="0" w:space="0" w:color="auto"/>
            <w:right w:val="none" w:sz="0" w:space="0" w:color="auto"/>
          </w:divBdr>
        </w:div>
        <w:div w:id="1285771578">
          <w:marLeft w:val="1382"/>
          <w:marRight w:val="0"/>
          <w:marTop w:val="60"/>
          <w:marBottom w:val="60"/>
          <w:divBdr>
            <w:top w:val="none" w:sz="0" w:space="0" w:color="auto"/>
            <w:left w:val="none" w:sz="0" w:space="0" w:color="auto"/>
            <w:bottom w:val="none" w:sz="0" w:space="0" w:color="auto"/>
            <w:right w:val="none" w:sz="0" w:space="0" w:color="auto"/>
          </w:divBdr>
        </w:div>
        <w:div w:id="1347171693">
          <w:marLeft w:val="1382"/>
          <w:marRight w:val="0"/>
          <w:marTop w:val="60"/>
          <w:marBottom w:val="60"/>
          <w:divBdr>
            <w:top w:val="none" w:sz="0" w:space="0" w:color="auto"/>
            <w:left w:val="none" w:sz="0" w:space="0" w:color="auto"/>
            <w:bottom w:val="none" w:sz="0" w:space="0" w:color="auto"/>
            <w:right w:val="none" w:sz="0" w:space="0" w:color="auto"/>
          </w:divBdr>
        </w:div>
        <w:div w:id="1513714477">
          <w:marLeft w:val="662"/>
          <w:marRight w:val="0"/>
          <w:marTop w:val="60"/>
          <w:marBottom w:val="60"/>
          <w:divBdr>
            <w:top w:val="none" w:sz="0" w:space="0" w:color="auto"/>
            <w:left w:val="none" w:sz="0" w:space="0" w:color="auto"/>
            <w:bottom w:val="none" w:sz="0" w:space="0" w:color="auto"/>
            <w:right w:val="none" w:sz="0" w:space="0" w:color="auto"/>
          </w:divBdr>
        </w:div>
        <w:div w:id="1606811789">
          <w:marLeft w:val="662"/>
          <w:marRight w:val="0"/>
          <w:marTop w:val="60"/>
          <w:marBottom w:val="60"/>
          <w:divBdr>
            <w:top w:val="none" w:sz="0" w:space="0" w:color="auto"/>
            <w:left w:val="none" w:sz="0" w:space="0" w:color="auto"/>
            <w:bottom w:val="none" w:sz="0" w:space="0" w:color="auto"/>
            <w:right w:val="none" w:sz="0" w:space="0" w:color="auto"/>
          </w:divBdr>
        </w:div>
      </w:divsChild>
    </w:div>
    <w:div w:id="1067192739">
      <w:bodyDiv w:val="1"/>
      <w:marLeft w:val="0"/>
      <w:marRight w:val="0"/>
      <w:marTop w:val="0"/>
      <w:marBottom w:val="0"/>
      <w:divBdr>
        <w:top w:val="none" w:sz="0" w:space="0" w:color="auto"/>
        <w:left w:val="none" w:sz="0" w:space="0" w:color="auto"/>
        <w:bottom w:val="none" w:sz="0" w:space="0" w:color="auto"/>
        <w:right w:val="none" w:sz="0" w:space="0" w:color="auto"/>
      </w:divBdr>
    </w:div>
    <w:div w:id="1072896690">
      <w:bodyDiv w:val="1"/>
      <w:marLeft w:val="0"/>
      <w:marRight w:val="0"/>
      <w:marTop w:val="0"/>
      <w:marBottom w:val="0"/>
      <w:divBdr>
        <w:top w:val="none" w:sz="0" w:space="0" w:color="auto"/>
        <w:left w:val="none" w:sz="0" w:space="0" w:color="auto"/>
        <w:bottom w:val="none" w:sz="0" w:space="0" w:color="auto"/>
        <w:right w:val="none" w:sz="0" w:space="0" w:color="auto"/>
      </w:divBdr>
    </w:div>
    <w:div w:id="1099325730">
      <w:bodyDiv w:val="1"/>
      <w:marLeft w:val="0"/>
      <w:marRight w:val="0"/>
      <w:marTop w:val="0"/>
      <w:marBottom w:val="0"/>
      <w:divBdr>
        <w:top w:val="none" w:sz="0" w:space="0" w:color="auto"/>
        <w:left w:val="none" w:sz="0" w:space="0" w:color="auto"/>
        <w:bottom w:val="none" w:sz="0" w:space="0" w:color="auto"/>
        <w:right w:val="none" w:sz="0" w:space="0" w:color="auto"/>
      </w:divBdr>
    </w:div>
    <w:div w:id="1117333653">
      <w:bodyDiv w:val="1"/>
      <w:marLeft w:val="0"/>
      <w:marRight w:val="0"/>
      <w:marTop w:val="0"/>
      <w:marBottom w:val="0"/>
      <w:divBdr>
        <w:top w:val="none" w:sz="0" w:space="0" w:color="auto"/>
        <w:left w:val="none" w:sz="0" w:space="0" w:color="auto"/>
        <w:bottom w:val="none" w:sz="0" w:space="0" w:color="auto"/>
        <w:right w:val="none" w:sz="0" w:space="0" w:color="auto"/>
      </w:divBdr>
      <w:divsChild>
        <w:div w:id="2071150431">
          <w:marLeft w:val="0"/>
          <w:marRight w:val="0"/>
          <w:marTop w:val="0"/>
          <w:marBottom w:val="0"/>
          <w:divBdr>
            <w:top w:val="none" w:sz="0" w:space="0" w:color="auto"/>
            <w:left w:val="none" w:sz="0" w:space="0" w:color="auto"/>
            <w:bottom w:val="none" w:sz="0" w:space="0" w:color="auto"/>
            <w:right w:val="none" w:sz="0" w:space="0" w:color="auto"/>
          </w:divBdr>
          <w:divsChild>
            <w:div w:id="242103143">
              <w:marLeft w:val="0"/>
              <w:marRight w:val="0"/>
              <w:marTop w:val="0"/>
              <w:marBottom w:val="0"/>
              <w:divBdr>
                <w:top w:val="none" w:sz="0" w:space="0" w:color="auto"/>
                <w:left w:val="none" w:sz="0" w:space="0" w:color="auto"/>
                <w:bottom w:val="none" w:sz="0" w:space="0" w:color="auto"/>
                <w:right w:val="none" w:sz="0" w:space="0" w:color="auto"/>
              </w:divBdr>
              <w:divsChild>
                <w:div w:id="873616110">
                  <w:marLeft w:val="0"/>
                  <w:marRight w:val="0"/>
                  <w:marTop w:val="0"/>
                  <w:marBottom w:val="0"/>
                  <w:divBdr>
                    <w:top w:val="none" w:sz="0" w:space="0" w:color="auto"/>
                    <w:left w:val="none" w:sz="0" w:space="0" w:color="auto"/>
                    <w:bottom w:val="none" w:sz="0" w:space="0" w:color="auto"/>
                    <w:right w:val="none" w:sz="0" w:space="0" w:color="auto"/>
                  </w:divBdr>
                  <w:divsChild>
                    <w:div w:id="3854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97185">
      <w:bodyDiv w:val="1"/>
      <w:marLeft w:val="0"/>
      <w:marRight w:val="0"/>
      <w:marTop w:val="0"/>
      <w:marBottom w:val="0"/>
      <w:divBdr>
        <w:top w:val="none" w:sz="0" w:space="0" w:color="auto"/>
        <w:left w:val="none" w:sz="0" w:space="0" w:color="auto"/>
        <w:bottom w:val="none" w:sz="0" w:space="0" w:color="auto"/>
        <w:right w:val="none" w:sz="0" w:space="0" w:color="auto"/>
      </w:divBdr>
    </w:div>
    <w:div w:id="1171946649">
      <w:bodyDiv w:val="1"/>
      <w:marLeft w:val="0"/>
      <w:marRight w:val="0"/>
      <w:marTop w:val="0"/>
      <w:marBottom w:val="0"/>
      <w:divBdr>
        <w:top w:val="none" w:sz="0" w:space="0" w:color="auto"/>
        <w:left w:val="none" w:sz="0" w:space="0" w:color="auto"/>
        <w:bottom w:val="none" w:sz="0" w:space="0" w:color="auto"/>
        <w:right w:val="none" w:sz="0" w:space="0" w:color="auto"/>
      </w:divBdr>
      <w:divsChild>
        <w:div w:id="1675762602">
          <w:marLeft w:val="0"/>
          <w:marRight w:val="0"/>
          <w:marTop w:val="0"/>
          <w:marBottom w:val="0"/>
          <w:divBdr>
            <w:top w:val="none" w:sz="0" w:space="0" w:color="auto"/>
            <w:left w:val="none" w:sz="0" w:space="0" w:color="auto"/>
            <w:bottom w:val="none" w:sz="0" w:space="0" w:color="auto"/>
            <w:right w:val="none" w:sz="0" w:space="0" w:color="auto"/>
          </w:divBdr>
          <w:divsChild>
            <w:div w:id="1181622884">
              <w:marLeft w:val="0"/>
              <w:marRight w:val="0"/>
              <w:marTop w:val="0"/>
              <w:marBottom w:val="0"/>
              <w:divBdr>
                <w:top w:val="none" w:sz="0" w:space="0" w:color="auto"/>
                <w:left w:val="none" w:sz="0" w:space="0" w:color="auto"/>
                <w:bottom w:val="none" w:sz="0" w:space="0" w:color="auto"/>
                <w:right w:val="none" w:sz="0" w:space="0" w:color="auto"/>
              </w:divBdr>
              <w:divsChild>
                <w:div w:id="18166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1717">
      <w:bodyDiv w:val="1"/>
      <w:marLeft w:val="0"/>
      <w:marRight w:val="0"/>
      <w:marTop w:val="0"/>
      <w:marBottom w:val="0"/>
      <w:divBdr>
        <w:top w:val="none" w:sz="0" w:space="0" w:color="auto"/>
        <w:left w:val="none" w:sz="0" w:space="0" w:color="auto"/>
        <w:bottom w:val="none" w:sz="0" w:space="0" w:color="auto"/>
        <w:right w:val="none" w:sz="0" w:space="0" w:color="auto"/>
      </w:divBdr>
    </w:div>
    <w:div w:id="1203177838">
      <w:bodyDiv w:val="1"/>
      <w:marLeft w:val="0"/>
      <w:marRight w:val="0"/>
      <w:marTop w:val="0"/>
      <w:marBottom w:val="0"/>
      <w:divBdr>
        <w:top w:val="none" w:sz="0" w:space="0" w:color="auto"/>
        <w:left w:val="none" w:sz="0" w:space="0" w:color="auto"/>
        <w:bottom w:val="none" w:sz="0" w:space="0" w:color="auto"/>
        <w:right w:val="none" w:sz="0" w:space="0" w:color="auto"/>
      </w:divBdr>
    </w:div>
    <w:div w:id="1233664688">
      <w:bodyDiv w:val="1"/>
      <w:marLeft w:val="0"/>
      <w:marRight w:val="0"/>
      <w:marTop w:val="0"/>
      <w:marBottom w:val="0"/>
      <w:divBdr>
        <w:top w:val="none" w:sz="0" w:space="0" w:color="auto"/>
        <w:left w:val="none" w:sz="0" w:space="0" w:color="auto"/>
        <w:bottom w:val="none" w:sz="0" w:space="0" w:color="auto"/>
        <w:right w:val="none" w:sz="0" w:space="0" w:color="auto"/>
      </w:divBdr>
      <w:divsChild>
        <w:div w:id="1949384477">
          <w:marLeft w:val="0"/>
          <w:marRight w:val="0"/>
          <w:marTop w:val="0"/>
          <w:marBottom w:val="0"/>
          <w:divBdr>
            <w:top w:val="none" w:sz="0" w:space="0" w:color="auto"/>
            <w:left w:val="none" w:sz="0" w:space="0" w:color="auto"/>
            <w:bottom w:val="none" w:sz="0" w:space="0" w:color="auto"/>
            <w:right w:val="none" w:sz="0" w:space="0" w:color="auto"/>
          </w:divBdr>
          <w:divsChild>
            <w:div w:id="1445806388">
              <w:marLeft w:val="0"/>
              <w:marRight w:val="0"/>
              <w:marTop w:val="0"/>
              <w:marBottom w:val="0"/>
              <w:divBdr>
                <w:top w:val="none" w:sz="0" w:space="0" w:color="auto"/>
                <w:left w:val="none" w:sz="0" w:space="0" w:color="auto"/>
                <w:bottom w:val="none" w:sz="0" w:space="0" w:color="auto"/>
                <w:right w:val="none" w:sz="0" w:space="0" w:color="auto"/>
              </w:divBdr>
              <w:divsChild>
                <w:div w:id="19539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7447">
      <w:bodyDiv w:val="1"/>
      <w:marLeft w:val="0"/>
      <w:marRight w:val="0"/>
      <w:marTop w:val="0"/>
      <w:marBottom w:val="0"/>
      <w:divBdr>
        <w:top w:val="none" w:sz="0" w:space="0" w:color="auto"/>
        <w:left w:val="none" w:sz="0" w:space="0" w:color="auto"/>
        <w:bottom w:val="none" w:sz="0" w:space="0" w:color="auto"/>
        <w:right w:val="none" w:sz="0" w:space="0" w:color="auto"/>
      </w:divBdr>
    </w:div>
    <w:div w:id="1251693203">
      <w:bodyDiv w:val="1"/>
      <w:marLeft w:val="0"/>
      <w:marRight w:val="0"/>
      <w:marTop w:val="0"/>
      <w:marBottom w:val="0"/>
      <w:divBdr>
        <w:top w:val="none" w:sz="0" w:space="0" w:color="auto"/>
        <w:left w:val="none" w:sz="0" w:space="0" w:color="auto"/>
        <w:bottom w:val="none" w:sz="0" w:space="0" w:color="auto"/>
        <w:right w:val="none" w:sz="0" w:space="0" w:color="auto"/>
      </w:divBdr>
    </w:div>
    <w:div w:id="1291548637">
      <w:bodyDiv w:val="1"/>
      <w:marLeft w:val="0"/>
      <w:marRight w:val="0"/>
      <w:marTop w:val="0"/>
      <w:marBottom w:val="0"/>
      <w:divBdr>
        <w:top w:val="none" w:sz="0" w:space="0" w:color="auto"/>
        <w:left w:val="none" w:sz="0" w:space="0" w:color="auto"/>
        <w:bottom w:val="none" w:sz="0" w:space="0" w:color="auto"/>
        <w:right w:val="none" w:sz="0" w:space="0" w:color="auto"/>
      </w:divBdr>
      <w:divsChild>
        <w:div w:id="162546847">
          <w:marLeft w:val="274"/>
          <w:marRight w:val="0"/>
          <w:marTop w:val="0"/>
          <w:marBottom w:val="0"/>
          <w:divBdr>
            <w:top w:val="none" w:sz="0" w:space="0" w:color="auto"/>
            <w:left w:val="none" w:sz="0" w:space="0" w:color="auto"/>
            <w:bottom w:val="none" w:sz="0" w:space="0" w:color="auto"/>
            <w:right w:val="none" w:sz="0" w:space="0" w:color="auto"/>
          </w:divBdr>
        </w:div>
        <w:div w:id="188378348">
          <w:marLeft w:val="274"/>
          <w:marRight w:val="0"/>
          <w:marTop w:val="0"/>
          <w:marBottom w:val="0"/>
          <w:divBdr>
            <w:top w:val="none" w:sz="0" w:space="0" w:color="auto"/>
            <w:left w:val="none" w:sz="0" w:space="0" w:color="auto"/>
            <w:bottom w:val="none" w:sz="0" w:space="0" w:color="auto"/>
            <w:right w:val="none" w:sz="0" w:space="0" w:color="auto"/>
          </w:divBdr>
        </w:div>
        <w:div w:id="306864267">
          <w:marLeft w:val="274"/>
          <w:marRight w:val="0"/>
          <w:marTop w:val="0"/>
          <w:marBottom w:val="0"/>
          <w:divBdr>
            <w:top w:val="none" w:sz="0" w:space="0" w:color="auto"/>
            <w:left w:val="none" w:sz="0" w:space="0" w:color="auto"/>
            <w:bottom w:val="none" w:sz="0" w:space="0" w:color="auto"/>
            <w:right w:val="none" w:sz="0" w:space="0" w:color="auto"/>
          </w:divBdr>
        </w:div>
        <w:div w:id="337922827">
          <w:marLeft w:val="274"/>
          <w:marRight w:val="0"/>
          <w:marTop w:val="0"/>
          <w:marBottom w:val="0"/>
          <w:divBdr>
            <w:top w:val="none" w:sz="0" w:space="0" w:color="auto"/>
            <w:left w:val="none" w:sz="0" w:space="0" w:color="auto"/>
            <w:bottom w:val="none" w:sz="0" w:space="0" w:color="auto"/>
            <w:right w:val="none" w:sz="0" w:space="0" w:color="auto"/>
          </w:divBdr>
        </w:div>
        <w:div w:id="348141319">
          <w:marLeft w:val="274"/>
          <w:marRight w:val="0"/>
          <w:marTop w:val="0"/>
          <w:marBottom w:val="0"/>
          <w:divBdr>
            <w:top w:val="none" w:sz="0" w:space="0" w:color="auto"/>
            <w:left w:val="none" w:sz="0" w:space="0" w:color="auto"/>
            <w:bottom w:val="none" w:sz="0" w:space="0" w:color="auto"/>
            <w:right w:val="none" w:sz="0" w:space="0" w:color="auto"/>
          </w:divBdr>
        </w:div>
        <w:div w:id="493765764">
          <w:marLeft w:val="274"/>
          <w:marRight w:val="0"/>
          <w:marTop w:val="0"/>
          <w:marBottom w:val="0"/>
          <w:divBdr>
            <w:top w:val="none" w:sz="0" w:space="0" w:color="auto"/>
            <w:left w:val="none" w:sz="0" w:space="0" w:color="auto"/>
            <w:bottom w:val="none" w:sz="0" w:space="0" w:color="auto"/>
            <w:right w:val="none" w:sz="0" w:space="0" w:color="auto"/>
          </w:divBdr>
        </w:div>
        <w:div w:id="569000432">
          <w:marLeft w:val="274"/>
          <w:marRight w:val="0"/>
          <w:marTop w:val="0"/>
          <w:marBottom w:val="0"/>
          <w:divBdr>
            <w:top w:val="none" w:sz="0" w:space="0" w:color="auto"/>
            <w:left w:val="none" w:sz="0" w:space="0" w:color="auto"/>
            <w:bottom w:val="none" w:sz="0" w:space="0" w:color="auto"/>
            <w:right w:val="none" w:sz="0" w:space="0" w:color="auto"/>
          </w:divBdr>
        </w:div>
        <w:div w:id="569968685">
          <w:marLeft w:val="274"/>
          <w:marRight w:val="0"/>
          <w:marTop w:val="0"/>
          <w:marBottom w:val="0"/>
          <w:divBdr>
            <w:top w:val="none" w:sz="0" w:space="0" w:color="auto"/>
            <w:left w:val="none" w:sz="0" w:space="0" w:color="auto"/>
            <w:bottom w:val="none" w:sz="0" w:space="0" w:color="auto"/>
            <w:right w:val="none" w:sz="0" w:space="0" w:color="auto"/>
          </w:divBdr>
        </w:div>
        <w:div w:id="574975337">
          <w:marLeft w:val="274"/>
          <w:marRight w:val="0"/>
          <w:marTop w:val="0"/>
          <w:marBottom w:val="0"/>
          <w:divBdr>
            <w:top w:val="none" w:sz="0" w:space="0" w:color="auto"/>
            <w:left w:val="none" w:sz="0" w:space="0" w:color="auto"/>
            <w:bottom w:val="none" w:sz="0" w:space="0" w:color="auto"/>
            <w:right w:val="none" w:sz="0" w:space="0" w:color="auto"/>
          </w:divBdr>
        </w:div>
        <w:div w:id="583414879">
          <w:marLeft w:val="274"/>
          <w:marRight w:val="0"/>
          <w:marTop w:val="0"/>
          <w:marBottom w:val="0"/>
          <w:divBdr>
            <w:top w:val="none" w:sz="0" w:space="0" w:color="auto"/>
            <w:left w:val="none" w:sz="0" w:space="0" w:color="auto"/>
            <w:bottom w:val="none" w:sz="0" w:space="0" w:color="auto"/>
            <w:right w:val="none" w:sz="0" w:space="0" w:color="auto"/>
          </w:divBdr>
        </w:div>
        <w:div w:id="688526308">
          <w:marLeft w:val="274"/>
          <w:marRight w:val="0"/>
          <w:marTop w:val="0"/>
          <w:marBottom w:val="0"/>
          <w:divBdr>
            <w:top w:val="none" w:sz="0" w:space="0" w:color="auto"/>
            <w:left w:val="none" w:sz="0" w:space="0" w:color="auto"/>
            <w:bottom w:val="none" w:sz="0" w:space="0" w:color="auto"/>
            <w:right w:val="none" w:sz="0" w:space="0" w:color="auto"/>
          </w:divBdr>
        </w:div>
        <w:div w:id="846987960">
          <w:marLeft w:val="274"/>
          <w:marRight w:val="0"/>
          <w:marTop w:val="0"/>
          <w:marBottom w:val="0"/>
          <w:divBdr>
            <w:top w:val="none" w:sz="0" w:space="0" w:color="auto"/>
            <w:left w:val="none" w:sz="0" w:space="0" w:color="auto"/>
            <w:bottom w:val="none" w:sz="0" w:space="0" w:color="auto"/>
            <w:right w:val="none" w:sz="0" w:space="0" w:color="auto"/>
          </w:divBdr>
        </w:div>
        <w:div w:id="862282897">
          <w:marLeft w:val="274"/>
          <w:marRight w:val="0"/>
          <w:marTop w:val="0"/>
          <w:marBottom w:val="0"/>
          <w:divBdr>
            <w:top w:val="none" w:sz="0" w:space="0" w:color="auto"/>
            <w:left w:val="none" w:sz="0" w:space="0" w:color="auto"/>
            <w:bottom w:val="none" w:sz="0" w:space="0" w:color="auto"/>
            <w:right w:val="none" w:sz="0" w:space="0" w:color="auto"/>
          </w:divBdr>
        </w:div>
        <w:div w:id="876241934">
          <w:marLeft w:val="274"/>
          <w:marRight w:val="0"/>
          <w:marTop w:val="0"/>
          <w:marBottom w:val="0"/>
          <w:divBdr>
            <w:top w:val="none" w:sz="0" w:space="0" w:color="auto"/>
            <w:left w:val="none" w:sz="0" w:space="0" w:color="auto"/>
            <w:bottom w:val="none" w:sz="0" w:space="0" w:color="auto"/>
            <w:right w:val="none" w:sz="0" w:space="0" w:color="auto"/>
          </w:divBdr>
        </w:div>
        <w:div w:id="951979278">
          <w:marLeft w:val="274"/>
          <w:marRight w:val="0"/>
          <w:marTop w:val="0"/>
          <w:marBottom w:val="0"/>
          <w:divBdr>
            <w:top w:val="none" w:sz="0" w:space="0" w:color="auto"/>
            <w:left w:val="none" w:sz="0" w:space="0" w:color="auto"/>
            <w:bottom w:val="none" w:sz="0" w:space="0" w:color="auto"/>
            <w:right w:val="none" w:sz="0" w:space="0" w:color="auto"/>
          </w:divBdr>
        </w:div>
        <w:div w:id="982080055">
          <w:marLeft w:val="274"/>
          <w:marRight w:val="0"/>
          <w:marTop w:val="0"/>
          <w:marBottom w:val="0"/>
          <w:divBdr>
            <w:top w:val="none" w:sz="0" w:space="0" w:color="auto"/>
            <w:left w:val="none" w:sz="0" w:space="0" w:color="auto"/>
            <w:bottom w:val="none" w:sz="0" w:space="0" w:color="auto"/>
            <w:right w:val="none" w:sz="0" w:space="0" w:color="auto"/>
          </w:divBdr>
        </w:div>
        <w:div w:id="1005981143">
          <w:marLeft w:val="274"/>
          <w:marRight w:val="0"/>
          <w:marTop w:val="0"/>
          <w:marBottom w:val="0"/>
          <w:divBdr>
            <w:top w:val="none" w:sz="0" w:space="0" w:color="auto"/>
            <w:left w:val="none" w:sz="0" w:space="0" w:color="auto"/>
            <w:bottom w:val="none" w:sz="0" w:space="0" w:color="auto"/>
            <w:right w:val="none" w:sz="0" w:space="0" w:color="auto"/>
          </w:divBdr>
        </w:div>
        <w:div w:id="1021204168">
          <w:marLeft w:val="274"/>
          <w:marRight w:val="0"/>
          <w:marTop w:val="0"/>
          <w:marBottom w:val="0"/>
          <w:divBdr>
            <w:top w:val="none" w:sz="0" w:space="0" w:color="auto"/>
            <w:left w:val="none" w:sz="0" w:space="0" w:color="auto"/>
            <w:bottom w:val="none" w:sz="0" w:space="0" w:color="auto"/>
            <w:right w:val="none" w:sz="0" w:space="0" w:color="auto"/>
          </w:divBdr>
        </w:div>
        <w:div w:id="1030913183">
          <w:marLeft w:val="274"/>
          <w:marRight w:val="0"/>
          <w:marTop w:val="0"/>
          <w:marBottom w:val="0"/>
          <w:divBdr>
            <w:top w:val="none" w:sz="0" w:space="0" w:color="auto"/>
            <w:left w:val="none" w:sz="0" w:space="0" w:color="auto"/>
            <w:bottom w:val="none" w:sz="0" w:space="0" w:color="auto"/>
            <w:right w:val="none" w:sz="0" w:space="0" w:color="auto"/>
          </w:divBdr>
        </w:div>
        <w:div w:id="1048870401">
          <w:marLeft w:val="274"/>
          <w:marRight w:val="0"/>
          <w:marTop w:val="0"/>
          <w:marBottom w:val="0"/>
          <w:divBdr>
            <w:top w:val="none" w:sz="0" w:space="0" w:color="auto"/>
            <w:left w:val="none" w:sz="0" w:space="0" w:color="auto"/>
            <w:bottom w:val="none" w:sz="0" w:space="0" w:color="auto"/>
            <w:right w:val="none" w:sz="0" w:space="0" w:color="auto"/>
          </w:divBdr>
        </w:div>
        <w:div w:id="1088773451">
          <w:marLeft w:val="274"/>
          <w:marRight w:val="0"/>
          <w:marTop w:val="0"/>
          <w:marBottom w:val="0"/>
          <w:divBdr>
            <w:top w:val="none" w:sz="0" w:space="0" w:color="auto"/>
            <w:left w:val="none" w:sz="0" w:space="0" w:color="auto"/>
            <w:bottom w:val="none" w:sz="0" w:space="0" w:color="auto"/>
            <w:right w:val="none" w:sz="0" w:space="0" w:color="auto"/>
          </w:divBdr>
        </w:div>
        <w:div w:id="1230573922">
          <w:marLeft w:val="274"/>
          <w:marRight w:val="0"/>
          <w:marTop w:val="0"/>
          <w:marBottom w:val="0"/>
          <w:divBdr>
            <w:top w:val="none" w:sz="0" w:space="0" w:color="auto"/>
            <w:left w:val="none" w:sz="0" w:space="0" w:color="auto"/>
            <w:bottom w:val="none" w:sz="0" w:space="0" w:color="auto"/>
            <w:right w:val="none" w:sz="0" w:space="0" w:color="auto"/>
          </w:divBdr>
        </w:div>
        <w:div w:id="1320570696">
          <w:marLeft w:val="274"/>
          <w:marRight w:val="0"/>
          <w:marTop w:val="0"/>
          <w:marBottom w:val="0"/>
          <w:divBdr>
            <w:top w:val="none" w:sz="0" w:space="0" w:color="auto"/>
            <w:left w:val="none" w:sz="0" w:space="0" w:color="auto"/>
            <w:bottom w:val="none" w:sz="0" w:space="0" w:color="auto"/>
            <w:right w:val="none" w:sz="0" w:space="0" w:color="auto"/>
          </w:divBdr>
        </w:div>
        <w:div w:id="1430656975">
          <w:marLeft w:val="274"/>
          <w:marRight w:val="0"/>
          <w:marTop w:val="0"/>
          <w:marBottom w:val="0"/>
          <w:divBdr>
            <w:top w:val="none" w:sz="0" w:space="0" w:color="auto"/>
            <w:left w:val="none" w:sz="0" w:space="0" w:color="auto"/>
            <w:bottom w:val="none" w:sz="0" w:space="0" w:color="auto"/>
            <w:right w:val="none" w:sz="0" w:space="0" w:color="auto"/>
          </w:divBdr>
        </w:div>
        <w:div w:id="1448112609">
          <w:marLeft w:val="274"/>
          <w:marRight w:val="0"/>
          <w:marTop w:val="0"/>
          <w:marBottom w:val="0"/>
          <w:divBdr>
            <w:top w:val="none" w:sz="0" w:space="0" w:color="auto"/>
            <w:left w:val="none" w:sz="0" w:space="0" w:color="auto"/>
            <w:bottom w:val="none" w:sz="0" w:space="0" w:color="auto"/>
            <w:right w:val="none" w:sz="0" w:space="0" w:color="auto"/>
          </w:divBdr>
        </w:div>
        <w:div w:id="1458991467">
          <w:marLeft w:val="274"/>
          <w:marRight w:val="0"/>
          <w:marTop w:val="0"/>
          <w:marBottom w:val="0"/>
          <w:divBdr>
            <w:top w:val="none" w:sz="0" w:space="0" w:color="auto"/>
            <w:left w:val="none" w:sz="0" w:space="0" w:color="auto"/>
            <w:bottom w:val="none" w:sz="0" w:space="0" w:color="auto"/>
            <w:right w:val="none" w:sz="0" w:space="0" w:color="auto"/>
          </w:divBdr>
        </w:div>
        <w:div w:id="1501849539">
          <w:marLeft w:val="274"/>
          <w:marRight w:val="0"/>
          <w:marTop w:val="0"/>
          <w:marBottom w:val="0"/>
          <w:divBdr>
            <w:top w:val="none" w:sz="0" w:space="0" w:color="auto"/>
            <w:left w:val="none" w:sz="0" w:space="0" w:color="auto"/>
            <w:bottom w:val="none" w:sz="0" w:space="0" w:color="auto"/>
            <w:right w:val="none" w:sz="0" w:space="0" w:color="auto"/>
          </w:divBdr>
        </w:div>
        <w:div w:id="1640377592">
          <w:marLeft w:val="274"/>
          <w:marRight w:val="0"/>
          <w:marTop w:val="0"/>
          <w:marBottom w:val="0"/>
          <w:divBdr>
            <w:top w:val="none" w:sz="0" w:space="0" w:color="auto"/>
            <w:left w:val="none" w:sz="0" w:space="0" w:color="auto"/>
            <w:bottom w:val="none" w:sz="0" w:space="0" w:color="auto"/>
            <w:right w:val="none" w:sz="0" w:space="0" w:color="auto"/>
          </w:divBdr>
        </w:div>
        <w:div w:id="1646936916">
          <w:marLeft w:val="274"/>
          <w:marRight w:val="0"/>
          <w:marTop w:val="0"/>
          <w:marBottom w:val="0"/>
          <w:divBdr>
            <w:top w:val="none" w:sz="0" w:space="0" w:color="auto"/>
            <w:left w:val="none" w:sz="0" w:space="0" w:color="auto"/>
            <w:bottom w:val="none" w:sz="0" w:space="0" w:color="auto"/>
            <w:right w:val="none" w:sz="0" w:space="0" w:color="auto"/>
          </w:divBdr>
        </w:div>
        <w:div w:id="1714184362">
          <w:marLeft w:val="274"/>
          <w:marRight w:val="0"/>
          <w:marTop w:val="0"/>
          <w:marBottom w:val="0"/>
          <w:divBdr>
            <w:top w:val="none" w:sz="0" w:space="0" w:color="auto"/>
            <w:left w:val="none" w:sz="0" w:space="0" w:color="auto"/>
            <w:bottom w:val="none" w:sz="0" w:space="0" w:color="auto"/>
            <w:right w:val="none" w:sz="0" w:space="0" w:color="auto"/>
          </w:divBdr>
        </w:div>
        <w:div w:id="1870071527">
          <w:marLeft w:val="274"/>
          <w:marRight w:val="0"/>
          <w:marTop w:val="0"/>
          <w:marBottom w:val="0"/>
          <w:divBdr>
            <w:top w:val="none" w:sz="0" w:space="0" w:color="auto"/>
            <w:left w:val="none" w:sz="0" w:space="0" w:color="auto"/>
            <w:bottom w:val="none" w:sz="0" w:space="0" w:color="auto"/>
            <w:right w:val="none" w:sz="0" w:space="0" w:color="auto"/>
          </w:divBdr>
        </w:div>
        <w:div w:id="1972052703">
          <w:marLeft w:val="274"/>
          <w:marRight w:val="0"/>
          <w:marTop w:val="0"/>
          <w:marBottom w:val="0"/>
          <w:divBdr>
            <w:top w:val="none" w:sz="0" w:space="0" w:color="auto"/>
            <w:left w:val="none" w:sz="0" w:space="0" w:color="auto"/>
            <w:bottom w:val="none" w:sz="0" w:space="0" w:color="auto"/>
            <w:right w:val="none" w:sz="0" w:space="0" w:color="auto"/>
          </w:divBdr>
        </w:div>
        <w:div w:id="2069260154">
          <w:marLeft w:val="274"/>
          <w:marRight w:val="0"/>
          <w:marTop w:val="0"/>
          <w:marBottom w:val="0"/>
          <w:divBdr>
            <w:top w:val="none" w:sz="0" w:space="0" w:color="auto"/>
            <w:left w:val="none" w:sz="0" w:space="0" w:color="auto"/>
            <w:bottom w:val="none" w:sz="0" w:space="0" w:color="auto"/>
            <w:right w:val="none" w:sz="0" w:space="0" w:color="auto"/>
          </w:divBdr>
        </w:div>
      </w:divsChild>
    </w:div>
    <w:div w:id="1302150342">
      <w:bodyDiv w:val="1"/>
      <w:marLeft w:val="0"/>
      <w:marRight w:val="0"/>
      <w:marTop w:val="0"/>
      <w:marBottom w:val="0"/>
      <w:divBdr>
        <w:top w:val="none" w:sz="0" w:space="0" w:color="auto"/>
        <w:left w:val="none" w:sz="0" w:space="0" w:color="auto"/>
        <w:bottom w:val="none" w:sz="0" w:space="0" w:color="auto"/>
        <w:right w:val="none" w:sz="0" w:space="0" w:color="auto"/>
      </w:divBdr>
    </w:div>
    <w:div w:id="1304045860">
      <w:bodyDiv w:val="1"/>
      <w:marLeft w:val="0"/>
      <w:marRight w:val="0"/>
      <w:marTop w:val="0"/>
      <w:marBottom w:val="0"/>
      <w:divBdr>
        <w:top w:val="none" w:sz="0" w:space="0" w:color="auto"/>
        <w:left w:val="none" w:sz="0" w:space="0" w:color="auto"/>
        <w:bottom w:val="none" w:sz="0" w:space="0" w:color="auto"/>
        <w:right w:val="none" w:sz="0" w:space="0" w:color="auto"/>
      </w:divBdr>
    </w:div>
    <w:div w:id="1316959963">
      <w:bodyDiv w:val="1"/>
      <w:marLeft w:val="0"/>
      <w:marRight w:val="0"/>
      <w:marTop w:val="0"/>
      <w:marBottom w:val="0"/>
      <w:divBdr>
        <w:top w:val="none" w:sz="0" w:space="0" w:color="auto"/>
        <w:left w:val="none" w:sz="0" w:space="0" w:color="auto"/>
        <w:bottom w:val="none" w:sz="0" w:space="0" w:color="auto"/>
        <w:right w:val="none" w:sz="0" w:space="0" w:color="auto"/>
      </w:divBdr>
      <w:divsChild>
        <w:div w:id="737477000">
          <w:marLeft w:val="0"/>
          <w:marRight w:val="0"/>
          <w:marTop w:val="0"/>
          <w:marBottom w:val="0"/>
          <w:divBdr>
            <w:top w:val="none" w:sz="0" w:space="0" w:color="auto"/>
            <w:left w:val="none" w:sz="0" w:space="0" w:color="auto"/>
            <w:bottom w:val="none" w:sz="0" w:space="0" w:color="auto"/>
            <w:right w:val="none" w:sz="0" w:space="0" w:color="auto"/>
          </w:divBdr>
          <w:divsChild>
            <w:div w:id="998539057">
              <w:marLeft w:val="0"/>
              <w:marRight w:val="0"/>
              <w:marTop w:val="0"/>
              <w:marBottom w:val="0"/>
              <w:divBdr>
                <w:top w:val="none" w:sz="0" w:space="0" w:color="auto"/>
                <w:left w:val="none" w:sz="0" w:space="0" w:color="auto"/>
                <w:bottom w:val="none" w:sz="0" w:space="0" w:color="auto"/>
                <w:right w:val="none" w:sz="0" w:space="0" w:color="auto"/>
              </w:divBdr>
              <w:divsChild>
                <w:div w:id="6514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60029">
      <w:bodyDiv w:val="1"/>
      <w:marLeft w:val="0"/>
      <w:marRight w:val="0"/>
      <w:marTop w:val="0"/>
      <w:marBottom w:val="0"/>
      <w:divBdr>
        <w:top w:val="none" w:sz="0" w:space="0" w:color="auto"/>
        <w:left w:val="none" w:sz="0" w:space="0" w:color="auto"/>
        <w:bottom w:val="none" w:sz="0" w:space="0" w:color="auto"/>
        <w:right w:val="none" w:sz="0" w:space="0" w:color="auto"/>
      </w:divBdr>
      <w:divsChild>
        <w:div w:id="1655377172">
          <w:marLeft w:val="662"/>
          <w:marRight w:val="0"/>
          <w:marTop w:val="60"/>
          <w:marBottom w:val="60"/>
          <w:divBdr>
            <w:top w:val="none" w:sz="0" w:space="0" w:color="auto"/>
            <w:left w:val="none" w:sz="0" w:space="0" w:color="auto"/>
            <w:bottom w:val="none" w:sz="0" w:space="0" w:color="auto"/>
            <w:right w:val="none" w:sz="0" w:space="0" w:color="auto"/>
          </w:divBdr>
        </w:div>
      </w:divsChild>
    </w:div>
    <w:div w:id="1324622513">
      <w:bodyDiv w:val="1"/>
      <w:marLeft w:val="0"/>
      <w:marRight w:val="0"/>
      <w:marTop w:val="0"/>
      <w:marBottom w:val="0"/>
      <w:divBdr>
        <w:top w:val="none" w:sz="0" w:space="0" w:color="auto"/>
        <w:left w:val="none" w:sz="0" w:space="0" w:color="auto"/>
        <w:bottom w:val="none" w:sz="0" w:space="0" w:color="auto"/>
        <w:right w:val="none" w:sz="0" w:space="0" w:color="auto"/>
      </w:divBdr>
    </w:div>
    <w:div w:id="1342274180">
      <w:bodyDiv w:val="1"/>
      <w:marLeft w:val="0"/>
      <w:marRight w:val="0"/>
      <w:marTop w:val="0"/>
      <w:marBottom w:val="0"/>
      <w:divBdr>
        <w:top w:val="none" w:sz="0" w:space="0" w:color="auto"/>
        <w:left w:val="none" w:sz="0" w:space="0" w:color="auto"/>
        <w:bottom w:val="none" w:sz="0" w:space="0" w:color="auto"/>
        <w:right w:val="none" w:sz="0" w:space="0" w:color="auto"/>
      </w:divBdr>
      <w:divsChild>
        <w:div w:id="1719476358">
          <w:marLeft w:val="0"/>
          <w:marRight w:val="0"/>
          <w:marTop w:val="0"/>
          <w:marBottom w:val="0"/>
          <w:divBdr>
            <w:top w:val="none" w:sz="0" w:space="0" w:color="auto"/>
            <w:left w:val="none" w:sz="0" w:space="0" w:color="auto"/>
            <w:bottom w:val="none" w:sz="0" w:space="0" w:color="auto"/>
            <w:right w:val="none" w:sz="0" w:space="0" w:color="auto"/>
          </w:divBdr>
          <w:divsChild>
            <w:div w:id="2044672977">
              <w:marLeft w:val="0"/>
              <w:marRight w:val="0"/>
              <w:marTop w:val="0"/>
              <w:marBottom w:val="0"/>
              <w:divBdr>
                <w:top w:val="none" w:sz="0" w:space="0" w:color="auto"/>
                <w:left w:val="none" w:sz="0" w:space="0" w:color="auto"/>
                <w:bottom w:val="none" w:sz="0" w:space="0" w:color="auto"/>
                <w:right w:val="none" w:sz="0" w:space="0" w:color="auto"/>
              </w:divBdr>
              <w:divsChild>
                <w:div w:id="127092584">
                  <w:marLeft w:val="0"/>
                  <w:marRight w:val="0"/>
                  <w:marTop w:val="0"/>
                  <w:marBottom w:val="0"/>
                  <w:divBdr>
                    <w:top w:val="none" w:sz="0" w:space="0" w:color="auto"/>
                    <w:left w:val="none" w:sz="0" w:space="0" w:color="auto"/>
                    <w:bottom w:val="none" w:sz="0" w:space="0" w:color="auto"/>
                    <w:right w:val="none" w:sz="0" w:space="0" w:color="auto"/>
                  </w:divBdr>
                  <w:divsChild>
                    <w:div w:id="4990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262224">
      <w:bodyDiv w:val="1"/>
      <w:marLeft w:val="0"/>
      <w:marRight w:val="0"/>
      <w:marTop w:val="0"/>
      <w:marBottom w:val="0"/>
      <w:divBdr>
        <w:top w:val="none" w:sz="0" w:space="0" w:color="auto"/>
        <w:left w:val="none" w:sz="0" w:space="0" w:color="auto"/>
        <w:bottom w:val="none" w:sz="0" w:space="0" w:color="auto"/>
        <w:right w:val="none" w:sz="0" w:space="0" w:color="auto"/>
      </w:divBdr>
    </w:div>
    <w:div w:id="1357996267">
      <w:bodyDiv w:val="1"/>
      <w:marLeft w:val="0"/>
      <w:marRight w:val="0"/>
      <w:marTop w:val="0"/>
      <w:marBottom w:val="0"/>
      <w:divBdr>
        <w:top w:val="none" w:sz="0" w:space="0" w:color="auto"/>
        <w:left w:val="none" w:sz="0" w:space="0" w:color="auto"/>
        <w:bottom w:val="none" w:sz="0" w:space="0" w:color="auto"/>
        <w:right w:val="none" w:sz="0" w:space="0" w:color="auto"/>
      </w:divBdr>
    </w:div>
    <w:div w:id="1379471536">
      <w:bodyDiv w:val="1"/>
      <w:marLeft w:val="0"/>
      <w:marRight w:val="0"/>
      <w:marTop w:val="0"/>
      <w:marBottom w:val="0"/>
      <w:divBdr>
        <w:top w:val="none" w:sz="0" w:space="0" w:color="auto"/>
        <w:left w:val="none" w:sz="0" w:space="0" w:color="auto"/>
        <w:bottom w:val="none" w:sz="0" w:space="0" w:color="auto"/>
        <w:right w:val="none" w:sz="0" w:space="0" w:color="auto"/>
      </w:divBdr>
    </w:div>
    <w:div w:id="1380126997">
      <w:bodyDiv w:val="1"/>
      <w:marLeft w:val="0"/>
      <w:marRight w:val="0"/>
      <w:marTop w:val="0"/>
      <w:marBottom w:val="0"/>
      <w:divBdr>
        <w:top w:val="none" w:sz="0" w:space="0" w:color="auto"/>
        <w:left w:val="none" w:sz="0" w:space="0" w:color="auto"/>
        <w:bottom w:val="none" w:sz="0" w:space="0" w:color="auto"/>
        <w:right w:val="none" w:sz="0" w:space="0" w:color="auto"/>
      </w:divBdr>
    </w:div>
    <w:div w:id="1381127689">
      <w:bodyDiv w:val="1"/>
      <w:marLeft w:val="0"/>
      <w:marRight w:val="0"/>
      <w:marTop w:val="0"/>
      <w:marBottom w:val="0"/>
      <w:divBdr>
        <w:top w:val="none" w:sz="0" w:space="0" w:color="auto"/>
        <w:left w:val="none" w:sz="0" w:space="0" w:color="auto"/>
        <w:bottom w:val="none" w:sz="0" w:space="0" w:color="auto"/>
        <w:right w:val="none" w:sz="0" w:space="0" w:color="auto"/>
      </w:divBdr>
    </w:div>
    <w:div w:id="1405686624">
      <w:bodyDiv w:val="1"/>
      <w:marLeft w:val="0"/>
      <w:marRight w:val="0"/>
      <w:marTop w:val="0"/>
      <w:marBottom w:val="0"/>
      <w:divBdr>
        <w:top w:val="none" w:sz="0" w:space="0" w:color="auto"/>
        <w:left w:val="none" w:sz="0" w:space="0" w:color="auto"/>
        <w:bottom w:val="none" w:sz="0" w:space="0" w:color="auto"/>
        <w:right w:val="none" w:sz="0" w:space="0" w:color="auto"/>
      </w:divBdr>
    </w:div>
    <w:div w:id="1410617280">
      <w:bodyDiv w:val="1"/>
      <w:marLeft w:val="0"/>
      <w:marRight w:val="0"/>
      <w:marTop w:val="0"/>
      <w:marBottom w:val="0"/>
      <w:divBdr>
        <w:top w:val="none" w:sz="0" w:space="0" w:color="auto"/>
        <w:left w:val="none" w:sz="0" w:space="0" w:color="auto"/>
        <w:bottom w:val="none" w:sz="0" w:space="0" w:color="auto"/>
        <w:right w:val="none" w:sz="0" w:space="0" w:color="auto"/>
      </w:divBdr>
    </w:div>
    <w:div w:id="1413047534">
      <w:bodyDiv w:val="1"/>
      <w:marLeft w:val="0"/>
      <w:marRight w:val="0"/>
      <w:marTop w:val="0"/>
      <w:marBottom w:val="0"/>
      <w:divBdr>
        <w:top w:val="none" w:sz="0" w:space="0" w:color="auto"/>
        <w:left w:val="none" w:sz="0" w:space="0" w:color="auto"/>
        <w:bottom w:val="none" w:sz="0" w:space="0" w:color="auto"/>
        <w:right w:val="none" w:sz="0" w:space="0" w:color="auto"/>
      </w:divBdr>
    </w:div>
    <w:div w:id="1441533607">
      <w:bodyDiv w:val="1"/>
      <w:marLeft w:val="0"/>
      <w:marRight w:val="0"/>
      <w:marTop w:val="0"/>
      <w:marBottom w:val="0"/>
      <w:divBdr>
        <w:top w:val="none" w:sz="0" w:space="0" w:color="auto"/>
        <w:left w:val="none" w:sz="0" w:space="0" w:color="auto"/>
        <w:bottom w:val="none" w:sz="0" w:space="0" w:color="auto"/>
        <w:right w:val="none" w:sz="0" w:space="0" w:color="auto"/>
      </w:divBdr>
    </w:div>
    <w:div w:id="1457485595">
      <w:bodyDiv w:val="1"/>
      <w:marLeft w:val="0"/>
      <w:marRight w:val="0"/>
      <w:marTop w:val="0"/>
      <w:marBottom w:val="0"/>
      <w:divBdr>
        <w:top w:val="none" w:sz="0" w:space="0" w:color="auto"/>
        <w:left w:val="none" w:sz="0" w:space="0" w:color="auto"/>
        <w:bottom w:val="none" w:sz="0" w:space="0" w:color="auto"/>
        <w:right w:val="none" w:sz="0" w:space="0" w:color="auto"/>
      </w:divBdr>
    </w:div>
    <w:div w:id="1460420919">
      <w:bodyDiv w:val="1"/>
      <w:marLeft w:val="0"/>
      <w:marRight w:val="0"/>
      <w:marTop w:val="0"/>
      <w:marBottom w:val="0"/>
      <w:divBdr>
        <w:top w:val="none" w:sz="0" w:space="0" w:color="auto"/>
        <w:left w:val="none" w:sz="0" w:space="0" w:color="auto"/>
        <w:bottom w:val="none" w:sz="0" w:space="0" w:color="auto"/>
        <w:right w:val="none" w:sz="0" w:space="0" w:color="auto"/>
      </w:divBdr>
    </w:div>
    <w:div w:id="1466585948">
      <w:bodyDiv w:val="1"/>
      <w:marLeft w:val="0"/>
      <w:marRight w:val="0"/>
      <w:marTop w:val="0"/>
      <w:marBottom w:val="0"/>
      <w:divBdr>
        <w:top w:val="none" w:sz="0" w:space="0" w:color="auto"/>
        <w:left w:val="none" w:sz="0" w:space="0" w:color="auto"/>
        <w:bottom w:val="none" w:sz="0" w:space="0" w:color="auto"/>
        <w:right w:val="none" w:sz="0" w:space="0" w:color="auto"/>
      </w:divBdr>
      <w:divsChild>
        <w:div w:id="347951329">
          <w:marLeft w:val="0"/>
          <w:marRight w:val="0"/>
          <w:marTop w:val="0"/>
          <w:marBottom w:val="0"/>
          <w:divBdr>
            <w:top w:val="none" w:sz="0" w:space="0" w:color="auto"/>
            <w:left w:val="none" w:sz="0" w:space="0" w:color="auto"/>
            <w:bottom w:val="none" w:sz="0" w:space="0" w:color="auto"/>
            <w:right w:val="none" w:sz="0" w:space="0" w:color="auto"/>
          </w:divBdr>
          <w:divsChild>
            <w:div w:id="1850556534">
              <w:marLeft w:val="0"/>
              <w:marRight w:val="0"/>
              <w:marTop w:val="0"/>
              <w:marBottom w:val="0"/>
              <w:divBdr>
                <w:top w:val="none" w:sz="0" w:space="0" w:color="auto"/>
                <w:left w:val="none" w:sz="0" w:space="0" w:color="auto"/>
                <w:bottom w:val="none" w:sz="0" w:space="0" w:color="auto"/>
                <w:right w:val="none" w:sz="0" w:space="0" w:color="auto"/>
              </w:divBdr>
              <w:divsChild>
                <w:div w:id="2005665455">
                  <w:marLeft w:val="0"/>
                  <w:marRight w:val="0"/>
                  <w:marTop w:val="0"/>
                  <w:marBottom w:val="0"/>
                  <w:divBdr>
                    <w:top w:val="none" w:sz="0" w:space="0" w:color="auto"/>
                    <w:left w:val="none" w:sz="0" w:space="0" w:color="auto"/>
                    <w:bottom w:val="none" w:sz="0" w:space="0" w:color="auto"/>
                    <w:right w:val="none" w:sz="0" w:space="0" w:color="auto"/>
                  </w:divBdr>
                  <w:divsChild>
                    <w:div w:id="10089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541393">
      <w:bodyDiv w:val="1"/>
      <w:marLeft w:val="0"/>
      <w:marRight w:val="0"/>
      <w:marTop w:val="0"/>
      <w:marBottom w:val="0"/>
      <w:divBdr>
        <w:top w:val="none" w:sz="0" w:space="0" w:color="auto"/>
        <w:left w:val="none" w:sz="0" w:space="0" w:color="auto"/>
        <w:bottom w:val="none" w:sz="0" w:space="0" w:color="auto"/>
        <w:right w:val="none" w:sz="0" w:space="0" w:color="auto"/>
      </w:divBdr>
      <w:divsChild>
        <w:div w:id="1793403509">
          <w:marLeft w:val="0"/>
          <w:marRight w:val="0"/>
          <w:marTop w:val="0"/>
          <w:marBottom w:val="0"/>
          <w:divBdr>
            <w:top w:val="none" w:sz="0" w:space="0" w:color="auto"/>
            <w:left w:val="none" w:sz="0" w:space="0" w:color="auto"/>
            <w:bottom w:val="none" w:sz="0" w:space="0" w:color="auto"/>
            <w:right w:val="none" w:sz="0" w:space="0" w:color="auto"/>
          </w:divBdr>
          <w:divsChild>
            <w:div w:id="888221675">
              <w:marLeft w:val="0"/>
              <w:marRight w:val="0"/>
              <w:marTop w:val="0"/>
              <w:marBottom w:val="0"/>
              <w:divBdr>
                <w:top w:val="none" w:sz="0" w:space="0" w:color="auto"/>
                <w:left w:val="none" w:sz="0" w:space="0" w:color="auto"/>
                <w:bottom w:val="none" w:sz="0" w:space="0" w:color="auto"/>
                <w:right w:val="none" w:sz="0" w:space="0" w:color="auto"/>
              </w:divBdr>
              <w:divsChild>
                <w:div w:id="472796657">
                  <w:marLeft w:val="0"/>
                  <w:marRight w:val="0"/>
                  <w:marTop w:val="0"/>
                  <w:marBottom w:val="0"/>
                  <w:divBdr>
                    <w:top w:val="none" w:sz="0" w:space="0" w:color="auto"/>
                    <w:left w:val="none" w:sz="0" w:space="0" w:color="auto"/>
                    <w:bottom w:val="none" w:sz="0" w:space="0" w:color="auto"/>
                    <w:right w:val="none" w:sz="0" w:space="0" w:color="auto"/>
                  </w:divBdr>
                  <w:divsChild>
                    <w:div w:id="14533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12984">
      <w:bodyDiv w:val="1"/>
      <w:marLeft w:val="0"/>
      <w:marRight w:val="0"/>
      <w:marTop w:val="0"/>
      <w:marBottom w:val="0"/>
      <w:divBdr>
        <w:top w:val="none" w:sz="0" w:space="0" w:color="auto"/>
        <w:left w:val="none" w:sz="0" w:space="0" w:color="auto"/>
        <w:bottom w:val="none" w:sz="0" w:space="0" w:color="auto"/>
        <w:right w:val="none" w:sz="0" w:space="0" w:color="auto"/>
      </w:divBdr>
    </w:div>
    <w:div w:id="1510292456">
      <w:bodyDiv w:val="1"/>
      <w:marLeft w:val="0"/>
      <w:marRight w:val="0"/>
      <w:marTop w:val="0"/>
      <w:marBottom w:val="0"/>
      <w:divBdr>
        <w:top w:val="none" w:sz="0" w:space="0" w:color="auto"/>
        <w:left w:val="none" w:sz="0" w:space="0" w:color="auto"/>
        <w:bottom w:val="none" w:sz="0" w:space="0" w:color="auto"/>
        <w:right w:val="none" w:sz="0" w:space="0" w:color="auto"/>
      </w:divBdr>
      <w:divsChild>
        <w:div w:id="1622221258">
          <w:marLeft w:val="0"/>
          <w:marRight w:val="0"/>
          <w:marTop w:val="0"/>
          <w:marBottom w:val="0"/>
          <w:divBdr>
            <w:top w:val="none" w:sz="0" w:space="0" w:color="auto"/>
            <w:left w:val="none" w:sz="0" w:space="0" w:color="auto"/>
            <w:bottom w:val="none" w:sz="0" w:space="0" w:color="auto"/>
            <w:right w:val="none" w:sz="0" w:space="0" w:color="auto"/>
          </w:divBdr>
          <w:divsChild>
            <w:div w:id="1578133514">
              <w:marLeft w:val="0"/>
              <w:marRight w:val="0"/>
              <w:marTop w:val="0"/>
              <w:marBottom w:val="0"/>
              <w:divBdr>
                <w:top w:val="none" w:sz="0" w:space="0" w:color="auto"/>
                <w:left w:val="none" w:sz="0" w:space="0" w:color="auto"/>
                <w:bottom w:val="none" w:sz="0" w:space="0" w:color="auto"/>
                <w:right w:val="none" w:sz="0" w:space="0" w:color="auto"/>
              </w:divBdr>
              <w:divsChild>
                <w:div w:id="1765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6514">
      <w:bodyDiv w:val="1"/>
      <w:marLeft w:val="0"/>
      <w:marRight w:val="0"/>
      <w:marTop w:val="0"/>
      <w:marBottom w:val="0"/>
      <w:divBdr>
        <w:top w:val="none" w:sz="0" w:space="0" w:color="auto"/>
        <w:left w:val="none" w:sz="0" w:space="0" w:color="auto"/>
        <w:bottom w:val="none" w:sz="0" w:space="0" w:color="auto"/>
        <w:right w:val="none" w:sz="0" w:space="0" w:color="auto"/>
      </w:divBdr>
      <w:divsChild>
        <w:div w:id="855189766">
          <w:marLeft w:val="0"/>
          <w:marRight w:val="0"/>
          <w:marTop w:val="0"/>
          <w:marBottom w:val="0"/>
          <w:divBdr>
            <w:top w:val="none" w:sz="0" w:space="0" w:color="auto"/>
            <w:left w:val="none" w:sz="0" w:space="0" w:color="auto"/>
            <w:bottom w:val="none" w:sz="0" w:space="0" w:color="auto"/>
            <w:right w:val="none" w:sz="0" w:space="0" w:color="auto"/>
          </w:divBdr>
          <w:divsChild>
            <w:div w:id="1617364870">
              <w:marLeft w:val="0"/>
              <w:marRight w:val="0"/>
              <w:marTop w:val="0"/>
              <w:marBottom w:val="0"/>
              <w:divBdr>
                <w:top w:val="none" w:sz="0" w:space="0" w:color="auto"/>
                <w:left w:val="none" w:sz="0" w:space="0" w:color="auto"/>
                <w:bottom w:val="none" w:sz="0" w:space="0" w:color="auto"/>
                <w:right w:val="none" w:sz="0" w:space="0" w:color="auto"/>
              </w:divBdr>
              <w:divsChild>
                <w:div w:id="15403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6473">
      <w:bodyDiv w:val="1"/>
      <w:marLeft w:val="0"/>
      <w:marRight w:val="0"/>
      <w:marTop w:val="0"/>
      <w:marBottom w:val="0"/>
      <w:divBdr>
        <w:top w:val="none" w:sz="0" w:space="0" w:color="auto"/>
        <w:left w:val="none" w:sz="0" w:space="0" w:color="auto"/>
        <w:bottom w:val="none" w:sz="0" w:space="0" w:color="auto"/>
        <w:right w:val="none" w:sz="0" w:space="0" w:color="auto"/>
      </w:divBdr>
    </w:div>
    <w:div w:id="1548764020">
      <w:bodyDiv w:val="1"/>
      <w:marLeft w:val="0"/>
      <w:marRight w:val="0"/>
      <w:marTop w:val="0"/>
      <w:marBottom w:val="0"/>
      <w:divBdr>
        <w:top w:val="none" w:sz="0" w:space="0" w:color="auto"/>
        <w:left w:val="none" w:sz="0" w:space="0" w:color="auto"/>
        <w:bottom w:val="none" w:sz="0" w:space="0" w:color="auto"/>
        <w:right w:val="none" w:sz="0" w:space="0" w:color="auto"/>
      </w:divBdr>
    </w:div>
    <w:div w:id="1562475387">
      <w:bodyDiv w:val="1"/>
      <w:marLeft w:val="0"/>
      <w:marRight w:val="0"/>
      <w:marTop w:val="0"/>
      <w:marBottom w:val="0"/>
      <w:divBdr>
        <w:top w:val="none" w:sz="0" w:space="0" w:color="auto"/>
        <w:left w:val="none" w:sz="0" w:space="0" w:color="auto"/>
        <w:bottom w:val="none" w:sz="0" w:space="0" w:color="auto"/>
        <w:right w:val="none" w:sz="0" w:space="0" w:color="auto"/>
      </w:divBdr>
    </w:div>
    <w:div w:id="1567565809">
      <w:bodyDiv w:val="1"/>
      <w:marLeft w:val="0"/>
      <w:marRight w:val="0"/>
      <w:marTop w:val="0"/>
      <w:marBottom w:val="0"/>
      <w:divBdr>
        <w:top w:val="none" w:sz="0" w:space="0" w:color="auto"/>
        <w:left w:val="none" w:sz="0" w:space="0" w:color="auto"/>
        <w:bottom w:val="none" w:sz="0" w:space="0" w:color="auto"/>
        <w:right w:val="none" w:sz="0" w:space="0" w:color="auto"/>
      </w:divBdr>
      <w:divsChild>
        <w:div w:id="146870275">
          <w:marLeft w:val="0"/>
          <w:marRight w:val="0"/>
          <w:marTop w:val="0"/>
          <w:marBottom w:val="0"/>
          <w:divBdr>
            <w:top w:val="none" w:sz="0" w:space="0" w:color="auto"/>
            <w:left w:val="none" w:sz="0" w:space="0" w:color="auto"/>
            <w:bottom w:val="none" w:sz="0" w:space="0" w:color="auto"/>
            <w:right w:val="none" w:sz="0" w:space="0" w:color="auto"/>
          </w:divBdr>
          <w:divsChild>
            <w:div w:id="509224099">
              <w:marLeft w:val="0"/>
              <w:marRight w:val="0"/>
              <w:marTop w:val="0"/>
              <w:marBottom w:val="0"/>
              <w:divBdr>
                <w:top w:val="none" w:sz="0" w:space="0" w:color="auto"/>
                <w:left w:val="none" w:sz="0" w:space="0" w:color="auto"/>
                <w:bottom w:val="none" w:sz="0" w:space="0" w:color="auto"/>
                <w:right w:val="none" w:sz="0" w:space="0" w:color="auto"/>
              </w:divBdr>
              <w:divsChild>
                <w:div w:id="265239233">
                  <w:marLeft w:val="0"/>
                  <w:marRight w:val="0"/>
                  <w:marTop w:val="0"/>
                  <w:marBottom w:val="0"/>
                  <w:divBdr>
                    <w:top w:val="none" w:sz="0" w:space="0" w:color="auto"/>
                    <w:left w:val="none" w:sz="0" w:space="0" w:color="auto"/>
                    <w:bottom w:val="none" w:sz="0" w:space="0" w:color="auto"/>
                    <w:right w:val="none" w:sz="0" w:space="0" w:color="auto"/>
                  </w:divBdr>
                  <w:divsChild>
                    <w:div w:id="1300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31724">
      <w:bodyDiv w:val="1"/>
      <w:marLeft w:val="0"/>
      <w:marRight w:val="0"/>
      <w:marTop w:val="0"/>
      <w:marBottom w:val="0"/>
      <w:divBdr>
        <w:top w:val="none" w:sz="0" w:space="0" w:color="auto"/>
        <w:left w:val="none" w:sz="0" w:space="0" w:color="auto"/>
        <w:bottom w:val="none" w:sz="0" w:space="0" w:color="auto"/>
        <w:right w:val="none" w:sz="0" w:space="0" w:color="auto"/>
      </w:divBdr>
    </w:div>
    <w:div w:id="1583180780">
      <w:bodyDiv w:val="1"/>
      <w:marLeft w:val="0"/>
      <w:marRight w:val="0"/>
      <w:marTop w:val="0"/>
      <w:marBottom w:val="0"/>
      <w:divBdr>
        <w:top w:val="none" w:sz="0" w:space="0" w:color="auto"/>
        <w:left w:val="none" w:sz="0" w:space="0" w:color="auto"/>
        <w:bottom w:val="none" w:sz="0" w:space="0" w:color="auto"/>
        <w:right w:val="none" w:sz="0" w:space="0" w:color="auto"/>
      </w:divBdr>
    </w:div>
    <w:div w:id="1604651344">
      <w:bodyDiv w:val="1"/>
      <w:marLeft w:val="0"/>
      <w:marRight w:val="0"/>
      <w:marTop w:val="0"/>
      <w:marBottom w:val="0"/>
      <w:divBdr>
        <w:top w:val="none" w:sz="0" w:space="0" w:color="auto"/>
        <w:left w:val="none" w:sz="0" w:space="0" w:color="auto"/>
        <w:bottom w:val="none" w:sz="0" w:space="0" w:color="auto"/>
        <w:right w:val="none" w:sz="0" w:space="0" w:color="auto"/>
      </w:divBdr>
      <w:divsChild>
        <w:div w:id="472909773">
          <w:marLeft w:val="0"/>
          <w:marRight w:val="0"/>
          <w:marTop w:val="0"/>
          <w:marBottom w:val="0"/>
          <w:divBdr>
            <w:top w:val="none" w:sz="0" w:space="0" w:color="auto"/>
            <w:left w:val="none" w:sz="0" w:space="0" w:color="auto"/>
            <w:bottom w:val="none" w:sz="0" w:space="0" w:color="auto"/>
            <w:right w:val="none" w:sz="0" w:space="0" w:color="auto"/>
          </w:divBdr>
          <w:divsChild>
            <w:div w:id="1610311534">
              <w:marLeft w:val="0"/>
              <w:marRight w:val="0"/>
              <w:marTop w:val="0"/>
              <w:marBottom w:val="0"/>
              <w:divBdr>
                <w:top w:val="none" w:sz="0" w:space="0" w:color="auto"/>
                <w:left w:val="none" w:sz="0" w:space="0" w:color="auto"/>
                <w:bottom w:val="none" w:sz="0" w:space="0" w:color="auto"/>
                <w:right w:val="none" w:sz="0" w:space="0" w:color="auto"/>
              </w:divBdr>
              <w:divsChild>
                <w:div w:id="18580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0327">
      <w:bodyDiv w:val="1"/>
      <w:marLeft w:val="0"/>
      <w:marRight w:val="0"/>
      <w:marTop w:val="0"/>
      <w:marBottom w:val="0"/>
      <w:divBdr>
        <w:top w:val="none" w:sz="0" w:space="0" w:color="auto"/>
        <w:left w:val="none" w:sz="0" w:space="0" w:color="auto"/>
        <w:bottom w:val="none" w:sz="0" w:space="0" w:color="auto"/>
        <w:right w:val="none" w:sz="0" w:space="0" w:color="auto"/>
      </w:divBdr>
      <w:divsChild>
        <w:div w:id="1547181014">
          <w:marLeft w:val="0"/>
          <w:marRight w:val="0"/>
          <w:marTop w:val="0"/>
          <w:marBottom w:val="0"/>
          <w:divBdr>
            <w:top w:val="none" w:sz="0" w:space="0" w:color="auto"/>
            <w:left w:val="none" w:sz="0" w:space="0" w:color="auto"/>
            <w:bottom w:val="none" w:sz="0" w:space="0" w:color="auto"/>
            <w:right w:val="none" w:sz="0" w:space="0" w:color="auto"/>
          </w:divBdr>
          <w:divsChild>
            <w:div w:id="8724575">
              <w:marLeft w:val="0"/>
              <w:marRight w:val="0"/>
              <w:marTop w:val="0"/>
              <w:marBottom w:val="0"/>
              <w:divBdr>
                <w:top w:val="none" w:sz="0" w:space="0" w:color="auto"/>
                <w:left w:val="none" w:sz="0" w:space="0" w:color="auto"/>
                <w:bottom w:val="none" w:sz="0" w:space="0" w:color="auto"/>
                <w:right w:val="none" w:sz="0" w:space="0" w:color="auto"/>
              </w:divBdr>
              <w:divsChild>
                <w:div w:id="13267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5543">
      <w:bodyDiv w:val="1"/>
      <w:marLeft w:val="0"/>
      <w:marRight w:val="0"/>
      <w:marTop w:val="0"/>
      <w:marBottom w:val="0"/>
      <w:divBdr>
        <w:top w:val="none" w:sz="0" w:space="0" w:color="auto"/>
        <w:left w:val="none" w:sz="0" w:space="0" w:color="auto"/>
        <w:bottom w:val="none" w:sz="0" w:space="0" w:color="auto"/>
        <w:right w:val="none" w:sz="0" w:space="0" w:color="auto"/>
      </w:divBdr>
    </w:div>
    <w:div w:id="1630547736">
      <w:bodyDiv w:val="1"/>
      <w:marLeft w:val="0"/>
      <w:marRight w:val="0"/>
      <w:marTop w:val="0"/>
      <w:marBottom w:val="0"/>
      <w:divBdr>
        <w:top w:val="none" w:sz="0" w:space="0" w:color="auto"/>
        <w:left w:val="none" w:sz="0" w:space="0" w:color="auto"/>
        <w:bottom w:val="none" w:sz="0" w:space="0" w:color="auto"/>
        <w:right w:val="none" w:sz="0" w:space="0" w:color="auto"/>
      </w:divBdr>
    </w:div>
    <w:div w:id="1659069063">
      <w:bodyDiv w:val="1"/>
      <w:marLeft w:val="0"/>
      <w:marRight w:val="0"/>
      <w:marTop w:val="0"/>
      <w:marBottom w:val="0"/>
      <w:divBdr>
        <w:top w:val="none" w:sz="0" w:space="0" w:color="auto"/>
        <w:left w:val="none" w:sz="0" w:space="0" w:color="auto"/>
        <w:bottom w:val="none" w:sz="0" w:space="0" w:color="auto"/>
        <w:right w:val="none" w:sz="0" w:space="0" w:color="auto"/>
      </w:divBdr>
    </w:div>
    <w:div w:id="1668702414">
      <w:bodyDiv w:val="1"/>
      <w:marLeft w:val="0"/>
      <w:marRight w:val="0"/>
      <w:marTop w:val="0"/>
      <w:marBottom w:val="0"/>
      <w:divBdr>
        <w:top w:val="none" w:sz="0" w:space="0" w:color="auto"/>
        <w:left w:val="none" w:sz="0" w:space="0" w:color="auto"/>
        <w:bottom w:val="none" w:sz="0" w:space="0" w:color="auto"/>
        <w:right w:val="none" w:sz="0" w:space="0" w:color="auto"/>
      </w:divBdr>
      <w:divsChild>
        <w:div w:id="946890425">
          <w:marLeft w:val="0"/>
          <w:marRight w:val="0"/>
          <w:marTop w:val="0"/>
          <w:marBottom w:val="0"/>
          <w:divBdr>
            <w:top w:val="none" w:sz="0" w:space="0" w:color="auto"/>
            <w:left w:val="none" w:sz="0" w:space="0" w:color="auto"/>
            <w:bottom w:val="none" w:sz="0" w:space="0" w:color="auto"/>
            <w:right w:val="none" w:sz="0" w:space="0" w:color="auto"/>
          </w:divBdr>
          <w:divsChild>
            <w:div w:id="109663900">
              <w:marLeft w:val="0"/>
              <w:marRight w:val="0"/>
              <w:marTop w:val="0"/>
              <w:marBottom w:val="0"/>
              <w:divBdr>
                <w:top w:val="none" w:sz="0" w:space="0" w:color="auto"/>
                <w:left w:val="none" w:sz="0" w:space="0" w:color="auto"/>
                <w:bottom w:val="none" w:sz="0" w:space="0" w:color="auto"/>
                <w:right w:val="none" w:sz="0" w:space="0" w:color="auto"/>
              </w:divBdr>
              <w:divsChild>
                <w:div w:id="14861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1508">
      <w:bodyDiv w:val="1"/>
      <w:marLeft w:val="0"/>
      <w:marRight w:val="0"/>
      <w:marTop w:val="0"/>
      <w:marBottom w:val="0"/>
      <w:divBdr>
        <w:top w:val="none" w:sz="0" w:space="0" w:color="auto"/>
        <w:left w:val="none" w:sz="0" w:space="0" w:color="auto"/>
        <w:bottom w:val="none" w:sz="0" w:space="0" w:color="auto"/>
        <w:right w:val="none" w:sz="0" w:space="0" w:color="auto"/>
      </w:divBdr>
    </w:div>
    <w:div w:id="1674142040">
      <w:bodyDiv w:val="1"/>
      <w:marLeft w:val="0"/>
      <w:marRight w:val="0"/>
      <w:marTop w:val="0"/>
      <w:marBottom w:val="0"/>
      <w:divBdr>
        <w:top w:val="none" w:sz="0" w:space="0" w:color="auto"/>
        <w:left w:val="none" w:sz="0" w:space="0" w:color="auto"/>
        <w:bottom w:val="none" w:sz="0" w:space="0" w:color="auto"/>
        <w:right w:val="none" w:sz="0" w:space="0" w:color="auto"/>
      </w:divBdr>
    </w:div>
    <w:div w:id="1674182782">
      <w:bodyDiv w:val="1"/>
      <w:marLeft w:val="0"/>
      <w:marRight w:val="0"/>
      <w:marTop w:val="0"/>
      <w:marBottom w:val="0"/>
      <w:divBdr>
        <w:top w:val="none" w:sz="0" w:space="0" w:color="auto"/>
        <w:left w:val="none" w:sz="0" w:space="0" w:color="auto"/>
        <w:bottom w:val="none" w:sz="0" w:space="0" w:color="auto"/>
        <w:right w:val="none" w:sz="0" w:space="0" w:color="auto"/>
      </w:divBdr>
      <w:divsChild>
        <w:div w:id="142507996">
          <w:marLeft w:val="677"/>
          <w:marRight w:val="0"/>
          <w:marTop w:val="0"/>
          <w:marBottom w:val="0"/>
          <w:divBdr>
            <w:top w:val="none" w:sz="0" w:space="0" w:color="auto"/>
            <w:left w:val="none" w:sz="0" w:space="0" w:color="auto"/>
            <w:bottom w:val="none" w:sz="0" w:space="0" w:color="auto"/>
            <w:right w:val="none" w:sz="0" w:space="0" w:color="auto"/>
          </w:divBdr>
        </w:div>
        <w:div w:id="309947616">
          <w:marLeft w:val="490"/>
          <w:marRight w:val="0"/>
          <w:marTop w:val="0"/>
          <w:marBottom w:val="60"/>
          <w:divBdr>
            <w:top w:val="none" w:sz="0" w:space="0" w:color="auto"/>
            <w:left w:val="none" w:sz="0" w:space="0" w:color="auto"/>
            <w:bottom w:val="none" w:sz="0" w:space="0" w:color="auto"/>
            <w:right w:val="none" w:sz="0" w:space="0" w:color="auto"/>
          </w:divBdr>
        </w:div>
        <w:div w:id="325865744">
          <w:marLeft w:val="490"/>
          <w:marRight w:val="0"/>
          <w:marTop w:val="0"/>
          <w:marBottom w:val="60"/>
          <w:divBdr>
            <w:top w:val="none" w:sz="0" w:space="0" w:color="auto"/>
            <w:left w:val="none" w:sz="0" w:space="0" w:color="auto"/>
            <w:bottom w:val="none" w:sz="0" w:space="0" w:color="auto"/>
            <w:right w:val="none" w:sz="0" w:space="0" w:color="auto"/>
          </w:divBdr>
        </w:div>
        <w:div w:id="528832548">
          <w:marLeft w:val="677"/>
          <w:marRight w:val="0"/>
          <w:marTop w:val="0"/>
          <w:marBottom w:val="0"/>
          <w:divBdr>
            <w:top w:val="none" w:sz="0" w:space="0" w:color="auto"/>
            <w:left w:val="none" w:sz="0" w:space="0" w:color="auto"/>
            <w:bottom w:val="none" w:sz="0" w:space="0" w:color="auto"/>
            <w:right w:val="none" w:sz="0" w:space="0" w:color="auto"/>
          </w:divBdr>
        </w:div>
        <w:div w:id="613483154">
          <w:marLeft w:val="677"/>
          <w:marRight w:val="0"/>
          <w:marTop w:val="0"/>
          <w:marBottom w:val="0"/>
          <w:divBdr>
            <w:top w:val="none" w:sz="0" w:space="0" w:color="auto"/>
            <w:left w:val="none" w:sz="0" w:space="0" w:color="auto"/>
            <w:bottom w:val="none" w:sz="0" w:space="0" w:color="auto"/>
            <w:right w:val="none" w:sz="0" w:space="0" w:color="auto"/>
          </w:divBdr>
        </w:div>
        <w:div w:id="631637343">
          <w:marLeft w:val="677"/>
          <w:marRight w:val="0"/>
          <w:marTop w:val="0"/>
          <w:marBottom w:val="0"/>
          <w:divBdr>
            <w:top w:val="none" w:sz="0" w:space="0" w:color="auto"/>
            <w:left w:val="none" w:sz="0" w:space="0" w:color="auto"/>
            <w:bottom w:val="none" w:sz="0" w:space="0" w:color="auto"/>
            <w:right w:val="none" w:sz="0" w:space="0" w:color="auto"/>
          </w:divBdr>
        </w:div>
        <w:div w:id="815688976">
          <w:marLeft w:val="490"/>
          <w:marRight w:val="0"/>
          <w:marTop w:val="0"/>
          <w:marBottom w:val="60"/>
          <w:divBdr>
            <w:top w:val="none" w:sz="0" w:space="0" w:color="auto"/>
            <w:left w:val="none" w:sz="0" w:space="0" w:color="auto"/>
            <w:bottom w:val="none" w:sz="0" w:space="0" w:color="auto"/>
            <w:right w:val="none" w:sz="0" w:space="0" w:color="auto"/>
          </w:divBdr>
        </w:div>
        <w:div w:id="935820088">
          <w:marLeft w:val="490"/>
          <w:marRight w:val="0"/>
          <w:marTop w:val="0"/>
          <w:marBottom w:val="60"/>
          <w:divBdr>
            <w:top w:val="none" w:sz="0" w:space="0" w:color="auto"/>
            <w:left w:val="none" w:sz="0" w:space="0" w:color="auto"/>
            <w:bottom w:val="none" w:sz="0" w:space="0" w:color="auto"/>
            <w:right w:val="none" w:sz="0" w:space="0" w:color="auto"/>
          </w:divBdr>
        </w:div>
        <w:div w:id="939221319">
          <w:marLeft w:val="677"/>
          <w:marRight w:val="0"/>
          <w:marTop w:val="0"/>
          <w:marBottom w:val="0"/>
          <w:divBdr>
            <w:top w:val="none" w:sz="0" w:space="0" w:color="auto"/>
            <w:left w:val="none" w:sz="0" w:space="0" w:color="auto"/>
            <w:bottom w:val="none" w:sz="0" w:space="0" w:color="auto"/>
            <w:right w:val="none" w:sz="0" w:space="0" w:color="auto"/>
          </w:divBdr>
        </w:div>
        <w:div w:id="1085766924">
          <w:marLeft w:val="677"/>
          <w:marRight w:val="0"/>
          <w:marTop w:val="0"/>
          <w:marBottom w:val="0"/>
          <w:divBdr>
            <w:top w:val="none" w:sz="0" w:space="0" w:color="auto"/>
            <w:left w:val="none" w:sz="0" w:space="0" w:color="auto"/>
            <w:bottom w:val="none" w:sz="0" w:space="0" w:color="auto"/>
            <w:right w:val="none" w:sz="0" w:space="0" w:color="auto"/>
          </w:divBdr>
        </w:div>
        <w:div w:id="1178034232">
          <w:marLeft w:val="490"/>
          <w:marRight w:val="0"/>
          <w:marTop w:val="0"/>
          <w:marBottom w:val="60"/>
          <w:divBdr>
            <w:top w:val="none" w:sz="0" w:space="0" w:color="auto"/>
            <w:left w:val="none" w:sz="0" w:space="0" w:color="auto"/>
            <w:bottom w:val="none" w:sz="0" w:space="0" w:color="auto"/>
            <w:right w:val="none" w:sz="0" w:space="0" w:color="auto"/>
          </w:divBdr>
        </w:div>
        <w:div w:id="1295604608">
          <w:marLeft w:val="677"/>
          <w:marRight w:val="0"/>
          <w:marTop w:val="0"/>
          <w:marBottom w:val="0"/>
          <w:divBdr>
            <w:top w:val="none" w:sz="0" w:space="0" w:color="auto"/>
            <w:left w:val="none" w:sz="0" w:space="0" w:color="auto"/>
            <w:bottom w:val="none" w:sz="0" w:space="0" w:color="auto"/>
            <w:right w:val="none" w:sz="0" w:space="0" w:color="auto"/>
          </w:divBdr>
        </w:div>
        <w:div w:id="1407997839">
          <w:marLeft w:val="490"/>
          <w:marRight w:val="0"/>
          <w:marTop w:val="0"/>
          <w:marBottom w:val="60"/>
          <w:divBdr>
            <w:top w:val="none" w:sz="0" w:space="0" w:color="auto"/>
            <w:left w:val="none" w:sz="0" w:space="0" w:color="auto"/>
            <w:bottom w:val="none" w:sz="0" w:space="0" w:color="auto"/>
            <w:right w:val="none" w:sz="0" w:space="0" w:color="auto"/>
          </w:divBdr>
        </w:div>
        <w:div w:id="1424491935">
          <w:marLeft w:val="490"/>
          <w:marRight w:val="0"/>
          <w:marTop w:val="0"/>
          <w:marBottom w:val="60"/>
          <w:divBdr>
            <w:top w:val="none" w:sz="0" w:space="0" w:color="auto"/>
            <w:left w:val="none" w:sz="0" w:space="0" w:color="auto"/>
            <w:bottom w:val="none" w:sz="0" w:space="0" w:color="auto"/>
            <w:right w:val="none" w:sz="0" w:space="0" w:color="auto"/>
          </w:divBdr>
        </w:div>
        <w:div w:id="1503474185">
          <w:marLeft w:val="490"/>
          <w:marRight w:val="0"/>
          <w:marTop w:val="0"/>
          <w:marBottom w:val="60"/>
          <w:divBdr>
            <w:top w:val="none" w:sz="0" w:space="0" w:color="auto"/>
            <w:left w:val="none" w:sz="0" w:space="0" w:color="auto"/>
            <w:bottom w:val="none" w:sz="0" w:space="0" w:color="auto"/>
            <w:right w:val="none" w:sz="0" w:space="0" w:color="auto"/>
          </w:divBdr>
        </w:div>
        <w:div w:id="1519663944">
          <w:marLeft w:val="677"/>
          <w:marRight w:val="0"/>
          <w:marTop w:val="0"/>
          <w:marBottom w:val="0"/>
          <w:divBdr>
            <w:top w:val="none" w:sz="0" w:space="0" w:color="auto"/>
            <w:left w:val="none" w:sz="0" w:space="0" w:color="auto"/>
            <w:bottom w:val="none" w:sz="0" w:space="0" w:color="auto"/>
            <w:right w:val="none" w:sz="0" w:space="0" w:color="auto"/>
          </w:divBdr>
        </w:div>
        <w:div w:id="1560941231">
          <w:marLeft w:val="490"/>
          <w:marRight w:val="0"/>
          <w:marTop w:val="0"/>
          <w:marBottom w:val="60"/>
          <w:divBdr>
            <w:top w:val="none" w:sz="0" w:space="0" w:color="auto"/>
            <w:left w:val="none" w:sz="0" w:space="0" w:color="auto"/>
            <w:bottom w:val="none" w:sz="0" w:space="0" w:color="auto"/>
            <w:right w:val="none" w:sz="0" w:space="0" w:color="auto"/>
          </w:divBdr>
        </w:div>
        <w:div w:id="1629362612">
          <w:marLeft w:val="490"/>
          <w:marRight w:val="0"/>
          <w:marTop w:val="0"/>
          <w:marBottom w:val="60"/>
          <w:divBdr>
            <w:top w:val="none" w:sz="0" w:space="0" w:color="auto"/>
            <w:left w:val="none" w:sz="0" w:space="0" w:color="auto"/>
            <w:bottom w:val="none" w:sz="0" w:space="0" w:color="auto"/>
            <w:right w:val="none" w:sz="0" w:space="0" w:color="auto"/>
          </w:divBdr>
        </w:div>
        <w:div w:id="1710953334">
          <w:marLeft w:val="490"/>
          <w:marRight w:val="0"/>
          <w:marTop w:val="120"/>
          <w:marBottom w:val="60"/>
          <w:divBdr>
            <w:top w:val="none" w:sz="0" w:space="0" w:color="auto"/>
            <w:left w:val="none" w:sz="0" w:space="0" w:color="auto"/>
            <w:bottom w:val="none" w:sz="0" w:space="0" w:color="auto"/>
            <w:right w:val="none" w:sz="0" w:space="0" w:color="auto"/>
          </w:divBdr>
        </w:div>
        <w:div w:id="1782458701">
          <w:marLeft w:val="677"/>
          <w:marRight w:val="0"/>
          <w:marTop w:val="0"/>
          <w:marBottom w:val="0"/>
          <w:divBdr>
            <w:top w:val="none" w:sz="0" w:space="0" w:color="auto"/>
            <w:left w:val="none" w:sz="0" w:space="0" w:color="auto"/>
            <w:bottom w:val="none" w:sz="0" w:space="0" w:color="auto"/>
            <w:right w:val="none" w:sz="0" w:space="0" w:color="auto"/>
          </w:divBdr>
        </w:div>
        <w:div w:id="1953854107">
          <w:marLeft w:val="677"/>
          <w:marRight w:val="0"/>
          <w:marTop w:val="0"/>
          <w:marBottom w:val="0"/>
          <w:divBdr>
            <w:top w:val="none" w:sz="0" w:space="0" w:color="auto"/>
            <w:left w:val="none" w:sz="0" w:space="0" w:color="auto"/>
            <w:bottom w:val="none" w:sz="0" w:space="0" w:color="auto"/>
            <w:right w:val="none" w:sz="0" w:space="0" w:color="auto"/>
          </w:divBdr>
        </w:div>
        <w:div w:id="2100061891">
          <w:marLeft w:val="490"/>
          <w:marRight w:val="0"/>
          <w:marTop w:val="0"/>
          <w:marBottom w:val="60"/>
          <w:divBdr>
            <w:top w:val="none" w:sz="0" w:space="0" w:color="auto"/>
            <w:left w:val="none" w:sz="0" w:space="0" w:color="auto"/>
            <w:bottom w:val="none" w:sz="0" w:space="0" w:color="auto"/>
            <w:right w:val="none" w:sz="0" w:space="0" w:color="auto"/>
          </w:divBdr>
        </w:div>
        <w:div w:id="2122022155">
          <w:marLeft w:val="490"/>
          <w:marRight w:val="0"/>
          <w:marTop w:val="0"/>
          <w:marBottom w:val="60"/>
          <w:divBdr>
            <w:top w:val="none" w:sz="0" w:space="0" w:color="auto"/>
            <w:left w:val="none" w:sz="0" w:space="0" w:color="auto"/>
            <w:bottom w:val="none" w:sz="0" w:space="0" w:color="auto"/>
            <w:right w:val="none" w:sz="0" w:space="0" w:color="auto"/>
          </w:divBdr>
        </w:div>
        <w:div w:id="2134516224">
          <w:marLeft w:val="490"/>
          <w:marRight w:val="0"/>
          <w:marTop w:val="0"/>
          <w:marBottom w:val="60"/>
          <w:divBdr>
            <w:top w:val="none" w:sz="0" w:space="0" w:color="auto"/>
            <w:left w:val="none" w:sz="0" w:space="0" w:color="auto"/>
            <w:bottom w:val="none" w:sz="0" w:space="0" w:color="auto"/>
            <w:right w:val="none" w:sz="0" w:space="0" w:color="auto"/>
          </w:divBdr>
        </w:div>
        <w:div w:id="2135556686">
          <w:marLeft w:val="490"/>
          <w:marRight w:val="0"/>
          <w:marTop w:val="0"/>
          <w:marBottom w:val="60"/>
          <w:divBdr>
            <w:top w:val="none" w:sz="0" w:space="0" w:color="auto"/>
            <w:left w:val="none" w:sz="0" w:space="0" w:color="auto"/>
            <w:bottom w:val="none" w:sz="0" w:space="0" w:color="auto"/>
            <w:right w:val="none" w:sz="0" w:space="0" w:color="auto"/>
          </w:divBdr>
        </w:div>
      </w:divsChild>
    </w:div>
    <w:div w:id="1680697658">
      <w:bodyDiv w:val="1"/>
      <w:marLeft w:val="0"/>
      <w:marRight w:val="0"/>
      <w:marTop w:val="0"/>
      <w:marBottom w:val="0"/>
      <w:divBdr>
        <w:top w:val="none" w:sz="0" w:space="0" w:color="auto"/>
        <w:left w:val="none" w:sz="0" w:space="0" w:color="auto"/>
        <w:bottom w:val="none" w:sz="0" w:space="0" w:color="auto"/>
        <w:right w:val="none" w:sz="0" w:space="0" w:color="auto"/>
      </w:divBdr>
      <w:divsChild>
        <w:div w:id="93329196">
          <w:marLeft w:val="274"/>
          <w:marRight w:val="0"/>
          <w:marTop w:val="0"/>
          <w:marBottom w:val="0"/>
          <w:divBdr>
            <w:top w:val="none" w:sz="0" w:space="0" w:color="auto"/>
            <w:left w:val="none" w:sz="0" w:space="0" w:color="auto"/>
            <w:bottom w:val="none" w:sz="0" w:space="0" w:color="auto"/>
            <w:right w:val="none" w:sz="0" w:space="0" w:color="auto"/>
          </w:divBdr>
        </w:div>
        <w:div w:id="220411472">
          <w:marLeft w:val="274"/>
          <w:marRight w:val="0"/>
          <w:marTop w:val="0"/>
          <w:marBottom w:val="0"/>
          <w:divBdr>
            <w:top w:val="none" w:sz="0" w:space="0" w:color="auto"/>
            <w:left w:val="none" w:sz="0" w:space="0" w:color="auto"/>
            <w:bottom w:val="none" w:sz="0" w:space="0" w:color="auto"/>
            <w:right w:val="none" w:sz="0" w:space="0" w:color="auto"/>
          </w:divBdr>
        </w:div>
        <w:div w:id="367611561">
          <w:marLeft w:val="274"/>
          <w:marRight w:val="0"/>
          <w:marTop w:val="0"/>
          <w:marBottom w:val="0"/>
          <w:divBdr>
            <w:top w:val="none" w:sz="0" w:space="0" w:color="auto"/>
            <w:left w:val="none" w:sz="0" w:space="0" w:color="auto"/>
            <w:bottom w:val="none" w:sz="0" w:space="0" w:color="auto"/>
            <w:right w:val="none" w:sz="0" w:space="0" w:color="auto"/>
          </w:divBdr>
        </w:div>
        <w:div w:id="421028069">
          <w:marLeft w:val="274"/>
          <w:marRight w:val="0"/>
          <w:marTop w:val="0"/>
          <w:marBottom w:val="0"/>
          <w:divBdr>
            <w:top w:val="none" w:sz="0" w:space="0" w:color="auto"/>
            <w:left w:val="none" w:sz="0" w:space="0" w:color="auto"/>
            <w:bottom w:val="none" w:sz="0" w:space="0" w:color="auto"/>
            <w:right w:val="none" w:sz="0" w:space="0" w:color="auto"/>
          </w:divBdr>
        </w:div>
        <w:div w:id="488131189">
          <w:marLeft w:val="274"/>
          <w:marRight w:val="0"/>
          <w:marTop w:val="0"/>
          <w:marBottom w:val="0"/>
          <w:divBdr>
            <w:top w:val="none" w:sz="0" w:space="0" w:color="auto"/>
            <w:left w:val="none" w:sz="0" w:space="0" w:color="auto"/>
            <w:bottom w:val="none" w:sz="0" w:space="0" w:color="auto"/>
            <w:right w:val="none" w:sz="0" w:space="0" w:color="auto"/>
          </w:divBdr>
        </w:div>
        <w:div w:id="502009185">
          <w:marLeft w:val="274"/>
          <w:marRight w:val="0"/>
          <w:marTop w:val="0"/>
          <w:marBottom w:val="0"/>
          <w:divBdr>
            <w:top w:val="none" w:sz="0" w:space="0" w:color="auto"/>
            <w:left w:val="none" w:sz="0" w:space="0" w:color="auto"/>
            <w:bottom w:val="none" w:sz="0" w:space="0" w:color="auto"/>
            <w:right w:val="none" w:sz="0" w:space="0" w:color="auto"/>
          </w:divBdr>
        </w:div>
        <w:div w:id="505945374">
          <w:marLeft w:val="274"/>
          <w:marRight w:val="0"/>
          <w:marTop w:val="0"/>
          <w:marBottom w:val="0"/>
          <w:divBdr>
            <w:top w:val="none" w:sz="0" w:space="0" w:color="auto"/>
            <w:left w:val="none" w:sz="0" w:space="0" w:color="auto"/>
            <w:bottom w:val="none" w:sz="0" w:space="0" w:color="auto"/>
            <w:right w:val="none" w:sz="0" w:space="0" w:color="auto"/>
          </w:divBdr>
        </w:div>
        <w:div w:id="584530990">
          <w:marLeft w:val="274"/>
          <w:marRight w:val="0"/>
          <w:marTop w:val="0"/>
          <w:marBottom w:val="0"/>
          <w:divBdr>
            <w:top w:val="none" w:sz="0" w:space="0" w:color="auto"/>
            <w:left w:val="none" w:sz="0" w:space="0" w:color="auto"/>
            <w:bottom w:val="none" w:sz="0" w:space="0" w:color="auto"/>
            <w:right w:val="none" w:sz="0" w:space="0" w:color="auto"/>
          </w:divBdr>
        </w:div>
        <w:div w:id="597059292">
          <w:marLeft w:val="274"/>
          <w:marRight w:val="0"/>
          <w:marTop w:val="0"/>
          <w:marBottom w:val="0"/>
          <w:divBdr>
            <w:top w:val="none" w:sz="0" w:space="0" w:color="auto"/>
            <w:left w:val="none" w:sz="0" w:space="0" w:color="auto"/>
            <w:bottom w:val="none" w:sz="0" w:space="0" w:color="auto"/>
            <w:right w:val="none" w:sz="0" w:space="0" w:color="auto"/>
          </w:divBdr>
        </w:div>
        <w:div w:id="607006655">
          <w:marLeft w:val="274"/>
          <w:marRight w:val="0"/>
          <w:marTop w:val="0"/>
          <w:marBottom w:val="0"/>
          <w:divBdr>
            <w:top w:val="none" w:sz="0" w:space="0" w:color="auto"/>
            <w:left w:val="none" w:sz="0" w:space="0" w:color="auto"/>
            <w:bottom w:val="none" w:sz="0" w:space="0" w:color="auto"/>
            <w:right w:val="none" w:sz="0" w:space="0" w:color="auto"/>
          </w:divBdr>
        </w:div>
        <w:div w:id="680594360">
          <w:marLeft w:val="274"/>
          <w:marRight w:val="0"/>
          <w:marTop w:val="0"/>
          <w:marBottom w:val="0"/>
          <w:divBdr>
            <w:top w:val="none" w:sz="0" w:space="0" w:color="auto"/>
            <w:left w:val="none" w:sz="0" w:space="0" w:color="auto"/>
            <w:bottom w:val="none" w:sz="0" w:space="0" w:color="auto"/>
            <w:right w:val="none" w:sz="0" w:space="0" w:color="auto"/>
          </w:divBdr>
        </w:div>
        <w:div w:id="714698203">
          <w:marLeft w:val="274"/>
          <w:marRight w:val="0"/>
          <w:marTop w:val="0"/>
          <w:marBottom w:val="0"/>
          <w:divBdr>
            <w:top w:val="none" w:sz="0" w:space="0" w:color="auto"/>
            <w:left w:val="none" w:sz="0" w:space="0" w:color="auto"/>
            <w:bottom w:val="none" w:sz="0" w:space="0" w:color="auto"/>
            <w:right w:val="none" w:sz="0" w:space="0" w:color="auto"/>
          </w:divBdr>
        </w:div>
        <w:div w:id="818110332">
          <w:marLeft w:val="274"/>
          <w:marRight w:val="0"/>
          <w:marTop w:val="0"/>
          <w:marBottom w:val="0"/>
          <w:divBdr>
            <w:top w:val="none" w:sz="0" w:space="0" w:color="auto"/>
            <w:left w:val="none" w:sz="0" w:space="0" w:color="auto"/>
            <w:bottom w:val="none" w:sz="0" w:space="0" w:color="auto"/>
            <w:right w:val="none" w:sz="0" w:space="0" w:color="auto"/>
          </w:divBdr>
        </w:div>
        <w:div w:id="922372760">
          <w:marLeft w:val="274"/>
          <w:marRight w:val="0"/>
          <w:marTop w:val="0"/>
          <w:marBottom w:val="0"/>
          <w:divBdr>
            <w:top w:val="none" w:sz="0" w:space="0" w:color="auto"/>
            <w:left w:val="none" w:sz="0" w:space="0" w:color="auto"/>
            <w:bottom w:val="none" w:sz="0" w:space="0" w:color="auto"/>
            <w:right w:val="none" w:sz="0" w:space="0" w:color="auto"/>
          </w:divBdr>
        </w:div>
        <w:div w:id="1059789348">
          <w:marLeft w:val="274"/>
          <w:marRight w:val="0"/>
          <w:marTop w:val="0"/>
          <w:marBottom w:val="0"/>
          <w:divBdr>
            <w:top w:val="none" w:sz="0" w:space="0" w:color="auto"/>
            <w:left w:val="none" w:sz="0" w:space="0" w:color="auto"/>
            <w:bottom w:val="none" w:sz="0" w:space="0" w:color="auto"/>
            <w:right w:val="none" w:sz="0" w:space="0" w:color="auto"/>
          </w:divBdr>
        </w:div>
        <w:div w:id="1121535111">
          <w:marLeft w:val="274"/>
          <w:marRight w:val="0"/>
          <w:marTop w:val="0"/>
          <w:marBottom w:val="0"/>
          <w:divBdr>
            <w:top w:val="none" w:sz="0" w:space="0" w:color="auto"/>
            <w:left w:val="none" w:sz="0" w:space="0" w:color="auto"/>
            <w:bottom w:val="none" w:sz="0" w:space="0" w:color="auto"/>
            <w:right w:val="none" w:sz="0" w:space="0" w:color="auto"/>
          </w:divBdr>
        </w:div>
        <w:div w:id="1405567099">
          <w:marLeft w:val="274"/>
          <w:marRight w:val="0"/>
          <w:marTop w:val="0"/>
          <w:marBottom w:val="0"/>
          <w:divBdr>
            <w:top w:val="none" w:sz="0" w:space="0" w:color="auto"/>
            <w:left w:val="none" w:sz="0" w:space="0" w:color="auto"/>
            <w:bottom w:val="none" w:sz="0" w:space="0" w:color="auto"/>
            <w:right w:val="none" w:sz="0" w:space="0" w:color="auto"/>
          </w:divBdr>
        </w:div>
        <w:div w:id="1432975074">
          <w:marLeft w:val="274"/>
          <w:marRight w:val="0"/>
          <w:marTop w:val="0"/>
          <w:marBottom w:val="0"/>
          <w:divBdr>
            <w:top w:val="none" w:sz="0" w:space="0" w:color="auto"/>
            <w:left w:val="none" w:sz="0" w:space="0" w:color="auto"/>
            <w:bottom w:val="none" w:sz="0" w:space="0" w:color="auto"/>
            <w:right w:val="none" w:sz="0" w:space="0" w:color="auto"/>
          </w:divBdr>
        </w:div>
        <w:div w:id="1452243629">
          <w:marLeft w:val="274"/>
          <w:marRight w:val="0"/>
          <w:marTop w:val="0"/>
          <w:marBottom w:val="0"/>
          <w:divBdr>
            <w:top w:val="none" w:sz="0" w:space="0" w:color="auto"/>
            <w:left w:val="none" w:sz="0" w:space="0" w:color="auto"/>
            <w:bottom w:val="none" w:sz="0" w:space="0" w:color="auto"/>
            <w:right w:val="none" w:sz="0" w:space="0" w:color="auto"/>
          </w:divBdr>
        </w:div>
        <w:div w:id="1513884468">
          <w:marLeft w:val="274"/>
          <w:marRight w:val="0"/>
          <w:marTop w:val="0"/>
          <w:marBottom w:val="0"/>
          <w:divBdr>
            <w:top w:val="none" w:sz="0" w:space="0" w:color="auto"/>
            <w:left w:val="none" w:sz="0" w:space="0" w:color="auto"/>
            <w:bottom w:val="none" w:sz="0" w:space="0" w:color="auto"/>
            <w:right w:val="none" w:sz="0" w:space="0" w:color="auto"/>
          </w:divBdr>
        </w:div>
        <w:div w:id="1580408490">
          <w:marLeft w:val="274"/>
          <w:marRight w:val="0"/>
          <w:marTop w:val="0"/>
          <w:marBottom w:val="0"/>
          <w:divBdr>
            <w:top w:val="none" w:sz="0" w:space="0" w:color="auto"/>
            <w:left w:val="none" w:sz="0" w:space="0" w:color="auto"/>
            <w:bottom w:val="none" w:sz="0" w:space="0" w:color="auto"/>
            <w:right w:val="none" w:sz="0" w:space="0" w:color="auto"/>
          </w:divBdr>
        </w:div>
        <w:div w:id="1741293211">
          <w:marLeft w:val="274"/>
          <w:marRight w:val="0"/>
          <w:marTop w:val="0"/>
          <w:marBottom w:val="0"/>
          <w:divBdr>
            <w:top w:val="none" w:sz="0" w:space="0" w:color="auto"/>
            <w:left w:val="none" w:sz="0" w:space="0" w:color="auto"/>
            <w:bottom w:val="none" w:sz="0" w:space="0" w:color="auto"/>
            <w:right w:val="none" w:sz="0" w:space="0" w:color="auto"/>
          </w:divBdr>
        </w:div>
        <w:div w:id="1747412513">
          <w:marLeft w:val="274"/>
          <w:marRight w:val="0"/>
          <w:marTop w:val="0"/>
          <w:marBottom w:val="0"/>
          <w:divBdr>
            <w:top w:val="none" w:sz="0" w:space="0" w:color="auto"/>
            <w:left w:val="none" w:sz="0" w:space="0" w:color="auto"/>
            <w:bottom w:val="none" w:sz="0" w:space="0" w:color="auto"/>
            <w:right w:val="none" w:sz="0" w:space="0" w:color="auto"/>
          </w:divBdr>
        </w:div>
        <w:div w:id="1755859304">
          <w:marLeft w:val="274"/>
          <w:marRight w:val="0"/>
          <w:marTop w:val="0"/>
          <w:marBottom w:val="0"/>
          <w:divBdr>
            <w:top w:val="none" w:sz="0" w:space="0" w:color="auto"/>
            <w:left w:val="none" w:sz="0" w:space="0" w:color="auto"/>
            <w:bottom w:val="none" w:sz="0" w:space="0" w:color="auto"/>
            <w:right w:val="none" w:sz="0" w:space="0" w:color="auto"/>
          </w:divBdr>
        </w:div>
        <w:div w:id="1790470571">
          <w:marLeft w:val="274"/>
          <w:marRight w:val="0"/>
          <w:marTop w:val="0"/>
          <w:marBottom w:val="0"/>
          <w:divBdr>
            <w:top w:val="none" w:sz="0" w:space="0" w:color="auto"/>
            <w:left w:val="none" w:sz="0" w:space="0" w:color="auto"/>
            <w:bottom w:val="none" w:sz="0" w:space="0" w:color="auto"/>
            <w:right w:val="none" w:sz="0" w:space="0" w:color="auto"/>
          </w:divBdr>
        </w:div>
        <w:div w:id="1796412926">
          <w:marLeft w:val="274"/>
          <w:marRight w:val="0"/>
          <w:marTop w:val="0"/>
          <w:marBottom w:val="0"/>
          <w:divBdr>
            <w:top w:val="none" w:sz="0" w:space="0" w:color="auto"/>
            <w:left w:val="none" w:sz="0" w:space="0" w:color="auto"/>
            <w:bottom w:val="none" w:sz="0" w:space="0" w:color="auto"/>
            <w:right w:val="none" w:sz="0" w:space="0" w:color="auto"/>
          </w:divBdr>
        </w:div>
        <w:div w:id="1814907152">
          <w:marLeft w:val="274"/>
          <w:marRight w:val="0"/>
          <w:marTop w:val="0"/>
          <w:marBottom w:val="0"/>
          <w:divBdr>
            <w:top w:val="none" w:sz="0" w:space="0" w:color="auto"/>
            <w:left w:val="none" w:sz="0" w:space="0" w:color="auto"/>
            <w:bottom w:val="none" w:sz="0" w:space="0" w:color="auto"/>
            <w:right w:val="none" w:sz="0" w:space="0" w:color="auto"/>
          </w:divBdr>
        </w:div>
        <w:div w:id="1833058898">
          <w:marLeft w:val="274"/>
          <w:marRight w:val="0"/>
          <w:marTop w:val="0"/>
          <w:marBottom w:val="0"/>
          <w:divBdr>
            <w:top w:val="none" w:sz="0" w:space="0" w:color="auto"/>
            <w:left w:val="none" w:sz="0" w:space="0" w:color="auto"/>
            <w:bottom w:val="none" w:sz="0" w:space="0" w:color="auto"/>
            <w:right w:val="none" w:sz="0" w:space="0" w:color="auto"/>
          </w:divBdr>
        </w:div>
        <w:div w:id="1841459678">
          <w:marLeft w:val="274"/>
          <w:marRight w:val="0"/>
          <w:marTop w:val="0"/>
          <w:marBottom w:val="0"/>
          <w:divBdr>
            <w:top w:val="none" w:sz="0" w:space="0" w:color="auto"/>
            <w:left w:val="none" w:sz="0" w:space="0" w:color="auto"/>
            <w:bottom w:val="none" w:sz="0" w:space="0" w:color="auto"/>
            <w:right w:val="none" w:sz="0" w:space="0" w:color="auto"/>
          </w:divBdr>
        </w:div>
        <w:div w:id="1882743419">
          <w:marLeft w:val="274"/>
          <w:marRight w:val="0"/>
          <w:marTop w:val="0"/>
          <w:marBottom w:val="0"/>
          <w:divBdr>
            <w:top w:val="none" w:sz="0" w:space="0" w:color="auto"/>
            <w:left w:val="none" w:sz="0" w:space="0" w:color="auto"/>
            <w:bottom w:val="none" w:sz="0" w:space="0" w:color="auto"/>
            <w:right w:val="none" w:sz="0" w:space="0" w:color="auto"/>
          </w:divBdr>
        </w:div>
        <w:div w:id="1983999523">
          <w:marLeft w:val="274"/>
          <w:marRight w:val="0"/>
          <w:marTop w:val="0"/>
          <w:marBottom w:val="0"/>
          <w:divBdr>
            <w:top w:val="none" w:sz="0" w:space="0" w:color="auto"/>
            <w:left w:val="none" w:sz="0" w:space="0" w:color="auto"/>
            <w:bottom w:val="none" w:sz="0" w:space="0" w:color="auto"/>
            <w:right w:val="none" w:sz="0" w:space="0" w:color="auto"/>
          </w:divBdr>
        </w:div>
        <w:div w:id="2019843903">
          <w:marLeft w:val="274"/>
          <w:marRight w:val="0"/>
          <w:marTop w:val="0"/>
          <w:marBottom w:val="0"/>
          <w:divBdr>
            <w:top w:val="none" w:sz="0" w:space="0" w:color="auto"/>
            <w:left w:val="none" w:sz="0" w:space="0" w:color="auto"/>
            <w:bottom w:val="none" w:sz="0" w:space="0" w:color="auto"/>
            <w:right w:val="none" w:sz="0" w:space="0" w:color="auto"/>
          </w:divBdr>
        </w:div>
        <w:div w:id="2088067772">
          <w:marLeft w:val="274"/>
          <w:marRight w:val="0"/>
          <w:marTop w:val="0"/>
          <w:marBottom w:val="0"/>
          <w:divBdr>
            <w:top w:val="none" w:sz="0" w:space="0" w:color="auto"/>
            <w:left w:val="none" w:sz="0" w:space="0" w:color="auto"/>
            <w:bottom w:val="none" w:sz="0" w:space="0" w:color="auto"/>
            <w:right w:val="none" w:sz="0" w:space="0" w:color="auto"/>
          </w:divBdr>
        </w:div>
      </w:divsChild>
    </w:div>
    <w:div w:id="1683431326">
      <w:bodyDiv w:val="1"/>
      <w:marLeft w:val="0"/>
      <w:marRight w:val="0"/>
      <w:marTop w:val="0"/>
      <w:marBottom w:val="0"/>
      <w:divBdr>
        <w:top w:val="none" w:sz="0" w:space="0" w:color="auto"/>
        <w:left w:val="none" w:sz="0" w:space="0" w:color="auto"/>
        <w:bottom w:val="none" w:sz="0" w:space="0" w:color="auto"/>
        <w:right w:val="none" w:sz="0" w:space="0" w:color="auto"/>
      </w:divBdr>
    </w:div>
    <w:div w:id="1707877022">
      <w:bodyDiv w:val="1"/>
      <w:marLeft w:val="0"/>
      <w:marRight w:val="0"/>
      <w:marTop w:val="0"/>
      <w:marBottom w:val="0"/>
      <w:divBdr>
        <w:top w:val="none" w:sz="0" w:space="0" w:color="auto"/>
        <w:left w:val="none" w:sz="0" w:space="0" w:color="auto"/>
        <w:bottom w:val="none" w:sz="0" w:space="0" w:color="auto"/>
        <w:right w:val="none" w:sz="0" w:space="0" w:color="auto"/>
      </w:divBdr>
    </w:div>
    <w:div w:id="1717386086">
      <w:bodyDiv w:val="1"/>
      <w:marLeft w:val="0"/>
      <w:marRight w:val="0"/>
      <w:marTop w:val="0"/>
      <w:marBottom w:val="0"/>
      <w:divBdr>
        <w:top w:val="none" w:sz="0" w:space="0" w:color="auto"/>
        <w:left w:val="none" w:sz="0" w:space="0" w:color="auto"/>
        <w:bottom w:val="none" w:sz="0" w:space="0" w:color="auto"/>
        <w:right w:val="none" w:sz="0" w:space="0" w:color="auto"/>
      </w:divBdr>
      <w:divsChild>
        <w:div w:id="728066518">
          <w:marLeft w:val="0"/>
          <w:marRight w:val="0"/>
          <w:marTop w:val="0"/>
          <w:marBottom w:val="0"/>
          <w:divBdr>
            <w:top w:val="none" w:sz="0" w:space="0" w:color="auto"/>
            <w:left w:val="none" w:sz="0" w:space="0" w:color="auto"/>
            <w:bottom w:val="none" w:sz="0" w:space="0" w:color="auto"/>
            <w:right w:val="none" w:sz="0" w:space="0" w:color="auto"/>
          </w:divBdr>
        </w:div>
        <w:div w:id="943148188">
          <w:marLeft w:val="0"/>
          <w:marRight w:val="0"/>
          <w:marTop w:val="0"/>
          <w:marBottom w:val="0"/>
          <w:divBdr>
            <w:top w:val="none" w:sz="0" w:space="0" w:color="auto"/>
            <w:left w:val="none" w:sz="0" w:space="0" w:color="auto"/>
            <w:bottom w:val="none" w:sz="0" w:space="0" w:color="auto"/>
            <w:right w:val="none" w:sz="0" w:space="0" w:color="auto"/>
          </w:divBdr>
        </w:div>
      </w:divsChild>
    </w:div>
    <w:div w:id="1722509696">
      <w:bodyDiv w:val="1"/>
      <w:marLeft w:val="0"/>
      <w:marRight w:val="0"/>
      <w:marTop w:val="0"/>
      <w:marBottom w:val="0"/>
      <w:divBdr>
        <w:top w:val="none" w:sz="0" w:space="0" w:color="auto"/>
        <w:left w:val="none" w:sz="0" w:space="0" w:color="auto"/>
        <w:bottom w:val="none" w:sz="0" w:space="0" w:color="auto"/>
        <w:right w:val="none" w:sz="0" w:space="0" w:color="auto"/>
      </w:divBdr>
    </w:div>
    <w:div w:id="1734541343">
      <w:bodyDiv w:val="1"/>
      <w:marLeft w:val="0"/>
      <w:marRight w:val="0"/>
      <w:marTop w:val="0"/>
      <w:marBottom w:val="0"/>
      <w:divBdr>
        <w:top w:val="none" w:sz="0" w:space="0" w:color="auto"/>
        <w:left w:val="none" w:sz="0" w:space="0" w:color="auto"/>
        <w:bottom w:val="none" w:sz="0" w:space="0" w:color="auto"/>
        <w:right w:val="none" w:sz="0" w:space="0" w:color="auto"/>
      </w:divBdr>
    </w:div>
    <w:div w:id="1759597608">
      <w:bodyDiv w:val="1"/>
      <w:marLeft w:val="0"/>
      <w:marRight w:val="0"/>
      <w:marTop w:val="0"/>
      <w:marBottom w:val="0"/>
      <w:divBdr>
        <w:top w:val="none" w:sz="0" w:space="0" w:color="auto"/>
        <w:left w:val="none" w:sz="0" w:space="0" w:color="auto"/>
        <w:bottom w:val="none" w:sz="0" w:space="0" w:color="auto"/>
        <w:right w:val="none" w:sz="0" w:space="0" w:color="auto"/>
      </w:divBdr>
      <w:divsChild>
        <w:div w:id="2019693919">
          <w:marLeft w:val="0"/>
          <w:marRight w:val="0"/>
          <w:marTop w:val="0"/>
          <w:marBottom w:val="0"/>
          <w:divBdr>
            <w:top w:val="none" w:sz="0" w:space="0" w:color="auto"/>
            <w:left w:val="none" w:sz="0" w:space="0" w:color="auto"/>
            <w:bottom w:val="none" w:sz="0" w:space="0" w:color="auto"/>
            <w:right w:val="none" w:sz="0" w:space="0" w:color="auto"/>
          </w:divBdr>
          <w:divsChild>
            <w:div w:id="512719550">
              <w:marLeft w:val="0"/>
              <w:marRight w:val="0"/>
              <w:marTop w:val="0"/>
              <w:marBottom w:val="0"/>
              <w:divBdr>
                <w:top w:val="none" w:sz="0" w:space="0" w:color="auto"/>
                <w:left w:val="none" w:sz="0" w:space="0" w:color="auto"/>
                <w:bottom w:val="none" w:sz="0" w:space="0" w:color="auto"/>
                <w:right w:val="none" w:sz="0" w:space="0" w:color="auto"/>
              </w:divBdr>
              <w:divsChild>
                <w:div w:id="13214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6798">
      <w:bodyDiv w:val="1"/>
      <w:marLeft w:val="0"/>
      <w:marRight w:val="0"/>
      <w:marTop w:val="0"/>
      <w:marBottom w:val="0"/>
      <w:divBdr>
        <w:top w:val="none" w:sz="0" w:space="0" w:color="auto"/>
        <w:left w:val="none" w:sz="0" w:space="0" w:color="auto"/>
        <w:bottom w:val="none" w:sz="0" w:space="0" w:color="auto"/>
        <w:right w:val="none" w:sz="0" w:space="0" w:color="auto"/>
      </w:divBdr>
    </w:div>
    <w:div w:id="1832017453">
      <w:bodyDiv w:val="1"/>
      <w:marLeft w:val="0"/>
      <w:marRight w:val="0"/>
      <w:marTop w:val="0"/>
      <w:marBottom w:val="0"/>
      <w:divBdr>
        <w:top w:val="none" w:sz="0" w:space="0" w:color="auto"/>
        <w:left w:val="none" w:sz="0" w:space="0" w:color="auto"/>
        <w:bottom w:val="none" w:sz="0" w:space="0" w:color="auto"/>
        <w:right w:val="none" w:sz="0" w:space="0" w:color="auto"/>
      </w:divBdr>
    </w:div>
    <w:div w:id="1834369331">
      <w:bodyDiv w:val="1"/>
      <w:marLeft w:val="0"/>
      <w:marRight w:val="0"/>
      <w:marTop w:val="0"/>
      <w:marBottom w:val="0"/>
      <w:divBdr>
        <w:top w:val="none" w:sz="0" w:space="0" w:color="auto"/>
        <w:left w:val="none" w:sz="0" w:space="0" w:color="auto"/>
        <w:bottom w:val="none" w:sz="0" w:space="0" w:color="auto"/>
        <w:right w:val="none" w:sz="0" w:space="0" w:color="auto"/>
      </w:divBdr>
      <w:divsChild>
        <w:div w:id="617225668">
          <w:marLeft w:val="0"/>
          <w:marRight w:val="0"/>
          <w:marTop w:val="0"/>
          <w:marBottom w:val="0"/>
          <w:divBdr>
            <w:top w:val="none" w:sz="0" w:space="0" w:color="auto"/>
            <w:left w:val="none" w:sz="0" w:space="0" w:color="auto"/>
            <w:bottom w:val="none" w:sz="0" w:space="0" w:color="auto"/>
            <w:right w:val="none" w:sz="0" w:space="0" w:color="auto"/>
          </w:divBdr>
          <w:divsChild>
            <w:div w:id="100297923">
              <w:marLeft w:val="0"/>
              <w:marRight w:val="0"/>
              <w:marTop w:val="0"/>
              <w:marBottom w:val="0"/>
              <w:divBdr>
                <w:top w:val="none" w:sz="0" w:space="0" w:color="auto"/>
                <w:left w:val="none" w:sz="0" w:space="0" w:color="auto"/>
                <w:bottom w:val="none" w:sz="0" w:space="0" w:color="auto"/>
                <w:right w:val="none" w:sz="0" w:space="0" w:color="auto"/>
              </w:divBdr>
              <w:divsChild>
                <w:div w:id="2594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7438">
      <w:bodyDiv w:val="1"/>
      <w:marLeft w:val="0"/>
      <w:marRight w:val="0"/>
      <w:marTop w:val="0"/>
      <w:marBottom w:val="0"/>
      <w:divBdr>
        <w:top w:val="none" w:sz="0" w:space="0" w:color="auto"/>
        <w:left w:val="none" w:sz="0" w:space="0" w:color="auto"/>
        <w:bottom w:val="none" w:sz="0" w:space="0" w:color="auto"/>
        <w:right w:val="none" w:sz="0" w:space="0" w:color="auto"/>
      </w:divBdr>
      <w:divsChild>
        <w:div w:id="1235890409">
          <w:marLeft w:val="0"/>
          <w:marRight w:val="0"/>
          <w:marTop w:val="0"/>
          <w:marBottom w:val="0"/>
          <w:divBdr>
            <w:top w:val="none" w:sz="0" w:space="0" w:color="auto"/>
            <w:left w:val="none" w:sz="0" w:space="0" w:color="auto"/>
            <w:bottom w:val="none" w:sz="0" w:space="0" w:color="auto"/>
            <w:right w:val="none" w:sz="0" w:space="0" w:color="auto"/>
          </w:divBdr>
          <w:divsChild>
            <w:div w:id="498666559">
              <w:marLeft w:val="0"/>
              <w:marRight w:val="0"/>
              <w:marTop w:val="0"/>
              <w:marBottom w:val="0"/>
              <w:divBdr>
                <w:top w:val="none" w:sz="0" w:space="0" w:color="auto"/>
                <w:left w:val="none" w:sz="0" w:space="0" w:color="auto"/>
                <w:bottom w:val="none" w:sz="0" w:space="0" w:color="auto"/>
                <w:right w:val="none" w:sz="0" w:space="0" w:color="auto"/>
              </w:divBdr>
              <w:divsChild>
                <w:div w:id="13103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6453">
      <w:bodyDiv w:val="1"/>
      <w:marLeft w:val="0"/>
      <w:marRight w:val="0"/>
      <w:marTop w:val="0"/>
      <w:marBottom w:val="0"/>
      <w:divBdr>
        <w:top w:val="none" w:sz="0" w:space="0" w:color="auto"/>
        <w:left w:val="none" w:sz="0" w:space="0" w:color="auto"/>
        <w:bottom w:val="none" w:sz="0" w:space="0" w:color="auto"/>
        <w:right w:val="none" w:sz="0" w:space="0" w:color="auto"/>
      </w:divBdr>
      <w:divsChild>
        <w:div w:id="126751618">
          <w:marLeft w:val="0"/>
          <w:marRight w:val="0"/>
          <w:marTop w:val="0"/>
          <w:marBottom w:val="0"/>
          <w:divBdr>
            <w:top w:val="none" w:sz="0" w:space="0" w:color="auto"/>
            <w:left w:val="none" w:sz="0" w:space="0" w:color="auto"/>
            <w:bottom w:val="none" w:sz="0" w:space="0" w:color="auto"/>
            <w:right w:val="none" w:sz="0" w:space="0" w:color="auto"/>
          </w:divBdr>
          <w:divsChild>
            <w:div w:id="376666477">
              <w:marLeft w:val="0"/>
              <w:marRight w:val="0"/>
              <w:marTop w:val="0"/>
              <w:marBottom w:val="0"/>
              <w:divBdr>
                <w:top w:val="none" w:sz="0" w:space="0" w:color="auto"/>
                <w:left w:val="none" w:sz="0" w:space="0" w:color="auto"/>
                <w:bottom w:val="none" w:sz="0" w:space="0" w:color="auto"/>
                <w:right w:val="none" w:sz="0" w:space="0" w:color="auto"/>
              </w:divBdr>
              <w:divsChild>
                <w:div w:id="1258370185">
                  <w:marLeft w:val="0"/>
                  <w:marRight w:val="0"/>
                  <w:marTop w:val="0"/>
                  <w:marBottom w:val="0"/>
                  <w:divBdr>
                    <w:top w:val="none" w:sz="0" w:space="0" w:color="auto"/>
                    <w:left w:val="none" w:sz="0" w:space="0" w:color="auto"/>
                    <w:bottom w:val="none" w:sz="0" w:space="0" w:color="auto"/>
                    <w:right w:val="none" w:sz="0" w:space="0" w:color="auto"/>
                  </w:divBdr>
                  <w:divsChild>
                    <w:div w:id="1846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58919">
      <w:bodyDiv w:val="1"/>
      <w:marLeft w:val="0"/>
      <w:marRight w:val="0"/>
      <w:marTop w:val="0"/>
      <w:marBottom w:val="0"/>
      <w:divBdr>
        <w:top w:val="none" w:sz="0" w:space="0" w:color="auto"/>
        <w:left w:val="none" w:sz="0" w:space="0" w:color="auto"/>
        <w:bottom w:val="none" w:sz="0" w:space="0" w:color="auto"/>
        <w:right w:val="none" w:sz="0" w:space="0" w:color="auto"/>
      </w:divBdr>
    </w:div>
    <w:div w:id="1883325745">
      <w:bodyDiv w:val="1"/>
      <w:marLeft w:val="0"/>
      <w:marRight w:val="0"/>
      <w:marTop w:val="0"/>
      <w:marBottom w:val="0"/>
      <w:divBdr>
        <w:top w:val="none" w:sz="0" w:space="0" w:color="auto"/>
        <w:left w:val="none" w:sz="0" w:space="0" w:color="auto"/>
        <w:bottom w:val="none" w:sz="0" w:space="0" w:color="auto"/>
        <w:right w:val="none" w:sz="0" w:space="0" w:color="auto"/>
      </w:divBdr>
    </w:div>
    <w:div w:id="1883906190">
      <w:bodyDiv w:val="1"/>
      <w:marLeft w:val="0"/>
      <w:marRight w:val="0"/>
      <w:marTop w:val="0"/>
      <w:marBottom w:val="0"/>
      <w:divBdr>
        <w:top w:val="none" w:sz="0" w:space="0" w:color="auto"/>
        <w:left w:val="none" w:sz="0" w:space="0" w:color="auto"/>
        <w:bottom w:val="none" w:sz="0" w:space="0" w:color="auto"/>
        <w:right w:val="none" w:sz="0" w:space="0" w:color="auto"/>
      </w:divBdr>
    </w:div>
    <w:div w:id="1887064328">
      <w:bodyDiv w:val="1"/>
      <w:marLeft w:val="0"/>
      <w:marRight w:val="0"/>
      <w:marTop w:val="0"/>
      <w:marBottom w:val="0"/>
      <w:divBdr>
        <w:top w:val="none" w:sz="0" w:space="0" w:color="auto"/>
        <w:left w:val="none" w:sz="0" w:space="0" w:color="auto"/>
        <w:bottom w:val="none" w:sz="0" w:space="0" w:color="auto"/>
        <w:right w:val="none" w:sz="0" w:space="0" w:color="auto"/>
      </w:divBdr>
      <w:divsChild>
        <w:div w:id="277030072">
          <w:marLeft w:val="274"/>
          <w:marRight w:val="0"/>
          <w:marTop w:val="0"/>
          <w:marBottom w:val="0"/>
          <w:divBdr>
            <w:top w:val="none" w:sz="0" w:space="0" w:color="auto"/>
            <w:left w:val="none" w:sz="0" w:space="0" w:color="auto"/>
            <w:bottom w:val="none" w:sz="0" w:space="0" w:color="auto"/>
            <w:right w:val="none" w:sz="0" w:space="0" w:color="auto"/>
          </w:divBdr>
        </w:div>
        <w:div w:id="823820262">
          <w:marLeft w:val="274"/>
          <w:marRight w:val="0"/>
          <w:marTop w:val="0"/>
          <w:marBottom w:val="0"/>
          <w:divBdr>
            <w:top w:val="none" w:sz="0" w:space="0" w:color="auto"/>
            <w:left w:val="none" w:sz="0" w:space="0" w:color="auto"/>
            <w:bottom w:val="none" w:sz="0" w:space="0" w:color="auto"/>
            <w:right w:val="none" w:sz="0" w:space="0" w:color="auto"/>
          </w:divBdr>
        </w:div>
        <w:div w:id="1045375461">
          <w:marLeft w:val="274"/>
          <w:marRight w:val="0"/>
          <w:marTop w:val="0"/>
          <w:marBottom w:val="0"/>
          <w:divBdr>
            <w:top w:val="none" w:sz="0" w:space="0" w:color="auto"/>
            <w:left w:val="none" w:sz="0" w:space="0" w:color="auto"/>
            <w:bottom w:val="none" w:sz="0" w:space="0" w:color="auto"/>
            <w:right w:val="none" w:sz="0" w:space="0" w:color="auto"/>
          </w:divBdr>
        </w:div>
        <w:div w:id="1419981620">
          <w:marLeft w:val="274"/>
          <w:marRight w:val="0"/>
          <w:marTop w:val="0"/>
          <w:marBottom w:val="0"/>
          <w:divBdr>
            <w:top w:val="none" w:sz="0" w:space="0" w:color="auto"/>
            <w:left w:val="none" w:sz="0" w:space="0" w:color="auto"/>
            <w:bottom w:val="none" w:sz="0" w:space="0" w:color="auto"/>
            <w:right w:val="none" w:sz="0" w:space="0" w:color="auto"/>
          </w:divBdr>
        </w:div>
      </w:divsChild>
    </w:div>
    <w:div w:id="1890527956">
      <w:bodyDiv w:val="1"/>
      <w:marLeft w:val="0"/>
      <w:marRight w:val="0"/>
      <w:marTop w:val="0"/>
      <w:marBottom w:val="0"/>
      <w:divBdr>
        <w:top w:val="none" w:sz="0" w:space="0" w:color="auto"/>
        <w:left w:val="none" w:sz="0" w:space="0" w:color="auto"/>
        <w:bottom w:val="none" w:sz="0" w:space="0" w:color="auto"/>
        <w:right w:val="none" w:sz="0" w:space="0" w:color="auto"/>
      </w:divBdr>
    </w:div>
    <w:div w:id="1945140799">
      <w:bodyDiv w:val="1"/>
      <w:marLeft w:val="0"/>
      <w:marRight w:val="0"/>
      <w:marTop w:val="0"/>
      <w:marBottom w:val="0"/>
      <w:divBdr>
        <w:top w:val="none" w:sz="0" w:space="0" w:color="auto"/>
        <w:left w:val="none" w:sz="0" w:space="0" w:color="auto"/>
        <w:bottom w:val="none" w:sz="0" w:space="0" w:color="auto"/>
        <w:right w:val="none" w:sz="0" w:space="0" w:color="auto"/>
      </w:divBdr>
    </w:div>
    <w:div w:id="1989282819">
      <w:bodyDiv w:val="1"/>
      <w:marLeft w:val="0"/>
      <w:marRight w:val="0"/>
      <w:marTop w:val="0"/>
      <w:marBottom w:val="0"/>
      <w:divBdr>
        <w:top w:val="none" w:sz="0" w:space="0" w:color="auto"/>
        <w:left w:val="none" w:sz="0" w:space="0" w:color="auto"/>
        <w:bottom w:val="none" w:sz="0" w:space="0" w:color="auto"/>
        <w:right w:val="none" w:sz="0" w:space="0" w:color="auto"/>
      </w:divBdr>
    </w:div>
    <w:div w:id="2035812488">
      <w:bodyDiv w:val="1"/>
      <w:marLeft w:val="0"/>
      <w:marRight w:val="0"/>
      <w:marTop w:val="0"/>
      <w:marBottom w:val="0"/>
      <w:divBdr>
        <w:top w:val="none" w:sz="0" w:space="0" w:color="auto"/>
        <w:left w:val="none" w:sz="0" w:space="0" w:color="auto"/>
        <w:bottom w:val="none" w:sz="0" w:space="0" w:color="auto"/>
        <w:right w:val="none" w:sz="0" w:space="0" w:color="auto"/>
      </w:divBdr>
      <w:divsChild>
        <w:div w:id="2026512646">
          <w:marLeft w:val="0"/>
          <w:marRight w:val="0"/>
          <w:marTop w:val="0"/>
          <w:marBottom w:val="0"/>
          <w:divBdr>
            <w:top w:val="none" w:sz="0" w:space="0" w:color="auto"/>
            <w:left w:val="none" w:sz="0" w:space="0" w:color="auto"/>
            <w:bottom w:val="none" w:sz="0" w:space="0" w:color="auto"/>
            <w:right w:val="none" w:sz="0" w:space="0" w:color="auto"/>
          </w:divBdr>
          <w:divsChild>
            <w:div w:id="1809931487">
              <w:marLeft w:val="0"/>
              <w:marRight w:val="0"/>
              <w:marTop w:val="0"/>
              <w:marBottom w:val="0"/>
              <w:divBdr>
                <w:top w:val="none" w:sz="0" w:space="0" w:color="auto"/>
                <w:left w:val="none" w:sz="0" w:space="0" w:color="auto"/>
                <w:bottom w:val="none" w:sz="0" w:space="0" w:color="auto"/>
                <w:right w:val="none" w:sz="0" w:space="0" w:color="auto"/>
              </w:divBdr>
              <w:divsChild>
                <w:div w:id="12452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9652">
      <w:bodyDiv w:val="1"/>
      <w:marLeft w:val="0"/>
      <w:marRight w:val="0"/>
      <w:marTop w:val="0"/>
      <w:marBottom w:val="0"/>
      <w:divBdr>
        <w:top w:val="none" w:sz="0" w:space="0" w:color="auto"/>
        <w:left w:val="none" w:sz="0" w:space="0" w:color="auto"/>
        <w:bottom w:val="none" w:sz="0" w:space="0" w:color="auto"/>
        <w:right w:val="none" w:sz="0" w:space="0" w:color="auto"/>
      </w:divBdr>
    </w:div>
    <w:div w:id="2100178030">
      <w:bodyDiv w:val="1"/>
      <w:marLeft w:val="0"/>
      <w:marRight w:val="0"/>
      <w:marTop w:val="0"/>
      <w:marBottom w:val="0"/>
      <w:divBdr>
        <w:top w:val="none" w:sz="0" w:space="0" w:color="auto"/>
        <w:left w:val="none" w:sz="0" w:space="0" w:color="auto"/>
        <w:bottom w:val="none" w:sz="0" w:space="0" w:color="auto"/>
        <w:right w:val="none" w:sz="0" w:space="0" w:color="auto"/>
      </w:divBdr>
    </w:div>
    <w:div w:id="2109693128">
      <w:bodyDiv w:val="1"/>
      <w:marLeft w:val="0"/>
      <w:marRight w:val="0"/>
      <w:marTop w:val="0"/>
      <w:marBottom w:val="0"/>
      <w:divBdr>
        <w:top w:val="none" w:sz="0" w:space="0" w:color="auto"/>
        <w:left w:val="none" w:sz="0" w:space="0" w:color="auto"/>
        <w:bottom w:val="none" w:sz="0" w:space="0" w:color="auto"/>
        <w:right w:val="none" w:sz="0" w:space="0" w:color="auto"/>
      </w:divBdr>
    </w:div>
    <w:div w:id="2137749410">
      <w:bodyDiv w:val="1"/>
      <w:marLeft w:val="0"/>
      <w:marRight w:val="0"/>
      <w:marTop w:val="0"/>
      <w:marBottom w:val="0"/>
      <w:divBdr>
        <w:top w:val="none" w:sz="0" w:space="0" w:color="auto"/>
        <w:left w:val="none" w:sz="0" w:space="0" w:color="auto"/>
        <w:bottom w:val="none" w:sz="0" w:space="0" w:color="auto"/>
        <w:right w:val="none" w:sz="0" w:space="0" w:color="auto"/>
      </w:divBdr>
      <w:divsChild>
        <w:div w:id="1391615706">
          <w:marLeft w:val="0"/>
          <w:marRight w:val="0"/>
          <w:marTop w:val="0"/>
          <w:marBottom w:val="0"/>
          <w:divBdr>
            <w:top w:val="none" w:sz="0" w:space="0" w:color="auto"/>
            <w:left w:val="none" w:sz="0" w:space="0" w:color="auto"/>
            <w:bottom w:val="none" w:sz="0" w:space="0" w:color="auto"/>
            <w:right w:val="none" w:sz="0" w:space="0" w:color="auto"/>
          </w:divBdr>
          <w:divsChild>
            <w:div w:id="2042898677">
              <w:marLeft w:val="0"/>
              <w:marRight w:val="0"/>
              <w:marTop w:val="0"/>
              <w:marBottom w:val="0"/>
              <w:divBdr>
                <w:top w:val="none" w:sz="0" w:space="0" w:color="auto"/>
                <w:left w:val="none" w:sz="0" w:space="0" w:color="auto"/>
                <w:bottom w:val="none" w:sz="0" w:space="0" w:color="auto"/>
                <w:right w:val="none" w:sz="0" w:space="0" w:color="auto"/>
              </w:divBdr>
              <w:divsChild>
                <w:div w:id="1282347199">
                  <w:marLeft w:val="0"/>
                  <w:marRight w:val="0"/>
                  <w:marTop w:val="0"/>
                  <w:marBottom w:val="0"/>
                  <w:divBdr>
                    <w:top w:val="none" w:sz="0" w:space="0" w:color="auto"/>
                    <w:left w:val="none" w:sz="0" w:space="0" w:color="auto"/>
                    <w:bottom w:val="none" w:sz="0" w:space="0" w:color="auto"/>
                    <w:right w:val="none" w:sz="0" w:space="0" w:color="auto"/>
                  </w:divBdr>
                  <w:divsChild>
                    <w:div w:id="4537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3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n.go.id/" TargetMode="External"/><Relationship Id="rId13" Type="http://schemas.openxmlformats.org/officeDocument/2006/relationships/footer" Target="footer2.xml"/><Relationship Id="rId18" Type="http://schemas.openxmlformats.org/officeDocument/2006/relationships/hyperlink" Target="https://www.dfat.gov.au/international-relations/themes/child-protection/Pages/child-protec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dfat.gov.au/international-relations/themes/child-protection/Pages/child-protection" TargetMode="External"/><Relationship Id="rId2" Type="http://schemas.openxmlformats.org/officeDocument/2006/relationships/numbering" Target="numbering.xml"/><Relationship Id="rId16" Type="http://schemas.openxmlformats.org/officeDocument/2006/relationships/hyperlink" Target="https://www.dfat.gov.au/international-relations/themes/child-protection/Pages/child-prote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kemdikbud.go.id/"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datacatalog.worldbank.org/search/dataset/0037712/World-Development-Indicators" TargetMode="External"/><Relationship Id="rId1" Type="http://schemas.openxmlformats.org/officeDocument/2006/relationships/hyperlink" Target="https://www.worldbank.org/en/country/indonesia/over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Hen</b:Tag>
    <b:SourceType>Report</b:SourceType>
    <b:Guid>{626938C3-EB6C-9E40-B95F-1A3A3C6A7C9C}</b:Guid>
    <b:Author>
      <b:Author>
        <b:NameList>
          <b:Person>
            <b:Last>Henderson</b:Last>
            <b:First>S</b:First>
          </b:Person>
        </b:NameList>
      </b:Author>
    </b:Author>
    <b:Title>Desk Review - Knowledge Sector Initiative (KSI) &amp; Abdul Latif Jameel Poverty Action Lab South East Asia (J-PAL SEA)</b:Title>
    <b:Publisher>Simon Henderson Research / DFAT</b:Publisher>
    <b:Year>2020</b:Year>
    <b:City>Powys</b:City>
    <b:RefOrder>2</b:RefOrder>
  </b:Source>
  <b:Source>
    <b:Tag>Hen211</b:Tag>
    <b:SourceType>Report</b:SourceType>
    <b:Guid>{A244460D-D95F-C640-944A-1EB94A4FDC52}</b:Guid>
    <b:Author>
      <b:Author>
        <b:NameList>
          <b:Person>
            <b:Last>Henderson</b:Last>
            <b:First>S</b:First>
          </b:Person>
          <b:Person>
            <b:Last>Rakhmani</b:Last>
            <b:First>I</b:First>
          </b:Person>
        </b:NameList>
      </b:Author>
    </b:Author>
    <b:Title>Draft final report: Independent Strategic Review Knowledge to Policy (Knowledge Sector) Investments in Indonesia</b:Title>
    <b:Publisher>DFAT</b:Publisher>
    <b:City>Jakarta</b:City>
    <b:Year>2021</b:Year>
    <b:RefOrder>3</b:RefOrder>
  </b:Source>
  <b:Source>
    <b:Tag>Ris21</b:Tag>
    <b:SourceType>Report</b:SourceType>
    <b:Guid>{38F27B58-8F4A-D240-895B-85AC3FDDD067}</b:Guid>
    <b:Author>
      <b:Author>
        <b:Corporate>RisTek BRIN; BAPPENAS</b:Corporate>
      </b:Author>
    </b:Author>
    <b:Title>Cetak Biru Ekosistem Pengetahuan &amp; Inovasi </b:Title>
    <b:Publisher>Government of Indonesia</b:Publisher>
    <b:City>Jakarta</b:City>
    <b:Year>2021</b:Year>
    <b:RefOrder>4</b:RefOrder>
  </b:Source>
  <b:Source>
    <b:Tag>OEC161</b:Tag>
    <b:SourceType>Report</b:SourceType>
    <b:Guid>{BF73F276-52A1-D244-B585-401A78791376}</b:Guid>
    <b:Author>
      <b:Author>
        <b:Corporate>OECD-DAC GENDERNET</b:Corporate>
      </b:Author>
    </b:Author>
    <b:Title>Handbook on the DAC gender equality policy marker</b:Title>
    <b:Publisher>OECD Publishing</b:Publisher>
    <b:City>Paris</b:City>
    <b:Year>2016</b:Year>
    <b:RefOrder>5</b:RefOrder>
  </b:Source>
  <b:Source>
    <b:Tag>OEC181</b:Tag>
    <b:SourceType>Report</b:SourceType>
    <b:Guid>{EB989C1F-584F-6F40-8FA5-4F4E216361FB}</b:Guid>
    <b:Author>
      <b:Author>
        <b:Corporate>OECD-DAC</b:Corporate>
      </b:Author>
    </b:Author>
    <b:Title>Working Party on Development Finance Statistics: Proposal to introduce a policy marker in the CRS to track development finance that promotes the inclusion and empowerment of persons with disabilities</b:Title>
    <b:Publisher>OECD Publishing</b:Publisher>
    <b:City>Paris</b:City>
    <b:Year>2018</b:Year>
    <b:RefOrder>1</b:RefOrder>
  </b:Source>
</b:Sources>
</file>

<file path=customXml/itemProps1.xml><?xml version="1.0" encoding="utf-8"?>
<ds:datastoreItem xmlns:ds="http://schemas.openxmlformats.org/officeDocument/2006/customXml" ds:itemID="{6E6BBCF1-32F9-9F47-BE08-498EF758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19461</Words>
  <Characters>116202</Characters>
  <Application>Microsoft Office Word</Application>
  <DocSecurity>0</DocSecurity>
  <Lines>1904</Lines>
  <Paragraphs>719</Paragraphs>
  <ScaleCrop>false</ScaleCrop>
  <HeadingPairs>
    <vt:vector size="2" baseType="variant">
      <vt:variant>
        <vt:lpstr>Title</vt:lpstr>
      </vt:variant>
      <vt:variant>
        <vt:i4>1</vt:i4>
      </vt:variant>
    </vt:vector>
  </HeadingPairs>
  <TitlesOfParts>
    <vt:vector size="1" baseType="lpstr">
      <vt:lpstr>DFAT-led design: Investment Design Template</vt:lpstr>
    </vt:vector>
  </TitlesOfParts>
  <Company/>
  <LinksUpToDate>false</LinksUpToDate>
  <CharactersWithSpaces>135140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DFAT-led design: Investment Design Template</dc:title>
  <dc:subject/>
  <dc:creator/>
  <cp:keywords>[SEC=OFFICIAL:Sensitive]</cp:keywords>
  <dc:description/>
  <cp:lastModifiedBy/>
  <cp:revision>1</cp:revision>
  <dcterms:created xsi:type="dcterms:W3CDTF">2022-08-18T04:36:00Z</dcterms:created>
  <dcterms:modified xsi:type="dcterms:W3CDTF">2023-09-26T07:50:00Z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30fe6e5f-6ec7-4510-b7b1-ee99e923c4b8</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 Sensitive</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InsertionValue">
    <vt:lpwstr>OFFICIAL: Sensitive</vt:lpwstr>
  </property>
  <property fmtid="{D5CDD505-2E9C-101B-9397-08002B2CF9AE}" pid="10" name="PM_Originating_FileId">
    <vt:lpwstr>42724B6DE2524C02A2014871CF0E7758</vt:lpwstr>
  </property>
  <property fmtid="{D5CDD505-2E9C-101B-9397-08002B2CF9AE}" pid="11" name="PM_ProtectiveMarkingValue_Footer">
    <vt:lpwstr>OFFICIAL: Sensitive</vt:lpwstr>
  </property>
  <property fmtid="{D5CDD505-2E9C-101B-9397-08002B2CF9AE}" pid="12" name="PM_Originator_Hash_SHA1">
    <vt:lpwstr>F15F9829BD5F43FD1BF513E322EBA0D3BEB62E3A</vt:lpwstr>
  </property>
  <property fmtid="{D5CDD505-2E9C-101B-9397-08002B2CF9AE}" pid="13" name="PM_OriginationTimeStamp">
    <vt:lpwstr>2022-08-18T04:08:15Z</vt:lpwstr>
  </property>
  <property fmtid="{D5CDD505-2E9C-101B-9397-08002B2CF9AE}" pid="14" name="PM_ProtectiveMarkingValue_Header">
    <vt:lpwstr>OFFICIAL: Sensitive</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Hash_Salt_Prev">
    <vt:lpwstr>AFA25D8FACEE26370383EE918EB01C64</vt:lpwstr>
  </property>
  <property fmtid="{D5CDD505-2E9C-101B-9397-08002B2CF9AE}" pid="23" name="PM_Hash_Salt">
    <vt:lpwstr>E5DAF1B6B3E972BB160ECC124758289F</vt:lpwstr>
  </property>
  <property fmtid="{D5CDD505-2E9C-101B-9397-08002B2CF9AE}" pid="24" name="PM_Hash_SHA1">
    <vt:lpwstr>E66C55E827DD216DE112061147505BF4A7101238</vt:lpwstr>
  </property>
  <property fmtid="{D5CDD505-2E9C-101B-9397-08002B2CF9AE}" pid="25" name="PM_SecurityClassification_Prev">
    <vt:lpwstr>OFFICIAL:Sensitive</vt:lpwstr>
  </property>
  <property fmtid="{D5CDD505-2E9C-101B-9397-08002B2CF9AE}" pid="26" name="PM_Qualifier_Prev">
    <vt:lpwstr/>
  </property>
  <property fmtid="{D5CDD505-2E9C-101B-9397-08002B2CF9AE}" pid="27" name="PMHMAC">
    <vt:lpwstr>v=2022.1;a=SHA256;h=75AF7DBF4B0742159C254C0EA9A5C9AB2CDCD9FD67BF8CDD7EFE12C04037E3E1</vt:lpwstr>
  </property>
  <property fmtid="{D5CDD505-2E9C-101B-9397-08002B2CF9AE}" pid="28" name="PM_Display">
    <vt:lpwstr>OFFICIAL: Sensitive</vt:lpwstr>
  </property>
  <property fmtid="{D5CDD505-2E9C-101B-9397-08002B2CF9AE}" pid="29" name="PM_OriginatorUserAccountName_SHA256">
    <vt:lpwstr>EE0B07786A99E9469ABFD99BDF92AAC86FD89F2947F12DF3B5660A3B3203ED1E</vt:lpwstr>
  </property>
  <property fmtid="{D5CDD505-2E9C-101B-9397-08002B2CF9AE}" pid="30" name="PM_OriginatorDomainName_SHA256">
    <vt:lpwstr>6F3591835F3B2A8A025B00B5BA6418010DA3A17C9C26EA9C049FFD28039489A2</vt:lpwstr>
  </property>
  <property fmtid="{D5CDD505-2E9C-101B-9397-08002B2CF9AE}" pid="31" name="PMUuid">
    <vt:lpwstr>v=2022.2;d=gov.au;g=ABA70C08-925C-5FA3-8765-3178156983AC</vt:lpwstr>
  </property>
</Properties>
</file>