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B3A3C34" w14:textId="77777777" w:rsidR="003D352D" w:rsidRDefault="00A56F14" w:rsidP="00D146A2">
      <w:bookmarkStart w:id="0" w:name="_GoBack"/>
      <w:bookmarkEnd w:id="0"/>
      <w:r>
        <w:rPr>
          <w:noProof/>
          <w:lang w:val="en-AU" w:eastAsia="en-AU"/>
        </w:rPr>
        <w:drawing>
          <wp:anchor distT="0" distB="0" distL="114300" distR="114300" simplePos="0" relativeHeight="251661312" behindDoc="1" locked="1" layoutInCell="1" allowOverlap="1" wp14:anchorId="7908FC5C" wp14:editId="68C64A28">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1A17E0BC" wp14:editId="21155DF9">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14:paraId="54244BB7" w14:textId="77777777" w:rsidR="003D352D" w:rsidRDefault="003D352D" w:rsidP="00D146A2"/>
    <w:p w14:paraId="0F79877F" w14:textId="77777777" w:rsidR="003D352D" w:rsidRDefault="003D352D" w:rsidP="00D146A2"/>
    <w:p w14:paraId="444FC8B6" w14:textId="77777777" w:rsidR="003D352D" w:rsidRDefault="003D352D" w:rsidP="00D146A2"/>
    <w:p w14:paraId="43D3C316" w14:textId="77777777" w:rsidR="003D352D" w:rsidRDefault="003D352D" w:rsidP="00D146A2"/>
    <w:p w14:paraId="2DEFFC15" w14:textId="77777777" w:rsidR="003D352D" w:rsidRDefault="003D352D" w:rsidP="00D146A2"/>
    <w:p w14:paraId="6AA68A57" w14:textId="77777777" w:rsidR="003D352D" w:rsidRDefault="003D352D" w:rsidP="00D146A2"/>
    <w:p w14:paraId="12162E35" w14:textId="77777777" w:rsidR="003D352D" w:rsidRDefault="003D352D" w:rsidP="00D146A2"/>
    <w:p w14:paraId="77F771BB" w14:textId="77777777" w:rsidR="003D352D" w:rsidRDefault="003D352D" w:rsidP="00D146A2"/>
    <w:p w14:paraId="6AD301E6" w14:textId="77777777" w:rsidR="003D352D" w:rsidRDefault="003D352D" w:rsidP="00D146A2"/>
    <w:p w14:paraId="3BFCD535" w14:textId="77777777" w:rsidR="003D352D" w:rsidRDefault="003D352D" w:rsidP="00D146A2"/>
    <w:p w14:paraId="6D8C2772" w14:textId="77777777" w:rsidR="003D352D" w:rsidRDefault="003D352D" w:rsidP="00D146A2"/>
    <w:p w14:paraId="34D22E69" w14:textId="77777777" w:rsidR="003D352D" w:rsidRDefault="003D352D" w:rsidP="00D146A2"/>
    <w:p w14:paraId="7E4B3E7E" w14:textId="77777777" w:rsidR="003D352D" w:rsidRDefault="003D352D" w:rsidP="00D146A2"/>
    <w:p w14:paraId="27A96B80" w14:textId="77777777" w:rsidR="003D352D" w:rsidRDefault="003D352D" w:rsidP="00D146A2"/>
    <w:p w14:paraId="298DCD91" w14:textId="77777777" w:rsidR="003D352D" w:rsidRDefault="003D352D" w:rsidP="00D146A2"/>
    <w:p w14:paraId="4013F2C4" w14:textId="77777777" w:rsidR="003D352D" w:rsidRPr="0059146A" w:rsidRDefault="003D352D" w:rsidP="0059146A"/>
    <w:p w14:paraId="585520CB" w14:textId="77777777" w:rsidR="003D352D" w:rsidRPr="0059146A" w:rsidRDefault="003D352D" w:rsidP="0059146A"/>
    <w:p w14:paraId="54D7F28C" w14:textId="77777777" w:rsidR="003D352D" w:rsidRPr="0059146A" w:rsidRDefault="003D352D" w:rsidP="0059146A"/>
    <w:p w14:paraId="7B80C6CA" w14:textId="77777777" w:rsidR="003D352D" w:rsidRPr="0059146A" w:rsidRDefault="003D352D" w:rsidP="0059146A"/>
    <w:p w14:paraId="16571CBC" w14:textId="77777777" w:rsidR="003D352D" w:rsidRPr="0059146A" w:rsidRDefault="003D352D" w:rsidP="0059146A"/>
    <w:p w14:paraId="26F61AC3" w14:textId="77777777" w:rsidR="003D352D" w:rsidRPr="0059146A" w:rsidRDefault="003D352D" w:rsidP="0059146A"/>
    <w:p w14:paraId="4A6D62BC" w14:textId="77777777" w:rsidR="00A56F14" w:rsidRPr="0059146A" w:rsidRDefault="00A56F14" w:rsidP="00A56F14"/>
    <w:p w14:paraId="6171B377" w14:textId="77777777" w:rsidR="00A56F14" w:rsidRPr="0059146A" w:rsidRDefault="00A56F14" w:rsidP="0059146A"/>
    <w:p w14:paraId="61FECF05" w14:textId="77777777" w:rsidR="00A56F14" w:rsidRDefault="00A56F14" w:rsidP="0059146A"/>
    <w:p w14:paraId="0758D726" w14:textId="77777777" w:rsidR="0059146A" w:rsidRDefault="0059146A" w:rsidP="0059146A"/>
    <w:p w14:paraId="76428898" w14:textId="77777777" w:rsidR="0059146A" w:rsidRDefault="0059146A" w:rsidP="0059146A"/>
    <w:p w14:paraId="717F2D78" w14:textId="77777777" w:rsidR="0059146A" w:rsidRDefault="0059146A" w:rsidP="0059146A"/>
    <w:p w14:paraId="37005758" w14:textId="77777777" w:rsidR="0059146A" w:rsidRPr="0059146A" w:rsidRDefault="0059146A" w:rsidP="0059146A"/>
    <w:p w14:paraId="2323A376" w14:textId="77777777"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 xml:space="preserve">report </w:t>
      </w:r>
      <w:r w:rsidR="00550890">
        <w:rPr>
          <w:spacing w:val="-20"/>
          <w:sz w:val="60"/>
        </w:rPr>
        <w:t xml:space="preserve">SUMMARY </w:t>
      </w:r>
      <w:r>
        <w:rPr>
          <w:spacing w:val="-20"/>
          <w:sz w:val="60"/>
        </w:rPr>
        <w:t>201</w:t>
      </w:r>
      <w:r w:rsidR="00550890">
        <w:rPr>
          <w:spacing w:val="-20"/>
          <w:sz w:val="60"/>
        </w:rPr>
        <w:t>8-19</w:t>
      </w:r>
    </w:p>
    <w:p w14:paraId="2942AD33" w14:textId="77777777" w:rsidR="0059146A" w:rsidRDefault="002C103E" w:rsidP="00A56F14">
      <w:pPr>
        <w:rPr>
          <w:sz w:val="24"/>
        </w:rPr>
        <w:sectPr w:rsidR="0059146A" w:rsidSect="00A56F14">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Pr>
          <w:sz w:val="40"/>
        </w:rPr>
        <w:t>Laos</w:t>
      </w:r>
      <w:r w:rsidR="0059146A">
        <w:rPr>
          <w:sz w:val="40"/>
        </w:rPr>
        <w:br/>
      </w:r>
      <w:r w:rsidR="0059146A" w:rsidRPr="0059146A">
        <w:rPr>
          <w:sz w:val="24"/>
        </w:rPr>
        <w:t>September 201</w:t>
      </w:r>
      <w:r w:rsidR="00550890">
        <w:rPr>
          <w:sz w:val="24"/>
        </w:rPr>
        <w:t>9</w:t>
      </w:r>
    </w:p>
    <w:p w14:paraId="7DFB545E" w14:textId="77777777" w:rsidR="005B5769" w:rsidRPr="00BB648A" w:rsidRDefault="00D53B76" w:rsidP="00E01C62">
      <w:pPr>
        <w:pStyle w:val="Title"/>
        <w:spacing w:before="120" w:after="240" w:line="300" w:lineRule="exact"/>
        <w:contextualSpacing w:val="0"/>
        <w:rPr>
          <w:szCs w:val="38"/>
        </w:rPr>
      </w:pPr>
      <w:r w:rsidRPr="00D53B76">
        <w:rPr>
          <w:szCs w:val="38"/>
        </w:rPr>
        <w:lastRenderedPageBreak/>
        <w:t xml:space="preserve">LAOS </w:t>
      </w:r>
      <w:r w:rsidR="005B5769" w:rsidRPr="00BB648A">
        <w:rPr>
          <w:szCs w:val="38"/>
        </w:rPr>
        <w:t>Aid Program Performance Information 201</w:t>
      </w:r>
      <w:r w:rsidR="00272B5F">
        <w:rPr>
          <w:szCs w:val="38"/>
        </w:rPr>
        <w:t>8-19</w:t>
      </w:r>
    </w:p>
    <w:p w14:paraId="2DE087FF" w14:textId="77777777" w:rsidR="005B5769" w:rsidRPr="00877607" w:rsidRDefault="005B5769"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38"/>
          <w:lang w:val="en-GB" w:eastAsia="en-US"/>
        </w:rPr>
      </w:pPr>
      <w:r w:rsidRPr="00877607">
        <w:rPr>
          <w:rFonts w:asciiTheme="majorHAnsi" w:eastAsiaTheme="majorEastAsia" w:hAnsiTheme="majorHAnsi" w:cstheme="majorBidi"/>
          <w:caps/>
          <w:color w:val="495965" w:themeColor="text2"/>
          <w:sz w:val="38"/>
          <w:szCs w:val="38"/>
          <w:lang w:val="en-GB" w:eastAsia="en-US"/>
        </w:rPr>
        <w:t>Summary</w:t>
      </w:r>
    </w:p>
    <w:p w14:paraId="19CE0034" w14:textId="77777777" w:rsidR="00955C53" w:rsidRDefault="00955C53" w:rsidP="00D53B76">
      <w:pPr>
        <w:spacing w:after="120"/>
        <w:rPr>
          <w:color w:val="auto"/>
        </w:rPr>
      </w:pPr>
    </w:p>
    <w:p w14:paraId="0EEA9812" w14:textId="2B671FD9" w:rsidR="00F8366C" w:rsidRPr="00E079EE" w:rsidRDefault="00F8366C" w:rsidP="00F8366C">
      <w:pPr>
        <w:spacing w:after="120"/>
        <w:rPr>
          <w:color w:val="000000" w:themeColor="text1"/>
          <w:lang w:val="en-AU"/>
        </w:rPr>
      </w:pPr>
      <w:r w:rsidRPr="00E079EE">
        <w:rPr>
          <w:color w:val="000000" w:themeColor="text1"/>
        </w:rPr>
        <w:t xml:space="preserve">Australia is a valued partner in the Lao PDR. There are </w:t>
      </w:r>
      <w:r w:rsidR="008D5BE1">
        <w:rPr>
          <w:color w:val="000000" w:themeColor="text1"/>
        </w:rPr>
        <w:t>strong</w:t>
      </w:r>
      <w:r w:rsidR="008D5BE1" w:rsidRPr="00E079EE">
        <w:rPr>
          <w:color w:val="000000" w:themeColor="text1"/>
        </w:rPr>
        <w:t xml:space="preserve"> </w:t>
      </w:r>
      <w:r w:rsidRPr="00E079EE">
        <w:rPr>
          <w:color w:val="000000" w:themeColor="text1"/>
        </w:rPr>
        <w:t>ties between Australia and Lao</w:t>
      </w:r>
      <w:r w:rsidR="00E079EE">
        <w:rPr>
          <w:color w:val="000000" w:themeColor="text1"/>
        </w:rPr>
        <w:t>s</w:t>
      </w:r>
      <w:r w:rsidR="001140E7">
        <w:rPr>
          <w:color w:val="000000" w:themeColor="text1"/>
        </w:rPr>
        <w:t>, underpinned by over 67 years of unbroken</w:t>
      </w:r>
      <w:r w:rsidRPr="00E079EE">
        <w:rPr>
          <w:color w:val="000000" w:themeColor="text1"/>
        </w:rPr>
        <w:t xml:space="preserve"> diplomatic relations. </w:t>
      </w:r>
      <w:r w:rsidR="001140E7">
        <w:rPr>
          <w:color w:val="000000" w:themeColor="text1"/>
        </w:rPr>
        <w:t xml:space="preserve"> </w:t>
      </w:r>
      <w:r w:rsidRPr="00E079EE">
        <w:rPr>
          <w:color w:val="000000" w:themeColor="text1"/>
        </w:rPr>
        <w:t xml:space="preserve">Our well-targeted </w:t>
      </w:r>
      <w:r w:rsidR="00E079EE">
        <w:rPr>
          <w:color w:val="000000" w:themeColor="text1"/>
        </w:rPr>
        <w:t xml:space="preserve">development </w:t>
      </w:r>
      <w:r w:rsidR="001140E7">
        <w:rPr>
          <w:color w:val="000000" w:themeColor="text1"/>
        </w:rPr>
        <w:t xml:space="preserve">assistance </w:t>
      </w:r>
      <w:r w:rsidRPr="00E079EE">
        <w:rPr>
          <w:color w:val="000000" w:themeColor="text1"/>
        </w:rPr>
        <w:t xml:space="preserve">program is </w:t>
      </w:r>
      <w:r w:rsidR="008D5BE1">
        <w:rPr>
          <w:color w:val="000000" w:themeColor="text1"/>
        </w:rPr>
        <w:t xml:space="preserve">a </w:t>
      </w:r>
      <w:r w:rsidRPr="00E079EE">
        <w:rPr>
          <w:color w:val="000000" w:themeColor="text1"/>
        </w:rPr>
        <w:t>key</w:t>
      </w:r>
      <w:r w:rsidR="00F575CF">
        <w:rPr>
          <w:color w:val="000000" w:themeColor="text1"/>
        </w:rPr>
        <w:t xml:space="preserve"> </w:t>
      </w:r>
      <w:r w:rsidR="008D5BE1">
        <w:rPr>
          <w:color w:val="000000" w:themeColor="text1"/>
        </w:rPr>
        <w:t xml:space="preserve">element </w:t>
      </w:r>
      <w:r w:rsidR="00F575CF">
        <w:rPr>
          <w:color w:val="000000" w:themeColor="text1"/>
        </w:rPr>
        <w:t xml:space="preserve">in </w:t>
      </w:r>
      <w:r w:rsidRPr="00E079EE">
        <w:rPr>
          <w:color w:val="000000" w:themeColor="text1"/>
        </w:rPr>
        <w:t xml:space="preserve">our relationship. Australia is committed to </w:t>
      </w:r>
      <w:r w:rsidR="00E079EE">
        <w:rPr>
          <w:color w:val="000000" w:themeColor="text1"/>
        </w:rPr>
        <w:t xml:space="preserve">supporting </w:t>
      </w:r>
      <w:r w:rsidRPr="00E079EE">
        <w:rPr>
          <w:color w:val="000000" w:themeColor="text1"/>
        </w:rPr>
        <w:t>Laos</w:t>
      </w:r>
      <w:r w:rsidR="00E079EE">
        <w:rPr>
          <w:color w:val="000000" w:themeColor="text1"/>
        </w:rPr>
        <w:t xml:space="preserve"> </w:t>
      </w:r>
      <w:r w:rsidRPr="00E079EE">
        <w:rPr>
          <w:color w:val="000000" w:themeColor="text1"/>
        </w:rPr>
        <w:t xml:space="preserve">address development challenges and contribute to ASEAN and the Indo-Pacific as a stable and prosperous country. </w:t>
      </w:r>
    </w:p>
    <w:p w14:paraId="58D8A176" w14:textId="77777777" w:rsidR="00F8366C" w:rsidRPr="00E079EE" w:rsidRDefault="00F8366C" w:rsidP="00F8366C">
      <w:pPr>
        <w:spacing w:after="120"/>
        <w:rPr>
          <w:rFonts w:cstheme="minorHAnsi"/>
          <w:color w:val="000000" w:themeColor="text1"/>
          <w:lang w:eastAsia="en-AU"/>
        </w:rPr>
      </w:pPr>
      <w:r w:rsidRPr="00E079EE">
        <w:rPr>
          <w:rFonts w:cstheme="minorHAnsi"/>
          <w:color w:val="000000" w:themeColor="text1"/>
        </w:rPr>
        <w:t xml:space="preserve">Laos experienced a humanitarian disaster in July 2018 when a dam collapsed in Southern Laos and heavy rainfalls led to </w:t>
      </w:r>
      <w:r w:rsidR="00F575CF">
        <w:rPr>
          <w:rFonts w:cstheme="minorHAnsi"/>
          <w:color w:val="000000" w:themeColor="text1"/>
        </w:rPr>
        <w:t xml:space="preserve">widespread </w:t>
      </w:r>
      <w:r w:rsidRPr="00E079EE">
        <w:rPr>
          <w:rFonts w:cstheme="minorHAnsi"/>
          <w:color w:val="000000" w:themeColor="text1"/>
        </w:rPr>
        <w:t xml:space="preserve">floods across the country. The crisis impacted </w:t>
      </w:r>
      <w:r w:rsidR="00E079EE">
        <w:rPr>
          <w:rFonts w:cstheme="minorHAnsi"/>
          <w:color w:val="000000" w:themeColor="text1"/>
        </w:rPr>
        <w:t>over 600,000</w:t>
      </w:r>
      <w:r w:rsidRPr="00E079EE">
        <w:rPr>
          <w:rFonts w:cstheme="minorHAnsi"/>
          <w:color w:val="000000" w:themeColor="text1"/>
        </w:rPr>
        <w:t xml:space="preserve"> people - some </w:t>
      </w:r>
      <w:r w:rsidR="001140E7">
        <w:rPr>
          <w:rFonts w:cstheme="minorHAnsi"/>
          <w:color w:val="000000" w:themeColor="text1"/>
        </w:rPr>
        <w:t xml:space="preserve">of whom </w:t>
      </w:r>
      <w:r w:rsidRPr="00E079EE">
        <w:rPr>
          <w:rFonts w:cstheme="minorHAnsi"/>
          <w:color w:val="000000" w:themeColor="text1"/>
        </w:rPr>
        <w:t>continue to be displaced a year on. T</w:t>
      </w:r>
      <w:r w:rsidRPr="00E079EE">
        <w:rPr>
          <w:rFonts w:cstheme="minorHAnsi"/>
          <w:color w:val="000000" w:themeColor="text1"/>
          <w:lang w:eastAsia="en-AU"/>
        </w:rPr>
        <w:t>he total cost of the disaster on Laos’ economy is estimated at US$</w:t>
      </w:r>
      <w:r w:rsidR="00E079EE">
        <w:rPr>
          <w:rFonts w:cstheme="minorHAnsi"/>
          <w:color w:val="000000" w:themeColor="text1"/>
          <w:lang w:eastAsia="en-AU"/>
        </w:rPr>
        <w:t>520</w:t>
      </w:r>
      <w:r w:rsidRPr="00E079EE">
        <w:rPr>
          <w:rFonts w:cstheme="minorHAnsi"/>
          <w:color w:val="000000" w:themeColor="text1"/>
          <w:lang w:eastAsia="en-AU"/>
        </w:rPr>
        <w:t xml:space="preserve"> million. </w:t>
      </w:r>
      <w:r w:rsidR="00E079EE">
        <w:rPr>
          <w:rFonts w:cstheme="minorHAnsi"/>
          <w:color w:val="000000" w:themeColor="text1"/>
          <w:lang w:eastAsia="en-AU"/>
        </w:rPr>
        <w:t>All</w:t>
      </w:r>
      <w:r w:rsidRPr="00E079EE">
        <w:rPr>
          <w:rFonts w:cstheme="minorHAnsi"/>
          <w:color w:val="000000" w:themeColor="text1"/>
          <w:lang w:eastAsia="en-AU"/>
        </w:rPr>
        <w:t xml:space="preserve"> sectors</w:t>
      </w:r>
      <w:r w:rsidR="009C1DE7">
        <w:rPr>
          <w:rFonts w:cstheme="minorHAnsi"/>
          <w:color w:val="000000" w:themeColor="text1"/>
          <w:lang w:eastAsia="en-AU"/>
        </w:rPr>
        <w:t xml:space="preserve"> </w:t>
      </w:r>
      <w:r w:rsidRPr="00E079EE">
        <w:rPr>
          <w:rFonts w:cstheme="minorHAnsi"/>
          <w:color w:val="000000" w:themeColor="text1"/>
          <w:lang w:eastAsia="en-AU"/>
        </w:rPr>
        <w:t xml:space="preserve">continue to deal with the effects of the flooding. Australia was a first responder providing strong support to the Government of Laos and over $3 million of critical humanitarian assistance. </w:t>
      </w:r>
    </w:p>
    <w:p w14:paraId="09B70B2E" w14:textId="77777777" w:rsidR="00E079EE" w:rsidRDefault="00F8366C" w:rsidP="00F8366C">
      <w:pPr>
        <w:spacing w:after="120"/>
        <w:rPr>
          <w:color w:val="000000" w:themeColor="text1"/>
        </w:rPr>
      </w:pPr>
      <w:r w:rsidRPr="00E079EE">
        <w:rPr>
          <w:color w:val="000000" w:themeColor="text1"/>
        </w:rPr>
        <w:t xml:space="preserve">Laos’ economic growth remained strong </w:t>
      </w:r>
      <w:r w:rsidR="001140E7">
        <w:rPr>
          <w:color w:val="000000" w:themeColor="text1"/>
        </w:rPr>
        <w:t>at</w:t>
      </w:r>
      <w:r w:rsidRPr="00E079EE">
        <w:rPr>
          <w:color w:val="000000" w:themeColor="text1"/>
        </w:rPr>
        <w:t xml:space="preserve"> 6.5% in 2018</w:t>
      </w:r>
      <w:r w:rsidR="001140E7">
        <w:rPr>
          <w:color w:val="000000" w:themeColor="text1"/>
        </w:rPr>
        <w:t>,</w:t>
      </w:r>
      <w:r w:rsidRPr="00E079EE">
        <w:rPr>
          <w:color w:val="000000" w:themeColor="text1"/>
        </w:rPr>
        <w:t xml:space="preserve"> compared to 6.9% in 2017. </w:t>
      </w:r>
      <w:r w:rsidR="00E079EE">
        <w:rPr>
          <w:color w:val="000000" w:themeColor="text1"/>
        </w:rPr>
        <w:t>Key factors leading to the</w:t>
      </w:r>
      <w:r w:rsidR="004D7E6E">
        <w:rPr>
          <w:color w:val="000000" w:themeColor="text1"/>
        </w:rPr>
        <w:t xml:space="preserve"> modest</w:t>
      </w:r>
      <w:r w:rsidR="00E079EE">
        <w:rPr>
          <w:color w:val="000000" w:themeColor="text1"/>
        </w:rPr>
        <w:t xml:space="preserve"> slowdown </w:t>
      </w:r>
      <w:r w:rsidR="004D7E6E">
        <w:rPr>
          <w:color w:val="000000" w:themeColor="text1"/>
        </w:rPr>
        <w:t xml:space="preserve">in growth </w:t>
      </w:r>
      <w:r w:rsidR="00E079EE">
        <w:rPr>
          <w:color w:val="000000" w:themeColor="text1"/>
        </w:rPr>
        <w:t xml:space="preserve">were reduced revenue from the mining sector, continued fiscal challenges, </w:t>
      </w:r>
      <w:r w:rsidR="00F575CF">
        <w:rPr>
          <w:color w:val="000000" w:themeColor="text1"/>
        </w:rPr>
        <w:t xml:space="preserve">and the impact of the flooding and </w:t>
      </w:r>
      <w:r w:rsidR="004D7E6E">
        <w:rPr>
          <w:color w:val="000000" w:themeColor="text1"/>
        </w:rPr>
        <w:t xml:space="preserve">related </w:t>
      </w:r>
      <w:r w:rsidR="00F575CF">
        <w:rPr>
          <w:color w:val="000000" w:themeColor="text1"/>
        </w:rPr>
        <w:t xml:space="preserve">humanitarian crisis. </w:t>
      </w:r>
    </w:p>
    <w:p w14:paraId="4E3498FC" w14:textId="2E3D86D9" w:rsidR="00F8366C" w:rsidRPr="00E079EE" w:rsidRDefault="00F8366C" w:rsidP="00F8366C">
      <w:pPr>
        <w:spacing w:after="120"/>
        <w:rPr>
          <w:color w:val="000000" w:themeColor="text1"/>
        </w:rPr>
      </w:pPr>
      <w:r w:rsidRPr="00E079EE">
        <w:rPr>
          <w:color w:val="000000" w:themeColor="text1"/>
        </w:rPr>
        <w:t xml:space="preserve">Laos met </w:t>
      </w:r>
      <w:r w:rsidR="004D7E6E">
        <w:rPr>
          <w:color w:val="000000" w:themeColor="text1"/>
        </w:rPr>
        <w:t xml:space="preserve">some </w:t>
      </w:r>
      <w:r w:rsidRPr="00E079EE">
        <w:rPr>
          <w:color w:val="000000" w:themeColor="text1"/>
        </w:rPr>
        <w:t>eligibility criteria</w:t>
      </w:r>
      <w:r w:rsidR="004D7E6E">
        <w:rPr>
          <w:color w:val="000000" w:themeColor="text1"/>
        </w:rPr>
        <w:t xml:space="preserve"> for graduation</w:t>
      </w:r>
      <w:r w:rsidRPr="00E079EE">
        <w:rPr>
          <w:color w:val="000000" w:themeColor="text1"/>
        </w:rPr>
        <w:t xml:space="preserve"> from Least Developed Country (LDC) status for the first time in 2018. </w:t>
      </w:r>
      <w:r w:rsidR="004D7E6E">
        <w:rPr>
          <w:color w:val="000000" w:themeColor="text1"/>
        </w:rPr>
        <w:t xml:space="preserve"> </w:t>
      </w:r>
      <w:r w:rsidRPr="00E079EE">
        <w:rPr>
          <w:color w:val="000000" w:themeColor="text1"/>
        </w:rPr>
        <w:t xml:space="preserve">Laos </w:t>
      </w:r>
      <w:r w:rsidR="004D7E6E">
        <w:rPr>
          <w:color w:val="000000" w:themeColor="text1"/>
        </w:rPr>
        <w:t xml:space="preserve">is expected </w:t>
      </w:r>
      <w:r w:rsidRPr="00E079EE">
        <w:rPr>
          <w:color w:val="000000" w:themeColor="text1"/>
        </w:rPr>
        <w:t xml:space="preserve">to graduate from an LDC in 2024. </w:t>
      </w:r>
      <w:r w:rsidR="008D5BE1">
        <w:rPr>
          <w:color w:val="000000" w:themeColor="text1"/>
        </w:rPr>
        <w:t>E</w:t>
      </w:r>
      <w:r w:rsidRPr="00E079EE">
        <w:rPr>
          <w:color w:val="000000" w:themeColor="text1"/>
        </w:rPr>
        <w:t xml:space="preserve">conomic growth in Laos </w:t>
      </w:r>
      <w:r w:rsidR="00C446D5">
        <w:rPr>
          <w:color w:val="000000" w:themeColor="text1"/>
        </w:rPr>
        <w:t xml:space="preserve">is </w:t>
      </w:r>
      <w:r w:rsidRPr="00E079EE">
        <w:rPr>
          <w:color w:val="000000" w:themeColor="text1"/>
        </w:rPr>
        <w:t xml:space="preserve">driven by </w:t>
      </w:r>
      <w:r w:rsidR="00F575CF">
        <w:rPr>
          <w:color w:val="000000" w:themeColor="text1"/>
        </w:rPr>
        <w:t xml:space="preserve">the </w:t>
      </w:r>
      <w:r w:rsidRPr="00E079EE">
        <w:rPr>
          <w:color w:val="000000" w:themeColor="text1"/>
        </w:rPr>
        <w:t xml:space="preserve">capital-intensive natural resources sector and public sector investment in construction. </w:t>
      </w:r>
      <w:r w:rsidR="004D7E6E">
        <w:rPr>
          <w:color w:val="000000" w:themeColor="text1"/>
        </w:rPr>
        <w:t xml:space="preserve">As a result, </w:t>
      </w:r>
      <w:r w:rsidR="00E079EE">
        <w:rPr>
          <w:color w:val="000000" w:themeColor="text1"/>
        </w:rPr>
        <w:t xml:space="preserve">Laos’ sustained growth is yet to have a significant impact </w:t>
      </w:r>
      <w:r w:rsidRPr="00E079EE">
        <w:rPr>
          <w:color w:val="000000" w:themeColor="text1"/>
        </w:rPr>
        <w:t>on</w:t>
      </w:r>
      <w:r w:rsidR="00C446D5">
        <w:rPr>
          <w:color w:val="000000" w:themeColor="text1"/>
        </w:rPr>
        <w:t xml:space="preserve"> Lao</w:t>
      </w:r>
      <w:r w:rsidRPr="00E079EE">
        <w:rPr>
          <w:color w:val="000000" w:themeColor="text1"/>
        </w:rPr>
        <w:t xml:space="preserve"> people living in poverty, particularly those in rural areas</w:t>
      </w:r>
      <w:r w:rsidR="00F575CF">
        <w:rPr>
          <w:color w:val="000000" w:themeColor="text1"/>
        </w:rPr>
        <w:t>. There is rising inequality and persistent disadvantage of marginalised groups,</w:t>
      </w:r>
      <w:r w:rsidRPr="00E079EE">
        <w:rPr>
          <w:color w:val="000000" w:themeColor="text1"/>
        </w:rPr>
        <w:t xml:space="preserve"> especially women and men who identify as ethnic minorities. </w:t>
      </w:r>
    </w:p>
    <w:p w14:paraId="52DDDB01" w14:textId="6BE3AD3F" w:rsidR="00C446D5" w:rsidRDefault="00F575CF" w:rsidP="00F8366C">
      <w:pPr>
        <w:spacing w:after="120"/>
        <w:rPr>
          <w:rFonts w:cstheme="minorHAnsi"/>
          <w:color w:val="000000" w:themeColor="text1"/>
          <w:lang w:eastAsia="en-AU"/>
        </w:rPr>
      </w:pPr>
      <w:r>
        <w:rPr>
          <w:rFonts w:cstheme="minorHAnsi"/>
          <w:color w:val="000000" w:themeColor="text1"/>
          <w:lang w:eastAsia="en-AU"/>
        </w:rPr>
        <w:t>Fiscal challenges</w:t>
      </w:r>
      <w:r w:rsidR="00911C31">
        <w:rPr>
          <w:rFonts w:cstheme="minorHAnsi"/>
          <w:color w:val="000000" w:themeColor="text1"/>
          <w:lang w:eastAsia="en-AU"/>
        </w:rPr>
        <w:t>,</w:t>
      </w:r>
      <w:r>
        <w:rPr>
          <w:rFonts w:cstheme="minorHAnsi"/>
          <w:color w:val="000000" w:themeColor="text1"/>
          <w:lang w:eastAsia="en-AU"/>
        </w:rPr>
        <w:t xml:space="preserve"> including r</w:t>
      </w:r>
      <w:r w:rsidR="00F8366C" w:rsidRPr="00E079EE">
        <w:rPr>
          <w:rFonts w:cstheme="minorHAnsi"/>
          <w:color w:val="000000" w:themeColor="text1"/>
          <w:lang w:eastAsia="en-AU"/>
        </w:rPr>
        <w:t>ising public debt and a challenging business environment</w:t>
      </w:r>
      <w:r>
        <w:rPr>
          <w:rFonts w:cstheme="minorHAnsi"/>
          <w:color w:val="000000" w:themeColor="text1"/>
          <w:lang w:eastAsia="en-AU"/>
        </w:rPr>
        <w:t xml:space="preserve">, alongside </w:t>
      </w:r>
      <w:r w:rsidR="00F8366C" w:rsidRPr="00E079EE">
        <w:rPr>
          <w:rFonts w:cstheme="minorHAnsi"/>
          <w:color w:val="000000" w:themeColor="text1"/>
          <w:lang w:eastAsia="en-AU"/>
        </w:rPr>
        <w:t>gaps in workforce skills</w:t>
      </w:r>
      <w:r w:rsidR="00911C31">
        <w:rPr>
          <w:rFonts w:cstheme="minorHAnsi"/>
          <w:color w:val="000000" w:themeColor="text1"/>
          <w:lang w:eastAsia="en-AU"/>
        </w:rPr>
        <w:t>,</w:t>
      </w:r>
      <w:r w:rsidR="00F8366C" w:rsidRPr="00E079EE">
        <w:rPr>
          <w:rFonts w:cstheme="minorHAnsi"/>
          <w:color w:val="000000" w:themeColor="text1"/>
          <w:lang w:eastAsia="en-AU"/>
        </w:rPr>
        <w:t xml:space="preserve"> are obstacles to development, employment and investment in Laos.</w:t>
      </w:r>
      <w:r w:rsidR="00E4390A">
        <w:rPr>
          <w:rFonts w:cstheme="minorHAnsi"/>
          <w:color w:val="000000" w:themeColor="text1"/>
          <w:lang w:eastAsia="en-AU"/>
        </w:rPr>
        <w:t xml:space="preserve"> Capacity constraints in Lao Government</w:t>
      </w:r>
      <w:r w:rsidR="008D5BE1">
        <w:rPr>
          <w:rFonts w:cstheme="minorHAnsi"/>
          <w:color w:val="000000" w:themeColor="text1"/>
          <w:lang w:eastAsia="en-AU"/>
        </w:rPr>
        <w:t xml:space="preserve"> agencies</w:t>
      </w:r>
      <w:r w:rsidR="00E4390A">
        <w:rPr>
          <w:rFonts w:cstheme="minorHAnsi"/>
          <w:color w:val="000000" w:themeColor="text1"/>
          <w:lang w:eastAsia="en-AU"/>
        </w:rPr>
        <w:t xml:space="preserve"> and budget reductions to the social sectors present a challenging context for delivery of our development program. </w:t>
      </w:r>
      <w:r w:rsidR="00F8366C" w:rsidRPr="00E079EE">
        <w:rPr>
          <w:rFonts w:cstheme="minorHAnsi"/>
          <w:color w:val="000000" w:themeColor="text1"/>
          <w:lang w:eastAsia="en-AU"/>
        </w:rPr>
        <w:t xml:space="preserve">Laos has one of the youngest populations in South-East Asia with 43% of the population under the age of 20. </w:t>
      </w:r>
      <w:r w:rsidR="008D5BE1">
        <w:rPr>
          <w:rFonts w:cstheme="minorHAnsi"/>
          <w:color w:val="000000" w:themeColor="text1"/>
          <w:lang w:eastAsia="en-AU"/>
        </w:rPr>
        <w:t>Of</w:t>
      </w:r>
      <w:r w:rsidR="008D5BE1" w:rsidRPr="00E079EE">
        <w:rPr>
          <w:rFonts w:cstheme="minorHAnsi"/>
          <w:color w:val="000000" w:themeColor="text1"/>
          <w:lang w:eastAsia="en-AU"/>
        </w:rPr>
        <w:t xml:space="preserve"> </w:t>
      </w:r>
      <w:r w:rsidR="001D0ECB">
        <w:rPr>
          <w:rFonts w:cstheme="minorHAnsi"/>
          <w:color w:val="000000" w:themeColor="text1"/>
          <w:lang w:eastAsia="en-AU"/>
        </w:rPr>
        <w:t xml:space="preserve">the </w:t>
      </w:r>
      <w:r w:rsidR="00F8366C" w:rsidRPr="00E079EE">
        <w:rPr>
          <w:rFonts w:cstheme="minorHAnsi"/>
          <w:color w:val="000000" w:themeColor="text1"/>
          <w:lang w:eastAsia="en-AU"/>
        </w:rPr>
        <w:t xml:space="preserve">Lao people without a formal education, 47% live below the poverty line. </w:t>
      </w:r>
    </w:p>
    <w:p w14:paraId="24279EF0" w14:textId="77777777" w:rsidR="00F8366C" w:rsidRPr="00E079EE" w:rsidRDefault="007E428A" w:rsidP="00F8366C">
      <w:pPr>
        <w:spacing w:after="120"/>
        <w:rPr>
          <w:rFonts w:cstheme="minorHAnsi"/>
          <w:color w:val="000000" w:themeColor="text1"/>
          <w:lang w:eastAsia="en-AU"/>
        </w:rPr>
      </w:pPr>
      <w:r>
        <w:rPr>
          <w:rFonts w:cstheme="minorHAnsi"/>
          <w:color w:val="000000" w:themeColor="text1"/>
          <w:lang w:eastAsia="en-AU"/>
        </w:rPr>
        <w:t xml:space="preserve">Laos is making a concerted effort to develop a policy and regulatory framework that promotes gender equality. </w:t>
      </w:r>
      <w:r w:rsidR="000F2049">
        <w:rPr>
          <w:rFonts w:cstheme="minorHAnsi"/>
          <w:color w:val="000000" w:themeColor="text1"/>
          <w:lang w:eastAsia="en-AU"/>
        </w:rPr>
        <w:t xml:space="preserve">Lao women are </w:t>
      </w:r>
      <w:r>
        <w:rPr>
          <w:rFonts w:cstheme="minorHAnsi"/>
          <w:color w:val="000000" w:themeColor="text1"/>
          <w:lang w:eastAsia="en-AU"/>
        </w:rPr>
        <w:t xml:space="preserve">increasingly represented in the National Assembly (27%) however women in rural areas remain </w:t>
      </w:r>
      <w:r w:rsidR="000F2049">
        <w:rPr>
          <w:rFonts w:cstheme="minorHAnsi"/>
          <w:color w:val="000000" w:themeColor="text1"/>
          <w:lang w:eastAsia="en-AU"/>
        </w:rPr>
        <w:t>largely excluded from decision-making</w:t>
      </w:r>
      <w:r w:rsidR="00C446D5">
        <w:rPr>
          <w:rFonts w:cstheme="minorHAnsi"/>
          <w:color w:val="000000" w:themeColor="text1"/>
          <w:lang w:eastAsia="en-AU"/>
        </w:rPr>
        <w:t>, and lag behind in economic, education and health opportunities. Over 30% of Lao women experience violence and early marriage</w:t>
      </w:r>
      <w:r w:rsidR="009C1DE7">
        <w:rPr>
          <w:rFonts w:cstheme="minorHAnsi"/>
          <w:color w:val="000000" w:themeColor="text1"/>
          <w:lang w:eastAsia="en-AU"/>
        </w:rPr>
        <w:t xml:space="preserve"> remains high</w:t>
      </w:r>
      <w:r w:rsidR="00C446D5">
        <w:rPr>
          <w:rFonts w:cstheme="minorHAnsi"/>
          <w:color w:val="000000" w:themeColor="text1"/>
          <w:lang w:eastAsia="en-AU"/>
        </w:rPr>
        <w:t>.</w:t>
      </w:r>
      <w:r>
        <w:rPr>
          <w:rFonts w:cstheme="minorHAnsi"/>
          <w:color w:val="000000" w:themeColor="text1"/>
          <w:lang w:eastAsia="en-AU"/>
        </w:rPr>
        <w:t xml:space="preserve"> </w:t>
      </w:r>
    </w:p>
    <w:p w14:paraId="1F093468" w14:textId="77777777" w:rsidR="00F8366C" w:rsidRPr="00E079EE" w:rsidRDefault="00F8366C" w:rsidP="00F8366C">
      <w:pPr>
        <w:spacing w:after="120"/>
        <w:rPr>
          <w:rFonts w:cstheme="minorHAnsi"/>
          <w:color w:val="000000" w:themeColor="text1"/>
          <w:lang w:eastAsia="en-AU"/>
        </w:rPr>
      </w:pPr>
      <w:r w:rsidRPr="00E079EE">
        <w:rPr>
          <w:rFonts w:cstheme="minorHAnsi"/>
          <w:color w:val="000000" w:themeColor="text1"/>
          <w:lang w:eastAsia="en-AU"/>
        </w:rPr>
        <w:t xml:space="preserve">Australia’s </w:t>
      </w:r>
      <w:r w:rsidR="006F7CDB">
        <w:rPr>
          <w:rFonts w:cstheme="minorHAnsi"/>
          <w:color w:val="000000" w:themeColor="text1"/>
          <w:lang w:eastAsia="en-AU"/>
        </w:rPr>
        <w:t>development assistance</w:t>
      </w:r>
      <w:r w:rsidRPr="00E079EE">
        <w:rPr>
          <w:rFonts w:cstheme="minorHAnsi"/>
          <w:color w:val="000000" w:themeColor="text1"/>
          <w:lang w:eastAsia="en-AU"/>
        </w:rPr>
        <w:t xml:space="preserve"> is aligned with Laos’ eighth </w:t>
      </w:r>
      <w:r w:rsidRPr="00E079EE">
        <w:rPr>
          <w:rFonts w:cstheme="minorHAnsi"/>
          <w:i/>
          <w:color w:val="000000" w:themeColor="text1"/>
          <w:lang w:eastAsia="en-AU"/>
        </w:rPr>
        <w:t xml:space="preserve">National Socio-Economic Development Plan 2016-20. </w:t>
      </w:r>
      <w:r w:rsidRPr="00E079EE">
        <w:rPr>
          <w:rFonts w:cstheme="minorHAnsi"/>
          <w:color w:val="000000" w:themeColor="text1"/>
          <w:lang w:eastAsia="en-AU"/>
        </w:rPr>
        <w:t xml:space="preserve"> Our priorities include: improving basic education; addressing human resource needs; and supporting quality trade and a robust private sector in an improved business environment. We focus on human rights, </w:t>
      </w:r>
      <w:r w:rsidR="0018076B">
        <w:rPr>
          <w:rFonts w:cstheme="minorHAnsi"/>
          <w:color w:val="000000" w:themeColor="text1"/>
          <w:lang w:eastAsia="en-AU"/>
        </w:rPr>
        <w:t xml:space="preserve">including </w:t>
      </w:r>
      <w:r w:rsidR="00EB40BF">
        <w:rPr>
          <w:rFonts w:cstheme="minorHAnsi"/>
          <w:color w:val="000000" w:themeColor="text1"/>
          <w:lang w:eastAsia="en-AU"/>
        </w:rPr>
        <w:t xml:space="preserve">by providing technical assistance that underpins </w:t>
      </w:r>
      <w:r w:rsidRPr="00E079EE">
        <w:rPr>
          <w:rFonts w:cstheme="minorHAnsi"/>
          <w:color w:val="000000" w:themeColor="text1"/>
          <w:lang w:eastAsia="en-AU"/>
        </w:rPr>
        <w:t>a biennial Lao</w:t>
      </w:r>
      <w:r w:rsidR="0002161D">
        <w:rPr>
          <w:rFonts w:cstheme="minorHAnsi"/>
          <w:color w:val="000000" w:themeColor="text1"/>
          <w:lang w:eastAsia="en-AU"/>
        </w:rPr>
        <w:t>s</w:t>
      </w:r>
      <w:r w:rsidRPr="00E079EE">
        <w:rPr>
          <w:rFonts w:cstheme="minorHAnsi"/>
          <w:color w:val="000000" w:themeColor="text1"/>
          <w:lang w:eastAsia="en-AU"/>
        </w:rPr>
        <w:t xml:space="preserve">-Australia Human Rights Dialogue. Through regional and global programs we </w:t>
      </w:r>
      <w:r w:rsidR="006F7CDB">
        <w:rPr>
          <w:rFonts w:cstheme="minorHAnsi"/>
          <w:color w:val="000000" w:themeColor="text1"/>
          <w:lang w:eastAsia="en-AU"/>
        </w:rPr>
        <w:t xml:space="preserve">deliver </w:t>
      </w:r>
      <w:r w:rsidRPr="00E079EE">
        <w:rPr>
          <w:rFonts w:cstheme="minorHAnsi"/>
          <w:color w:val="000000" w:themeColor="text1"/>
          <w:lang w:eastAsia="en-AU"/>
        </w:rPr>
        <w:t xml:space="preserve">a </w:t>
      </w:r>
      <w:r w:rsidR="006F7CDB">
        <w:rPr>
          <w:rFonts w:cstheme="minorHAnsi"/>
          <w:color w:val="000000" w:themeColor="text1"/>
          <w:lang w:eastAsia="en-AU"/>
        </w:rPr>
        <w:t xml:space="preserve">range of </w:t>
      </w:r>
      <w:r w:rsidR="00EB40BF">
        <w:rPr>
          <w:rFonts w:cstheme="minorHAnsi"/>
          <w:color w:val="000000" w:themeColor="text1"/>
          <w:lang w:eastAsia="en-AU"/>
        </w:rPr>
        <w:t xml:space="preserve">assistance </w:t>
      </w:r>
      <w:r w:rsidRPr="00E079EE">
        <w:rPr>
          <w:rFonts w:cstheme="minorHAnsi"/>
          <w:color w:val="000000" w:themeColor="text1"/>
          <w:lang w:eastAsia="en-AU"/>
        </w:rPr>
        <w:t>includ</w:t>
      </w:r>
      <w:r w:rsidR="006F7CDB">
        <w:rPr>
          <w:rFonts w:cstheme="minorHAnsi"/>
          <w:color w:val="000000" w:themeColor="text1"/>
          <w:lang w:eastAsia="en-AU"/>
        </w:rPr>
        <w:t>ing improving</w:t>
      </w:r>
      <w:r w:rsidRPr="00E079EE">
        <w:rPr>
          <w:rFonts w:cstheme="minorHAnsi"/>
          <w:color w:val="000000" w:themeColor="text1"/>
          <w:lang w:eastAsia="en-AU"/>
        </w:rPr>
        <w:t xml:space="preserve"> water resource management, addressing human trafficking</w:t>
      </w:r>
      <w:r w:rsidR="006F7CDB">
        <w:rPr>
          <w:rFonts w:cstheme="minorHAnsi"/>
          <w:color w:val="000000" w:themeColor="text1"/>
          <w:lang w:eastAsia="en-AU"/>
        </w:rPr>
        <w:t xml:space="preserve"> and working with civil society. </w:t>
      </w:r>
    </w:p>
    <w:p w14:paraId="3F2C3DBE" w14:textId="77777777" w:rsidR="00F8366C" w:rsidRDefault="00F8366C" w:rsidP="00F8366C">
      <w:pPr>
        <w:spacing w:after="120"/>
        <w:rPr>
          <w:rFonts w:cstheme="minorHAnsi"/>
          <w:color w:val="000000" w:themeColor="text1"/>
          <w:lang w:eastAsia="en-AU"/>
        </w:rPr>
      </w:pPr>
      <w:r w:rsidRPr="00E079EE">
        <w:rPr>
          <w:rFonts w:cstheme="minorHAnsi"/>
          <w:color w:val="000000" w:themeColor="text1"/>
          <w:lang w:eastAsia="en-AU"/>
        </w:rPr>
        <w:t xml:space="preserve">Australia takes a leadership role </w:t>
      </w:r>
      <w:r w:rsidR="006F7CDB">
        <w:rPr>
          <w:rFonts w:cstheme="minorHAnsi"/>
          <w:color w:val="000000" w:themeColor="text1"/>
          <w:lang w:eastAsia="en-AU"/>
        </w:rPr>
        <w:t>in</w:t>
      </w:r>
      <w:r w:rsidRPr="00E079EE">
        <w:rPr>
          <w:rFonts w:cstheme="minorHAnsi"/>
          <w:color w:val="000000" w:themeColor="text1"/>
          <w:lang w:eastAsia="en-AU"/>
        </w:rPr>
        <w:t xml:space="preserve"> our key sectors. We are currently co-chair of the Education, Trade and Private Sector</w:t>
      </w:r>
      <w:r w:rsidR="006F7CDB">
        <w:rPr>
          <w:rFonts w:cstheme="minorHAnsi"/>
          <w:color w:val="000000" w:themeColor="text1"/>
          <w:lang w:eastAsia="en-AU"/>
        </w:rPr>
        <w:t xml:space="preserve">, </w:t>
      </w:r>
      <w:r w:rsidRPr="00E079EE">
        <w:rPr>
          <w:rFonts w:cstheme="minorHAnsi"/>
          <w:color w:val="000000" w:themeColor="text1"/>
          <w:lang w:eastAsia="en-AU"/>
        </w:rPr>
        <w:t>Illicit Drugs</w:t>
      </w:r>
      <w:r w:rsidR="006F7CDB">
        <w:rPr>
          <w:rFonts w:cstheme="minorHAnsi"/>
          <w:color w:val="000000" w:themeColor="text1"/>
          <w:lang w:eastAsia="en-AU"/>
        </w:rPr>
        <w:t xml:space="preserve"> and Water</w:t>
      </w:r>
      <w:r w:rsidRPr="00E079EE">
        <w:rPr>
          <w:rFonts w:cstheme="minorHAnsi"/>
          <w:color w:val="000000" w:themeColor="text1"/>
          <w:lang w:eastAsia="en-AU"/>
        </w:rPr>
        <w:t xml:space="preserve"> Working Groups which form part of the donor coordination mechanism in Laos. We have strong people-to-people links. Our Alumni, now over </w:t>
      </w:r>
      <w:r w:rsidR="000E4D35">
        <w:rPr>
          <w:rFonts w:cstheme="minorHAnsi"/>
          <w:color w:val="000000" w:themeColor="text1"/>
          <w:lang w:eastAsia="en-AU"/>
        </w:rPr>
        <w:t>1,701</w:t>
      </w:r>
      <w:r w:rsidRPr="00E079EE">
        <w:rPr>
          <w:rFonts w:cstheme="minorHAnsi"/>
          <w:color w:val="000000" w:themeColor="text1"/>
          <w:lang w:eastAsia="en-AU"/>
        </w:rPr>
        <w:t xml:space="preserve"> people</w:t>
      </w:r>
      <w:r w:rsidR="000E4D35">
        <w:rPr>
          <w:rFonts w:cstheme="minorHAnsi"/>
          <w:color w:val="000000" w:themeColor="text1"/>
          <w:lang w:eastAsia="en-AU"/>
        </w:rPr>
        <w:t xml:space="preserve"> (791 women)</w:t>
      </w:r>
      <w:r w:rsidRPr="00E079EE">
        <w:rPr>
          <w:rFonts w:cstheme="minorHAnsi"/>
          <w:color w:val="000000" w:themeColor="text1"/>
          <w:lang w:eastAsia="en-AU"/>
        </w:rPr>
        <w:t xml:space="preserve">, are a dynamic part of the relationship between our countries. </w:t>
      </w:r>
    </w:p>
    <w:p w14:paraId="1F497233" w14:textId="563CDA56" w:rsidR="00E4390A" w:rsidRPr="00E079EE" w:rsidRDefault="00E4390A" w:rsidP="00E4390A">
      <w:pPr>
        <w:spacing w:after="120"/>
        <w:rPr>
          <w:rFonts w:cstheme="minorHAnsi"/>
          <w:color w:val="000000" w:themeColor="text1"/>
          <w:lang w:eastAsia="en-AU"/>
        </w:rPr>
      </w:pPr>
      <w:r>
        <w:rPr>
          <w:rFonts w:cstheme="minorHAnsi"/>
          <w:color w:val="000000" w:themeColor="text1"/>
          <w:lang w:eastAsia="en-AU"/>
        </w:rPr>
        <w:t xml:space="preserve">The performance of Australia’s development assistance in Laos for 2018-19 was strong. All key objectives were on track </w:t>
      </w:r>
      <w:r w:rsidR="008D5BE1">
        <w:rPr>
          <w:rFonts w:cstheme="minorHAnsi"/>
          <w:color w:val="000000" w:themeColor="text1"/>
          <w:lang w:eastAsia="en-AU"/>
        </w:rPr>
        <w:t>at</w:t>
      </w:r>
      <w:r>
        <w:rPr>
          <w:rFonts w:cstheme="minorHAnsi"/>
          <w:color w:val="000000" w:themeColor="text1"/>
          <w:lang w:eastAsia="en-AU"/>
        </w:rPr>
        <w:t xml:space="preserve"> this stage of implementation. </w:t>
      </w:r>
    </w:p>
    <w:p w14:paraId="5FAECFA3" w14:textId="77777777" w:rsidR="000F2049" w:rsidRDefault="000F2049" w:rsidP="00E079EE">
      <w:pPr>
        <w:spacing w:after="120"/>
        <w:rPr>
          <w:rFonts w:cstheme="minorHAnsi"/>
          <w:color w:val="000000" w:themeColor="text1"/>
          <w:lang w:eastAsia="en-AU"/>
        </w:rPr>
      </w:pPr>
    </w:p>
    <w:p w14:paraId="50609A7F" w14:textId="77777777" w:rsidR="00184F1E" w:rsidRPr="00BB648A" w:rsidRDefault="00184F1E"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38"/>
          <w:lang w:val="en-GB" w:eastAsia="en-US"/>
        </w:rPr>
      </w:pPr>
      <w:r w:rsidRPr="00BB648A">
        <w:rPr>
          <w:rFonts w:asciiTheme="majorHAnsi" w:eastAsiaTheme="majorEastAsia" w:hAnsiTheme="majorHAnsi" w:cstheme="majorBidi"/>
          <w:caps/>
          <w:color w:val="495965" w:themeColor="text2"/>
          <w:sz w:val="38"/>
          <w:szCs w:val="38"/>
          <w:lang w:val="en-GB" w:eastAsia="en-US"/>
        </w:rPr>
        <w:t>Expenditure</w:t>
      </w:r>
    </w:p>
    <w:p w14:paraId="2513E4C3" w14:textId="77777777" w:rsidR="00184F1E" w:rsidRPr="00E079EE" w:rsidRDefault="00184F1E" w:rsidP="00184F1E">
      <w:pPr>
        <w:rPr>
          <w:b/>
          <w:sz w:val="24"/>
        </w:rPr>
      </w:pPr>
      <w:r w:rsidRPr="00E079EE">
        <w:rPr>
          <w:b/>
          <w:sz w:val="24"/>
        </w:rPr>
        <w:t xml:space="preserve">Table </w:t>
      </w:r>
      <w:r w:rsidRPr="00E079EE">
        <w:rPr>
          <w:b/>
          <w:sz w:val="24"/>
        </w:rPr>
        <w:fldChar w:fldCharType="begin"/>
      </w:r>
      <w:r w:rsidRPr="00E079EE">
        <w:rPr>
          <w:b/>
          <w:sz w:val="24"/>
        </w:rPr>
        <w:instrText xml:space="preserve"> SEQ Table \* ARABIC </w:instrText>
      </w:r>
      <w:r w:rsidRPr="00E079EE">
        <w:rPr>
          <w:b/>
          <w:sz w:val="24"/>
        </w:rPr>
        <w:fldChar w:fldCharType="separate"/>
      </w:r>
      <w:r w:rsidR="00550108">
        <w:rPr>
          <w:b/>
          <w:noProof/>
          <w:sz w:val="24"/>
        </w:rPr>
        <w:t>1</w:t>
      </w:r>
      <w:r w:rsidRPr="00E079EE">
        <w:rPr>
          <w:b/>
          <w:noProof/>
          <w:sz w:val="24"/>
        </w:rPr>
        <w:fldChar w:fldCharType="end"/>
      </w:r>
      <w:r w:rsidRPr="00E079EE">
        <w:rPr>
          <w:b/>
          <w:sz w:val="24"/>
        </w:rPr>
        <w:t xml:space="preserve"> Total ODA Expenditure in FY 201</w:t>
      </w:r>
      <w:r w:rsidR="00272B5F" w:rsidRPr="00E079EE">
        <w:rPr>
          <w:b/>
          <w:sz w:val="24"/>
        </w:rPr>
        <w:t>8-19</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2C6A1B" w:rsidRPr="00AB660C" w14:paraId="18CA6675" w14:textId="77777777" w:rsidTr="00CD1652">
        <w:tc>
          <w:tcPr>
            <w:tcW w:w="6374" w:type="dxa"/>
          </w:tcPr>
          <w:p w14:paraId="073BD287" w14:textId="77777777" w:rsidR="00CD1652" w:rsidRPr="00AB660C" w:rsidRDefault="00CD1652" w:rsidP="00E01C62">
            <w:pPr>
              <w:spacing w:before="60"/>
              <w:rPr>
                <w:b/>
                <w:color w:val="000000" w:themeColor="text1"/>
                <w:sz w:val="24"/>
              </w:rPr>
            </w:pPr>
            <w:r w:rsidRPr="00AB660C">
              <w:rPr>
                <w:color w:val="000000" w:themeColor="text1"/>
                <w:sz w:val="20"/>
              </w:rPr>
              <w:t>Objective</w:t>
            </w:r>
          </w:p>
        </w:tc>
        <w:tc>
          <w:tcPr>
            <w:tcW w:w="1423" w:type="dxa"/>
          </w:tcPr>
          <w:p w14:paraId="1D0835AD" w14:textId="77777777" w:rsidR="00CD1652" w:rsidRPr="00AB660C" w:rsidRDefault="00CD1652" w:rsidP="00E079EE">
            <w:pPr>
              <w:spacing w:before="60"/>
              <w:jc w:val="right"/>
              <w:rPr>
                <w:b/>
                <w:color w:val="000000" w:themeColor="text1"/>
                <w:sz w:val="24"/>
              </w:rPr>
            </w:pPr>
            <w:r w:rsidRPr="00AB660C">
              <w:rPr>
                <w:color w:val="000000" w:themeColor="text1"/>
                <w:sz w:val="20"/>
              </w:rPr>
              <w:t>A$ million</w:t>
            </w:r>
          </w:p>
        </w:tc>
        <w:tc>
          <w:tcPr>
            <w:tcW w:w="1417" w:type="dxa"/>
          </w:tcPr>
          <w:p w14:paraId="5EFFDCE7" w14:textId="77777777" w:rsidR="00CD1652" w:rsidRPr="00AB660C" w:rsidRDefault="00CD1652" w:rsidP="00E079EE">
            <w:pPr>
              <w:spacing w:before="60"/>
              <w:jc w:val="right"/>
              <w:rPr>
                <w:b/>
                <w:color w:val="000000" w:themeColor="text1"/>
                <w:sz w:val="24"/>
              </w:rPr>
            </w:pPr>
            <w:r w:rsidRPr="00AB660C">
              <w:rPr>
                <w:color w:val="000000" w:themeColor="text1"/>
                <w:sz w:val="20"/>
              </w:rPr>
              <w:t>% of total ODA</w:t>
            </w:r>
          </w:p>
        </w:tc>
      </w:tr>
      <w:tr w:rsidR="002C6A1B" w:rsidRPr="00AB660C" w14:paraId="4391175D" w14:textId="77777777" w:rsidTr="00CD1652">
        <w:tc>
          <w:tcPr>
            <w:tcW w:w="6374" w:type="dxa"/>
          </w:tcPr>
          <w:p w14:paraId="27C9567F" w14:textId="77777777" w:rsidR="003B74A9" w:rsidRPr="00AB660C" w:rsidRDefault="003B74A9" w:rsidP="003B74A9">
            <w:pPr>
              <w:spacing w:before="60"/>
              <w:rPr>
                <w:color w:val="000000" w:themeColor="text1"/>
                <w:sz w:val="20"/>
              </w:rPr>
            </w:pPr>
            <w:r w:rsidRPr="00AB660C">
              <w:rPr>
                <w:color w:val="000000" w:themeColor="text1"/>
                <w:sz w:val="20"/>
              </w:rPr>
              <w:t>Objective 1 More disadvantaged girls and boys complete a quality basic  education</w:t>
            </w:r>
          </w:p>
        </w:tc>
        <w:tc>
          <w:tcPr>
            <w:tcW w:w="1423" w:type="dxa"/>
          </w:tcPr>
          <w:p w14:paraId="7207FE41" w14:textId="77777777" w:rsidR="003B74A9" w:rsidRPr="00AB660C" w:rsidRDefault="003B74A9" w:rsidP="00E079EE">
            <w:pPr>
              <w:spacing w:before="60"/>
              <w:jc w:val="right"/>
              <w:rPr>
                <w:b/>
                <w:color w:val="000000" w:themeColor="text1"/>
                <w:sz w:val="24"/>
              </w:rPr>
            </w:pPr>
            <w:r w:rsidRPr="00AB660C">
              <w:rPr>
                <w:color w:val="000000" w:themeColor="text1"/>
              </w:rPr>
              <w:t>10.4 m</w:t>
            </w:r>
          </w:p>
        </w:tc>
        <w:tc>
          <w:tcPr>
            <w:tcW w:w="1417" w:type="dxa"/>
          </w:tcPr>
          <w:p w14:paraId="37B205B1" w14:textId="77777777" w:rsidR="003B74A9" w:rsidRPr="00AB660C" w:rsidRDefault="003B74A9" w:rsidP="00E079EE">
            <w:pPr>
              <w:spacing w:before="60"/>
              <w:jc w:val="right"/>
              <w:rPr>
                <w:b/>
                <w:color w:val="000000" w:themeColor="text1"/>
                <w:sz w:val="24"/>
              </w:rPr>
            </w:pPr>
            <w:r w:rsidRPr="00AB660C">
              <w:rPr>
                <w:color w:val="000000" w:themeColor="text1"/>
              </w:rPr>
              <w:t>43%</w:t>
            </w:r>
          </w:p>
        </w:tc>
      </w:tr>
      <w:tr w:rsidR="002C6A1B" w:rsidRPr="00AB660C" w14:paraId="63018227" w14:textId="77777777" w:rsidTr="00CD1652">
        <w:tc>
          <w:tcPr>
            <w:tcW w:w="6374" w:type="dxa"/>
          </w:tcPr>
          <w:p w14:paraId="303A303D" w14:textId="77777777" w:rsidR="003B74A9" w:rsidRPr="00AB660C" w:rsidRDefault="003B74A9" w:rsidP="003B74A9">
            <w:pPr>
              <w:spacing w:before="60"/>
              <w:rPr>
                <w:color w:val="000000" w:themeColor="text1"/>
                <w:sz w:val="20"/>
              </w:rPr>
            </w:pPr>
            <w:r w:rsidRPr="00AB660C">
              <w:rPr>
                <w:color w:val="000000" w:themeColor="text1"/>
                <w:sz w:val="20"/>
              </w:rPr>
              <w:t>Objective 2  Improving Laos’ human resources through scholarships, training and organisational capacity building</w:t>
            </w:r>
          </w:p>
        </w:tc>
        <w:tc>
          <w:tcPr>
            <w:tcW w:w="1423" w:type="dxa"/>
          </w:tcPr>
          <w:p w14:paraId="43596BC0" w14:textId="77777777" w:rsidR="003B74A9" w:rsidRPr="00AB660C" w:rsidRDefault="003B74A9" w:rsidP="00E079EE">
            <w:pPr>
              <w:spacing w:before="60"/>
              <w:jc w:val="right"/>
              <w:rPr>
                <w:b/>
                <w:color w:val="000000" w:themeColor="text1"/>
                <w:sz w:val="24"/>
              </w:rPr>
            </w:pPr>
            <w:r w:rsidRPr="00AB660C">
              <w:rPr>
                <w:color w:val="000000" w:themeColor="text1"/>
              </w:rPr>
              <w:t>6.0 m</w:t>
            </w:r>
          </w:p>
        </w:tc>
        <w:tc>
          <w:tcPr>
            <w:tcW w:w="1417" w:type="dxa"/>
          </w:tcPr>
          <w:p w14:paraId="58878B8D" w14:textId="77777777" w:rsidR="003B74A9" w:rsidRPr="00AB660C" w:rsidRDefault="003B74A9" w:rsidP="00E079EE">
            <w:pPr>
              <w:spacing w:before="60"/>
              <w:jc w:val="right"/>
              <w:rPr>
                <w:b/>
                <w:color w:val="000000" w:themeColor="text1"/>
                <w:sz w:val="24"/>
              </w:rPr>
            </w:pPr>
            <w:r w:rsidRPr="00AB660C">
              <w:rPr>
                <w:color w:val="000000" w:themeColor="text1"/>
              </w:rPr>
              <w:t>25%</w:t>
            </w:r>
          </w:p>
        </w:tc>
      </w:tr>
      <w:tr w:rsidR="002C6A1B" w:rsidRPr="00AB660C" w14:paraId="2280419D" w14:textId="77777777" w:rsidTr="00CD1652">
        <w:tc>
          <w:tcPr>
            <w:tcW w:w="6374" w:type="dxa"/>
          </w:tcPr>
          <w:p w14:paraId="4BEAFB84" w14:textId="77777777" w:rsidR="003B74A9" w:rsidRPr="00AB660C" w:rsidRDefault="003B74A9" w:rsidP="003B74A9">
            <w:pPr>
              <w:spacing w:before="60"/>
              <w:rPr>
                <w:color w:val="000000" w:themeColor="text1"/>
                <w:sz w:val="20"/>
              </w:rPr>
            </w:pPr>
            <w:r w:rsidRPr="00AB660C">
              <w:rPr>
                <w:color w:val="000000" w:themeColor="text1"/>
                <w:sz w:val="20"/>
              </w:rPr>
              <w:t>Objective 3  A stronger trade regime and more competitive private sector</w:t>
            </w:r>
          </w:p>
        </w:tc>
        <w:tc>
          <w:tcPr>
            <w:tcW w:w="1423" w:type="dxa"/>
          </w:tcPr>
          <w:p w14:paraId="10BFDFA2" w14:textId="77777777" w:rsidR="003B74A9" w:rsidRPr="00AB660C" w:rsidRDefault="003B74A9" w:rsidP="00E079EE">
            <w:pPr>
              <w:spacing w:before="60"/>
              <w:jc w:val="right"/>
              <w:rPr>
                <w:b/>
                <w:color w:val="000000" w:themeColor="text1"/>
                <w:sz w:val="24"/>
              </w:rPr>
            </w:pPr>
            <w:r w:rsidRPr="00AB660C">
              <w:rPr>
                <w:color w:val="000000" w:themeColor="text1"/>
              </w:rPr>
              <w:t>2.1 m</w:t>
            </w:r>
          </w:p>
        </w:tc>
        <w:tc>
          <w:tcPr>
            <w:tcW w:w="1417" w:type="dxa"/>
          </w:tcPr>
          <w:p w14:paraId="2BF2F3D0" w14:textId="77777777" w:rsidR="003B74A9" w:rsidRPr="00AB660C" w:rsidRDefault="003B74A9" w:rsidP="00E079EE">
            <w:pPr>
              <w:spacing w:before="60"/>
              <w:jc w:val="right"/>
              <w:rPr>
                <w:b/>
                <w:color w:val="000000" w:themeColor="text1"/>
                <w:sz w:val="24"/>
              </w:rPr>
            </w:pPr>
            <w:r w:rsidRPr="00AB660C">
              <w:rPr>
                <w:color w:val="000000" w:themeColor="text1"/>
              </w:rPr>
              <w:t>9%</w:t>
            </w:r>
          </w:p>
        </w:tc>
      </w:tr>
      <w:tr w:rsidR="002C6A1B" w:rsidRPr="00AB660C" w14:paraId="17B6FAA8" w14:textId="77777777" w:rsidTr="00CD1652">
        <w:tc>
          <w:tcPr>
            <w:tcW w:w="6374" w:type="dxa"/>
          </w:tcPr>
          <w:p w14:paraId="2D61EFB7" w14:textId="77777777" w:rsidR="003B74A9" w:rsidRPr="00AB660C" w:rsidRDefault="003B74A9" w:rsidP="003B74A9">
            <w:pPr>
              <w:spacing w:before="60"/>
              <w:rPr>
                <w:color w:val="000000" w:themeColor="text1"/>
                <w:sz w:val="20"/>
              </w:rPr>
            </w:pPr>
            <w:r w:rsidRPr="00AB660C">
              <w:rPr>
                <w:color w:val="000000" w:themeColor="text1"/>
                <w:sz w:val="20"/>
              </w:rPr>
              <w:t xml:space="preserve">Cross-Cutting </w:t>
            </w:r>
          </w:p>
        </w:tc>
        <w:tc>
          <w:tcPr>
            <w:tcW w:w="1423" w:type="dxa"/>
          </w:tcPr>
          <w:p w14:paraId="2136047E" w14:textId="77777777" w:rsidR="003B74A9" w:rsidRPr="00AB660C" w:rsidRDefault="003B74A9" w:rsidP="00E079EE">
            <w:pPr>
              <w:spacing w:before="60"/>
              <w:jc w:val="right"/>
              <w:rPr>
                <w:b/>
                <w:color w:val="000000" w:themeColor="text1"/>
                <w:sz w:val="24"/>
              </w:rPr>
            </w:pPr>
            <w:r w:rsidRPr="00AB660C">
              <w:rPr>
                <w:color w:val="000000" w:themeColor="text1"/>
              </w:rPr>
              <w:t>5.5 m</w:t>
            </w:r>
          </w:p>
        </w:tc>
        <w:tc>
          <w:tcPr>
            <w:tcW w:w="1417" w:type="dxa"/>
          </w:tcPr>
          <w:p w14:paraId="3057146A" w14:textId="77777777" w:rsidR="003B74A9" w:rsidRPr="00AB660C" w:rsidRDefault="003B74A9" w:rsidP="00E079EE">
            <w:pPr>
              <w:spacing w:before="60"/>
              <w:jc w:val="right"/>
              <w:rPr>
                <w:b/>
                <w:color w:val="000000" w:themeColor="text1"/>
                <w:sz w:val="24"/>
              </w:rPr>
            </w:pPr>
            <w:r w:rsidRPr="00AB660C">
              <w:rPr>
                <w:color w:val="000000" w:themeColor="text1"/>
              </w:rPr>
              <w:t>23%</w:t>
            </w:r>
          </w:p>
        </w:tc>
      </w:tr>
      <w:tr w:rsidR="002C6A1B" w:rsidRPr="00AB660C" w14:paraId="35BF7651" w14:textId="77777777" w:rsidTr="00CD1652">
        <w:tc>
          <w:tcPr>
            <w:tcW w:w="6374" w:type="dxa"/>
          </w:tcPr>
          <w:p w14:paraId="61BAB1D5" w14:textId="77777777" w:rsidR="003B74A9" w:rsidRPr="00AB660C" w:rsidRDefault="003B74A9" w:rsidP="003B74A9">
            <w:pPr>
              <w:spacing w:before="60"/>
              <w:rPr>
                <w:b/>
                <w:color w:val="000000" w:themeColor="text1"/>
                <w:sz w:val="24"/>
              </w:rPr>
            </w:pPr>
            <w:r w:rsidRPr="00AB660C">
              <w:rPr>
                <w:color w:val="000000" w:themeColor="text1"/>
                <w:sz w:val="20"/>
              </w:rPr>
              <w:t>Sub-Total Bilateral</w:t>
            </w:r>
          </w:p>
        </w:tc>
        <w:tc>
          <w:tcPr>
            <w:tcW w:w="1423" w:type="dxa"/>
          </w:tcPr>
          <w:p w14:paraId="52451810" w14:textId="77777777" w:rsidR="003B74A9" w:rsidRPr="00AB660C" w:rsidRDefault="003B74A9" w:rsidP="00E079EE">
            <w:pPr>
              <w:spacing w:before="60"/>
              <w:jc w:val="right"/>
              <w:rPr>
                <w:b/>
                <w:color w:val="000000" w:themeColor="text1"/>
                <w:sz w:val="24"/>
              </w:rPr>
            </w:pPr>
            <w:r w:rsidRPr="00AB660C">
              <w:rPr>
                <w:color w:val="000000" w:themeColor="text1"/>
              </w:rPr>
              <w:t>24.0 m</w:t>
            </w:r>
          </w:p>
        </w:tc>
        <w:tc>
          <w:tcPr>
            <w:tcW w:w="1417" w:type="dxa"/>
          </w:tcPr>
          <w:p w14:paraId="3FB8F5EE" w14:textId="77777777" w:rsidR="003B74A9" w:rsidRPr="00AB660C" w:rsidRDefault="003B74A9" w:rsidP="00E079EE">
            <w:pPr>
              <w:spacing w:before="60"/>
              <w:jc w:val="right"/>
              <w:rPr>
                <w:b/>
                <w:color w:val="000000" w:themeColor="text1"/>
                <w:sz w:val="24"/>
              </w:rPr>
            </w:pPr>
            <w:r w:rsidRPr="00AB660C">
              <w:rPr>
                <w:color w:val="000000" w:themeColor="text1"/>
              </w:rPr>
              <w:t>100 %</w:t>
            </w:r>
          </w:p>
        </w:tc>
      </w:tr>
      <w:tr w:rsidR="002C6A1B" w:rsidRPr="00AB660C" w14:paraId="6AC9DBC2" w14:textId="77777777" w:rsidTr="00CD1652">
        <w:tc>
          <w:tcPr>
            <w:tcW w:w="6374" w:type="dxa"/>
          </w:tcPr>
          <w:p w14:paraId="0D2AC683" w14:textId="77777777" w:rsidR="003B74A9" w:rsidRPr="00AB660C" w:rsidRDefault="003B74A9" w:rsidP="003B74A9">
            <w:pPr>
              <w:spacing w:before="60"/>
              <w:rPr>
                <w:b/>
                <w:color w:val="000000" w:themeColor="text1"/>
                <w:sz w:val="24"/>
              </w:rPr>
            </w:pPr>
            <w:r w:rsidRPr="00AB660C">
              <w:rPr>
                <w:color w:val="000000" w:themeColor="text1"/>
                <w:sz w:val="20"/>
              </w:rPr>
              <w:t>Regional and Global</w:t>
            </w:r>
          </w:p>
        </w:tc>
        <w:tc>
          <w:tcPr>
            <w:tcW w:w="1423" w:type="dxa"/>
          </w:tcPr>
          <w:p w14:paraId="3D0E5533" w14:textId="77777777" w:rsidR="003B74A9" w:rsidRPr="00AB660C" w:rsidRDefault="003B74A9" w:rsidP="00E079EE">
            <w:pPr>
              <w:spacing w:before="60"/>
              <w:jc w:val="right"/>
              <w:rPr>
                <w:b/>
                <w:color w:val="000000" w:themeColor="text1"/>
                <w:sz w:val="24"/>
              </w:rPr>
            </w:pPr>
            <w:r w:rsidRPr="00AB660C">
              <w:rPr>
                <w:color w:val="000000" w:themeColor="text1"/>
              </w:rPr>
              <w:t>15.5 m</w:t>
            </w:r>
          </w:p>
        </w:tc>
        <w:tc>
          <w:tcPr>
            <w:tcW w:w="1417" w:type="dxa"/>
          </w:tcPr>
          <w:p w14:paraId="69E7558C" w14:textId="77777777" w:rsidR="003B74A9" w:rsidRPr="00AB660C" w:rsidRDefault="003B74A9" w:rsidP="00E079EE">
            <w:pPr>
              <w:spacing w:before="60"/>
              <w:jc w:val="right"/>
              <w:rPr>
                <w:b/>
                <w:color w:val="000000" w:themeColor="text1"/>
                <w:sz w:val="24"/>
              </w:rPr>
            </w:pPr>
            <w:r w:rsidRPr="00AB660C">
              <w:rPr>
                <w:color w:val="000000" w:themeColor="text1"/>
              </w:rPr>
              <w:t>35 %</w:t>
            </w:r>
          </w:p>
        </w:tc>
      </w:tr>
      <w:tr w:rsidR="002C6A1B" w:rsidRPr="00AB660C" w14:paraId="52B4DE37" w14:textId="77777777" w:rsidTr="00CD1652">
        <w:tc>
          <w:tcPr>
            <w:tcW w:w="6374" w:type="dxa"/>
          </w:tcPr>
          <w:p w14:paraId="5D00A400" w14:textId="77777777" w:rsidR="003B74A9" w:rsidRPr="00AB660C" w:rsidRDefault="003B74A9" w:rsidP="003B74A9">
            <w:pPr>
              <w:spacing w:before="60"/>
              <w:rPr>
                <w:b/>
                <w:color w:val="000000" w:themeColor="text1"/>
                <w:sz w:val="24"/>
              </w:rPr>
            </w:pPr>
            <w:r w:rsidRPr="00AB660C">
              <w:rPr>
                <w:color w:val="000000" w:themeColor="text1"/>
                <w:sz w:val="20"/>
              </w:rPr>
              <w:t>Other Government Departments</w:t>
            </w:r>
          </w:p>
        </w:tc>
        <w:tc>
          <w:tcPr>
            <w:tcW w:w="1423" w:type="dxa"/>
          </w:tcPr>
          <w:p w14:paraId="7CA07E05" w14:textId="77777777" w:rsidR="003B74A9" w:rsidRPr="00AB660C" w:rsidRDefault="003B74A9" w:rsidP="00E079EE">
            <w:pPr>
              <w:spacing w:before="60"/>
              <w:jc w:val="right"/>
              <w:rPr>
                <w:b/>
                <w:color w:val="000000" w:themeColor="text1"/>
                <w:sz w:val="24"/>
              </w:rPr>
            </w:pPr>
            <w:r w:rsidRPr="00AB660C">
              <w:rPr>
                <w:color w:val="000000" w:themeColor="text1"/>
              </w:rPr>
              <w:t>4.3 m</w:t>
            </w:r>
          </w:p>
        </w:tc>
        <w:tc>
          <w:tcPr>
            <w:tcW w:w="1417" w:type="dxa"/>
          </w:tcPr>
          <w:p w14:paraId="340F86D8" w14:textId="77777777" w:rsidR="003B74A9" w:rsidRPr="00AB660C" w:rsidRDefault="003B74A9" w:rsidP="00E079EE">
            <w:pPr>
              <w:spacing w:before="60"/>
              <w:jc w:val="right"/>
              <w:rPr>
                <w:b/>
                <w:color w:val="000000" w:themeColor="text1"/>
                <w:sz w:val="24"/>
              </w:rPr>
            </w:pPr>
            <w:r w:rsidRPr="00AB660C">
              <w:rPr>
                <w:color w:val="000000" w:themeColor="text1"/>
              </w:rPr>
              <w:t>10 %</w:t>
            </w:r>
          </w:p>
        </w:tc>
      </w:tr>
      <w:tr w:rsidR="002C6A1B" w:rsidRPr="00AB660C" w14:paraId="7C362236" w14:textId="77777777" w:rsidTr="00CD1652">
        <w:tc>
          <w:tcPr>
            <w:tcW w:w="6374" w:type="dxa"/>
          </w:tcPr>
          <w:p w14:paraId="7FBDC456" w14:textId="77777777" w:rsidR="003B74A9" w:rsidRPr="00AB660C" w:rsidRDefault="003B74A9" w:rsidP="003B74A9">
            <w:pPr>
              <w:spacing w:before="60"/>
              <w:rPr>
                <w:b/>
                <w:color w:val="000000" w:themeColor="text1"/>
                <w:sz w:val="24"/>
              </w:rPr>
            </w:pPr>
            <w:r w:rsidRPr="00AB660C">
              <w:rPr>
                <w:color w:val="000000" w:themeColor="text1"/>
                <w:sz w:val="20"/>
              </w:rPr>
              <w:t>Total ODA Expenditure</w:t>
            </w:r>
          </w:p>
        </w:tc>
        <w:tc>
          <w:tcPr>
            <w:tcW w:w="1423" w:type="dxa"/>
          </w:tcPr>
          <w:p w14:paraId="2E2207B6" w14:textId="77777777" w:rsidR="003B74A9" w:rsidRPr="00AB660C" w:rsidRDefault="003B74A9" w:rsidP="00E079EE">
            <w:pPr>
              <w:spacing w:before="60"/>
              <w:jc w:val="right"/>
              <w:rPr>
                <w:b/>
                <w:color w:val="000000" w:themeColor="text1"/>
                <w:sz w:val="24"/>
              </w:rPr>
            </w:pPr>
            <w:r w:rsidRPr="00AB660C">
              <w:rPr>
                <w:b/>
                <w:color w:val="000000" w:themeColor="text1"/>
                <w:sz w:val="24"/>
              </w:rPr>
              <w:t>43.8 m</w:t>
            </w:r>
          </w:p>
        </w:tc>
        <w:tc>
          <w:tcPr>
            <w:tcW w:w="1417" w:type="dxa"/>
          </w:tcPr>
          <w:p w14:paraId="6A8E9D51" w14:textId="77777777" w:rsidR="003B74A9" w:rsidRPr="00AB660C" w:rsidRDefault="003B74A9" w:rsidP="00E079EE">
            <w:pPr>
              <w:spacing w:before="60"/>
              <w:jc w:val="right"/>
              <w:rPr>
                <w:b/>
                <w:color w:val="000000" w:themeColor="text1"/>
                <w:sz w:val="24"/>
              </w:rPr>
            </w:pPr>
            <w:r w:rsidRPr="00AB660C">
              <w:rPr>
                <w:b/>
                <w:color w:val="000000" w:themeColor="text1"/>
                <w:sz w:val="24"/>
              </w:rPr>
              <w:t>100%</w:t>
            </w:r>
          </w:p>
        </w:tc>
      </w:tr>
    </w:tbl>
    <w:p w14:paraId="43CB6023" w14:textId="77777777" w:rsidR="00C6293D" w:rsidRDefault="00C6293D" w:rsidP="00323E53">
      <w:pPr>
        <w:pStyle w:val="ListBullet"/>
        <w:tabs>
          <w:tab w:val="clear" w:pos="284"/>
        </w:tabs>
        <w:spacing w:before="360" w:line="300" w:lineRule="exact"/>
        <w:rPr>
          <w:rFonts w:asciiTheme="majorHAnsi" w:eastAsiaTheme="majorEastAsia" w:hAnsiTheme="majorHAnsi" w:cstheme="majorBidi"/>
          <w:caps/>
          <w:color w:val="495965" w:themeColor="text2"/>
          <w:sz w:val="38"/>
          <w:szCs w:val="38"/>
          <w:lang w:val="en-GB" w:eastAsia="en-US"/>
        </w:rPr>
      </w:pPr>
    </w:p>
    <w:p w14:paraId="6C33F58E" w14:textId="77777777" w:rsidR="005B5769" w:rsidRDefault="005B5769" w:rsidP="00323E53">
      <w:pPr>
        <w:pStyle w:val="ListBullet"/>
        <w:tabs>
          <w:tab w:val="clear" w:pos="284"/>
        </w:tabs>
        <w:spacing w:before="360" w:line="300" w:lineRule="exact"/>
        <w:rPr>
          <w:rFonts w:asciiTheme="majorHAnsi" w:eastAsiaTheme="majorEastAsia" w:hAnsiTheme="majorHAnsi" w:cstheme="majorBidi"/>
          <w:caps/>
          <w:color w:val="495965" w:themeColor="text2"/>
          <w:sz w:val="38"/>
          <w:szCs w:val="38"/>
          <w:lang w:val="en-GB" w:eastAsia="en-US"/>
        </w:rPr>
      </w:pPr>
      <w:r w:rsidRPr="00BD29CD">
        <w:rPr>
          <w:rFonts w:asciiTheme="majorHAnsi" w:eastAsiaTheme="majorEastAsia" w:hAnsiTheme="majorHAnsi" w:cstheme="majorBidi"/>
          <w:caps/>
          <w:color w:val="495965" w:themeColor="text2"/>
          <w:sz w:val="38"/>
          <w:szCs w:val="38"/>
          <w:lang w:val="en-GB" w:eastAsia="en-US"/>
        </w:rPr>
        <w:t xml:space="preserve">Performance </w:t>
      </w:r>
      <w:r w:rsidR="006545B9" w:rsidRPr="00BD29CD">
        <w:rPr>
          <w:rFonts w:asciiTheme="majorHAnsi" w:eastAsiaTheme="majorEastAsia" w:hAnsiTheme="majorHAnsi" w:cstheme="majorBidi"/>
          <w:caps/>
          <w:color w:val="495965" w:themeColor="text2"/>
          <w:sz w:val="38"/>
          <w:szCs w:val="38"/>
          <w:lang w:val="en-GB" w:eastAsia="en-US"/>
        </w:rPr>
        <w:t xml:space="preserve">TOWARDS aip </w:t>
      </w:r>
      <w:r w:rsidRPr="00BD29CD">
        <w:rPr>
          <w:rFonts w:asciiTheme="majorHAnsi" w:eastAsiaTheme="majorEastAsia" w:hAnsiTheme="majorHAnsi" w:cstheme="majorBidi"/>
          <w:caps/>
          <w:color w:val="495965" w:themeColor="text2"/>
          <w:sz w:val="38"/>
          <w:szCs w:val="38"/>
          <w:lang w:val="en-GB" w:eastAsia="en-US"/>
        </w:rPr>
        <w:t>Objectives</w:t>
      </w:r>
    </w:p>
    <w:p w14:paraId="2060366F" w14:textId="7790EEC7" w:rsidR="00C6293D" w:rsidRDefault="00C6293D" w:rsidP="00C6293D">
      <w:pPr>
        <w:spacing w:after="120"/>
        <w:rPr>
          <w:color w:val="auto"/>
        </w:rPr>
      </w:pPr>
      <w:r>
        <w:rPr>
          <w:color w:val="auto"/>
        </w:rPr>
        <w:t>This</w:t>
      </w:r>
      <w:r w:rsidRPr="009F229A">
        <w:rPr>
          <w:color w:val="auto"/>
        </w:rPr>
        <w:t xml:space="preserve"> report summarises the</w:t>
      </w:r>
      <w:r>
        <w:rPr>
          <w:color w:val="auto"/>
        </w:rPr>
        <w:t xml:space="preserve"> performance</w:t>
      </w:r>
      <w:r w:rsidRPr="009F229A">
        <w:rPr>
          <w:color w:val="auto"/>
        </w:rPr>
        <w:t xml:space="preserve"> of Australia</w:t>
      </w:r>
      <w:r>
        <w:rPr>
          <w:color w:val="auto"/>
        </w:rPr>
        <w:t xml:space="preserve">’s aid program in </w:t>
      </w:r>
      <w:r w:rsidRPr="00D53B76">
        <w:rPr>
          <w:color w:val="auto"/>
        </w:rPr>
        <w:t xml:space="preserve">Laos </w:t>
      </w:r>
      <w:r>
        <w:rPr>
          <w:color w:val="auto"/>
        </w:rPr>
        <w:t xml:space="preserve">from July 2018 to June 2019 against the </w:t>
      </w:r>
      <w:r w:rsidRPr="00B608D3">
        <w:rPr>
          <w:i/>
          <w:color w:val="auto"/>
        </w:rPr>
        <w:t>Laos Aid Investment Plan (AIP) 2015-16 to 2019-20</w:t>
      </w:r>
      <w:r w:rsidR="000501CC">
        <w:rPr>
          <w:i/>
          <w:color w:val="auto"/>
        </w:rPr>
        <w:t xml:space="preserve">. </w:t>
      </w:r>
      <w:r w:rsidR="000501CC">
        <w:rPr>
          <w:color w:val="auto"/>
        </w:rPr>
        <w:t xml:space="preserve"> A </w:t>
      </w:r>
      <w:r w:rsidRPr="00D15B33">
        <w:rPr>
          <w:color w:val="auto"/>
        </w:rPr>
        <w:t xml:space="preserve">revised Performance Assessment </w:t>
      </w:r>
      <w:r>
        <w:rPr>
          <w:color w:val="auto"/>
        </w:rPr>
        <w:t>F</w:t>
      </w:r>
      <w:r w:rsidRPr="00D15B33">
        <w:rPr>
          <w:color w:val="auto"/>
        </w:rPr>
        <w:t>ramework</w:t>
      </w:r>
      <w:r w:rsidR="00DC19D2">
        <w:rPr>
          <w:color w:val="auto"/>
        </w:rPr>
        <w:t xml:space="preserve"> </w:t>
      </w:r>
      <w:r w:rsidR="008D5BE1">
        <w:rPr>
          <w:color w:val="auto"/>
        </w:rPr>
        <w:t>was</w:t>
      </w:r>
      <w:r w:rsidR="000501CC">
        <w:rPr>
          <w:color w:val="auto"/>
        </w:rPr>
        <w:t xml:space="preserve"> finalised in </w:t>
      </w:r>
      <w:r w:rsidRPr="00D15B33">
        <w:rPr>
          <w:color w:val="auto"/>
        </w:rPr>
        <w:t>June 2019</w:t>
      </w:r>
      <w:r w:rsidR="000501CC">
        <w:rPr>
          <w:color w:val="auto"/>
        </w:rPr>
        <w:t xml:space="preserve"> and will be used to monitor progress for the year ahead</w:t>
      </w:r>
      <w:r w:rsidRPr="00D15B33">
        <w:rPr>
          <w:color w:val="auto"/>
        </w:rPr>
        <w:t>.</w:t>
      </w:r>
    </w:p>
    <w:p w14:paraId="2614FEE4" w14:textId="77777777" w:rsidR="00C6293D" w:rsidRDefault="00C6293D" w:rsidP="00323E53">
      <w:pPr>
        <w:rPr>
          <w:b/>
          <w:sz w:val="24"/>
        </w:rPr>
      </w:pPr>
    </w:p>
    <w:p w14:paraId="0E833E02" w14:textId="77777777" w:rsidR="00323E53" w:rsidRPr="00323E53" w:rsidRDefault="00323E53" w:rsidP="00323E53">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550108">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4928" w:type="pct"/>
        <w:tblLook w:val="0000" w:firstRow="0" w:lastRow="0" w:firstColumn="0" w:lastColumn="0" w:noHBand="0" w:noVBand="0"/>
      </w:tblPr>
      <w:tblGrid>
        <w:gridCol w:w="6585"/>
        <w:gridCol w:w="1456"/>
        <w:gridCol w:w="1458"/>
      </w:tblGrid>
      <w:tr w:rsidR="00436526" w:rsidRPr="00812509" w14:paraId="1F40E3F2" w14:textId="77777777" w:rsidTr="0056004C">
        <w:trPr>
          <w:cnfStyle w:val="000000010000" w:firstRow="0" w:lastRow="0" w:firstColumn="0" w:lastColumn="0" w:oddVBand="0" w:evenVBand="0" w:oddHBand="0" w:evenHBand="1" w:firstRowFirstColumn="0" w:firstRowLastColumn="0" w:lastRowFirstColumn="0" w:lastRowLastColumn="0"/>
          <w:trHeight w:val="651"/>
        </w:trPr>
        <w:tc>
          <w:tcPr>
            <w:tcW w:w="6811" w:type="dxa"/>
          </w:tcPr>
          <w:p w14:paraId="5BEE89A6" w14:textId="77777777" w:rsidR="00436526" w:rsidRPr="00812509" w:rsidRDefault="00436526" w:rsidP="00436526">
            <w:pPr>
              <w:pStyle w:val="TableTextColumnHeading"/>
              <w:ind w:left="0"/>
            </w:pPr>
            <w:r w:rsidRPr="00812509">
              <w:rPr>
                <w:noProof/>
              </w:rPr>
              <w:drawing>
                <wp:anchor distT="0" distB="0" distL="114300" distR="114300" simplePos="0" relativeHeight="251680768" behindDoc="0" locked="0" layoutInCell="1" allowOverlap="1" wp14:anchorId="4BC2CC7C" wp14:editId="0B2B7F47">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428" w:type="dxa"/>
          </w:tcPr>
          <w:p w14:paraId="6923849C" w14:textId="77777777" w:rsidR="00436526" w:rsidRPr="00812509" w:rsidRDefault="00436526" w:rsidP="00E65105">
            <w:pPr>
              <w:pStyle w:val="TableTextColumnHeading"/>
            </w:pPr>
            <w:r w:rsidRPr="00812509">
              <w:t>Previous Rating</w:t>
            </w:r>
          </w:p>
        </w:tc>
        <w:tc>
          <w:tcPr>
            <w:tcW w:w="1416" w:type="dxa"/>
          </w:tcPr>
          <w:p w14:paraId="12A356AD" w14:textId="77777777" w:rsidR="00436526" w:rsidRPr="00812509" w:rsidRDefault="00436526" w:rsidP="00E65105">
            <w:pPr>
              <w:pStyle w:val="TableTextColumnHeading"/>
            </w:pPr>
            <w:r w:rsidRPr="00812509">
              <w:t>Current Rating</w:t>
            </w:r>
          </w:p>
        </w:tc>
      </w:tr>
      <w:tr w:rsidR="0056004C" w:rsidRPr="00812509" w14:paraId="6ABC4E22" w14:textId="77777777" w:rsidTr="00543F7D">
        <w:trPr>
          <w:cnfStyle w:val="000000010000" w:firstRow="0" w:lastRow="0" w:firstColumn="0" w:lastColumn="0" w:oddVBand="0" w:evenVBand="0" w:oddHBand="0" w:evenHBand="1" w:firstRowFirstColumn="0" w:firstRowLastColumn="0" w:lastRowFirstColumn="0" w:lastRowLastColumn="0"/>
        </w:trPr>
        <w:tc>
          <w:tcPr>
            <w:tcW w:w="6811" w:type="dxa"/>
          </w:tcPr>
          <w:p w14:paraId="17757E21" w14:textId="77777777" w:rsidR="0056004C" w:rsidRPr="00812509" w:rsidRDefault="0056004C" w:rsidP="002A4A0E">
            <w:pPr>
              <w:pStyle w:val="TableTextEntries"/>
              <w:rPr>
                <w:rFonts w:asciiTheme="minorHAnsi" w:hAnsiTheme="minorHAnsi"/>
              </w:rPr>
            </w:pPr>
            <w:r w:rsidRPr="00812509">
              <w:rPr>
                <w:rFonts w:asciiTheme="minorHAnsi" w:hAnsiTheme="minorHAnsi"/>
              </w:rPr>
              <w:t>Objective 1</w:t>
            </w:r>
            <w:r w:rsidRPr="004F151A">
              <w:rPr>
                <w:rFonts w:asciiTheme="minorHAnsi" w:hAnsiTheme="minorHAnsi"/>
              </w:rPr>
              <w:t xml:space="preserve"> More disadvantaged girls and boys complete a quality basic education</w:t>
            </w:r>
          </w:p>
        </w:tc>
        <w:tc>
          <w:tcPr>
            <w:tcW w:w="1428" w:type="dxa"/>
            <w:shd w:val="clear" w:color="auto" w:fill="FF9900"/>
            <w:noWrap/>
          </w:tcPr>
          <w:p w14:paraId="117468D8" w14:textId="77777777" w:rsidR="0056004C" w:rsidRPr="00812509" w:rsidRDefault="0056004C" w:rsidP="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c>
          <w:tcPr>
            <w:tcW w:w="1416" w:type="dxa"/>
            <w:shd w:val="clear" w:color="auto" w:fill="7FB64D" w:themeFill="accent3" w:themeFillShade="BF"/>
            <w:noWrap/>
          </w:tcPr>
          <w:p w14:paraId="39E6EA6E" w14:textId="77777777" w:rsidR="0056004C" w:rsidRPr="00812509" w:rsidRDefault="00543F7D">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r>
      <w:tr w:rsidR="0056004C" w:rsidRPr="00812509" w14:paraId="4C7EF176" w14:textId="77777777" w:rsidTr="0080604B">
        <w:trPr>
          <w:cnfStyle w:val="000000010000" w:firstRow="0" w:lastRow="0" w:firstColumn="0" w:lastColumn="0" w:oddVBand="0" w:evenVBand="0" w:oddHBand="0" w:evenHBand="1" w:firstRowFirstColumn="0" w:firstRowLastColumn="0" w:lastRowFirstColumn="0" w:lastRowLastColumn="0"/>
        </w:trPr>
        <w:tc>
          <w:tcPr>
            <w:tcW w:w="6811" w:type="dxa"/>
          </w:tcPr>
          <w:p w14:paraId="550E55D4" w14:textId="77777777" w:rsidR="0056004C" w:rsidRPr="00812509" w:rsidRDefault="0056004C" w:rsidP="002A4A0E">
            <w:pPr>
              <w:pStyle w:val="TableTextEntries"/>
              <w:rPr>
                <w:rFonts w:asciiTheme="minorHAnsi" w:hAnsiTheme="minorHAnsi"/>
              </w:rPr>
            </w:pPr>
            <w:r w:rsidRPr="00812509">
              <w:rPr>
                <w:rFonts w:asciiTheme="minorHAnsi" w:hAnsiTheme="minorHAnsi"/>
              </w:rPr>
              <w:t>Objective 2</w:t>
            </w:r>
            <w:r>
              <w:t xml:space="preserve"> </w:t>
            </w:r>
            <w:r w:rsidRPr="004F151A">
              <w:rPr>
                <w:rFonts w:asciiTheme="minorHAnsi" w:hAnsiTheme="minorHAnsi"/>
              </w:rPr>
              <w:t>Improving Laos’ human resources through scholarships,</w:t>
            </w:r>
            <w:r>
              <w:rPr>
                <w:rFonts w:asciiTheme="minorHAnsi" w:hAnsiTheme="minorHAnsi"/>
              </w:rPr>
              <w:t xml:space="preserve"> </w:t>
            </w:r>
            <w:r w:rsidRPr="004F151A">
              <w:rPr>
                <w:rFonts w:asciiTheme="minorHAnsi" w:hAnsiTheme="minorHAnsi"/>
              </w:rPr>
              <w:t>training and capacity building</w:t>
            </w:r>
          </w:p>
        </w:tc>
        <w:tc>
          <w:tcPr>
            <w:tcW w:w="1428" w:type="dxa"/>
            <w:shd w:val="clear" w:color="auto" w:fill="7FB64D" w:themeFill="accent3" w:themeFillShade="BF"/>
            <w:noWrap/>
          </w:tcPr>
          <w:p w14:paraId="21FF79F0" w14:textId="77777777" w:rsidR="0056004C" w:rsidRPr="00812509" w:rsidRDefault="0056004C" w:rsidP="002A4A0E">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1416" w:type="dxa"/>
            <w:shd w:val="clear" w:color="auto" w:fill="7FB64D" w:themeFill="accent3" w:themeFillShade="BF"/>
            <w:noWrap/>
          </w:tcPr>
          <w:p w14:paraId="60F5B072" w14:textId="77777777" w:rsidR="0056004C" w:rsidRPr="00812509" w:rsidRDefault="0080604B">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r>
      <w:tr w:rsidR="0056004C" w:rsidRPr="00812509" w14:paraId="0B08286F" w14:textId="77777777" w:rsidTr="0080604B">
        <w:trPr>
          <w:cnfStyle w:val="000000010000" w:firstRow="0" w:lastRow="0" w:firstColumn="0" w:lastColumn="0" w:oddVBand="0" w:evenVBand="0" w:oddHBand="0" w:evenHBand="1" w:firstRowFirstColumn="0" w:firstRowLastColumn="0" w:lastRowFirstColumn="0" w:lastRowLastColumn="0"/>
        </w:trPr>
        <w:tc>
          <w:tcPr>
            <w:tcW w:w="6811" w:type="dxa"/>
          </w:tcPr>
          <w:p w14:paraId="3D0212DC" w14:textId="77777777" w:rsidR="0056004C" w:rsidRPr="00812509" w:rsidRDefault="0056004C" w:rsidP="002A4A0E">
            <w:pPr>
              <w:pStyle w:val="TableTextEntries"/>
              <w:rPr>
                <w:rFonts w:asciiTheme="minorHAnsi" w:hAnsiTheme="minorHAnsi"/>
              </w:rPr>
            </w:pPr>
            <w:r w:rsidRPr="00812509">
              <w:rPr>
                <w:rFonts w:asciiTheme="minorHAnsi" w:hAnsiTheme="minorHAnsi"/>
              </w:rPr>
              <w:t>Objective 3</w:t>
            </w:r>
            <w:r>
              <w:t xml:space="preserve"> </w:t>
            </w:r>
            <w:r w:rsidRPr="004F151A">
              <w:rPr>
                <w:rFonts w:asciiTheme="minorHAnsi" w:hAnsiTheme="minorHAnsi"/>
              </w:rPr>
              <w:t>A stronger trade regime and more competitive private sector</w:t>
            </w:r>
          </w:p>
        </w:tc>
        <w:tc>
          <w:tcPr>
            <w:tcW w:w="1428" w:type="dxa"/>
            <w:shd w:val="clear" w:color="auto" w:fill="7FB64D" w:themeFill="accent3" w:themeFillShade="BF"/>
            <w:noWrap/>
          </w:tcPr>
          <w:p w14:paraId="139A5758" w14:textId="77777777" w:rsidR="0056004C" w:rsidRPr="00812509" w:rsidRDefault="0056004C" w:rsidP="002A4A0E">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1416" w:type="dxa"/>
            <w:shd w:val="clear" w:color="auto" w:fill="7FB64D" w:themeFill="accent3" w:themeFillShade="BF"/>
            <w:noWrap/>
          </w:tcPr>
          <w:p w14:paraId="23158125" w14:textId="77777777" w:rsidR="0056004C" w:rsidRPr="00812509" w:rsidRDefault="0080604B">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r>
    </w:tbl>
    <w:p w14:paraId="5303E272" w14:textId="77777777" w:rsidR="005B5769" w:rsidRPr="00812509" w:rsidRDefault="005B5769" w:rsidP="002A4A0E">
      <w:pPr>
        <w:pStyle w:val="Note"/>
        <w:rPr>
          <w:rFonts w:asciiTheme="minorHAnsi" w:hAnsiTheme="minorHAnsi"/>
          <w:sz w:val="16"/>
        </w:rPr>
      </w:pPr>
      <w:r w:rsidRPr="00812509">
        <w:rPr>
          <w:rFonts w:asciiTheme="minorHAnsi" w:hAnsiTheme="minorHAnsi"/>
          <w:sz w:val="16"/>
        </w:rPr>
        <w:t xml:space="preserve">Note: </w:t>
      </w:r>
    </w:p>
    <w:p w14:paraId="57130B20" w14:textId="77777777" w:rsidR="005B5769" w:rsidRPr="00812509" w:rsidRDefault="005B576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14:paraId="109EB10E" w14:textId="77777777" w:rsidR="005B5769" w:rsidRPr="00812509" w:rsidRDefault="005B576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14:paraId="32FB252D" w14:textId="77777777" w:rsidR="005B5769" w:rsidRDefault="005B576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14:paraId="67CE06F0" w14:textId="77777777" w:rsidR="005B5769" w:rsidRDefault="005B5769" w:rsidP="005B5769">
      <w:pPr>
        <w:pStyle w:val="Note"/>
      </w:pPr>
      <w:r w:rsidRPr="00C4114C">
        <w:t xml:space="preserve">  </w:t>
      </w:r>
    </w:p>
    <w:p w14:paraId="65ED0BFD" w14:textId="77777777" w:rsidR="0062224D" w:rsidRDefault="0062224D" w:rsidP="005968F5">
      <w:pPr>
        <w:rPr>
          <w:b/>
          <w:sz w:val="24"/>
        </w:rPr>
      </w:pPr>
    </w:p>
    <w:p w14:paraId="51F1CAD7" w14:textId="77777777" w:rsidR="00C6293D" w:rsidRDefault="00C6293D" w:rsidP="005968F5">
      <w:pPr>
        <w:rPr>
          <w:b/>
          <w:sz w:val="24"/>
        </w:rPr>
      </w:pPr>
      <w:r>
        <w:rPr>
          <w:b/>
          <w:sz w:val="24"/>
        </w:rPr>
        <w:br/>
      </w:r>
    </w:p>
    <w:p w14:paraId="43FF8374" w14:textId="77777777" w:rsidR="006E774C" w:rsidRDefault="006E774C" w:rsidP="005968F5">
      <w:pPr>
        <w:rPr>
          <w:b/>
          <w:sz w:val="24"/>
        </w:rPr>
      </w:pPr>
    </w:p>
    <w:p w14:paraId="3C62E1D1" w14:textId="77777777" w:rsidR="006E774C" w:rsidRDefault="006E774C" w:rsidP="005968F5">
      <w:pPr>
        <w:rPr>
          <w:b/>
          <w:sz w:val="24"/>
        </w:rPr>
      </w:pPr>
    </w:p>
    <w:p w14:paraId="387DDF40" w14:textId="77777777" w:rsidR="00695730" w:rsidRPr="005968F5" w:rsidRDefault="00695730" w:rsidP="005968F5">
      <w:pPr>
        <w:rPr>
          <w:b/>
          <w:sz w:val="24"/>
        </w:rPr>
      </w:pPr>
      <w:r w:rsidRPr="005968F5">
        <w:rPr>
          <w:b/>
          <w:sz w:val="24"/>
        </w:rPr>
        <w:t>Objective 1</w:t>
      </w:r>
      <w:r w:rsidR="0056004C" w:rsidRPr="005968F5">
        <w:rPr>
          <w:b/>
          <w:sz w:val="24"/>
        </w:rPr>
        <w:t>:</w:t>
      </w:r>
      <w:r w:rsidR="00436526" w:rsidRPr="005968F5">
        <w:rPr>
          <w:b/>
          <w:sz w:val="24"/>
        </w:rPr>
        <w:t xml:space="preserve"> </w:t>
      </w:r>
      <w:r w:rsidR="0056004C" w:rsidRPr="005968F5">
        <w:rPr>
          <w:b/>
          <w:sz w:val="24"/>
        </w:rPr>
        <w:t>More disadvantaged girls and boys complete a quality basic education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695730" w:rsidRPr="00695730" w14:paraId="7A0D19A8" w14:textId="77777777" w:rsidTr="00CD1652">
        <w:tc>
          <w:tcPr>
            <w:tcW w:w="2016" w:type="dxa"/>
          </w:tcPr>
          <w:p w14:paraId="4FEA694C" w14:textId="77777777" w:rsidR="00695730" w:rsidRPr="00695730" w:rsidRDefault="00695730" w:rsidP="00695730">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1EBE6C2F" wp14:editId="0A49130E">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14:paraId="6ED67AA6" w14:textId="77777777" w:rsidR="00695730" w:rsidRPr="00695730" w:rsidRDefault="005968F5" w:rsidP="005968F5">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306CBA9B" wp14:editId="563FA0D4">
                  <wp:extent cx="609600" cy="609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14:paraId="352C1DAE" w14:textId="77777777" w:rsidR="00695730" w:rsidRPr="00695730" w:rsidRDefault="005968F5" w:rsidP="005968F5">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6209BAA8" wp14:editId="2A4AB079">
                  <wp:extent cx="612000" cy="61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787B5AEC" w14:textId="77777777" w:rsidR="00695730" w:rsidRPr="00695730" w:rsidRDefault="005968F5" w:rsidP="00695730">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0E60EBF3" wp14:editId="37488286">
                  <wp:extent cx="612000" cy="612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2F5C1136" w14:textId="77777777" w:rsidR="00695730" w:rsidRPr="00695730" w:rsidRDefault="005968F5" w:rsidP="00695730">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73C41FD3" wp14:editId="4605D6FD">
                  <wp:extent cx="612000" cy="612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639E4873" w14:textId="77777777" w:rsidR="0056004C" w:rsidRPr="00AB660C" w:rsidRDefault="0056004C" w:rsidP="0056004C">
      <w:pPr>
        <w:rPr>
          <w:color w:val="000000" w:themeColor="text1"/>
        </w:rPr>
      </w:pPr>
      <w:r w:rsidRPr="00AB660C">
        <w:rPr>
          <w:color w:val="000000" w:themeColor="text1"/>
        </w:rPr>
        <w:t xml:space="preserve">The </w:t>
      </w:r>
      <w:r w:rsidRPr="00AB660C">
        <w:rPr>
          <w:b/>
          <w:bCs/>
          <w:color w:val="000000" w:themeColor="text1"/>
        </w:rPr>
        <w:t>Basic Education Quality and Access in Laos (BEQUAL)</w:t>
      </w:r>
      <w:r w:rsidRPr="00AB660C">
        <w:rPr>
          <w:color w:val="000000" w:themeColor="text1"/>
        </w:rPr>
        <w:t xml:space="preserve"> program </w:t>
      </w:r>
      <w:r w:rsidR="00C6293D" w:rsidRPr="00AB660C">
        <w:rPr>
          <w:color w:val="000000" w:themeColor="text1"/>
        </w:rPr>
        <w:t xml:space="preserve">is </w:t>
      </w:r>
      <w:r w:rsidRPr="00AB660C">
        <w:rPr>
          <w:color w:val="000000" w:themeColor="text1"/>
        </w:rPr>
        <w:t xml:space="preserve">a 10-year commitment (2015-25) to primary education. </w:t>
      </w:r>
      <w:r w:rsidR="00E561E5" w:rsidRPr="00AB660C">
        <w:rPr>
          <w:color w:val="000000" w:themeColor="text1"/>
        </w:rPr>
        <w:t xml:space="preserve">Australia’s education goal </w:t>
      </w:r>
      <w:r w:rsidRPr="00AB660C">
        <w:rPr>
          <w:color w:val="000000" w:themeColor="text1"/>
        </w:rPr>
        <w:t xml:space="preserve">is more girls and boys of primary school-age, particularly those experiencing disadvantage, achieve functional literacy and numeracy and acquire life skills. </w:t>
      </w:r>
    </w:p>
    <w:p w14:paraId="4A4E5EE2" w14:textId="77777777" w:rsidR="0056004C" w:rsidRPr="00AB660C" w:rsidRDefault="0056004C" w:rsidP="0056004C">
      <w:pPr>
        <w:rPr>
          <w:color w:val="000000" w:themeColor="text1"/>
        </w:rPr>
      </w:pPr>
      <w:r w:rsidRPr="00AB660C">
        <w:rPr>
          <w:color w:val="000000" w:themeColor="text1"/>
        </w:rPr>
        <w:t>Following</w:t>
      </w:r>
      <w:r w:rsidR="004B5307" w:rsidRPr="00AB660C">
        <w:rPr>
          <w:color w:val="000000" w:themeColor="text1"/>
        </w:rPr>
        <w:t xml:space="preserve"> the completion of</w:t>
      </w:r>
      <w:r w:rsidRPr="00AB660C">
        <w:rPr>
          <w:color w:val="000000" w:themeColor="text1"/>
        </w:rPr>
        <w:t xml:space="preserve"> </w:t>
      </w:r>
      <w:r w:rsidR="004B5307" w:rsidRPr="00AB660C">
        <w:rPr>
          <w:color w:val="000000" w:themeColor="text1"/>
        </w:rPr>
        <w:t>a</w:t>
      </w:r>
      <w:r w:rsidRPr="00AB660C">
        <w:rPr>
          <w:color w:val="000000" w:themeColor="text1"/>
        </w:rPr>
        <w:t xml:space="preserve"> </w:t>
      </w:r>
      <w:r w:rsidR="004B5307" w:rsidRPr="00AB660C">
        <w:rPr>
          <w:color w:val="000000" w:themeColor="text1"/>
        </w:rPr>
        <w:t>mid-term</w:t>
      </w:r>
      <w:r w:rsidRPr="00AB660C">
        <w:rPr>
          <w:color w:val="000000" w:themeColor="text1"/>
        </w:rPr>
        <w:t xml:space="preserve"> </w:t>
      </w:r>
      <w:r w:rsidR="004B5307" w:rsidRPr="00AB660C">
        <w:rPr>
          <w:color w:val="000000" w:themeColor="text1"/>
        </w:rPr>
        <w:t>r</w:t>
      </w:r>
      <w:r w:rsidRPr="00AB660C">
        <w:rPr>
          <w:color w:val="000000" w:themeColor="text1"/>
        </w:rPr>
        <w:t>eview</w:t>
      </w:r>
      <w:r w:rsidR="004B5307" w:rsidRPr="00AB660C">
        <w:rPr>
          <w:color w:val="000000" w:themeColor="text1"/>
        </w:rPr>
        <w:t xml:space="preserve"> in 2018</w:t>
      </w:r>
      <w:r w:rsidRPr="00AB660C">
        <w:rPr>
          <w:color w:val="000000" w:themeColor="text1"/>
        </w:rPr>
        <w:t xml:space="preserve">, the program </w:t>
      </w:r>
      <w:r w:rsidR="004B5307" w:rsidRPr="00AB660C">
        <w:rPr>
          <w:color w:val="000000" w:themeColor="text1"/>
        </w:rPr>
        <w:t>was restructured with a revised</w:t>
      </w:r>
      <w:r w:rsidR="00C6293D" w:rsidRPr="00AB660C">
        <w:rPr>
          <w:color w:val="000000" w:themeColor="text1"/>
        </w:rPr>
        <w:t>:</w:t>
      </w:r>
      <w:r w:rsidR="004B5307" w:rsidRPr="00AB660C">
        <w:rPr>
          <w:color w:val="000000" w:themeColor="text1"/>
        </w:rPr>
        <w:t xml:space="preserve"> </w:t>
      </w:r>
      <w:r w:rsidRPr="00AB660C">
        <w:rPr>
          <w:color w:val="000000" w:themeColor="text1"/>
        </w:rPr>
        <w:t>program logic</w:t>
      </w:r>
      <w:r w:rsidR="00C6293D" w:rsidRPr="00AB660C">
        <w:rPr>
          <w:color w:val="000000" w:themeColor="text1"/>
        </w:rPr>
        <w:t>;</w:t>
      </w:r>
      <w:r w:rsidRPr="00AB660C">
        <w:rPr>
          <w:color w:val="000000" w:themeColor="text1"/>
        </w:rPr>
        <w:t xml:space="preserve"> </w:t>
      </w:r>
      <w:r w:rsidR="004B5307" w:rsidRPr="00AB660C">
        <w:rPr>
          <w:color w:val="000000" w:themeColor="text1"/>
        </w:rPr>
        <w:t>targeting approach</w:t>
      </w:r>
      <w:r w:rsidR="00C6293D" w:rsidRPr="00AB660C">
        <w:rPr>
          <w:color w:val="000000" w:themeColor="text1"/>
        </w:rPr>
        <w:t>;</w:t>
      </w:r>
      <w:r w:rsidR="004B5307" w:rsidRPr="00AB660C">
        <w:rPr>
          <w:color w:val="000000" w:themeColor="text1"/>
        </w:rPr>
        <w:t xml:space="preserve"> </w:t>
      </w:r>
      <w:r w:rsidR="00C6293D" w:rsidRPr="00AB660C">
        <w:rPr>
          <w:color w:val="000000" w:themeColor="text1"/>
        </w:rPr>
        <w:t>monitoring, evaluation and learning</w:t>
      </w:r>
      <w:r w:rsidRPr="00AB660C">
        <w:rPr>
          <w:color w:val="000000" w:themeColor="text1"/>
        </w:rPr>
        <w:t xml:space="preserve"> framework</w:t>
      </w:r>
      <w:r w:rsidR="00C6293D" w:rsidRPr="00AB660C">
        <w:rPr>
          <w:color w:val="000000" w:themeColor="text1"/>
        </w:rPr>
        <w:t>;</w:t>
      </w:r>
      <w:r w:rsidRPr="00AB660C">
        <w:rPr>
          <w:color w:val="000000" w:themeColor="text1"/>
        </w:rPr>
        <w:t xml:space="preserve"> </w:t>
      </w:r>
      <w:r w:rsidR="004B5307" w:rsidRPr="00AB660C">
        <w:rPr>
          <w:color w:val="000000" w:themeColor="text1"/>
        </w:rPr>
        <w:t>g</w:t>
      </w:r>
      <w:r w:rsidRPr="00AB660C">
        <w:rPr>
          <w:color w:val="000000" w:themeColor="text1"/>
        </w:rPr>
        <w:t xml:space="preserve">ender and </w:t>
      </w:r>
      <w:r w:rsidR="004B5307" w:rsidRPr="00AB660C">
        <w:rPr>
          <w:color w:val="000000" w:themeColor="text1"/>
        </w:rPr>
        <w:t>s</w:t>
      </w:r>
      <w:r w:rsidRPr="00AB660C">
        <w:rPr>
          <w:color w:val="000000" w:themeColor="text1"/>
        </w:rPr>
        <w:t xml:space="preserve">ocial </w:t>
      </w:r>
      <w:r w:rsidR="004B5307" w:rsidRPr="00AB660C">
        <w:rPr>
          <w:color w:val="000000" w:themeColor="text1"/>
        </w:rPr>
        <w:t>i</w:t>
      </w:r>
      <w:r w:rsidRPr="00AB660C">
        <w:rPr>
          <w:color w:val="000000" w:themeColor="text1"/>
        </w:rPr>
        <w:t xml:space="preserve">nclusion </w:t>
      </w:r>
      <w:r w:rsidR="004B5307" w:rsidRPr="00AB660C">
        <w:rPr>
          <w:color w:val="000000" w:themeColor="text1"/>
        </w:rPr>
        <w:t>s</w:t>
      </w:r>
      <w:r w:rsidRPr="00AB660C">
        <w:rPr>
          <w:color w:val="000000" w:themeColor="text1"/>
        </w:rPr>
        <w:t>trategy</w:t>
      </w:r>
      <w:r w:rsidR="00C6293D" w:rsidRPr="00AB660C">
        <w:rPr>
          <w:color w:val="000000" w:themeColor="text1"/>
        </w:rPr>
        <w:t>;</w:t>
      </w:r>
      <w:r w:rsidRPr="00AB660C">
        <w:rPr>
          <w:color w:val="000000" w:themeColor="text1"/>
        </w:rPr>
        <w:t xml:space="preserve"> </w:t>
      </w:r>
      <w:r w:rsidR="004B5307" w:rsidRPr="00AB660C">
        <w:rPr>
          <w:color w:val="000000" w:themeColor="text1"/>
        </w:rPr>
        <w:t>and</w:t>
      </w:r>
      <w:r w:rsidR="00C6293D" w:rsidRPr="00AB660C">
        <w:rPr>
          <w:color w:val="000000" w:themeColor="text1"/>
        </w:rPr>
        <w:t>,</w:t>
      </w:r>
      <w:r w:rsidRPr="00AB660C">
        <w:rPr>
          <w:color w:val="000000" w:themeColor="text1"/>
        </w:rPr>
        <w:t xml:space="preserve"> management structure</w:t>
      </w:r>
      <w:r w:rsidR="004B5307" w:rsidRPr="00AB660C">
        <w:rPr>
          <w:color w:val="000000" w:themeColor="text1"/>
        </w:rPr>
        <w:t xml:space="preserve">. This process </w:t>
      </w:r>
      <w:r w:rsidR="00C6293D" w:rsidRPr="00AB660C">
        <w:rPr>
          <w:color w:val="000000" w:themeColor="text1"/>
        </w:rPr>
        <w:t xml:space="preserve">has </w:t>
      </w:r>
      <w:r w:rsidR="004B5307" w:rsidRPr="00AB660C">
        <w:rPr>
          <w:color w:val="000000" w:themeColor="text1"/>
        </w:rPr>
        <w:t xml:space="preserve">led to greater program </w:t>
      </w:r>
      <w:r w:rsidRPr="00AB660C">
        <w:rPr>
          <w:color w:val="000000" w:themeColor="text1"/>
        </w:rPr>
        <w:t>clarity</w:t>
      </w:r>
      <w:r w:rsidR="004B5307" w:rsidRPr="00AB660C">
        <w:rPr>
          <w:color w:val="000000" w:themeColor="text1"/>
        </w:rPr>
        <w:t>, coherence</w:t>
      </w:r>
      <w:r w:rsidRPr="00AB660C">
        <w:rPr>
          <w:color w:val="000000" w:themeColor="text1"/>
        </w:rPr>
        <w:t xml:space="preserve"> and focus</w:t>
      </w:r>
      <w:r w:rsidR="00487C34" w:rsidRPr="00AB660C">
        <w:rPr>
          <w:color w:val="000000" w:themeColor="text1"/>
        </w:rPr>
        <w:t>. O</w:t>
      </w:r>
      <w:r w:rsidRPr="00AB660C">
        <w:rPr>
          <w:color w:val="000000" w:themeColor="text1"/>
        </w:rPr>
        <w:t>bjectives</w:t>
      </w:r>
      <w:r w:rsidR="004B5307" w:rsidRPr="00AB660C">
        <w:rPr>
          <w:color w:val="000000" w:themeColor="text1"/>
        </w:rPr>
        <w:t xml:space="preserve"> and a</w:t>
      </w:r>
      <w:r w:rsidRPr="00AB660C">
        <w:rPr>
          <w:color w:val="000000" w:themeColor="text1"/>
        </w:rPr>
        <w:t xml:space="preserve">ctivities </w:t>
      </w:r>
      <w:r w:rsidR="00487C34" w:rsidRPr="00AB660C">
        <w:rPr>
          <w:color w:val="000000" w:themeColor="text1"/>
        </w:rPr>
        <w:t xml:space="preserve">have been </w:t>
      </w:r>
      <w:r w:rsidRPr="00AB660C">
        <w:rPr>
          <w:color w:val="000000" w:themeColor="text1"/>
        </w:rPr>
        <w:t xml:space="preserve">streamlined to </w:t>
      </w:r>
      <w:r w:rsidR="00E509C9" w:rsidRPr="00AB660C">
        <w:rPr>
          <w:color w:val="000000" w:themeColor="text1"/>
        </w:rPr>
        <w:t>d</w:t>
      </w:r>
      <w:r w:rsidRPr="00AB660C">
        <w:rPr>
          <w:color w:val="000000" w:themeColor="text1"/>
        </w:rPr>
        <w:t xml:space="preserve">irectly support </w:t>
      </w:r>
      <w:r w:rsidR="004B5307" w:rsidRPr="00AB660C">
        <w:rPr>
          <w:color w:val="000000" w:themeColor="text1"/>
        </w:rPr>
        <w:t xml:space="preserve">the development and implementation of the new </w:t>
      </w:r>
      <w:r w:rsidRPr="00AB660C">
        <w:rPr>
          <w:color w:val="000000" w:themeColor="text1"/>
        </w:rPr>
        <w:t xml:space="preserve">national </w:t>
      </w:r>
      <w:r w:rsidR="004B5307" w:rsidRPr="00AB660C">
        <w:rPr>
          <w:color w:val="000000" w:themeColor="text1"/>
        </w:rPr>
        <w:t>curriculum</w:t>
      </w:r>
      <w:r w:rsidRPr="00AB660C">
        <w:rPr>
          <w:color w:val="000000" w:themeColor="text1"/>
        </w:rPr>
        <w:t xml:space="preserve">. </w:t>
      </w:r>
    </w:p>
    <w:p w14:paraId="3B9AEEA6" w14:textId="77777777" w:rsidR="00ED0C4C" w:rsidRPr="00AB660C" w:rsidRDefault="004B5307" w:rsidP="00E02F91">
      <w:pPr>
        <w:rPr>
          <w:color w:val="000000" w:themeColor="text1"/>
        </w:rPr>
      </w:pPr>
      <w:r w:rsidRPr="00AB660C">
        <w:rPr>
          <w:color w:val="000000" w:themeColor="text1"/>
        </w:rPr>
        <w:t>These</w:t>
      </w:r>
      <w:r w:rsidR="0056004C" w:rsidRPr="00AB660C">
        <w:rPr>
          <w:color w:val="000000" w:themeColor="text1"/>
        </w:rPr>
        <w:t xml:space="preserve"> changes have already enabled progress toward</w:t>
      </w:r>
      <w:r w:rsidRPr="00AB660C">
        <w:rPr>
          <w:color w:val="000000" w:themeColor="text1"/>
        </w:rPr>
        <w:t>s</w:t>
      </w:r>
      <w:r w:rsidR="0056004C" w:rsidRPr="00AB660C">
        <w:rPr>
          <w:color w:val="000000" w:themeColor="text1"/>
        </w:rPr>
        <w:t xml:space="preserve"> </w:t>
      </w:r>
      <w:r w:rsidR="00E561E5" w:rsidRPr="00AB660C">
        <w:rPr>
          <w:color w:val="000000" w:themeColor="text1"/>
        </w:rPr>
        <w:t xml:space="preserve">Australia’s </w:t>
      </w:r>
      <w:r w:rsidR="00373462" w:rsidRPr="00AB660C">
        <w:rPr>
          <w:color w:val="000000" w:themeColor="text1"/>
        </w:rPr>
        <w:t xml:space="preserve">two </w:t>
      </w:r>
      <w:r w:rsidR="0056004C" w:rsidRPr="00AB660C">
        <w:rPr>
          <w:color w:val="000000" w:themeColor="text1"/>
        </w:rPr>
        <w:t>revised objectives:</w:t>
      </w:r>
      <w:r w:rsidR="007C626A" w:rsidRPr="00AB660C">
        <w:rPr>
          <w:color w:val="000000" w:themeColor="text1"/>
        </w:rPr>
        <w:t xml:space="preserve"> 1) </w:t>
      </w:r>
      <w:r w:rsidR="0056004C" w:rsidRPr="00AB660C">
        <w:rPr>
          <w:color w:val="000000" w:themeColor="text1"/>
        </w:rPr>
        <w:t>Improving teachers</w:t>
      </w:r>
      <w:r w:rsidR="001E57FC" w:rsidRPr="00AB660C">
        <w:rPr>
          <w:color w:val="000000" w:themeColor="text1"/>
        </w:rPr>
        <w:t>’</w:t>
      </w:r>
      <w:r w:rsidR="0056004C" w:rsidRPr="00AB660C">
        <w:rPr>
          <w:color w:val="000000" w:themeColor="text1"/>
        </w:rPr>
        <w:t xml:space="preserve"> practices in primary education; and</w:t>
      </w:r>
      <w:r w:rsidR="00C6293D" w:rsidRPr="00AB660C">
        <w:rPr>
          <w:color w:val="000000" w:themeColor="text1"/>
        </w:rPr>
        <w:t xml:space="preserve"> </w:t>
      </w:r>
      <w:r w:rsidR="007C626A" w:rsidRPr="00AB660C">
        <w:rPr>
          <w:color w:val="000000" w:themeColor="text1"/>
        </w:rPr>
        <w:t>2) Strengthening systems to coordinate and manage resource for teaching at national, provincial and district levels.</w:t>
      </w:r>
      <w:r w:rsidR="00C6293D" w:rsidRPr="00AB660C">
        <w:rPr>
          <w:color w:val="000000" w:themeColor="text1"/>
        </w:rPr>
        <w:t xml:space="preserve"> </w:t>
      </w:r>
      <w:r w:rsidR="00E561E5" w:rsidRPr="00AB660C">
        <w:rPr>
          <w:color w:val="000000" w:themeColor="text1"/>
        </w:rPr>
        <w:t xml:space="preserve">Australia </w:t>
      </w:r>
      <w:r w:rsidR="0056004C" w:rsidRPr="00AB660C">
        <w:rPr>
          <w:color w:val="000000" w:themeColor="text1"/>
        </w:rPr>
        <w:t>successfully support</w:t>
      </w:r>
      <w:r w:rsidR="00876981" w:rsidRPr="00AB660C">
        <w:rPr>
          <w:color w:val="000000" w:themeColor="text1"/>
        </w:rPr>
        <w:t>ed</w:t>
      </w:r>
      <w:r w:rsidR="0056004C" w:rsidRPr="00AB660C">
        <w:rPr>
          <w:color w:val="000000" w:themeColor="text1"/>
        </w:rPr>
        <w:t xml:space="preserve"> </w:t>
      </w:r>
      <w:r w:rsidR="00D143DD" w:rsidRPr="00AB660C">
        <w:rPr>
          <w:color w:val="000000" w:themeColor="text1"/>
        </w:rPr>
        <w:t>the Ministry of Education and Sports (M</w:t>
      </w:r>
      <w:r w:rsidR="00ED0C4C" w:rsidRPr="00AB660C">
        <w:rPr>
          <w:color w:val="000000" w:themeColor="text1"/>
        </w:rPr>
        <w:t>o</w:t>
      </w:r>
      <w:r w:rsidR="00D143DD" w:rsidRPr="00AB660C">
        <w:rPr>
          <w:color w:val="000000" w:themeColor="text1"/>
        </w:rPr>
        <w:t>ES)</w:t>
      </w:r>
      <w:r w:rsidR="0056004C" w:rsidRPr="00AB660C">
        <w:rPr>
          <w:color w:val="000000" w:themeColor="text1"/>
        </w:rPr>
        <w:t xml:space="preserve"> to</w:t>
      </w:r>
      <w:r w:rsidR="007C626A" w:rsidRPr="00AB660C">
        <w:rPr>
          <w:color w:val="000000" w:themeColor="text1"/>
        </w:rPr>
        <w:t xml:space="preserve"> complete</w:t>
      </w:r>
      <w:r w:rsidR="0056004C" w:rsidRPr="00AB660C">
        <w:rPr>
          <w:color w:val="000000" w:themeColor="text1"/>
        </w:rPr>
        <w:t xml:space="preserve"> </w:t>
      </w:r>
      <w:r w:rsidR="00E509C9" w:rsidRPr="00AB660C">
        <w:rPr>
          <w:color w:val="000000" w:themeColor="text1"/>
        </w:rPr>
        <w:t>G</w:t>
      </w:r>
      <w:r w:rsidR="0056004C" w:rsidRPr="00AB660C">
        <w:rPr>
          <w:color w:val="000000" w:themeColor="text1"/>
        </w:rPr>
        <w:t>rade 1 curriculum materials introducing major changes to teaching practices</w:t>
      </w:r>
      <w:r w:rsidR="00F359BE" w:rsidRPr="00AB660C">
        <w:rPr>
          <w:color w:val="000000" w:themeColor="text1"/>
        </w:rPr>
        <w:t xml:space="preserve"> of Lao language and other subjects</w:t>
      </w:r>
      <w:r w:rsidR="007C626A" w:rsidRPr="00AB660C">
        <w:rPr>
          <w:color w:val="000000" w:themeColor="text1"/>
        </w:rPr>
        <w:t>, to be implemented in September 2019</w:t>
      </w:r>
      <w:r w:rsidR="0056004C" w:rsidRPr="00AB660C">
        <w:rPr>
          <w:color w:val="000000" w:themeColor="text1"/>
        </w:rPr>
        <w:t>. This achievement</w:t>
      </w:r>
      <w:r w:rsidR="00ED0C4C" w:rsidRPr="00AB660C">
        <w:rPr>
          <w:color w:val="000000" w:themeColor="text1"/>
        </w:rPr>
        <w:t>,</w:t>
      </w:r>
      <w:r w:rsidR="0056004C" w:rsidRPr="00AB660C">
        <w:rPr>
          <w:color w:val="000000" w:themeColor="text1"/>
        </w:rPr>
        <w:t xml:space="preserve"> under tight timeframes</w:t>
      </w:r>
      <w:r w:rsidR="00ED0C4C" w:rsidRPr="00AB660C">
        <w:rPr>
          <w:color w:val="000000" w:themeColor="text1"/>
        </w:rPr>
        <w:t>,</w:t>
      </w:r>
      <w:r w:rsidR="0056004C" w:rsidRPr="00AB660C">
        <w:rPr>
          <w:color w:val="000000" w:themeColor="text1"/>
        </w:rPr>
        <w:t xml:space="preserve"> </w:t>
      </w:r>
      <w:r w:rsidR="00876981" w:rsidRPr="00AB660C">
        <w:rPr>
          <w:color w:val="000000" w:themeColor="text1"/>
        </w:rPr>
        <w:t>demonstrated</w:t>
      </w:r>
      <w:r w:rsidR="0056004C" w:rsidRPr="00AB660C">
        <w:rPr>
          <w:color w:val="000000" w:themeColor="text1"/>
        </w:rPr>
        <w:t xml:space="preserve"> </w:t>
      </w:r>
      <w:r w:rsidR="007C626A" w:rsidRPr="00AB660C">
        <w:rPr>
          <w:color w:val="000000" w:themeColor="text1"/>
        </w:rPr>
        <w:t>M</w:t>
      </w:r>
      <w:r w:rsidR="00ED0C4C" w:rsidRPr="00AB660C">
        <w:rPr>
          <w:color w:val="000000" w:themeColor="text1"/>
        </w:rPr>
        <w:t>o</w:t>
      </w:r>
      <w:r w:rsidR="007C626A" w:rsidRPr="00AB660C">
        <w:rPr>
          <w:color w:val="000000" w:themeColor="text1"/>
        </w:rPr>
        <w:t xml:space="preserve">ES’ </w:t>
      </w:r>
      <w:r w:rsidR="0056004C" w:rsidRPr="00AB660C">
        <w:rPr>
          <w:color w:val="000000" w:themeColor="text1"/>
        </w:rPr>
        <w:t>ownership of the new curriculum and willingness to implement significant reforms.</w:t>
      </w:r>
      <w:r w:rsidR="00FF7D0F" w:rsidRPr="00AB660C">
        <w:rPr>
          <w:color w:val="000000" w:themeColor="text1"/>
        </w:rPr>
        <w:t xml:space="preserve"> </w:t>
      </w:r>
      <w:r w:rsidR="006B2180" w:rsidRPr="00AB660C">
        <w:rPr>
          <w:color w:val="000000" w:themeColor="text1"/>
        </w:rPr>
        <w:t xml:space="preserve"> </w:t>
      </w:r>
    </w:p>
    <w:p w14:paraId="41C23B62" w14:textId="77777777" w:rsidR="00E02F91" w:rsidRPr="00F05B04" w:rsidRDefault="00ED0C4C" w:rsidP="00E02F91">
      <w:pPr>
        <w:rPr>
          <w:rFonts w:cstheme="minorHAnsi"/>
          <w:color w:val="000000" w:themeColor="text1"/>
          <w:sz w:val="24"/>
          <w:szCs w:val="24"/>
        </w:rPr>
      </w:pPr>
      <w:r w:rsidRPr="00AB660C">
        <w:rPr>
          <w:color w:val="000000" w:themeColor="text1"/>
        </w:rPr>
        <w:t>While MoES support is a positive sign</w:t>
      </w:r>
      <w:r w:rsidR="00E509C9" w:rsidRPr="00AB660C">
        <w:rPr>
          <w:color w:val="000000" w:themeColor="text1"/>
        </w:rPr>
        <w:t>,</w:t>
      </w:r>
      <w:r w:rsidRPr="00AB660C">
        <w:rPr>
          <w:color w:val="000000" w:themeColor="text1"/>
        </w:rPr>
        <w:t xml:space="preserve"> many challenges remain. C</w:t>
      </w:r>
      <w:r w:rsidR="00E02F91" w:rsidRPr="00AB660C">
        <w:rPr>
          <w:color w:val="000000" w:themeColor="text1"/>
        </w:rPr>
        <w:t xml:space="preserve">urriculum reform and support to teachers are expected to contribute to improved learning outcomes, but this will be hampered by issues such as poverty, poor nutrition, fiscal constraints at subnational levels and language challenges. </w:t>
      </w:r>
    </w:p>
    <w:p w14:paraId="536CF9B7" w14:textId="77777777" w:rsidR="009A5A65" w:rsidRPr="00AB660C" w:rsidRDefault="00E509C9" w:rsidP="009A5A65">
      <w:pPr>
        <w:rPr>
          <w:color w:val="000000" w:themeColor="text1"/>
        </w:rPr>
      </w:pPr>
      <w:r w:rsidRPr="00AB660C">
        <w:rPr>
          <w:color w:val="000000" w:themeColor="text1"/>
        </w:rPr>
        <w:t xml:space="preserve">In 2018-19, </w:t>
      </w:r>
      <w:r w:rsidR="00E561E5" w:rsidRPr="00AB660C">
        <w:rPr>
          <w:color w:val="000000" w:themeColor="text1"/>
        </w:rPr>
        <w:t xml:space="preserve">Australia </w:t>
      </w:r>
      <w:r w:rsidR="009A5A65" w:rsidRPr="00AB660C">
        <w:rPr>
          <w:color w:val="000000" w:themeColor="text1"/>
        </w:rPr>
        <w:t>support</w:t>
      </w:r>
      <w:r w:rsidR="007C626A" w:rsidRPr="00AB660C">
        <w:rPr>
          <w:color w:val="000000" w:themeColor="text1"/>
        </w:rPr>
        <w:t>ed</w:t>
      </w:r>
      <w:r w:rsidR="009A5A65" w:rsidRPr="00AB660C">
        <w:rPr>
          <w:color w:val="000000" w:themeColor="text1"/>
        </w:rPr>
        <w:t xml:space="preserve"> a new </w:t>
      </w:r>
      <w:r w:rsidR="00ED0C4C" w:rsidRPr="00AB660C">
        <w:rPr>
          <w:color w:val="000000" w:themeColor="text1"/>
        </w:rPr>
        <w:t xml:space="preserve">teacher training </w:t>
      </w:r>
      <w:r w:rsidR="009A5A65" w:rsidRPr="00AB660C">
        <w:rPr>
          <w:color w:val="000000" w:themeColor="text1"/>
        </w:rPr>
        <w:t>system to be embedded i</w:t>
      </w:r>
      <w:r w:rsidR="00916734" w:rsidRPr="00AB660C">
        <w:rPr>
          <w:color w:val="000000" w:themeColor="text1"/>
        </w:rPr>
        <w:t>n M</w:t>
      </w:r>
      <w:r w:rsidR="00ED0C4C" w:rsidRPr="00AB660C">
        <w:rPr>
          <w:color w:val="000000" w:themeColor="text1"/>
        </w:rPr>
        <w:t>o</w:t>
      </w:r>
      <w:r w:rsidR="009A5A65" w:rsidRPr="00AB660C">
        <w:rPr>
          <w:color w:val="000000" w:themeColor="text1"/>
        </w:rPr>
        <w:t>ES, with 60 master trainers</w:t>
      </w:r>
      <w:r w:rsidR="000E4D35">
        <w:rPr>
          <w:color w:val="000000" w:themeColor="text1"/>
        </w:rPr>
        <w:t xml:space="preserve"> (43% women)</w:t>
      </w:r>
      <w:r w:rsidR="009A5A65" w:rsidRPr="00AB660C">
        <w:rPr>
          <w:color w:val="000000" w:themeColor="text1"/>
        </w:rPr>
        <w:t xml:space="preserve"> and 6</w:t>
      </w:r>
      <w:r w:rsidR="001D6D6C" w:rsidRPr="00AB660C">
        <w:rPr>
          <w:color w:val="000000" w:themeColor="text1"/>
        </w:rPr>
        <w:t>11</w:t>
      </w:r>
      <w:r w:rsidR="009A5A65" w:rsidRPr="00AB660C">
        <w:rPr>
          <w:color w:val="000000" w:themeColor="text1"/>
        </w:rPr>
        <w:t xml:space="preserve"> provincia</w:t>
      </w:r>
      <w:r w:rsidR="00F353E4" w:rsidRPr="00AB660C">
        <w:rPr>
          <w:color w:val="000000" w:themeColor="text1"/>
        </w:rPr>
        <w:t>l trainers</w:t>
      </w:r>
      <w:r w:rsidR="000E4D35">
        <w:rPr>
          <w:color w:val="000000" w:themeColor="text1"/>
        </w:rPr>
        <w:t xml:space="preserve"> (38% women)</w:t>
      </w:r>
      <w:r w:rsidR="00F353E4" w:rsidRPr="00AB660C">
        <w:rPr>
          <w:color w:val="000000" w:themeColor="text1"/>
        </w:rPr>
        <w:t xml:space="preserve"> selected</w:t>
      </w:r>
      <w:r w:rsidR="00FF7D0F" w:rsidRPr="00AB660C">
        <w:rPr>
          <w:color w:val="000000" w:themeColor="text1"/>
        </w:rPr>
        <w:t xml:space="preserve">. </w:t>
      </w:r>
      <w:r w:rsidR="007C626A" w:rsidRPr="00AB660C">
        <w:rPr>
          <w:color w:val="000000" w:themeColor="text1"/>
        </w:rPr>
        <w:t xml:space="preserve">Training of more than 16,000 teachers, principals and pedagogical advisers is underway. </w:t>
      </w:r>
      <w:r w:rsidR="009A5A65" w:rsidRPr="00AB660C">
        <w:rPr>
          <w:color w:val="000000" w:themeColor="text1"/>
        </w:rPr>
        <w:t xml:space="preserve">However, changing behaviour and improving skills of teachers is a long-term endeavour and expectations of change need to be </w:t>
      </w:r>
      <w:r w:rsidR="004D1F1B" w:rsidRPr="00AB660C">
        <w:rPr>
          <w:color w:val="000000" w:themeColor="text1"/>
        </w:rPr>
        <w:t>rea</w:t>
      </w:r>
      <w:r w:rsidRPr="00AB660C">
        <w:rPr>
          <w:color w:val="000000" w:themeColor="text1"/>
        </w:rPr>
        <w:t xml:space="preserve">listic. </w:t>
      </w:r>
      <w:r w:rsidR="00916734" w:rsidRPr="00AB660C">
        <w:rPr>
          <w:color w:val="000000" w:themeColor="text1"/>
        </w:rPr>
        <w:t>M</w:t>
      </w:r>
      <w:r w:rsidR="00ED0C4C" w:rsidRPr="00AB660C">
        <w:rPr>
          <w:color w:val="000000" w:themeColor="text1"/>
        </w:rPr>
        <w:t>o</w:t>
      </w:r>
      <w:r w:rsidR="009A5A65" w:rsidRPr="00AB660C">
        <w:rPr>
          <w:color w:val="000000" w:themeColor="text1"/>
        </w:rPr>
        <w:t xml:space="preserve">ES continues to rely on development partners to support </w:t>
      </w:r>
      <w:r w:rsidR="00487C34" w:rsidRPr="00AB660C">
        <w:rPr>
          <w:color w:val="000000" w:themeColor="text1"/>
        </w:rPr>
        <w:t>te</w:t>
      </w:r>
      <w:r w:rsidR="009A5A65" w:rsidRPr="00AB660C">
        <w:rPr>
          <w:color w:val="000000" w:themeColor="text1"/>
        </w:rPr>
        <w:t xml:space="preserve">acher training which </w:t>
      </w:r>
      <w:r w:rsidR="00487C34" w:rsidRPr="00AB660C">
        <w:rPr>
          <w:color w:val="000000" w:themeColor="text1"/>
        </w:rPr>
        <w:t xml:space="preserve">is </w:t>
      </w:r>
      <w:r w:rsidR="009A5A65" w:rsidRPr="00AB660C">
        <w:rPr>
          <w:color w:val="000000" w:themeColor="text1"/>
        </w:rPr>
        <w:t xml:space="preserve">key to education quality improvement. </w:t>
      </w:r>
    </w:p>
    <w:p w14:paraId="16B4B687" w14:textId="77777777" w:rsidR="00E509C9" w:rsidRPr="00AB660C" w:rsidRDefault="00E509C9" w:rsidP="00E079EE">
      <w:pPr>
        <w:rPr>
          <w:color w:val="000000" w:themeColor="text1"/>
        </w:rPr>
      </w:pPr>
      <w:r w:rsidRPr="00AB660C">
        <w:rPr>
          <w:color w:val="000000" w:themeColor="text1"/>
        </w:rPr>
        <w:t xml:space="preserve">Australia supported 212 students (64% female) from ethnic minorities to graduate as trained teachers. 209 were deployed to teach as volunteer teachers in target schools. This surpassed the target of attaining a placement for 90% of trainee teachers. Despite a significant reduction of the civil quota, MoES provided 60 </w:t>
      </w:r>
      <w:r w:rsidR="008A4FE7" w:rsidRPr="00AB660C">
        <w:rPr>
          <w:color w:val="000000" w:themeColor="text1"/>
        </w:rPr>
        <w:t xml:space="preserve">permanent teacher positions to the graduated ethnic teachers. </w:t>
      </w:r>
    </w:p>
    <w:p w14:paraId="2DCB12BD" w14:textId="77777777" w:rsidR="00E561E5" w:rsidRPr="00AB660C" w:rsidRDefault="00876981" w:rsidP="00E561E5">
      <w:pPr>
        <w:spacing w:before="0"/>
        <w:rPr>
          <w:color w:val="000000" w:themeColor="text1"/>
        </w:rPr>
      </w:pPr>
      <w:r w:rsidRPr="00AB660C">
        <w:rPr>
          <w:color w:val="000000" w:themeColor="text1"/>
        </w:rPr>
        <w:t>Th</w:t>
      </w:r>
      <w:r w:rsidR="004D1F1B" w:rsidRPr="00AB660C">
        <w:rPr>
          <w:color w:val="000000" w:themeColor="text1"/>
        </w:rPr>
        <w:t xml:space="preserve">is </w:t>
      </w:r>
      <w:r w:rsidRPr="00AB660C">
        <w:rPr>
          <w:color w:val="000000" w:themeColor="text1"/>
        </w:rPr>
        <w:t xml:space="preserve">significant progress </w:t>
      </w:r>
      <w:r w:rsidR="00487C34" w:rsidRPr="00AB660C">
        <w:rPr>
          <w:color w:val="000000" w:themeColor="text1"/>
        </w:rPr>
        <w:t>has led to a</w:t>
      </w:r>
      <w:r w:rsidRPr="00AB660C">
        <w:rPr>
          <w:color w:val="000000" w:themeColor="text1"/>
        </w:rPr>
        <w:t>n improvement of t</w:t>
      </w:r>
      <w:r w:rsidR="00F408DD" w:rsidRPr="00AB660C">
        <w:rPr>
          <w:color w:val="000000" w:themeColor="text1"/>
        </w:rPr>
        <w:t>he</w:t>
      </w:r>
      <w:r w:rsidR="00311BEF" w:rsidRPr="00AB660C">
        <w:rPr>
          <w:color w:val="000000" w:themeColor="text1"/>
        </w:rPr>
        <w:t xml:space="preserve"> </w:t>
      </w:r>
      <w:r w:rsidRPr="00AB660C">
        <w:rPr>
          <w:color w:val="000000" w:themeColor="text1"/>
        </w:rPr>
        <w:t xml:space="preserve">overall </w:t>
      </w:r>
      <w:r w:rsidR="00311BEF" w:rsidRPr="00AB660C">
        <w:rPr>
          <w:color w:val="000000" w:themeColor="text1"/>
        </w:rPr>
        <w:t xml:space="preserve">rating </w:t>
      </w:r>
      <w:r w:rsidR="00F408DD" w:rsidRPr="00AB660C">
        <w:rPr>
          <w:color w:val="000000" w:themeColor="text1"/>
        </w:rPr>
        <w:t xml:space="preserve">of </w:t>
      </w:r>
      <w:r w:rsidR="00487C34" w:rsidRPr="00AB660C">
        <w:rPr>
          <w:color w:val="000000" w:themeColor="text1"/>
        </w:rPr>
        <w:t>O</w:t>
      </w:r>
      <w:r w:rsidR="00F408DD" w:rsidRPr="00AB660C">
        <w:rPr>
          <w:color w:val="000000" w:themeColor="text1"/>
        </w:rPr>
        <w:t xml:space="preserve">bjective </w:t>
      </w:r>
      <w:r w:rsidRPr="00AB660C">
        <w:rPr>
          <w:color w:val="000000" w:themeColor="text1"/>
        </w:rPr>
        <w:t xml:space="preserve">1 </w:t>
      </w:r>
      <w:r w:rsidR="00311BEF" w:rsidRPr="00AB660C">
        <w:rPr>
          <w:color w:val="000000" w:themeColor="text1"/>
        </w:rPr>
        <w:t>from amber to green</w:t>
      </w:r>
      <w:r w:rsidRPr="00AB660C">
        <w:rPr>
          <w:color w:val="000000" w:themeColor="text1"/>
        </w:rPr>
        <w:t xml:space="preserve">. </w:t>
      </w:r>
    </w:p>
    <w:p w14:paraId="629AB141" w14:textId="77777777" w:rsidR="00311BEF" w:rsidRPr="00AB660C" w:rsidRDefault="00876981" w:rsidP="00E561E5">
      <w:pPr>
        <w:spacing w:before="0" w:after="0"/>
        <w:rPr>
          <w:color w:val="000000" w:themeColor="text1"/>
        </w:rPr>
      </w:pPr>
      <w:r w:rsidRPr="00AB660C">
        <w:rPr>
          <w:color w:val="000000" w:themeColor="text1"/>
        </w:rPr>
        <w:t>O</w:t>
      </w:r>
      <w:r w:rsidR="00311BEF" w:rsidRPr="00AB660C">
        <w:rPr>
          <w:color w:val="000000" w:themeColor="text1"/>
        </w:rPr>
        <w:t xml:space="preserve">ther notable achievements </w:t>
      </w:r>
      <w:r w:rsidR="00E561E5" w:rsidRPr="00AB660C">
        <w:rPr>
          <w:color w:val="000000" w:themeColor="text1"/>
        </w:rPr>
        <w:t xml:space="preserve">during </w:t>
      </w:r>
      <w:r w:rsidR="00311BEF" w:rsidRPr="00AB660C">
        <w:rPr>
          <w:color w:val="000000" w:themeColor="text1"/>
        </w:rPr>
        <w:t>the reporting period includ</w:t>
      </w:r>
      <w:r w:rsidRPr="00AB660C">
        <w:rPr>
          <w:color w:val="000000" w:themeColor="text1"/>
        </w:rPr>
        <w:t>e</w:t>
      </w:r>
      <w:r w:rsidR="00311BEF" w:rsidRPr="00AB660C">
        <w:rPr>
          <w:color w:val="000000" w:themeColor="text1"/>
        </w:rPr>
        <w:t xml:space="preserve">:  </w:t>
      </w:r>
    </w:p>
    <w:p w14:paraId="638EE739" w14:textId="77777777" w:rsidR="0056004C" w:rsidRPr="00AB660C" w:rsidRDefault="0056004C" w:rsidP="00E561E5">
      <w:pPr>
        <w:pStyle w:val="ListParagraph"/>
        <w:numPr>
          <w:ilvl w:val="0"/>
          <w:numId w:val="37"/>
        </w:numPr>
        <w:spacing w:before="0" w:after="0"/>
        <w:rPr>
          <w:color w:val="000000" w:themeColor="text1"/>
        </w:rPr>
      </w:pPr>
      <w:r w:rsidRPr="00AB660C">
        <w:rPr>
          <w:color w:val="000000" w:themeColor="text1"/>
        </w:rPr>
        <w:t>School construction w</w:t>
      </w:r>
      <w:r w:rsidR="004D1F1B" w:rsidRPr="00AB660C">
        <w:rPr>
          <w:color w:val="000000" w:themeColor="text1"/>
        </w:rPr>
        <w:t>as</w:t>
      </w:r>
      <w:r w:rsidRPr="00AB660C">
        <w:rPr>
          <w:color w:val="000000" w:themeColor="text1"/>
        </w:rPr>
        <w:t xml:space="preserve"> </w:t>
      </w:r>
      <w:r w:rsidR="00FC00C7" w:rsidRPr="00AB660C">
        <w:rPr>
          <w:color w:val="000000" w:themeColor="text1"/>
        </w:rPr>
        <w:t>completed</w:t>
      </w:r>
      <w:r w:rsidRPr="00AB660C">
        <w:rPr>
          <w:color w:val="000000" w:themeColor="text1"/>
        </w:rPr>
        <w:t xml:space="preserve"> in </w:t>
      </w:r>
      <w:r w:rsidR="00CC26F6" w:rsidRPr="00AB660C">
        <w:rPr>
          <w:color w:val="000000" w:themeColor="text1"/>
        </w:rPr>
        <w:t>May</w:t>
      </w:r>
      <w:r w:rsidRPr="00AB660C">
        <w:rPr>
          <w:color w:val="000000" w:themeColor="text1"/>
        </w:rPr>
        <w:t xml:space="preserve"> 2019. </w:t>
      </w:r>
      <w:r w:rsidR="00FC00C7" w:rsidRPr="00AB660C">
        <w:rPr>
          <w:color w:val="000000" w:themeColor="text1"/>
        </w:rPr>
        <w:t xml:space="preserve">Classrooms were built in </w:t>
      </w:r>
      <w:r w:rsidR="00F353E4" w:rsidRPr="00AB660C">
        <w:rPr>
          <w:color w:val="000000" w:themeColor="text1"/>
        </w:rPr>
        <w:t xml:space="preserve">166 </w:t>
      </w:r>
      <w:r w:rsidR="006766F1" w:rsidRPr="00AB660C">
        <w:rPr>
          <w:color w:val="000000" w:themeColor="text1"/>
        </w:rPr>
        <w:t xml:space="preserve">remote </w:t>
      </w:r>
      <w:r w:rsidRPr="00AB660C">
        <w:rPr>
          <w:color w:val="000000" w:themeColor="text1"/>
        </w:rPr>
        <w:t>schools</w:t>
      </w:r>
      <w:r w:rsidR="00FC00C7" w:rsidRPr="00AB660C">
        <w:rPr>
          <w:color w:val="000000" w:themeColor="text1"/>
        </w:rPr>
        <w:t xml:space="preserve"> </w:t>
      </w:r>
      <w:r w:rsidRPr="00AB660C">
        <w:rPr>
          <w:color w:val="000000" w:themeColor="text1"/>
        </w:rPr>
        <w:t xml:space="preserve">(against </w:t>
      </w:r>
      <w:r w:rsidR="00FC00C7" w:rsidRPr="00AB660C">
        <w:rPr>
          <w:color w:val="000000" w:themeColor="text1"/>
        </w:rPr>
        <w:t xml:space="preserve">the </w:t>
      </w:r>
      <w:r w:rsidRPr="00AB660C">
        <w:rPr>
          <w:color w:val="000000" w:themeColor="text1"/>
        </w:rPr>
        <w:t>target of 166)</w:t>
      </w:r>
      <w:r w:rsidR="006766F1" w:rsidRPr="00AB660C">
        <w:rPr>
          <w:color w:val="000000" w:themeColor="text1"/>
        </w:rPr>
        <w:t>,</w:t>
      </w:r>
      <w:r w:rsidRPr="00AB660C">
        <w:rPr>
          <w:color w:val="000000" w:themeColor="text1"/>
        </w:rPr>
        <w:t xml:space="preserve"> </w:t>
      </w:r>
      <w:r w:rsidR="00FC00C7" w:rsidRPr="00AB660C">
        <w:rPr>
          <w:color w:val="000000" w:themeColor="text1"/>
        </w:rPr>
        <w:t>as well as</w:t>
      </w:r>
      <w:r w:rsidR="00F359BE" w:rsidRPr="00AB660C">
        <w:rPr>
          <w:color w:val="000000" w:themeColor="text1"/>
        </w:rPr>
        <w:t xml:space="preserve"> WASH facilities</w:t>
      </w:r>
      <w:r w:rsidR="00487C34" w:rsidRPr="00AB660C">
        <w:rPr>
          <w:color w:val="000000" w:themeColor="text1"/>
        </w:rPr>
        <w:t xml:space="preserve"> installed </w:t>
      </w:r>
      <w:r w:rsidRPr="00AB660C">
        <w:rPr>
          <w:color w:val="000000" w:themeColor="text1"/>
        </w:rPr>
        <w:t xml:space="preserve">in </w:t>
      </w:r>
      <w:r w:rsidR="00F353E4" w:rsidRPr="00AB660C">
        <w:rPr>
          <w:color w:val="000000" w:themeColor="text1"/>
        </w:rPr>
        <w:t>122</w:t>
      </w:r>
      <w:r w:rsidRPr="00AB660C">
        <w:rPr>
          <w:color w:val="000000" w:themeColor="text1"/>
        </w:rPr>
        <w:t xml:space="preserve"> schools (against target of 128).</w:t>
      </w:r>
      <w:r w:rsidR="005D5F66" w:rsidRPr="00AB660C">
        <w:rPr>
          <w:color w:val="000000" w:themeColor="text1"/>
        </w:rPr>
        <w:t xml:space="preserve"> </w:t>
      </w:r>
    </w:p>
    <w:p w14:paraId="7C496306" w14:textId="77777777" w:rsidR="0056004C" w:rsidRPr="00AB660C" w:rsidRDefault="00216F6E" w:rsidP="0056004C">
      <w:pPr>
        <w:pStyle w:val="ListParagraph"/>
        <w:numPr>
          <w:ilvl w:val="0"/>
          <w:numId w:val="37"/>
        </w:numPr>
        <w:rPr>
          <w:color w:val="000000" w:themeColor="text1"/>
        </w:rPr>
      </w:pPr>
      <w:r w:rsidRPr="00AB660C">
        <w:rPr>
          <w:color w:val="000000" w:themeColor="text1"/>
        </w:rPr>
        <w:t>A</w:t>
      </w:r>
      <w:r w:rsidR="0056004C" w:rsidRPr="00AB660C">
        <w:rPr>
          <w:color w:val="000000" w:themeColor="text1"/>
        </w:rPr>
        <w:t xml:space="preserve"> rapid review of the BEQUAL NGO Consortium and the BEQUAL Education Innovation Fund found that </w:t>
      </w:r>
      <w:r w:rsidR="00487C34" w:rsidRPr="00AB660C">
        <w:rPr>
          <w:color w:val="000000" w:themeColor="text1"/>
        </w:rPr>
        <w:t xml:space="preserve">NGO </w:t>
      </w:r>
      <w:r w:rsidR="0056004C" w:rsidRPr="00AB660C">
        <w:rPr>
          <w:color w:val="000000" w:themeColor="text1"/>
        </w:rPr>
        <w:t xml:space="preserve">activities reached their target of 171 villages and </w:t>
      </w:r>
      <w:r w:rsidR="00806DA9" w:rsidRPr="00AB660C">
        <w:rPr>
          <w:color w:val="000000" w:themeColor="text1"/>
        </w:rPr>
        <w:t>were</w:t>
      </w:r>
      <w:r w:rsidR="0056004C" w:rsidRPr="00AB660C">
        <w:rPr>
          <w:color w:val="000000" w:themeColor="text1"/>
        </w:rPr>
        <w:t xml:space="preserve"> contributing to positive participation by children and communities in reading activities. </w:t>
      </w:r>
    </w:p>
    <w:p w14:paraId="2668DDE9" w14:textId="77777777" w:rsidR="0056004C" w:rsidRPr="00AB660C" w:rsidRDefault="00E561E5" w:rsidP="00E352CE">
      <w:pPr>
        <w:pStyle w:val="ListParagraph"/>
        <w:numPr>
          <w:ilvl w:val="0"/>
          <w:numId w:val="37"/>
        </w:numPr>
        <w:rPr>
          <w:color w:val="000000" w:themeColor="text1"/>
        </w:rPr>
      </w:pPr>
      <w:r w:rsidRPr="00AB660C">
        <w:rPr>
          <w:color w:val="000000" w:themeColor="text1"/>
        </w:rPr>
        <w:t xml:space="preserve">Australia </w:t>
      </w:r>
      <w:r w:rsidR="0056004C" w:rsidRPr="00AB660C">
        <w:rPr>
          <w:color w:val="000000" w:themeColor="text1"/>
        </w:rPr>
        <w:t>supported the development of a G</w:t>
      </w:r>
      <w:r w:rsidR="000E4D35">
        <w:rPr>
          <w:color w:val="000000" w:themeColor="text1"/>
        </w:rPr>
        <w:t xml:space="preserve">ender </w:t>
      </w:r>
      <w:r w:rsidR="0056004C" w:rsidRPr="00AB660C">
        <w:rPr>
          <w:color w:val="000000" w:themeColor="text1"/>
        </w:rPr>
        <w:t>E</w:t>
      </w:r>
      <w:r w:rsidR="000E4D35">
        <w:rPr>
          <w:color w:val="000000" w:themeColor="text1"/>
        </w:rPr>
        <w:t xml:space="preserve">quality and </w:t>
      </w:r>
      <w:r w:rsidR="0056004C" w:rsidRPr="00AB660C">
        <w:rPr>
          <w:color w:val="000000" w:themeColor="text1"/>
        </w:rPr>
        <w:t>D</w:t>
      </w:r>
      <w:r w:rsidR="000E4D35">
        <w:rPr>
          <w:color w:val="000000" w:themeColor="text1"/>
        </w:rPr>
        <w:t xml:space="preserve">isability and Social Inclusion </w:t>
      </w:r>
      <w:r w:rsidR="0056004C" w:rsidRPr="00AB660C">
        <w:rPr>
          <w:color w:val="000000" w:themeColor="text1"/>
        </w:rPr>
        <w:t xml:space="preserve">assessment tool for curriculum materials promoting equal representation of </w:t>
      </w:r>
      <w:r w:rsidR="00487C34" w:rsidRPr="00AB660C">
        <w:rPr>
          <w:color w:val="000000" w:themeColor="text1"/>
        </w:rPr>
        <w:t>girls and boys,</w:t>
      </w:r>
      <w:r w:rsidR="0056004C" w:rsidRPr="00AB660C">
        <w:rPr>
          <w:color w:val="000000" w:themeColor="text1"/>
        </w:rPr>
        <w:t xml:space="preserve"> </w:t>
      </w:r>
      <w:r w:rsidR="00216F6E" w:rsidRPr="00AB660C">
        <w:rPr>
          <w:color w:val="000000" w:themeColor="text1"/>
        </w:rPr>
        <w:t>as well as</w:t>
      </w:r>
      <w:r w:rsidR="0056004C" w:rsidRPr="00AB660C">
        <w:rPr>
          <w:color w:val="000000" w:themeColor="text1"/>
        </w:rPr>
        <w:t xml:space="preserve"> stronger representation of disability and the diverse Lao ethnicities in story books and student text books.</w:t>
      </w:r>
    </w:p>
    <w:p w14:paraId="069723B8" w14:textId="77777777" w:rsidR="006545B9" w:rsidRPr="005968F5" w:rsidRDefault="006545B9" w:rsidP="005968F5">
      <w:pPr>
        <w:rPr>
          <w:b/>
          <w:sz w:val="24"/>
        </w:rPr>
      </w:pPr>
      <w:r w:rsidRPr="005968F5">
        <w:rPr>
          <w:b/>
          <w:sz w:val="24"/>
        </w:rPr>
        <w:lastRenderedPageBreak/>
        <w:t>Objective 2</w:t>
      </w:r>
      <w:r w:rsidR="0056004C" w:rsidRPr="005968F5">
        <w:rPr>
          <w:b/>
          <w:sz w:val="24"/>
        </w:rPr>
        <w:t>: Improving Laos’ human resources through scholarships, training and organisational capacity building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5968F5" w:rsidRPr="00695730" w14:paraId="408350A7" w14:textId="77777777" w:rsidTr="00A75E1E">
        <w:tc>
          <w:tcPr>
            <w:tcW w:w="2016" w:type="dxa"/>
          </w:tcPr>
          <w:p w14:paraId="6F41FDB1" w14:textId="77777777" w:rsidR="005968F5" w:rsidRPr="00695730" w:rsidRDefault="005968F5" w:rsidP="00A75E1E">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69159321" wp14:editId="7BBA566A">
                  <wp:extent cx="1137600" cy="720000"/>
                  <wp:effectExtent l="0" t="0" r="5715"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14:paraId="51AE63D0" w14:textId="77777777" w:rsidR="005968F5" w:rsidRPr="00695730" w:rsidRDefault="005968F5" w:rsidP="00A75E1E">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36922342" wp14:editId="1F5F7378">
                  <wp:extent cx="612000" cy="612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2A380DC9" w14:textId="77777777" w:rsidR="005968F5" w:rsidRPr="00695730" w:rsidRDefault="005968F5" w:rsidP="00A75E1E">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2BDD89ED" wp14:editId="6D011FF0">
                  <wp:extent cx="612000" cy="612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4375AF16" w14:textId="77777777" w:rsidR="005968F5" w:rsidRPr="00695730" w:rsidRDefault="005968F5" w:rsidP="00A75E1E">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5F332808" wp14:editId="48939FD6">
                  <wp:extent cx="609600" cy="609600"/>
                  <wp:effectExtent l="0" t="0" r="0" b="0"/>
                  <wp:docPr id="56" name="Picture 56"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06" w:type="dxa"/>
          </w:tcPr>
          <w:p w14:paraId="14CABB62" w14:textId="77777777" w:rsidR="005968F5" w:rsidRPr="00695730" w:rsidRDefault="005968F5" w:rsidP="00A75E1E">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6267A1EB" wp14:editId="3CBB91A8">
                  <wp:extent cx="612000" cy="6120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08B9FD66" w14:textId="77777777" w:rsidR="0080604B" w:rsidRPr="00AB660C" w:rsidRDefault="0080604B" w:rsidP="006040A2">
      <w:pPr>
        <w:rPr>
          <w:color w:val="000000" w:themeColor="text1"/>
        </w:rPr>
      </w:pPr>
      <w:r w:rsidRPr="00AB660C">
        <w:rPr>
          <w:color w:val="000000" w:themeColor="text1"/>
        </w:rPr>
        <w:t xml:space="preserve">Australia </w:t>
      </w:r>
      <w:r w:rsidR="00654AFF" w:rsidRPr="00AB660C">
        <w:rPr>
          <w:color w:val="000000" w:themeColor="text1"/>
        </w:rPr>
        <w:t>delivered</w:t>
      </w:r>
      <w:r w:rsidR="00EF1BA6" w:rsidRPr="00AB660C">
        <w:rPr>
          <w:color w:val="000000" w:themeColor="text1"/>
        </w:rPr>
        <w:t xml:space="preserve"> </w:t>
      </w:r>
      <w:r w:rsidRPr="00AB660C">
        <w:rPr>
          <w:color w:val="000000" w:themeColor="text1"/>
        </w:rPr>
        <w:t>this objective</w:t>
      </w:r>
      <w:r w:rsidR="00CD5AF1" w:rsidRPr="00AB660C">
        <w:rPr>
          <w:color w:val="000000" w:themeColor="text1"/>
        </w:rPr>
        <w:t xml:space="preserve"> </w:t>
      </w:r>
      <w:r w:rsidR="001E0260" w:rsidRPr="00AB660C">
        <w:rPr>
          <w:color w:val="000000" w:themeColor="text1"/>
        </w:rPr>
        <w:t>through</w:t>
      </w:r>
      <w:r w:rsidR="00EF1BA6" w:rsidRPr="00AB660C">
        <w:rPr>
          <w:color w:val="000000" w:themeColor="text1"/>
        </w:rPr>
        <w:t xml:space="preserve"> the</w:t>
      </w:r>
      <w:r w:rsidR="001E0260" w:rsidRPr="00AB660C">
        <w:rPr>
          <w:color w:val="000000" w:themeColor="text1"/>
        </w:rPr>
        <w:t xml:space="preserve"> </w:t>
      </w:r>
      <w:r w:rsidR="001E0260" w:rsidRPr="00AB660C">
        <w:rPr>
          <w:b/>
          <w:bCs/>
          <w:color w:val="000000" w:themeColor="text1"/>
        </w:rPr>
        <w:t>Laos Australia Institute</w:t>
      </w:r>
      <w:r w:rsidR="001E0260" w:rsidRPr="00AB660C">
        <w:rPr>
          <w:b/>
          <w:color w:val="000000" w:themeColor="text1"/>
        </w:rPr>
        <w:t xml:space="preserve"> (LAI)</w:t>
      </w:r>
      <w:r w:rsidR="001E0260" w:rsidRPr="00AB660C">
        <w:rPr>
          <w:color w:val="000000" w:themeColor="text1"/>
        </w:rPr>
        <w:t xml:space="preserve"> Phase II, a program that </w:t>
      </w:r>
      <w:r w:rsidR="00ED1FD0" w:rsidRPr="00AB660C">
        <w:rPr>
          <w:color w:val="000000" w:themeColor="text1"/>
        </w:rPr>
        <w:t>manages</w:t>
      </w:r>
      <w:r w:rsidR="001E0260" w:rsidRPr="00AB660C">
        <w:rPr>
          <w:color w:val="000000" w:themeColor="text1"/>
        </w:rPr>
        <w:t xml:space="preserve"> scholarships, </w:t>
      </w:r>
      <w:r w:rsidR="00ED1FD0" w:rsidRPr="00AB660C">
        <w:rPr>
          <w:color w:val="000000" w:themeColor="text1"/>
        </w:rPr>
        <w:t>provides technical advice and</w:t>
      </w:r>
      <w:r w:rsidR="000B576B" w:rsidRPr="00AB660C">
        <w:rPr>
          <w:color w:val="000000" w:themeColor="text1"/>
        </w:rPr>
        <w:t xml:space="preserve"> organisational development support</w:t>
      </w:r>
      <w:r w:rsidR="00ED1FD0" w:rsidRPr="00AB660C">
        <w:rPr>
          <w:color w:val="000000" w:themeColor="text1"/>
        </w:rPr>
        <w:t xml:space="preserve"> to </w:t>
      </w:r>
      <w:r w:rsidR="000B576B" w:rsidRPr="00AB660C">
        <w:rPr>
          <w:color w:val="000000" w:themeColor="text1"/>
        </w:rPr>
        <w:t>key ministries</w:t>
      </w:r>
      <w:r w:rsidR="00AC5277" w:rsidRPr="00AB660C">
        <w:rPr>
          <w:color w:val="000000" w:themeColor="text1"/>
        </w:rPr>
        <w:t xml:space="preserve">, </w:t>
      </w:r>
      <w:r w:rsidR="001E0260" w:rsidRPr="00AB660C">
        <w:rPr>
          <w:color w:val="000000" w:themeColor="text1"/>
        </w:rPr>
        <w:t xml:space="preserve">and </w:t>
      </w:r>
      <w:r w:rsidR="00AC5277" w:rsidRPr="00AB660C">
        <w:rPr>
          <w:color w:val="000000" w:themeColor="text1"/>
        </w:rPr>
        <w:t>support</w:t>
      </w:r>
      <w:r w:rsidR="00ED1FD0" w:rsidRPr="00AB660C">
        <w:rPr>
          <w:color w:val="000000" w:themeColor="text1"/>
        </w:rPr>
        <w:t>s</w:t>
      </w:r>
      <w:r w:rsidR="00AC5277" w:rsidRPr="00AB660C">
        <w:rPr>
          <w:color w:val="000000" w:themeColor="text1"/>
        </w:rPr>
        <w:t xml:space="preserve"> human resource development </w:t>
      </w:r>
      <w:r w:rsidR="001E0260" w:rsidRPr="00AB660C">
        <w:rPr>
          <w:color w:val="000000" w:themeColor="text1"/>
        </w:rPr>
        <w:t>policy dialogue</w:t>
      </w:r>
      <w:r w:rsidR="00ED1FD0" w:rsidRPr="00AB660C">
        <w:rPr>
          <w:color w:val="000000" w:themeColor="text1"/>
        </w:rPr>
        <w:t xml:space="preserve"> between </w:t>
      </w:r>
      <w:r w:rsidR="00EF1BA6" w:rsidRPr="00AB660C">
        <w:rPr>
          <w:color w:val="000000" w:themeColor="text1"/>
        </w:rPr>
        <w:t>Laos and Australia.</w:t>
      </w:r>
      <w:r w:rsidR="00ED1FD0" w:rsidRPr="00AB660C">
        <w:rPr>
          <w:color w:val="000000" w:themeColor="text1"/>
        </w:rPr>
        <w:t xml:space="preserve"> </w:t>
      </w:r>
      <w:r w:rsidR="001E0260" w:rsidRPr="00AB660C">
        <w:rPr>
          <w:color w:val="000000" w:themeColor="text1"/>
        </w:rPr>
        <w:t xml:space="preserve">The Australian Volunteers Program and other </w:t>
      </w:r>
      <w:r w:rsidR="002D5136" w:rsidRPr="00AB660C">
        <w:rPr>
          <w:color w:val="000000" w:themeColor="text1"/>
        </w:rPr>
        <w:t xml:space="preserve">Australian </w:t>
      </w:r>
      <w:r w:rsidR="001E0260" w:rsidRPr="00AB660C">
        <w:rPr>
          <w:color w:val="000000" w:themeColor="text1"/>
        </w:rPr>
        <w:t xml:space="preserve">scholarships programs in </w:t>
      </w:r>
      <w:r w:rsidR="002D5136" w:rsidRPr="00AB660C">
        <w:rPr>
          <w:color w:val="000000" w:themeColor="text1"/>
        </w:rPr>
        <w:t>defence</w:t>
      </w:r>
      <w:r w:rsidR="001E0260" w:rsidRPr="00AB660C">
        <w:rPr>
          <w:color w:val="000000" w:themeColor="text1"/>
        </w:rPr>
        <w:t>, education and agricultural research also contribute</w:t>
      </w:r>
      <w:r w:rsidR="00654AFF" w:rsidRPr="00AB660C">
        <w:rPr>
          <w:color w:val="000000" w:themeColor="text1"/>
        </w:rPr>
        <w:t>d</w:t>
      </w:r>
      <w:r w:rsidR="001E0260" w:rsidRPr="00AB660C">
        <w:rPr>
          <w:color w:val="000000" w:themeColor="text1"/>
        </w:rPr>
        <w:t xml:space="preserve"> to </w:t>
      </w:r>
      <w:r w:rsidR="00DC19D2" w:rsidRPr="00AB660C">
        <w:rPr>
          <w:color w:val="000000" w:themeColor="text1"/>
        </w:rPr>
        <w:t xml:space="preserve">this objective. </w:t>
      </w:r>
    </w:p>
    <w:p w14:paraId="623AE6A7" w14:textId="266DD270" w:rsidR="00E750D8" w:rsidRPr="00AB660C" w:rsidRDefault="00DC19D2" w:rsidP="005C2718">
      <w:pPr>
        <w:rPr>
          <w:color w:val="000000" w:themeColor="text1"/>
        </w:rPr>
      </w:pPr>
      <w:r w:rsidRPr="00AB660C">
        <w:rPr>
          <w:color w:val="000000" w:themeColor="text1"/>
        </w:rPr>
        <w:t xml:space="preserve">In 2018-19, there was </w:t>
      </w:r>
      <w:r w:rsidR="002D5136" w:rsidRPr="00AB660C">
        <w:rPr>
          <w:color w:val="000000" w:themeColor="text1"/>
        </w:rPr>
        <w:t>significant progress</w:t>
      </w:r>
      <w:r w:rsidRPr="00AB660C">
        <w:rPr>
          <w:color w:val="000000" w:themeColor="text1"/>
        </w:rPr>
        <w:t xml:space="preserve"> as measured against the </w:t>
      </w:r>
      <w:r w:rsidR="002D5136" w:rsidRPr="00AB660C">
        <w:rPr>
          <w:color w:val="000000" w:themeColor="text1"/>
        </w:rPr>
        <w:t>benchmarks</w:t>
      </w:r>
      <w:r w:rsidRPr="00AB660C">
        <w:rPr>
          <w:color w:val="000000" w:themeColor="text1"/>
        </w:rPr>
        <w:t xml:space="preserve"> of the</w:t>
      </w:r>
      <w:r w:rsidR="0095489C">
        <w:rPr>
          <w:color w:val="000000" w:themeColor="text1"/>
        </w:rPr>
        <w:t xml:space="preserve"> </w:t>
      </w:r>
      <w:r w:rsidR="004F427F">
        <w:rPr>
          <w:color w:val="000000" w:themeColor="text1"/>
        </w:rPr>
        <w:t xml:space="preserve">interim </w:t>
      </w:r>
      <w:r w:rsidR="0095489C">
        <w:rPr>
          <w:color w:val="000000" w:themeColor="text1"/>
        </w:rPr>
        <w:t>Laos</w:t>
      </w:r>
      <w:r w:rsidRPr="00AB660C">
        <w:rPr>
          <w:color w:val="000000" w:themeColor="text1"/>
        </w:rPr>
        <w:t xml:space="preserve"> Performance Assessment Framework. Human resources development also rose in priority in the Lao e</w:t>
      </w:r>
      <w:r w:rsidR="00162279" w:rsidRPr="00AB660C">
        <w:rPr>
          <w:color w:val="000000" w:themeColor="text1"/>
        </w:rPr>
        <w:t xml:space="preserve">conomic and social </w:t>
      </w:r>
      <w:r w:rsidR="002D5136" w:rsidRPr="00AB660C">
        <w:rPr>
          <w:color w:val="000000" w:themeColor="text1"/>
        </w:rPr>
        <w:t>con</w:t>
      </w:r>
      <w:r w:rsidR="00162279" w:rsidRPr="00AB660C">
        <w:rPr>
          <w:color w:val="000000" w:themeColor="text1"/>
        </w:rPr>
        <w:t>text.</w:t>
      </w:r>
      <w:r w:rsidR="005C2718" w:rsidRPr="00AB660C">
        <w:rPr>
          <w:color w:val="000000" w:themeColor="text1"/>
        </w:rPr>
        <w:t xml:space="preserve"> </w:t>
      </w:r>
      <w:r w:rsidRPr="00AB660C">
        <w:rPr>
          <w:color w:val="000000" w:themeColor="text1"/>
        </w:rPr>
        <w:t xml:space="preserve">The Lao Government </w:t>
      </w:r>
      <w:r w:rsidR="00162279" w:rsidRPr="00AB660C">
        <w:rPr>
          <w:color w:val="000000" w:themeColor="text1"/>
        </w:rPr>
        <w:t>committed to</w:t>
      </w:r>
      <w:r w:rsidR="005C2718" w:rsidRPr="00AB660C">
        <w:rPr>
          <w:color w:val="000000" w:themeColor="text1"/>
        </w:rPr>
        <w:t xml:space="preserve"> creat</w:t>
      </w:r>
      <w:r w:rsidRPr="00AB660C">
        <w:rPr>
          <w:color w:val="000000" w:themeColor="text1"/>
        </w:rPr>
        <w:t>ing</w:t>
      </w:r>
      <w:r w:rsidR="005C2718" w:rsidRPr="00AB660C">
        <w:rPr>
          <w:color w:val="000000" w:themeColor="text1"/>
        </w:rPr>
        <w:t xml:space="preserve"> and improv</w:t>
      </w:r>
      <w:r w:rsidRPr="00AB660C">
        <w:rPr>
          <w:color w:val="000000" w:themeColor="text1"/>
        </w:rPr>
        <w:t>ing</w:t>
      </w:r>
      <w:r w:rsidR="005C2718" w:rsidRPr="00AB660C">
        <w:rPr>
          <w:color w:val="000000" w:themeColor="text1"/>
        </w:rPr>
        <w:t xml:space="preserve"> laws and regulations to support human </w:t>
      </w:r>
      <w:r w:rsidRPr="00AB660C">
        <w:rPr>
          <w:color w:val="000000" w:themeColor="text1"/>
        </w:rPr>
        <w:t>r</w:t>
      </w:r>
      <w:r w:rsidR="005C2718" w:rsidRPr="00AB660C">
        <w:rPr>
          <w:color w:val="000000" w:themeColor="text1"/>
        </w:rPr>
        <w:t xml:space="preserve">esource development </w:t>
      </w:r>
      <w:r w:rsidR="00E750D8" w:rsidRPr="00AB660C">
        <w:rPr>
          <w:color w:val="000000" w:themeColor="text1"/>
        </w:rPr>
        <w:t xml:space="preserve">in order to better address </w:t>
      </w:r>
      <w:r w:rsidR="005C2718" w:rsidRPr="00AB660C">
        <w:rPr>
          <w:color w:val="000000" w:themeColor="text1"/>
        </w:rPr>
        <w:t>labour market</w:t>
      </w:r>
      <w:r w:rsidR="00E750D8" w:rsidRPr="00AB660C">
        <w:rPr>
          <w:color w:val="000000" w:themeColor="text1"/>
        </w:rPr>
        <w:t xml:space="preserve"> needs</w:t>
      </w:r>
      <w:r w:rsidR="005C2718" w:rsidRPr="00AB660C">
        <w:rPr>
          <w:color w:val="000000" w:themeColor="text1"/>
        </w:rPr>
        <w:t xml:space="preserve">. </w:t>
      </w:r>
    </w:p>
    <w:p w14:paraId="08AF8224" w14:textId="77777777" w:rsidR="00654AFF" w:rsidRPr="00AB660C" w:rsidRDefault="00654AFF" w:rsidP="00654AFF">
      <w:pPr>
        <w:rPr>
          <w:color w:val="000000" w:themeColor="text1"/>
        </w:rPr>
      </w:pPr>
      <w:r w:rsidRPr="00AB660C">
        <w:rPr>
          <w:color w:val="000000" w:themeColor="text1"/>
        </w:rPr>
        <w:t>Australia’s objective of improving national human resource development policy and practices was pursued through the H</w:t>
      </w:r>
      <w:r w:rsidR="00B653C2" w:rsidRPr="00AB660C">
        <w:rPr>
          <w:color w:val="000000" w:themeColor="text1"/>
        </w:rPr>
        <w:t xml:space="preserve">uman </w:t>
      </w:r>
      <w:r w:rsidRPr="00AB660C">
        <w:rPr>
          <w:color w:val="000000" w:themeColor="text1"/>
        </w:rPr>
        <w:t>R</w:t>
      </w:r>
      <w:r w:rsidR="00B653C2" w:rsidRPr="00AB660C">
        <w:rPr>
          <w:color w:val="000000" w:themeColor="text1"/>
        </w:rPr>
        <w:t xml:space="preserve">esource </w:t>
      </w:r>
      <w:r w:rsidRPr="00AB660C">
        <w:rPr>
          <w:color w:val="000000" w:themeColor="text1"/>
        </w:rPr>
        <w:t>D</w:t>
      </w:r>
      <w:r w:rsidR="00B653C2" w:rsidRPr="00AB660C">
        <w:rPr>
          <w:color w:val="000000" w:themeColor="text1"/>
        </w:rPr>
        <w:t>evelopment D</w:t>
      </w:r>
      <w:r w:rsidRPr="00AB660C">
        <w:rPr>
          <w:color w:val="000000" w:themeColor="text1"/>
        </w:rPr>
        <w:t xml:space="preserve">ialogue held in January 2019. </w:t>
      </w:r>
      <w:r w:rsidR="00B653C2" w:rsidRPr="00AB660C">
        <w:rPr>
          <w:color w:val="000000" w:themeColor="text1"/>
        </w:rPr>
        <w:t xml:space="preserve">Through LAI, and in partnership with the Lao-Australia Development Learning Facility, Australia </w:t>
      </w:r>
      <w:r w:rsidRPr="00AB660C">
        <w:rPr>
          <w:color w:val="000000" w:themeColor="text1"/>
        </w:rPr>
        <w:t>supported the National H</w:t>
      </w:r>
      <w:r w:rsidR="0095489C">
        <w:rPr>
          <w:color w:val="000000" w:themeColor="text1"/>
        </w:rPr>
        <w:t xml:space="preserve">uman </w:t>
      </w:r>
      <w:r w:rsidRPr="00AB660C">
        <w:rPr>
          <w:color w:val="000000" w:themeColor="text1"/>
        </w:rPr>
        <w:t>R</w:t>
      </w:r>
      <w:r w:rsidR="0095489C">
        <w:rPr>
          <w:color w:val="000000" w:themeColor="text1"/>
        </w:rPr>
        <w:t xml:space="preserve">esource </w:t>
      </w:r>
      <w:r w:rsidRPr="00AB660C">
        <w:rPr>
          <w:color w:val="000000" w:themeColor="text1"/>
        </w:rPr>
        <w:t>D</w:t>
      </w:r>
      <w:r w:rsidR="0095489C">
        <w:rPr>
          <w:color w:val="000000" w:themeColor="text1"/>
        </w:rPr>
        <w:t>evelopment</w:t>
      </w:r>
      <w:r w:rsidRPr="00AB660C">
        <w:rPr>
          <w:color w:val="000000" w:themeColor="text1"/>
        </w:rPr>
        <w:t xml:space="preserve"> Commission Secretariat </w:t>
      </w:r>
      <w:r w:rsidR="00B653C2" w:rsidRPr="00AB660C">
        <w:rPr>
          <w:color w:val="000000" w:themeColor="text1"/>
        </w:rPr>
        <w:t xml:space="preserve">to </w:t>
      </w:r>
      <w:r w:rsidRPr="00AB660C">
        <w:rPr>
          <w:color w:val="000000" w:themeColor="text1"/>
        </w:rPr>
        <w:t xml:space="preserve">establish </w:t>
      </w:r>
      <w:r w:rsidR="00B653C2" w:rsidRPr="00AB660C">
        <w:rPr>
          <w:color w:val="000000" w:themeColor="text1"/>
        </w:rPr>
        <w:t>a Labour Market Information System</w:t>
      </w:r>
      <w:r w:rsidR="0095489C" w:rsidRPr="00F05B04">
        <w:rPr>
          <w:color w:val="000000" w:themeColor="text1"/>
        </w:rPr>
        <w:t xml:space="preserve"> and a</w:t>
      </w:r>
      <w:r w:rsidR="00B653C2" w:rsidRPr="00AB660C">
        <w:rPr>
          <w:color w:val="000000" w:themeColor="text1"/>
        </w:rPr>
        <w:t xml:space="preserve"> </w:t>
      </w:r>
      <w:r w:rsidRPr="00AB660C">
        <w:rPr>
          <w:color w:val="000000" w:themeColor="text1"/>
        </w:rPr>
        <w:t>M</w:t>
      </w:r>
      <w:r w:rsidR="0095489C">
        <w:rPr>
          <w:color w:val="000000" w:themeColor="text1"/>
        </w:rPr>
        <w:t xml:space="preserve">onitoring </w:t>
      </w:r>
      <w:r w:rsidRPr="00AB660C">
        <w:rPr>
          <w:color w:val="000000" w:themeColor="text1"/>
        </w:rPr>
        <w:t>&amp;</w:t>
      </w:r>
      <w:r w:rsidR="0095489C">
        <w:rPr>
          <w:color w:val="000000" w:themeColor="text1"/>
        </w:rPr>
        <w:t xml:space="preserve"> </w:t>
      </w:r>
      <w:r w:rsidRPr="00AB660C">
        <w:rPr>
          <w:color w:val="000000" w:themeColor="text1"/>
        </w:rPr>
        <w:t>E</w:t>
      </w:r>
      <w:r w:rsidR="0095489C">
        <w:rPr>
          <w:color w:val="000000" w:themeColor="text1"/>
        </w:rPr>
        <w:t xml:space="preserve">valuation </w:t>
      </w:r>
      <w:r w:rsidRPr="00AB660C">
        <w:rPr>
          <w:color w:val="000000" w:themeColor="text1"/>
        </w:rPr>
        <w:t>framework for the National H</w:t>
      </w:r>
      <w:r w:rsidR="0095489C">
        <w:rPr>
          <w:color w:val="000000" w:themeColor="text1"/>
        </w:rPr>
        <w:t xml:space="preserve">uman </w:t>
      </w:r>
      <w:r w:rsidRPr="00AB660C">
        <w:rPr>
          <w:color w:val="000000" w:themeColor="text1"/>
        </w:rPr>
        <w:t>R</w:t>
      </w:r>
      <w:r w:rsidR="0095489C">
        <w:rPr>
          <w:color w:val="000000" w:themeColor="text1"/>
        </w:rPr>
        <w:t xml:space="preserve">esource </w:t>
      </w:r>
      <w:r w:rsidRPr="00AB660C">
        <w:rPr>
          <w:color w:val="000000" w:themeColor="text1"/>
        </w:rPr>
        <w:t>D</w:t>
      </w:r>
      <w:r w:rsidR="0095489C">
        <w:rPr>
          <w:color w:val="000000" w:themeColor="text1"/>
        </w:rPr>
        <w:t>evelopment</w:t>
      </w:r>
      <w:r w:rsidRPr="00AB660C">
        <w:rPr>
          <w:color w:val="000000" w:themeColor="text1"/>
        </w:rPr>
        <w:t xml:space="preserve"> Strategy</w:t>
      </w:r>
      <w:r w:rsidR="00B653C2" w:rsidRPr="00AB660C">
        <w:rPr>
          <w:color w:val="000000" w:themeColor="text1"/>
        </w:rPr>
        <w:t xml:space="preserve">. </w:t>
      </w:r>
    </w:p>
    <w:p w14:paraId="50206104" w14:textId="308B7CA4" w:rsidR="00654AFF" w:rsidRPr="00AB660C" w:rsidRDefault="000E647F" w:rsidP="00654AFF">
      <w:pPr>
        <w:rPr>
          <w:color w:val="000000" w:themeColor="text1"/>
        </w:rPr>
      </w:pPr>
      <w:r w:rsidRPr="00AB660C">
        <w:rPr>
          <w:color w:val="000000" w:themeColor="text1"/>
        </w:rPr>
        <w:t xml:space="preserve">Australia invested </w:t>
      </w:r>
      <w:r w:rsidR="00654AFF" w:rsidRPr="00AB660C">
        <w:rPr>
          <w:color w:val="000000" w:themeColor="text1"/>
        </w:rPr>
        <w:t xml:space="preserve">significant efforts </w:t>
      </w:r>
      <w:r w:rsidR="0095489C">
        <w:rPr>
          <w:color w:val="000000" w:themeColor="text1"/>
        </w:rPr>
        <w:t xml:space="preserve">on </w:t>
      </w:r>
      <w:r w:rsidR="00654AFF" w:rsidRPr="00AB660C">
        <w:rPr>
          <w:color w:val="000000" w:themeColor="text1"/>
        </w:rPr>
        <w:t xml:space="preserve">gender equality and women’s empowerment leading to strong </w:t>
      </w:r>
      <w:r w:rsidR="0095489C">
        <w:rPr>
          <w:color w:val="000000" w:themeColor="text1"/>
        </w:rPr>
        <w:t>r</w:t>
      </w:r>
      <w:r w:rsidR="00654AFF" w:rsidRPr="00AB660C">
        <w:rPr>
          <w:color w:val="000000" w:themeColor="text1"/>
        </w:rPr>
        <w:t>esults. Several initiatives were completed in 2018-19, including a Women's Executive Development course that benefited 24 mid-career A</w:t>
      </w:r>
      <w:r w:rsidRPr="00AB660C">
        <w:rPr>
          <w:color w:val="000000" w:themeColor="text1"/>
        </w:rPr>
        <w:t xml:space="preserve">ustralian </w:t>
      </w:r>
      <w:r w:rsidR="00654AFF" w:rsidRPr="00AB660C">
        <w:rPr>
          <w:color w:val="000000" w:themeColor="text1"/>
        </w:rPr>
        <w:t>A</w:t>
      </w:r>
      <w:r w:rsidRPr="00AB660C">
        <w:rPr>
          <w:color w:val="000000" w:themeColor="text1"/>
        </w:rPr>
        <w:t xml:space="preserve">ward </w:t>
      </w:r>
      <w:r w:rsidR="00654AFF" w:rsidRPr="00AB660C">
        <w:rPr>
          <w:color w:val="000000" w:themeColor="text1"/>
        </w:rPr>
        <w:t xml:space="preserve">alumni; a second pilot of a Work Readiness course that supported 27 </w:t>
      </w:r>
      <w:r w:rsidRPr="00AB660C">
        <w:rPr>
          <w:color w:val="000000" w:themeColor="text1"/>
        </w:rPr>
        <w:t>Laos Australia National Scholarship</w:t>
      </w:r>
      <w:r w:rsidRPr="00AB660C" w:rsidDel="000E647F">
        <w:rPr>
          <w:color w:val="000000" w:themeColor="text1"/>
        </w:rPr>
        <w:t xml:space="preserve"> </w:t>
      </w:r>
      <w:r w:rsidR="00654AFF" w:rsidRPr="00AB660C">
        <w:rPr>
          <w:color w:val="000000" w:themeColor="text1"/>
        </w:rPr>
        <w:t xml:space="preserve">women graduates </w:t>
      </w:r>
      <w:r w:rsidR="000E4D35">
        <w:rPr>
          <w:color w:val="000000" w:themeColor="text1"/>
        </w:rPr>
        <w:t xml:space="preserve">(mostly from ethnic minorities and the first in their family to complete tertiary education) </w:t>
      </w:r>
      <w:r w:rsidR="00654AFF" w:rsidRPr="00AB660C">
        <w:rPr>
          <w:color w:val="000000" w:themeColor="text1"/>
        </w:rPr>
        <w:t>to enter the workforce; and a Career Mentoring Scheme linking</w:t>
      </w:r>
      <w:r w:rsidR="00DF3D55">
        <w:rPr>
          <w:color w:val="000000" w:themeColor="text1"/>
        </w:rPr>
        <w:t xml:space="preserve"> women graduates from</w:t>
      </w:r>
      <w:r w:rsidR="00654AFF" w:rsidRPr="00AB660C">
        <w:rPr>
          <w:color w:val="000000" w:themeColor="text1"/>
        </w:rPr>
        <w:t xml:space="preserve"> A</w:t>
      </w:r>
      <w:r w:rsidRPr="00AB660C">
        <w:rPr>
          <w:color w:val="000000" w:themeColor="text1"/>
        </w:rPr>
        <w:t>ustralian and Lao Australian scholarship</w:t>
      </w:r>
      <w:r w:rsidR="00DF3D55">
        <w:rPr>
          <w:color w:val="000000" w:themeColor="text1"/>
        </w:rPr>
        <w:t>s</w:t>
      </w:r>
      <w:r w:rsidRPr="00AB660C">
        <w:rPr>
          <w:color w:val="000000" w:themeColor="text1"/>
        </w:rPr>
        <w:t xml:space="preserve"> </w:t>
      </w:r>
      <w:r w:rsidR="00DF3D55">
        <w:rPr>
          <w:color w:val="000000" w:themeColor="text1"/>
        </w:rPr>
        <w:t xml:space="preserve">together. </w:t>
      </w:r>
    </w:p>
    <w:p w14:paraId="0536AA4D" w14:textId="77777777" w:rsidR="00643321" w:rsidRPr="00001F38" w:rsidRDefault="00DD55A0" w:rsidP="00643321">
      <w:pPr>
        <w:rPr>
          <w:color w:val="000000" w:themeColor="text1"/>
        </w:rPr>
      </w:pPr>
      <w:r w:rsidRPr="00AB660C">
        <w:rPr>
          <w:color w:val="000000" w:themeColor="text1"/>
        </w:rPr>
        <w:t xml:space="preserve">During the reporting period, LAI </w:t>
      </w:r>
      <w:r w:rsidR="00511AC0" w:rsidRPr="00AB660C">
        <w:rPr>
          <w:color w:val="000000" w:themeColor="text1"/>
        </w:rPr>
        <w:t xml:space="preserve">awarded a total of 29 Australia Award Scholarships, including 55% to women, in sectors </w:t>
      </w:r>
      <w:r w:rsidR="00942965" w:rsidRPr="00AB660C">
        <w:rPr>
          <w:color w:val="000000" w:themeColor="text1"/>
        </w:rPr>
        <w:t xml:space="preserve">directly </w:t>
      </w:r>
      <w:r w:rsidR="00511AC0" w:rsidRPr="00AB660C">
        <w:rPr>
          <w:color w:val="000000" w:themeColor="text1"/>
        </w:rPr>
        <w:t>aligned</w:t>
      </w:r>
      <w:r w:rsidR="006E774C">
        <w:rPr>
          <w:color w:val="000000" w:themeColor="text1"/>
        </w:rPr>
        <w:t xml:space="preserve"> with</w:t>
      </w:r>
      <w:r w:rsidR="00511AC0" w:rsidRPr="00AB660C">
        <w:rPr>
          <w:color w:val="000000" w:themeColor="text1"/>
        </w:rPr>
        <w:t xml:space="preserve"> </w:t>
      </w:r>
      <w:r w:rsidR="001633ED">
        <w:rPr>
          <w:color w:val="000000" w:themeColor="text1"/>
        </w:rPr>
        <w:t>Australian and Lao human resource development p</w:t>
      </w:r>
      <w:r w:rsidR="00511AC0" w:rsidRPr="00AB660C">
        <w:rPr>
          <w:color w:val="000000" w:themeColor="text1"/>
        </w:rPr>
        <w:t xml:space="preserve">riorities. </w:t>
      </w:r>
      <w:r w:rsidR="00942965" w:rsidRPr="00AB660C">
        <w:rPr>
          <w:color w:val="000000" w:themeColor="text1"/>
        </w:rPr>
        <w:t xml:space="preserve">Another 74 Laos Australia National Scholarships </w:t>
      </w:r>
      <w:r w:rsidR="001633ED">
        <w:rPr>
          <w:color w:val="000000" w:themeColor="text1"/>
        </w:rPr>
        <w:t>were</w:t>
      </w:r>
      <w:r w:rsidR="00942965" w:rsidRPr="00AB660C">
        <w:rPr>
          <w:color w:val="000000" w:themeColor="text1"/>
        </w:rPr>
        <w:t xml:space="preserve"> awarded, including </w:t>
      </w:r>
      <w:r w:rsidR="006E0BEB" w:rsidRPr="00AB660C">
        <w:rPr>
          <w:color w:val="000000" w:themeColor="text1"/>
        </w:rPr>
        <w:t>49</w:t>
      </w:r>
      <w:r w:rsidR="00942965" w:rsidRPr="00AB660C">
        <w:rPr>
          <w:color w:val="000000" w:themeColor="text1"/>
        </w:rPr>
        <w:t xml:space="preserve">% </w:t>
      </w:r>
      <w:r w:rsidR="0049206E" w:rsidRPr="00AB660C">
        <w:rPr>
          <w:color w:val="000000" w:themeColor="text1"/>
        </w:rPr>
        <w:t>female</w:t>
      </w:r>
      <w:r w:rsidR="00942965" w:rsidRPr="00AB660C">
        <w:rPr>
          <w:color w:val="000000" w:themeColor="text1"/>
        </w:rPr>
        <w:t xml:space="preserve"> awardees, </w:t>
      </w:r>
      <w:r w:rsidR="00D901BA" w:rsidRPr="00AB660C">
        <w:rPr>
          <w:color w:val="000000" w:themeColor="text1"/>
        </w:rPr>
        <w:t>30</w:t>
      </w:r>
      <w:r w:rsidR="00942965" w:rsidRPr="00AB660C">
        <w:rPr>
          <w:color w:val="000000" w:themeColor="text1"/>
        </w:rPr>
        <w:t xml:space="preserve">% living with a disability and </w:t>
      </w:r>
      <w:r w:rsidR="00D901BA" w:rsidRPr="00AB660C">
        <w:rPr>
          <w:color w:val="000000" w:themeColor="text1"/>
        </w:rPr>
        <w:t>73</w:t>
      </w:r>
      <w:r w:rsidR="00942965" w:rsidRPr="00AB660C">
        <w:rPr>
          <w:color w:val="000000" w:themeColor="text1"/>
        </w:rPr>
        <w:t xml:space="preserve">% awardees from ethnic minorities. </w:t>
      </w:r>
      <w:r w:rsidR="00643321">
        <w:rPr>
          <w:color w:val="000000" w:themeColor="text1"/>
        </w:rPr>
        <w:t xml:space="preserve">LAI worked with </w:t>
      </w:r>
      <w:r w:rsidR="00643321" w:rsidRPr="00001F38">
        <w:rPr>
          <w:color w:val="000000" w:themeColor="text1"/>
        </w:rPr>
        <w:t xml:space="preserve">the National University of Laos’ Inclusive Education Unit to better meet learning needs of </w:t>
      </w:r>
      <w:r w:rsidR="00643321">
        <w:rPr>
          <w:color w:val="000000" w:themeColor="text1"/>
        </w:rPr>
        <w:t>L</w:t>
      </w:r>
      <w:r w:rsidR="00643321" w:rsidRPr="00001F38">
        <w:rPr>
          <w:color w:val="000000" w:themeColor="text1"/>
        </w:rPr>
        <w:t>aos Australia National Scholarships</w:t>
      </w:r>
      <w:r w:rsidR="00643321" w:rsidRPr="00001F38" w:rsidDel="000E647F">
        <w:rPr>
          <w:color w:val="000000" w:themeColor="text1"/>
        </w:rPr>
        <w:t xml:space="preserve"> </w:t>
      </w:r>
      <w:r w:rsidR="00643321" w:rsidRPr="00001F38">
        <w:rPr>
          <w:color w:val="000000" w:themeColor="text1"/>
        </w:rPr>
        <w:t xml:space="preserve">awardees with a disability, including training university lecturers on inclusive education. </w:t>
      </w:r>
    </w:p>
    <w:p w14:paraId="1D300944" w14:textId="087DD07A" w:rsidR="000B076D" w:rsidRPr="00AB660C" w:rsidRDefault="006E0BEB" w:rsidP="006040A2">
      <w:pPr>
        <w:rPr>
          <w:color w:val="000000" w:themeColor="text1"/>
        </w:rPr>
      </w:pPr>
      <w:r w:rsidRPr="00AB660C">
        <w:rPr>
          <w:color w:val="000000" w:themeColor="text1"/>
        </w:rPr>
        <w:t xml:space="preserve">Recent monitoring found </w:t>
      </w:r>
      <w:r w:rsidR="0090021E" w:rsidRPr="00AB660C">
        <w:rPr>
          <w:color w:val="000000" w:themeColor="text1"/>
        </w:rPr>
        <w:t>98% of AAS alumn</w:t>
      </w:r>
      <w:r w:rsidR="000B576B" w:rsidRPr="00AB660C">
        <w:rPr>
          <w:color w:val="000000" w:themeColor="text1"/>
        </w:rPr>
        <w:t>i</w:t>
      </w:r>
      <w:r w:rsidR="004C6EC6" w:rsidRPr="00AB660C">
        <w:rPr>
          <w:color w:val="000000" w:themeColor="text1"/>
        </w:rPr>
        <w:t xml:space="preserve"> in Laos </w:t>
      </w:r>
      <w:r w:rsidR="00107C37" w:rsidRPr="00AB660C">
        <w:rPr>
          <w:color w:val="000000" w:themeColor="text1"/>
        </w:rPr>
        <w:t>provi</w:t>
      </w:r>
      <w:r w:rsidR="000B576B" w:rsidRPr="00AB660C">
        <w:rPr>
          <w:color w:val="000000" w:themeColor="text1"/>
        </w:rPr>
        <w:t>ded</w:t>
      </w:r>
      <w:r w:rsidR="004C6EC6" w:rsidRPr="00AB660C">
        <w:rPr>
          <w:color w:val="000000" w:themeColor="text1"/>
        </w:rPr>
        <w:t xml:space="preserve"> credible and relevant example</w:t>
      </w:r>
      <w:r w:rsidR="00ED7886" w:rsidRPr="00AB660C">
        <w:rPr>
          <w:color w:val="000000" w:themeColor="text1"/>
        </w:rPr>
        <w:t xml:space="preserve">s of </w:t>
      </w:r>
      <w:r w:rsidR="004C6EC6" w:rsidRPr="00AB660C">
        <w:rPr>
          <w:color w:val="000000" w:themeColor="text1"/>
        </w:rPr>
        <w:t xml:space="preserve">contribution to </w:t>
      </w:r>
      <w:r w:rsidR="008D5BE1">
        <w:rPr>
          <w:color w:val="000000" w:themeColor="text1"/>
        </w:rPr>
        <w:t xml:space="preserve">Lao </w:t>
      </w:r>
      <w:r w:rsidR="004C6EC6" w:rsidRPr="00AB660C">
        <w:rPr>
          <w:color w:val="000000" w:themeColor="text1"/>
        </w:rPr>
        <w:t>development as a result of their study</w:t>
      </w:r>
      <w:r w:rsidR="0026771D" w:rsidRPr="00AB660C">
        <w:rPr>
          <w:color w:val="000000" w:themeColor="text1"/>
        </w:rPr>
        <w:t xml:space="preserve">, </w:t>
      </w:r>
      <w:r w:rsidR="00102ED1" w:rsidRPr="00AB660C">
        <w:rPr>
          <w:color w:val="000000" w:themeColor="text1"/>
        </w:rPr>
        <w:t xml:space="preserve">and the majority of </w:t>
      </w:r>
      <w:r w:rsidR="008D5BE1">
        <w:rPr>
          <w:color w:val="000000" w:themeColor="text1"/>
        </w:rPr>
        <w:t xml:space="preserve">those contributions supported </w:t>
      </w:r>
      <w:r w:rsidR="001633ED">
        <w:rPr>
          <w:color w:val="000000" w:themeColor="text1"/>
        </w:rPr>
        <w:t xml:space="preserve">Australian </w:t>
      </w:r>
      <w:r w:rsidR="00D5338E" w:rsidRPr="00AB660C">
        <w:rPr>
          <w:color w:val="000000" w:themeColor="text1"/>
        </w:rPr>
        <w:t>priorities</w:t>
      </w:r>
      <w:r w:rsidR="0026771D" w:rsidRPr="00AB660C">
        <w:rPr>
          <w:color w:val="000000" w:themeColor="text1"/>
        </w:rPr>
        <w:t>.</w:t>
      </w:r>
      <w:r w:rsidR="00107C37" w:rsidRPr="00AB660C">
        <w:rPr>
          <w:color w:val="000000" w:themeColor="text1"/>
        </w:rPr>
        <w:t xml:space="preserve"> However,</w:t>
      </w:r>
      <w:r w:rsidR="004C6EC6" w:rsidRPr="00AB660C">
        <w:rPr>
          <w:color w:val="000000" w:themeColor="text1"/>
        </w:rPr>
        <w:t xml:space="preserve"> </w:t>
      </w:r>
      <w:r w:rsidR="000B076D" w:rsidRPr="00AB660C">
        <w:rPr>
          <w:color w:val="000000" w:themeColor="text1"/>
        </w:rPr>
        <w:t xml:space="preserve">English preparation for awardees in 2018 failed to meet </w:t>
      </w:r>
      <w:r w:rsidR="00A721AC">
        <w:rPr>
          <w:color w:val="000000" w:themeColor="text1"/>
        </w:rPr>
        <w:t>target objectives</w:t>
      </w:r>
      <w:r w:rsidR="000B076D" w:rsidRPr="00AB660C">
        <w:rPr>
          <w:color w:val="000000" w:themeColor="text1"/>
        </w:rPr>
        <w:t xml:space="preserve">, </w:t>
      </w:r>
      <w:r w:rsidR="00102ED1" w:rsidRPr="00AB660C">
        <w:rPr>
          <w:color w:val="000000" w:themeColor="text1"/>
        </w:rPr>
        <w:t xml:space="preserve">and in </w:t>
      </w:r>
      <w:r w:rsidR="000B076D" w:rsidRPr="00AB660C">
        <w:rPr>
          <w:color w:val="000000" w:themeColor="text1"/>
        </w:rPr>
        <w:t>response, LAI revised the curriculum for 2019.</w:t>
      </w:r>
    </w:p>
    <w:p w14:paraId="56E03F82" w14:textId="77777777" w:rsidR="00654AFF" w:rsidRPr="00AB660C" w:rsidRDefault="000B076D" w:rsidP="00AB660C">
      <w:pPr>
        <w:rPr>
          <w:color w:val="000000" w:themeColor="text1"/>
        </w:rPr>
      </w:pPr>
      <w:r w:rsidRPr="00AB660C">
        <w:rPr>
          <w:color w:val="000000" w:themeColor="text1"/>
        </w:rPr>
        <w:t xml:space="preserve">Other challenges included </w:t>
      </w:r>
      <w:r w:rsidR="00102ED1" w:rsidRPr="00AB660C">
        <w:rPr>
          <w:color w:val="000000" w:themeColor="text1"/>
        </w:rPr>
        <w:t xml:space="preserve">monitoring data showing </w:t>
      </w:r>
      <w:r w:rsidR="001633ED" w:rsidRPr="00001F38">
        <w:rPr>
          <w:color w:val="000000" w:themeColor="text1"/>
        </w:rPr>
        <w:t>Laos Australia National Scholarships</w:t>
      </w:r>
      <w:r w:rsidR="001633ED">
        <w:rPr>
          <w:color w:val="000000" w:themeColor="text1"/>
        </w:rPr>
        <w:t xml:space="preserve"> graduates from </w:t>
      </w:r>
      <w:r w:rsidR="006E0BEB" w:rsidRPr="00AB660C">
        <w:rPr>
          <w:color w:val="000000" w:themeColor="text1"/>
        </w:rPr>
        <w:t xml:space="preserve">2016 and 2017 </w:t>
      </w:r>
      <w:r w:rsidR="00102ED1" w:rsidRPr="00AB660C">
        <w:rPr>
          <w:color w:val="000000" w:themeColor="text1"/>
        </w:rPr>
        <w:t xml:space="preserve">had a similar employment rate to their non-scholarship peers. In 2019 LAI </w:t>
      </w:r>
      <w:r w:rsidR="005C1EBA" w:rsidRPr="00AB660C">
        <w:rPr>
          <w:color w:val="000000" w:themeColor="text1"/>
        </w:rPr>
        <w:t>complete</w:t>
      </w:r>
      <w:r w:rsidR="00A84C3C" w:rsidRPr="00AB660C">
        <w:rPr>
          <w:color w:val="000000" w:themeColor="text1"/>
        </w:rPr>
        <w:t>d</w:t>
      </w:r>
      <w:r w:rsidR="005C1EBA" w:rsidRPr="00AB660C">
        <w:rPr>
          <w:color w:val="000000" w:themeColor="text1"/>
        </w:rPr>
        <w:t xml:space="preserve"> a</w:t>
      </w:r>
      <w:r w:rsidR="0026771D" w:rsidRPr="00AB660C">
        <w:rPr>
          <w:color w:val="000000" w:themeColor="text1"/>
        </w:rPr>
        <w:t xml:space="preserve"> review of priority areas of </w:t>
      </w:r>
      <w:r w:rsidR="00F36D54" w:rsidRPr="00AB660C">
        <w:rPr>
          <w:color w:val="000000" w:themeColor="text1"/>
        </w:rPr>
        <w:t xml:space="preserve">study </w:t>
      </w:r>
      <w:r w:rsidR="0026771D" w:rsidRPr="00AB660C">
        <w:rPr>
          <w:color w:val="000000" w:themeColor="text1"/>
        </w:rPr>
        <w:t xml:space="preserve">to ensure </w:t>
      </w:r>
      <w:r w:rsidR="00BD007E">
        <w:rPr>
          <w:color w:val="000000" w:themeColor="text1"/>
        </w:rPr>
        <w:t>a</w:t>
      </w:r>
      <w:r w:rsidR="0026771D" w:rsidRPr="00AB660C">
        <w:rPr>
          <w:color w:val="000000" w:themeColor="text1"/>
        </w:rPr>
        <w:t xml:space="preserve">wardees graduate in a field where </w:t>
      </w:r>
      <w:r w:rsidR="008D5BE1">
        <w:rPr>
          <w:color w:val="000000" w:themeColor="text1"/>
        </w:rPr>
        <w:t xml:space="preserve">Lao </w:t>
      </w:r>
      <w:r w:rsidR="00F36D54" w:rsidRPr="00AB660C">
        <w:rPr>
          <w:color w:val="000000" w:themeColor="text1"/>
        </w:rPr>
        <w:t>employment</w:t>
      </w:r>
      <w:r w:rsidR="0026771D" w:rsidRPr="00AB660C">
        <w:rPr>
          <w:color w:val="000000" w:themeColor="text1"/>
        </w:rPr>
        <w:t xml:space="preserve"> is likely. </w:t>
      </w:r>
      <w:r w:rsidR="00E03968" w:rsidRPr="00AB660C">
        <w:rPr>
          <w:color w:val="000000" w:themeColor="text1"/>
        </w:rPr>
        <w:t xml:space="preserve">LAI also implemented improvements to the LANS </w:t>
      </w:r>
      <w:r w:rsidR="0026771D" w:rsidRPr="00AB660C">
        <w:rPr>
          <w:color w:val="000000" w:themeColor="text1"/>
        </w:rPr>
        <w:t>A</w:t>
      </w:r>
      <w:r w:rsidR="005C1EBA" w:rsidRPr="00AB660C">
        <w:rPr>
          <w:color w:val="000000" w:themeColor="text1"/>
        </w:rPr>
        <w:t xml:space="preserve">cademic </w:t>
      </w:r>
      <w:r w:rsidR="0026771D" w:rsidRPr="00AB660C">
        <w:rPr>
          <w:color w:val="000000" w:themeColor="text1"/>
        </w:rPr>
        <w:t>S</w:t>
      </w:r>
      <w:r w:rsidR="005C1EBA" w:rsidRPr="00AB660C">
        <w:rPr>
          <w:color w:val="000000" w:themeColor="text1"/>
        </w:rPr>
        <w:t xml:space="preserve">upport </w:t>
      </w:r>
      <w:r w:rsidR="0026771D" w:rsidRPr="00AB660C">
        <w:rPr>
          <w:color w:val="000000" w:themeColor="text1"/>
        </w:rPr>
        <w:t>P</w:t>
      </w:r>
      <w:r w:rsidR="005C1EBA" w:rsidRPr="00AB660C">
        <w:rPr>
          <w:color w:val="000000" w:themeColor="text1"/>
        </w:rPr>
        <w:t>rogram</w:t>
      </w:r>
      <w:r w:rsidR="00ED7886" w:rsidRPr="00AB660C">
        <w:rPr>
          <w:color w:val="000000" w:themeColor="text1"/>
        </w:rPr>
        <w:t xml:space="preserve"> Curriculum in job readiness</w:t>
      </w:r>
      <w:r w:rsidR="00E03968" w:rsidRPr="00AB660C">
        <w:rPr>
          <w:color w:val="000000" w:themeColor="text1"/>
        </w:rPr>
        <w:t xml:space="preserve">, and began working more closely with </w:t>
      </w:r>
      <w:r w:rsidR="00A84C3C" w:rsidRPr="00AB660C">
        <w:rPr>
          <w:color w:val="000000" w:themeColor="text1"/>
        </w:rPr>
        <w:t>the</w:t>
      </w:r>
      <w:r w:rsidR="0026771D" w:rsidRPr="00AB660C">
        <w:rPr>
          <w:color w:val="000000" w:themeColor="text1"/>
        </w:rPr>
        <w:t xml:space="preserve"> Laos National Chamber of Commerce and Industry (LNCCI) to identify both job opportunities and employer</w:t>
      </w:r>
      <w:r w:rsidR="00F36D54" w:rsidRPr="00AB660C">
        <w:rPr>
          <w:color w:val="000000" w:themeColor="text1"/>
        </w:rPr>
        <w:t>s’</w:t>
      </w:r>
      <w:r w:rsidR="0026771D" w:rsidRPr="00AB660C">
        <w:rPr>
          <w:color w:val="000000" w:themeColor="text1"/>
        </w:rPr>
        <w:t xml:space="preserve"> required skills and expectations.</w:t>
      </w:r>
      <w:r w:rsidR="00654AFF" w:rsidRPr="00AB660C">
        <w:rPr>
          <w:color w:val="000000" w:themeColor="text1"/>
        </w:rPr>
        <w:br w:type="page"/>
      </w:r>
    </w:p>
    <w:p w14:paraId="73F134D7" w14:textId="77777777" w:rsidR="005968F5" w:rsidRDefault="005968F5" w:rsidP="005968F5">
      <w:pPr>
        <w:rPr>
          <w:b/>
          <w:sz w:val="24"/>
        </w:rPr>
      </w:pPr>
      <w:r w:rsidRPr="005968F5">
        <w:rPr>
          <w:b/>
          <w:sz w:val="24"/>
        </w:rPr>
        <w:lastRenderedPageBreak/>
        <w:t>O</w:t>
      </w:r>
      <w:r w:rsidR="006E774C">
        <w:rPr>
          <w:b/>
          <w:sz w:val="24"/>
        </w:rPr>
        <w:t>bjective</w:t>
      </w:r>
      <w:r w:rsidRPr="005968F5">
        <w:rPr>
          <w:b/>
          <w:sz w:val="24"/>
        </w:rPr>
        <w:t xml:space="preserve"> 3:</w:t>
      </w:r>
      <w:r w:rsidRPr="005968F5">
        <w:t xml:space="preserve"> </w:t>
      </w:r>
      <w:r w:rsidRPr="005968F5">
        <w:rPr>
          <w:b/>
          <w:sz w:val="24"/>
        </w:rPr>
        <w:t>A stronger trade regime and more competitive private sector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5968F5" w:rsidRPr="00695730" w14:paraId="02E8F9A4" w14:textId="77777777" w:rsidTr="00A75E1E">
        <w:tc>
          <w:tcPr>
            <w:tcW w:w="2016" w:type="dxa"/>
          </w:tcPr>
          <w:p w14:paraId="07851B6A" w14:textId="77777777" w:rsidR="005968F5" w:rsidRPr="00695730" w:rsidRDefault="005968F5" w:rsidP="00A75E1E">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02CFB958" wp14:editId="76061A3D">
                  <wp:extent cx="1137600" cy="720000"/>
                  <wp:effectExtent l="0" t="0" r="5715"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14:paraId="18795600" w14:textId="77777777" w:rsidR="005968F5" w:rsidRPr="00695730" w:rsidRDefault="001A2318" w:rsidP="001A2318">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63299BFC" wp14:editId="4E51ECD6">
                  <wp:extent cx="612000" cy="6120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01E50317" w14:textId="77777777" w:rsidR="005968F5" w:rsidRPr="00695730" w:rsidRDefault="001A2318" w:rsidP="00C26176">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37F7A2DD" wp14:editId="322FB8F3">
                  <wp:extent cx="609600" cy="609600"/>
                  <wp:effectExtent l="0" t="0" r="0" b="0"/>
                  <wp:docPr id="60" name="Picture 60"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06" w:type="dxa"/>
          </w:tcPr>
          <w:p w14:paraId="49B4289A" w14:textId="77777777" w:rsidR="005968F5" w:rsidRPr="00695730" w:rsidRDefault="005968F5" w:rsidP="00A75E1E">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6BD712BF" wp14:editId="34F72CBD">
                  <wp:extent cx="612396" cy="612396"/>
                  <wp:effectExtent l="0" t="0" r="0" b="0"/>
                  <wp:docPr id="61" name="Picture 61" descr="C:\Users\anzurbru\AppData\Local\Microsoft\Windows\Temporary Internet Files\Content.Outlook\60HPXBZN\sdg-09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zurbru\AppData\Local\Microsoft\Windows\Temporary Internet Files\Content.Outlook\60HPXBZN\sdg-09 (2).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396" cy="612396"/>
                          </a:xfrm>
                          <a:prstGeom prst="rect">
                            <a:avLst/>
                          </a:prstGeom>
                          <a:noFill/>
                          <a:ln>
                            <a:noFill/>
                          </a:ln>
                        </pic:spPr>
                      </pic:pic>
                    </a:graphicData>
                  </a:graphic>
                </wp:inline>
              </w:drawing>
            </w:r>
          </w:p>
        </w:tc>
        <w:tc>
          <w:tcPr>
            <w:tcW w:w="1906" w:type="dxa"/>
          </w:tcPr>
          <w:p w14:paraId="1F866BF9" w14:textId="77777777" w:rsidR="005968F5" w:rsidRPr="00695730" w:rsidRDefault="005968F5" w:rsidP="00A75E1E">
            <w:pPr>
              <w:suppressAutoHyphens w:val="0"/>
              <w:spacing w:before="160" w:after="80" w:line="240" w:lineRule="auto"/>
              <w:jc w:val="center"/>
              <w:rPr>
                <w:rFonts w:asciiTheme="majorHAnsi" w:eastAsiaTheme="majorEastAsia" w:hAnsiTheme="majorHAnsi" w:cstheme="majorBidi"/>
                <w:caps/>
                <w:sz w:val="38"/>
                <w:szCs w:val="26"/>
              </w:rPr>
            </w:pPr>
          </w:p>
        </w:tc>
      </w:tr>
    </w:tbl>
    <w:p w14:paraId="3EBDB550" w14:textId="77777777" w:rsidR="0018076B" w:rsidRDefault="003A760D" w:rsidP="003A760D">
      <w:pPr>
        <w:rPr>
          <w:rFonts w:eastAsia="Times New Roman"/>
          <w:color w:val="000000" w:themeColor="text1"/>
        </w:rPr>
      </w:pPr>
      <w:r w:rsidRPr="00AB660C">
        <w:rPr>
          <w:rFonts w:eastAsia="Times New Roman"/>
          <w:color w:val="000000" w:themeColor="text1"/>
        </w:rPr>
        <w:t xml:space="preserve">Australia delivers this objective through two new investments: the World Bank managed multi-donor </w:t>
      </w:r>
      <w:r w:rsidRPr="00AB660C">
        <w:rPr>
          <w:rFonts w:eastAsia="Times New Roman"/>
          <w:b/>
          <w:color w:val="000000" w:themeColor="text1"/>
        </w:rPr>
        <w:t>Lao Competitiveness and Trade Project (LCT)</w:t>
      </w:r>
      <w:r w:rsidRPr="00AB660C">
        <w:rPr>
          <w:rFonts w:eastAsia="Times New Roman"/>
          <w:color w:val="000000" w:themeColor="text1"/>
        </w:rPr>
        <w:t xml:space="preserve"> </w:t>
      </w:r>
      <w:r w:rsidR="002C6A1B" w:rsidRPr="00AB660C">
        <w:rPr>
          <w:rFonts w:eastAsia="Times New Roman"/>
          <w:color w:val="000000" w:themeColor="text1"/>
        </w:rPr>
        <w:t xml:space="preserve">(2019-2023) </w:t>
      </w:r>
      <w:r w:rsidRPr="00AB660C">
        <w:rPr>
          <w:rFonts w:eastAsia="Times New Roman"/>
          <w:color w:val="000000" w:themeColor="text1"/>
        </w:rPr>
        <w:t xml:space="preserve">and </w:t>
      </w:r>
      <w:r w:rsidRPr="00AB660C">
        <w:rPr>
          <w:rFonts w:eastAsia="Times New Roman"/>
          <w:b/>
          <w:color w:val="000000" w:themeColor="text1"/>
        </w:rPr>
        <w:t>Access to Finance for the Poor (AFP)</w:t>
      </w:r>
      <w:r w:rsidR="002C6A1B" w:rsidRPr="00AB660C">
        <w:rPr>
          <w:rFonts w:eastAsia="Times New Roman"/>
          <w:b/>
          <w:color w:val="000000" w:themeColor="text1"/>
        </w:rPr>
        <w:t xml:space="preserve"> </w:t>
      </w:r>
      <w:r w:rsidR="002C6A1B" w:rsidRPr="00AB660C">
        <w:rPr>
          <w:rFonts w:eastAsia="Times New Roman"/>
          <w:color w:val="000000" w:themeColor="text1"/>
        </w:rPr>
        <w:t>Phase V (2019-2022)</w:t>
      </w:r>
      <w:r w:rsidRPr="00AB660C">
        <w:rPr>
          <w:rFonts w:eastAsia="Times New Roman"/>
          <w:color w:val="000000" w:themeColor="text1"/>
        </w:rPr>
        <w:t xml:space="preserve">, implemented by GIZ and co-financed by the German Government. </w:t>
      </w:r>
    </w:p>
    <w:p w14:paraId="0EE18267" w14:textId="77777777" w:rsidR="003A760D" w:rsidRPr="00AB660C" w:rsidRDefault="003A760D" w:rsidP="003A760D">
      <w:pPr>
        <w:rPr>
          <w:rFonts w:eastAsia="Times New Roman"/>
          <w:color w:val="000000" w:themeColor="text1"/>
        </w:rPr>
      </w:pPr>
      <w:r w:rsidRPr="00AB660C">
        <w:rPr>
          <w:rFonts w:eastAsia="Times New Roman"/>
          <w:color w:val="000000" w:themeColor="text1"/>
        </w:rPr>
        <w:t xml:space="preserve">Australia’s support for LCT commenced in January 2019 building on support for the </w:t>
      </w:r>
      <w:r w:rsidRPr="00AB660C">
        <w:rPr>
          <w:rFonts w:eastAsia="Times New Roman"/>
          <w:b/>
          <w:color w:val="000000" w:themeColor="text1"/>
        </w:rPr>
        <w:t>Trade Development Facility</w:t>
      </w:r>
      <w:r w:rsidRPr="00AB660C">
        <w:rPr>
          <w:rFonts w:eastAsia="Times New Roman"/>
          <w:color w:val="000000" w:themeColor="text1"/>
        </w:rPr>
        <w:t xml:space="preserve"> Phase II (TDF 2) which ended in December 2018. Australia’s support for the fifth phase of AFP began in April 2019 building on support for previous phases. </w:t>
      </w:r>
    </w:p>
    <w:p w14:paraId="7C5466B5" w14:textId="692C9132" w:rsidR="003A760D" w:rsidRPr="00AB660C" w:rsidRDefault="003A760D" w:rsidP="003A760D">
      <w:pPr>
        <w:rPr>
          <w:rFonts w:eastAsia="Times New Roman"/>
          <w:color w:val="000000" w:themeColor="text1"/>
        </w:rPr>
      </w:pPr>
      <w:r w:rsidRPr="00AB660C">
        <w:rPr>
          <w:rFonts w:eastAsia="Times New Roman"/>
          <w:color w:val="000000" w:themeColor="text1"/>
        </w:rPr>
        <w:t xml:space="preserve">This objective </w:t>
      </w:r>
      <w:r w:rsidR="008D5BE1">
        <w:rPr>
          <w:rFonts w:eastAsia="Times New Roman"/>
          <w:color w:val="000000" w:themeColor="text1"/>
        </w:rPr>
        <w:t>wa</w:t>
      </w:r>
      <w:r w:rsidRPr="00AB660C">
        <w:rPr>
          <w:rFonts w:eastAsia="Times New Roman"/>
          <w:color w:val="000000" w:themeColor="text1"/>
        </w:rPr>
        <w:t>s rated green during the reporting period due to: delivery of substantial investment outcomes</w:t>
      </w:r>
      <w:r w:rsidR="000501CC" w:rsidRPr="00AB660C">
        <w:rPr>
          <w:rFonts w:eastAsia="Times New Roman"/>
          <w:color w:val="000000" w:themeColor="text1"/>
        </w:rPr>
        <w:t xml:space="preserve"> through the final phases of the two key investments, </w:t>
      </w:r>
      <w:r w:rsidRPr="00AB660C">
        <w:rPr>
          <w:rFonts w:eastAsia="Times New Roman"/>
          <w:color w:val="000000" w:themeColor="text1"/>
        </w:rPr>
        <w:t>a positive response from the Lao Government and development partners</w:t>
      </w:r>
      <w:r w:rsidR="000501CC" w:rsidRPr="00AB660C">
        <w:rPr>
          <w:rFonts w:eastAsia="Times New Roman"/>
          <w:color w:val="000000" w:themeColor="text1"/>
        </w:rPr>
        <w:t xml:space="preserve">, and a smooth transition between investment phases. The finalised </w:t>
      </w:r>
      <w:r w:rsidR="002C6A1B" w:rsidRPr="00AB660C">
        <w:rPr>
          <w:rFonts w:eastAsia="Times New Roman"/>
          <w:color w:val="000000" w:themeColor="text1"/>
        </w:rPr>
        <w:t xml:space="preserve">Laos </w:t>
      </w:r>
      <w:r w:rsidR="000501CC" w:rsidRPr="00AB660C">
        <w:rPr>
          <w:rFonts w:eastAsia="Times New Roman"/>
          <w:color w:val="000000" w:themeColor="text1"/>
        </w:rPr>
        <w:t xml:space="preserve">Performance Assessment Framework provides indicators to monitor progress for </w:t>
      </w:r>
      <w:r w:rsidR="002C6A1B" w:rsidRPr="00AB660C">
        <w:rPr>
          <w:rFonts w:eastAsia="Times New Roman"/>
          <w:color w:val="000000" w:themeColor="text1"/>
        </w:rPr>
        <w:t xml:space="preserve">new investments going forward. </w:t>
      </w:r>
      <w:r w:rsidR="000501CC" w:rsidRPr="00AB660C">
        <w:rPr>
          <w:rFonts w:eastAsia="Times New Roman"/>
          <w:color w:val="000000" w:themeColor="text1"/>
        </w:rPr>
        <w:t xml:space="preserve"> </w:t>
      </w:r>
    </w:p>
    <w:p w14:paraId="4CF51DEC" w14:textId="77777777" w:rsidR="008E5A09" w:rsidRPr="00AB660C" w:rsidRDefault="008E5A09" w:rsidP="003A760D">
      <w:pPr>
        <w:rPr>
          <w:rFonts w:eastAsia="Times New Roman"/>
          <w:color w:val="000000" w:themeColor="text1"/>
        </w:rPr>
      </w:pPr>
      <w:r w:rsidRPr="00AB660C">
        <w:rPr>
          <w:rFonts w:eastAsia="Times New Roman"/>
          <w:color w:val="000000" w:themeColor="text1"/>
        </w:rPr>
        <w:t xml:space="preserve">Through </w:t>
      </w:r>
      <w:r w:rsidR="003A760D" w:rsidRPr="00AB660C">
        <w:rPr>
          <w:rFonts w:eastAsia="Times New Roman"/>
          <w:color w:val="000000" w:themeColor="text1"/>
        </w:rPr>
        <w:t>LCT</w:t>
      </w:r>
      <w:r w:rsidRPr="00AB660C">
        <w:rPr>
          <w:rFonts w:eastAsia="Times New Roman"/>
          <w:color w:val="000000" w:themeColor="text1"/>
        </w:rPr>
        <w:t xml:space="preserve">, Australia </w:t>
      </w:r>
      <w:r w:rsidR="003A760D" w:rsidRPr="00AB660C">
        <w:rPr>
          <w:rFonts w:eastAsia="Times New Roman"/>
          <w:color w:val="000000" w:themeColor="text1"/>
        </w:rPr>
        <w:t xml:space="preserve">aims to simplify business regulations, facilitate trade and improve firm-level competitiveness in </w:t>
      </w:r>
      <w:r w:rsidRPr="00AB660C">
        <w:rPr>
          <w:rFonts w:eastAsia="Times New Roman"/>
          <w:color w:val="000000" w:themeColor="text1"/>
        </w:rPr>
        <w:t>Laos</w:t>
      </w:r>
      <w:r w:rsidR="003A760D" w:rsidRPr="00AB660C">
        <w:rPr>
          <w:rFonts w:eastAsia="Times New Roman"/>
          <w:color w:val="000000" w:themeColor="text1"/>
        </w:rPr>
        <w:t xml:space="preserve">. On completion TDF 2 was found to have substantially achieved its project results including improving the trade and investment environment, diversifying exports, reducing costs to firms and strengthening public private dialogue.  At the 11th Lao Business Forum held </w:t>
      </w:r>
      <w:r w:rsidRPr="00AB660C">
        <w:rPr>
          <w:rFonts w:eastAsia="Times New Roman"/>
          <w:color w:val="000000" w:themeColor="text1"/>
        </w:rPr>
        <w:t>in J</w:t>
      </w:r>
      <w:r w:rsidR="003A760D" w:rsidRPr="00AB660C">
        <w:rPr>
          <w:rFonts w:eastAsia="Times New Roman"/>
          <w:color w:val="000000" w:themeColor="text1"/>
        </w:rPr>
        <w:t>uly 2018</w:t>
      </w:r>
      <w:r w:rsidRPr="00AB660C">
        <w:rPr>
          <w:rFonts w:eastAsia="Times New Roman"/>
          <w:color w:val="000000" w:themeColor="text1"/>
        </w:rPr>
        <w:t>,</w:t>
      </w:r>
      <w:r w:rsidR="003A760D" w:rsidRPr="00AB660C">
        <w:rPr>
          <w:rFonts w:eastAsia="Times New Roman"/>
          <w:color w:val="000000" w:themeColor="text1"/>
        </w:rPr>
        <w:t xml:space="preserve"> and attended by the Lao Prime Minister</w:t>
      </w:r>
      <w:r w:rsidRPr="00AB660C">
        <w:rPr>
          <w:rFonts w:eastAsia="Times New Roman"/>
          <w:color w:val="000000" w:themeColor="text1"/>
        </w:rPr>
        <w:t>,</w:t>
      </w:r>
      <w:r w:rsidR="003A760D" w:rsidRPr="00AB660C">
        <w:rPr>
          <w:rFonts w:eastAsia="Times New Roman"/>
          <w:color w:val="000000" w:themeColor="text1"/>
        </w:rPr>
        <w:t xml:space="preserve"> 22 priority issues were raised by the private sector. </w:t>
      </w:r>
      <w:r w:rsidRPr="00AB660C">
        <w:rPr>
          <w:rFonts w:eastAsia="Times New Roman"/>
          <w:color w:val="000000" w:themeColor="text1"/>
        </w:rPr>
        <w:t xml:space="preserve">By </w:t>
      </w:r>
      <w:r w:rsidR="003A760D" w:rsidRPr="00AB660C">
        <w:rPr>
          <w:rFonts w:eastAsia="Times New Roman"/>
          <w:color w:val="000000" w:themeColor="text1"/>
        </w:rPr>
        <w:t>May 2019, three issues had been solved completely</w:t>
      </w:r>
      <w:r w:rsidR="000501CC" w:rsidRPr="00AB660C">
        <w:rPr>
          <w:rFonts w:eastAsia="Times New Roman"/>
          <w:color w:val="000000" w:themeColor="text1"/>
        </w:rPr>
        <w:t xml:space="preserve"> with support from Australia</w:t>
      </w:r>
      <w:r w:rsidR="003A760D" w:rsidRPr="00AB660C">
        <w:rPr>
          <w:rFonts w:eastAsia="Times New Roman"/>
          <w:color w:val="000000" w:themeColor="text1"/>
        </w:rPr>
        <w:t>, four were expected to be solved by the next B</w:t>
      </w:r>
      <w:r w:rsidRPr="00AB660C">
        <w:rPr>
          <w:rFonts w:eastAsia="Times New Roman"/>
          <w:color w:val="000000" w:themeColor="text1"/>
        </w:rPr>
        <w:t xml:space="preserve">usiness </w:t>
      </w:r>
      <w:r w:rsidR="003A760D" w:rsidRPr="00AB660C">
        <w:rPr>
          <w:rFonts w:eastAsia="Times New Roman"/>
          <w:color w:val="000000" w:themeColor="text1"/>
        </w:rPr>
        <w:t>F</w:t>
      </w:r>
      <w:r w:rsidRPr="00AB660C">
        <w:rPr>
          <w:rFonts w:eastAsia="Times New Roman"/>
          <w:color w:val="000000" w:themeColor="text1"/>
        </w:rPr>
        <w:t>orum</w:t>
      </w:r>
      <w:r w:rsidR="003A760D" w:rsidRPr="00AB660C">
        <w:rPr>
          <w:rFonts w:eastAsia="Times New Roman"/>
          <w:color w:val="000000" w:themeColor="text1"/>
        </w:rPr>
        <w:t xml:space="preserve"> and six remained under discussion. </w:t>
      </w:r>
    </w:p>
    <w:p w14:paraId="7289BD6C" w14:textId="77777777" w:rsidR="003A760D" w:rsidRPr="00AB660C" w:rsidRDefault="003A760D" w:rsidP="003A760D">
      <w:pPr>
        <w:rPr>
          <w:rFonts w:eastAsia="Times New Roman"/>
          <w:color w:val="000000" w:themeColor="text1"/>
        </w:rPr>
      </w:pPr>
      <w:r w:rsidRPr="00AB660C">
        <w:rPr>
          <w:rFonts w:eastAsia="Times New Roman"/>
          <w:color w:val="000000" w:themeColor="text1"/>
        </w:rPr>
        <w:t xml:space="preserve">LCT has also started strongly: in December 2018 a Prime Ministerial decree clarified responsibilities at border checkpoints and limited the number of agencies involved; in February 2019 the Ministry of Industry and Commerce approved a new registration process which </w:t>
      </w:r>
      <w:r w:rsidR="00405485" w:rsidRPr="00AB660C">
        <w:rPr>
          <w:rFonts w:eastAsia="Times New Roman"/>
          <w:color w:val="000000" w:themeColor="text1"/>
        </w:rPr>
        <w:t>aims to r</w:t>
      </w:r>
      <w:r w:rsidRPr="00AB660C">
        <w:rPr>
          <w:rFonts w:eastAsia="Times New Roman"/>
          <w:color w:val="000000" w:themeColor="text1"/>
        </w:rPr>
        <w:t xml:space="preserve">educe the time to register a business from 174 to 40 days; and in April 2019, the Prime Minister appointed his Deputy Prime Minister to supervise ease of doing business reforms and established a secretariat within his office to support this work.  </w:t>
      </w:r>
    </w:p>
    <w:p w14:paraId="2934DE82" w14:textId="77777777" w:rsidR="003A760D" w:rsidRPr="00AB660C" w:rsidRDefault="003A760D" w:rsidP="003A760D">
      <w:pPr>
        <w:rPr>
          <w:rFonts w:eastAsia="Times New Roman"/>
          <w:color w:val="000000" w:themeColor="text1"/>
        </w:rPr>
      </w:pPr>
      <w:r w:rsidRPr="00AB660C">
        <w:rPr>
          <w:rFonts w:eastAsia="Times New Roman"/>
          <w:color w:val="000000" w:themeColor="text1"/>
        </w:rPr>
        <w:t>AFP aims to improve access to financial services for poor households and Micro and Small Enterprises, thereby contributing to inclusive economic development. At the end of phase four (March 2019), Australian support had provided better access to financial services for 71,800 rural people in Laos (target of 31,600) and established three new Network Support Organisations</w:t>
      </w:r>
      <w:r w:rsidR="00405485" w:rsidRPr="00AB660C">
        <w:rPr>
          <w:rFonts w:eastAsia="Times New Roman"/>
          <w:color w:val="000000" w:themeColor="text1"/>
        </w:rPr>
        <w:t>, two of which are already self-sufficient,</w:t>
      </w:r>
      <w:r w:rsidRPr="00AB660C">
        <w:rPr>
          <w:rFonts w:eastAsia="Times New Roman"/>
          <w:color w:val="000000" w:themeColor="text1"/>
        </w:rPr>
        <w:t xml:space="preserve"> which provide training, support and liquidity services to 283 new community-based village banks. The number of single women accounts increased to 11,305 accounts (target 10,000) and 1</w:t>
      </w:r>
      <w:r w:rsidR="000E4D35">
        <w:rPr>
          <w:rFonts w:eastAsia="Times New Roman"/>
          <w:color w:val="000000" w:themeColor="text1"/>
        </w:rPr>
        <w:t>3</w:t>
      </w:r>
      <w:r w:rsidRPr="00AB660C">
        <w:rPr>
          <w:rFonts w:eastAsia="Times New Roman"/>
          <w:color w:val="000000" w:themeColor="text1"/>
        </w:rPr>
        <w:t>,00</w:t>
      </w:r>
      <w:r w:rsidR="000E4D35">
        <w:rPr>
          <w:rFonts w:eastAsia="Times New Roman"/>
          <w:color w:val="000000" w:themeColor="text1"/>
        </w:rPr>
        <w:t>5</w:t>
      </w:r>
      <w:r w:rsidRPr="00AB660C">
        <w:rPr>
          <w:rFonts w:eastAsia="Times New Roman"/>
          <w:color w:val="000000" w:themeColor="text1"/>
        </w:rPr>
        <w:t xml:space="preserve"> villagers </w:t>
      </w:r>
      <w:r w:rsidR="000E4D35">
        <w:rPr>
          <w:rFonts w:eastAsia="Times New Roman"/>
          <w:color w:val="000000" w:themeColor="text1"/>
        </w:rPr>
        <w:t xml:space="preserve">(53% women) </w:t>
      </w:r>
      <w:r w:rsidRPr="00AB660C">
        <w:rPr>
          <w:rFonts w:eastAsia="Times New Roman"/>
          <w:color w:val="000000" w:themeColor="text1"/>
        </w:rPr>
        <w:t xml:space="preserve">received financial literacy trainings, </w:t>
      </w:r>
      <w:r w:rsidR="000E4D35">
        <w:rPr>
          <w:rFonts w:eastAsia="Times New Roman"/>
          <w:color w:val="000000" w:themeColor="text1"/>
        </w:rPr>
        <w:t>two</w:t>
      </w:r>
      <w:r w:rsidRPr="00AB660C">
        <w:rPr>
          <w:rFonts w:eastAsia="Times New Roman"/>
          <w:color w:val="000000" w:themeColor="text1"/>
        </w:rPr>
        <w:t xml:space="preserve"> times higher than the investment’s target (7,000).</w:t>
      </w:r>
    </w:p>
    <w:p w14:paraId="1CC2565D" w14:textId="77777777" w:rsidR="00DC1064" w:rsidRDefault="00DC1064" w:rsidP="00EB51F9">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p>
    <w:p w14:paraId="6677F6C3" w14:textId="77777777" w:rsidR="00EB51F9" w:rsidRPr="00EB51F9" w:rsidRDefault="00EB51F9" w:rsidP="00EB51F9">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EB51F9">
        <w:rPr>
          <w:rFonts w:asciiTheme="majorHAnsi" w:eastAsiaTheme="majorEastAsia" w:hAnsiTheme="majorHAnsi" w:cstheme="majorBidi"/>
          <w:caps/>
          <w:color w:val="495965" w:themeColor="text2"/>
          <w:sz w:val="38"/>
          <w:szCs w:val="26"/>
          <w:lang w:val="en-GB" w:eastAsia="en-US"/>
        </w:rPr>
        <w:t>Cross-cutting</w:t>
      </w:r>
      <w:r w:rsidR="00F05B04">
        <w:rPr>
          <w:rFonts w:asciiTheme="majorHAnsi" w:eastAsiaTheme="majorEastAsia" w:hAnsiTheme="majorHAnsi" w:cstheme="majorBidi"/>
          <w:caps/>
          <w:color w:val="495965" w:themeColor="text2"/>
          <w:sz w:val="38"/>
          <w:szCs w:val="26"/>
          <w:lang w:val="en-GB" w:eastAsia="en-US"/>
        </w:rPr>
        <w:t xml:space="preserve"> issues, </w:t>
      </w:r>
      <w:r w:rsidRPr="00EB51F9">
        <w:rPr>
          <w:rFonts w:asciiTheme="majorHAnsi" w:eastAsiaTheme="majorEastAsia" w:hAnsiTheme="majorHAnsi" w:cstheme="majorBidi"/>
          <w:caps/>
          <w:color w:val="495965" w:themeColor="text2"/>
          <w:sz w:val="38"/>
          <w:szCs w:val="26"/>
          <w:lang w:val="en-GB" w:eastAsia="en-US"/>
        </w:rPr>
        <w:t xml:space="preserve">regional </w:t>
      </w:r>
      <w:r w:rsidR="00F05B04">
        <w:rPr>
          <w:rFonts w:asciiTheme="majorHAnsi" w:eastAsiaTheme="majorEastAsia" w:hAnsiTheme="majorHAnsi" w:cstheme="majorBidi"/>
          <w:caps/>
          <w:color w:val="495965" w:themeColor="text2"/>
          <w:sz w:val="38"/>
          <w:szCs w:val="26"/>
          <w:lang w:val="en-GB" w:eastAsia="en-US"/>
        </w:rPr>
        <w:t xml:space="preserve">&amp; Global </w:t>
      </w:r>
      <w:r w:rsidRPr="00EB51F9">
        <w:rPr>
          <w:rFonts w:asciiTheme="majorHAnsi" w:eastAsiaTheme="majorEastAsia" w:hAnsiTheme="majorHAnsi" w:cstheme="majorBidi"/>
          <w:caps/>
          <w:color w:val="495965" w:themeColor="text2"/>
          <w:sz w:val="38"/>
          <w:szCs w:val="26"/>
          <w:lang w:val="en-GB" w:eastAsia="en-US"/>
        </w:rPr>
        <w:t>programs</w:t>
      </w:r>
    </w:p>
    <w:p w14:paraId="234293E6" w14:textId="77777777" w:rsidR="0016011F" w:rsidRDefault="005A3C12" w:rsidP="00EB51F9">
      <w:pPr>
        <w:rPr>
          <w:rFonts w:cstheme="minorHAnsi"/>
          <w:color w:val="000000" w:themeColor="text1"/>
          <w:lang w:val="en-US"/>
        </w:rPr>
      </w:pPr>
      <w:r>
        <w:rPr>
          <w:rFonts w:cstheme="minorHAnsi"/>
          <w:color w:val="000000" w:themeColor="text1"/>
          <w:lang w:val="en-US"/>
        </w:rPr>
        <w:t xml:space="preserve">The Australian </w:t>
      </w:r>
      <w:r w:rsidR="000E43FE">
        <w:rPr>
          <w:rFonts w:cstheme="minorHAnsi"/>
          <w:color w:val="000000" w:themeColor="text1"/>
          <w:lang w:val="en-US"/>
        </w:rPr>
        <w:t xml:space="preserve">development </w:t>
      </w:r>
      <w:r>
        <w:rPr>
          <w:rFonts w:cstheme="minorHAnsi"/>
          <w:color w:val="000000" w:themeColor="text1"/>
          <w:lang w:val="en-US"/>
        </w:rPr>
        <w:t xml:space="preserve">program in Laos continued to demonstrate leadership in promoting an inclusive approach to delivery of priorities in the reporting period. </w:t>
      </w:r>
      <w:r w:rsidR="000E4D35" w:rsidRPr="00243DCC">
        <w:rPr>
          <w:rFonts w:cstheme="minorHAnsi"/>
          <w:color w:val="000000" w:themeColor="text1"/>
          <w:lang w:val="en-US"/>
        </w:rPr>
        <w:t>After a 9-month planning, embassy-wide consultation and review process, in June 2019 a Gender Equality, Disability and Social Inclusion (GEDSI) Strategy articulating a whole-of-post approach for embedding these issues across the Embassy</w:t>
      </w:r>
      <w:r w:rsidR="008D5BE1">
        <w:rPr>
          <w:rFonts w:cstheme="minorHAnsi"/>
          <w:color w:val="000000" w:themeColor="text1"/>
          <w:lang w:val="en-US"/>
        </w:rPr>
        <w:t>’s work</w:t>
      </w:r>
      <w:r w:rsidR="000E4D35" w:rsidRPr="00243DCC">
        <w:rPr>
          <w:rFonts w:cstheme="minorHAnsi"/>
          <w:color w:val="000000" w:themeColor="text1"/>
          <w:lang w:val="en-US"/>
        </w:rPr>
        <w:t xml:space="preserve"> was finali</w:t>
      </w:r>
      <w:r w:rsidR="000E4D35">
        <w:rPr>
          <w:rFonts w:cstheme="minorHAnsi"/>
          <w:color w:val="000000" w:themeColor="text1"/>
          <w:lang w:val="en-US"/>
        </w:rPr>
        <w:t>s</w:t>
      </w:r>
      <w:r w:rsidR="000E4D35" w:rsidRPr="00243DCC">
        <w:rPr>
          <w:rFonts w:cstheme="minorHAnsi"/>
          <w:color w:val="000000" w:themeColor="text1"/>
          <w:lang w:val="en-US"/>
        </w:rPr>
        <w:t>ed.</w:t>
      </w:r>
      <w:r w:rsidR="000E4D35">
        <w:rPr>
          <w:rFonts w:cstheme="minorHAnsi"/>
          <w:color w:val="000000" w:themeColor="text1"/>
          <w:lang w:val="en-US"/>
        </w:rPr>
        <w:t xml:space="preserve"> </w:t>
      </w:r>
      <w:r w:rsidR="00133C6B">
        <w:rPr>
          <w:rFonts w:cstheme="minorHAnsi"/>
          <w:color w:val="000000" w:themeColor="text1"/>
          <w:lang w:val="en-US"/>
        </w:rPr>
        <w:t xml:space="preserve">The Strategy aims to further integrate GEDSI objectives over the next five years, and also better capture and report on already strong efforts to better the lives of </w:t>
      </w:r>
      <w:r w:rsidR="00D26BDD">
        <w:rPr>
          <w:rFonts w:cstheme="minorHAnsi"/>
          <w:color w:val="000000" w:themeColor="text1"/>
          <w:lang w:val="en-US"/>
        </w:rPr>
        <w:t>marginalis</w:t>
      </w:r>
      <w:r w:rsidR="00133C6B">
        <w:rPr>
          <w:rFonts w:cstheme="minorHAnsi"/>
          <w:color w:val="000000" w:themeColor="text1"/>
          <w:lang w:val="en-US"/>
        </w:rPr>
        <w:t xml:space="preserve">ed groups in Laos - including </w:t>
      </w:r>
      <w:r w:rsidR="00133C6B">
        <w:rPr>
          <w:rFonts w:cstheme="minorHAnsi"/>
          <w:color w:val="000000" w:themeColor="text1"/>
          <w:lang w:val="en-US"/>
        </w:rPr>
        <w:lastRenderedPageBreak/>
        <w:t>through policy advoc</w:t>
      </w:r>
      <w:r w:rsidR="00D26BDD">
        <w:rPr>
          <w:rFonts w:cstheme="minorHAnsi"/>
          <w:color w:val="000000" w:themeColor="text1"/>
          <w:lang w:val="en-US"/>
        </w:rPr>
        <w:t>acy with the Government of Laos</w:t>
      </w:r>
      <w:r w:rsidR="00133C6B">
        <w:rPr>
          <w:rFonts w:cstheme="minorHAnsi"/>
          <w:color w:val="000000" w:themeColor="text1"/>
          <w:lang w:val="en-US"/>
        </w:rPr>
        <w:t>. Future APPRs</w:t>
      </w:r>
      <w:r w:rsidR="00D26BDD">
        <w:rPr>
          <w:rFonts w:cstheme="minorHAnsi"/>
          <w:color w:val="000000" w:themeColor="text1"/>
          <w:lang w:val="en-US"/>
        </w:rPr>
        <w:t xml:space="preserve"> will report on </w:t>
      </w:r>
      <w:r w:rsidR="00133C6B">
        <w:rPr>
          <w:rFonts w:cstheme="minorHAnsi"/>
          <w:color w:val="000000" w:themeColor="text1"/>
          <w:lang w:val="en-US"/>
        </w:rPr>
        <w:t xml:space="preserve">progress against the GEDSI Strategy – which includes a </w:t>
      </w:r>
      <w:r w:rsidR="00D26BDD">
        <w:rPr>
          <w:rFonts w:cstheme="minorHAnsi"/>
          <w:color w:val="000000" w:themeColor="text1"/>
          <w:lang w:val="en-US"/>
        </w:rPr>
        <w:t xml:space="preserve">comprehensive </w:t>
      </w:r>
      <w:r w:rsidR="00441C16">
        <w:rPr>
          <w:rFonts w:cstheme="minorHAnsi"/>
          <w:color w:val="000000" w:themeColor="text1"/>
          <w:lang w:val="en-US"/>
        </w:rPr>
        <w:t>monitorable Action Plan</w:t>
      </w:r>
      <w:r w:rsidR="00D26BDD">
        <w:rPr>
          <w:rFonts w:cstheme="minorHAnsi"/>
          <w:color w:val="000000" w:themeColor="text1"/>
          <w:lang w:val="en-US"/>
        </w:rPr>
        <w:t xml:space="preserve">. </w:t>
      </w:r>
      <w:r>
        <w:rPr>
          <w:rFonts w:cstheme="minorHAnsi"/>
          <w:color w:val="000000" w:themeColor="text1"/>
          <w:lang w:val="en-US"/>
        </w:rPr>
        <w:t xml:space="preserve"> </w:t>
      </w:r>
    </w:p>
    <w:p w14:paraId="4C309819" w14:textId="77777777" w:rsidR="00D26BDD" w:rsidRDefault="0016011F" w:rsidP="000B6538">
      <w:pPr>
        <w:rPr>
          <w:rFonts w:cstheme="minorHAnsi"/>
          <w:color w:val="000000" w:themeColor="text1"/>
          <w:lang w:val="en-US"/>
        </w:rPr>
      </w:pPr>
      <w:r>
        <w:rPr>
          <w:rFonts w:cstheme="minorHAnsi"/>
          <w:color w:val="000000" w:themeColor="text1"/>
          <w:lang w:val="en-US"/>
        </w:rPr>
        <w:t xml:space="preserve">Regional and global programs accounted </w:t>
      </w:r>
      <w:r w:rsidR="00D26BDD">
        <w:rPr>
          <w:rFonts w:cstheme="minorHAnsi"/>
          <w:color w:val="000000" w:themeColor="text1"/>
          <w:lang w:val="en-US"/>
        </w:rPr>
        <w:t xml:space="preserve">for slightly under </w:t>
      </w:r>
      <w:r>
        <w:rPr>
          <w:rFonts w:cstheme="minorHAnsi"/>
          <w:color w:val="000000" w:themeColor="text1"/>
          <w:lang w:val="en-US"/>
        </w:rPr>
        <w:t xml:space="preserve">half of Australia’s total ODA in Laos in 2018-19. </w:t>
      </w:r>
      <w:r w:rsidR="00D26BDD">
        <w:rPr>
          <w:rFonts w:cstheme="minorHAnsi"/>
          <w:color w:val="000000" w:themeColor="text1"/>
          <w:lang w:val="en-US"/>
        </w:rPr>
        <w:t xml:space="preserve">Over $3million of unplanned humanitarian assistance boosted the bilateral budget for the year. </w:t>
      </w:r>
    </w:p>
    <w:p w14:paraId="7F47E419" w14:textId="77777777" w:rsidR="00E96406" w:rsidRPr="008243CD" w:rsidRDefault="000B6538" w:rsidP="00E96406">
      <w:pPr>
        <w:rPr>
          <w:rFonts w:cstheme="minorHAnsi"/>
          <w:color w:val="000000" w:themeColor="text1"/>
          <w:lang w:val="en-US"/>
        </w:rPr>
      </w:pPr>
      <w:r w:rsidRPr="00AB660C">
        <w:rPr>
          <w:rFonts w:cstheme="minorHAnsi"/>
          <w:b/>
          <w:bCs/>
          <w:color w:val="000000" w:themeColor="text1"/>
          <w:lang w:val="en-US"/>
        </w:rPr>
        <w:t>Australia</w:t>
      </w:r>
      <w:r w:rsidR="00E02F91" w:rsidRPr="00AB660C">
        <w:rPr>
          <w:rFonts w:cstheme="minorHAnsi"/>
          <w:b/>
          <w:bCs/>
          <w:color w:val="000000" w:themeColor="text1"/>
          <w:lang w:val="en-US"/>
        </w:rPr>
        <w:t>’s</w:t>
      </w:r>
      <w:r w:rsidRPr="00AB660C">
        <w:rPr>
          <w:rFonts w:cstheme="minorHAnsi"/>
          <w:b/>
          <w:bCs/>
          <w:color w:val="000000" w:themeColor="text1"/>
          <w:lang w:val="en-US"/>
        </w:rPr>
        <w:t xml:space="preserve"> Humanitarian Response </w:t>
      </w:r>
      <w:r w:rsidR="00E02F91" w:rsidRPr="00AB660C">
        <w:rPr>
          <w:rFonts w:cstheme="minorHAnsi"/>
          <w:b/>
          <w:bCs/>
          <w:color w:val="000000" w:themeColor="text1"/>
          <w:lang w:val="en-US"/>
        </w:rPr>
        <w:t>to</w:t>
      </w:r>
      <w:r w:rsidR="00E02F91" w:rsidRPr="00AB660C">
        <w:rPr>
          <w:rFonts w:cstheme="minorHAnsi"/>
          <w:b/>
          <w:color w:val="000000" w:themeColor="text1"/>
          <w:lang w:val="en-US"/>
        </w:rPr>
        <w:t xml:space="preserve"> the </w:t>
      </w:r>
      <w:r w:rsidR="00E02F91" w:rsidRPr="00AB660C">
        <w:rPr>
          <w:rFonts w:cstheme="minorHAnsi"/>
          <w:b/>
          <w:bCs/>
          <w:color w:val="000000" w:themeColor="text1"/>
          <w:lang w:val="en-US"/>
        </w:rPr>
        <w:t xml:space="preserve">Xe-Pian Xe-Namnoy dam collapse in Attapeu Province in July 2018 was well-received by the Lao Government. </w:t>
      </w:r>
      <w:r w:rsidRPr="00AB660C">
        <w:rPr>
          <w:rFonts w:cstheme="minorHAnsi"/>
          <w:color w:val="000000" w:themeColor="text1"/>
          <w:lang w:val="en-US"/>
        </w:rPr>
        <w:t xml:space="preserve">Relief supplies arrived onboard three Australian Defence Force planes within four days of the incident and reached 10,000 people. Recovery support through UN and INGO partners was also highly </w:t>
      </w:r>
      <w:r w:rsidR="0016011F">
        <w:rPr>
          <w:rFonts w:cstheme="minorHAnsi"/>
          <w:color w:val="000000" w:themeColor="text1"/>
          <w:lang w:val="en-US"/>
        </w:rPr>
        <w:t>effective</w:t>
      </w:r>
      <w:r w:rsidR="00EB40BF">
        <w:rPr>
          <w:rFonts w:cstheme="minorHAnsi"/>
          <w:color w:val="000000" w:themeColor="text1"/>
          <w:lang w:val="en-US"/>
        </w:rPr>
        <w:t>.</w:t>
      </w:r>
      <w:r w:rsidRPr="00AB660C">
        <w:rPr>
          <w:rFonts w:cstheme="minorHAnsi"/>
          <w:color w:val="000000" w:themeColor="text1"/>
          <w:lang w:val="en-US"/>
        </w:rPr>
        <w:t xml:space="preserve"> Australia’s support to date </w:t>
      </w:r>
      <w:r w:rsidR="00EB40BF">
        <w:rPr>
          <w:rFonts w:cstheme="minorHAnsi"/>
          <w:color w:val="000000" w:themeColor="text1"/>
          <w:lang w:val="en-US"/>
        </w:rPr>
        <w:t>has</w:t>
      </w:r>
      <w:r w:rsidR="00EB40BF" w:rsidRPr="00AB660C">
        <w:rPr>
          <w:rFonts w:cstheme="minorHAnsi"/>
          <w:color w:val="000000" w:themeColor="text1"/>
          <w:lang w:val="en-US"/>
        </w:rPr>
        <w:t xml:space="preserve"> </w:t>
      </w:r>
      <w:r w:rsidRPr="00AB660C">
        <w:rPr>
          <w:rFonts w:cstheme="minorHAnsi"/>
          <w:color w:val="000000" w:themeColor="text1"/>
          <w:lang w:val="en-US"/>
        </w:rPr>
        <w:t>provided child friendly spaces for 3,039 children; nutrition screening for 1,361 at-risk children; health and hygiene promotion for 5,411 caregivers; 2</w:t>
      </w:r>
      <w:r w:rsidR="00A061B1" w:rsidRPr="00AB660C">
        <w:rPr>
          <w:rFonts w:cstheme="minorHAnsi"/>
          <w:color w:val="000000" w:themeColor="text1"/>
          <w:lang w:val="en-US"/>
        </w:rPr>
        <w:t>49</w:t>
      </w:r>
      <w:r w:rsidRPr="00AB660C">
        <w:rPr>
          <w:rFonts w:cstheme="minorHAnsi"/>
          <w:color w:val="000000" w:themeColor="text1"/>
          <w:lang w:val="en-US"/>
        </w:rPr>
        <w:t xml:space="preserve">MT of rice for </w:t>
      </w:r>
      <w:r w:rsidR="00A061B1" w:rsidRPr="00AB660C">
        <w:rPr>
          <w:rFonts w:cstheme="minorHAnsi"/>
          <w:color w:val="000000" w:themeColor="text1"/>
          <w:lang w:val="en-US"/>
        </w:rPr>
        <w:t>5,395</w:t>
      </w:r>
      <w:r w:rsidRPr="00AB660C">
        <w:rPr>
          <w:rFonts w:cstheme="minorHAnsi"/>
          <w:color w:val="000000" w:themeColor="text1"/>
          <w:lang w:val="en-US"/>
        </w:rPr>
        <w:t xml:space="preserve"> people for four months</w:t>
      </w:r>
      <w:r w:rsidR="005652DB" w:rsidRPr="00AB660C">
        <w:rPr>
          <w:rFonts w:cstheme="minorHAnsi"/>
          <w:color w:val="000000" w:themeColor="text1"/>
          <w:lang w:val="en-US"/>
        </w:rPr>
        <w:t>; 7MT of nutrition</w:t>
      </w:r>
      <w:r w:rsidR="00BD172C" w:rsidRPr="00AB660C">
        <w:rPr>
          <w:rFonts w:cstheme="minorHAnsi"/>
          <w:color w:val="000000" w:themeColor="text1"/>
          <w:lang w:val="en-US"/>
        </w:rPr>
        <w:t>al</w:t>
      </w:r>
      <w:r w:rsidR="005652DB" w:rsidRPr="00AB660C">
        <w:rPr>
          <w:rFonts w:cstheme="minorHAnsi"/>
          <w:color w:val="000000" w:themeColor="text1"/>
          <w:lang w:val="en-US"/>
        </w:rPr>
        <w:t xml:space="preserve"> supplement</w:t>
      </w:r>
      <w:r w:rsidR="002B0239" w:rsidRPr="00AB660C">
        <w:rPr>
          <w:rFonts w:cstheme="minorHAnsi"/>
          <w:color w:val="000000" w:themeColor="text1"/>
          <w:lang w:val="en-US"/>
        </w:rPr>
        <w:t>s</w:t>
      </w:r>
      <w:r w:rsidR="005652DB" w:rsidRPr="00AB660C">
        <w:rPr>
          <w:rFonts w:cstheme="minorHAnsi"/>
          <w:color w:val="000000" w:themeColor="text1"/>
          <w:lang w:val="en-US"/>
        </w:rPr>
        <w:t xml:space="preserve"> for 1,693 children under five years old and 532 pregnant and lactating women</w:t>
      </w:r>
      <w:r w:rsidRPr="00AB660C">
        <w:rPr>
          <w:rFonts w:cstheme="minorHAnsi"/>
          <w:color w:val="000000" w:themeColor="text1"/>
          <w:lang w:val="en-US"/>
        </w:rPr>
        <w:t>; supported 9,600 children to get back to school; and enabled UXO clearance of 88ha of land and removing 69 UXO items.</w:t>
      </w:r>
      <w:r w:rsidR="0016011F">
        <w:rPr>
          <w:rFonts w:cstheme="minorHAnsi"/>
          <w:color w:val="000000" w:themeColor="text1"/>
          <w:lang w:val="en-US"/>
        </w:rPr>
        <w:t xml:space="preserve"> </w:t>
      </w:r>
      <w:r w:rsidR="00E96406" w:rsidRPr="008243CD">
        <w:rPr>
          <w:rFonts w:cstheme="minorHAnsi"/>
          <w:color w:val="000000" w:themeColor="text1"/>
          <w:lang w:val="en-US"/>
        </w:rPr>
        <w:t>Australia also provided three Australia Assist</w:t>
      </w:r>
      <w:r w:rsidR="00EB40BF">
        <w:rPr>
          <w:rFonts w:cstheme="minorHAnsi"/>
          <w:color w:val="000000" w:themeColor="text1"/>
          <w:lang w:val="en-US"/>
        </w:rPr>
        <w:t>s</w:t>
      </w:r>
      <w:r w:rsidR="00E96406" w:rsidRPr="008243CD">
        <w:rPr>
          <w:rFonts w:cstheme="minorHAnsi"/>
          <w:color w:val="000000" w:themeColor="text1"/>
          <w:lang w:val="en-US"/>
        </w:rPr>
        <w:t xml:space="preserve"> deployees to support the UN to coordinate the response and support the Lao Government’s recovery planning. </w:t>
      </w:r>
    </w:p>
    <w:p w14:paraId="04069E4E" w14:textId="77777777" w:rsidR="00C639A2" w:rsidRPr="00AB660C" w:rsidRDefault="00EB51F9" w:rsidP="00C639A2">
      <w:pPr>
        <w:rPr>
          <w:rFonts w:cstheme="minorHAnsi"/>
          <w:color w:val="000000" w:themeColor="text1"/>
          <w:lang w:val="en-US"/>
        </w:rPr>
      </w:pPr>
      <w:r w:rsidRPr="00AB660C">
        <w:rPr>
          <w:rFonts w:cstheme="minorHAnsi"/>
          <w:color w:val="000000" w:themeColor="text1"/>
          <w:lang w:val="en-US"/>
        </w:rPr>
        <w:t xml:space="preserve">The </w:t>
      </w:r>
      <w:r w:rsidRPr="00AB660C">
        <w:rPr>
          <w:rFonts w:cstheme="minorHAnsi"/>
          <w:b/>
          <w:bCs/>
          <w:color w:val="000000" w:themeColor="text1"/>
          <w:lang w:val="en-US"/>
        </w:rPr>
        <w:t>Laos Australia Development Learning Facility</w:t>
      </w:r>
      <w:r w:rsidRPr="00AB660C">
        <w:rPr>
          <w:rFonts w:cstheme="minorHAnsi"/>
          <w:color w:val="000000" w:themeColor="text1"/>
          <w:lang w:val="en-US"/>
        </w:rPr>
        <w:t xml:space="preserve"> (LADLF)</w:t>
      </w:r>
      <w:r w:rsidR="00DE0092" w:rsidRPr="00AB660C">
        <w:rPr>
          <w:rFonts w:cstheme="minorHAnsi"/>
          <w:color w:val="000000" w:themeColor="text1"/>
          <w:lang w:val="en-US"/>
        </w:rPr>
        <w:t xml:space="preserve"> </w:t>
      </w:r>
      <w:r w:rsidR="00CE0588" w:rsidRPr="00AB660C">
        <w:rPr>
          <w:rFonts w:cstheme="minorHAnsi"/>
          <w:color w:val="000000" w:themeColor="text1"/>
          <w:lang w:val="en-US"/>
        </w:rPr>
        <w:t>continue</w:t>
      </w:r>
      <w:r w:rsidR="00D26BDD">
        <w:rPr>
          <w:rFonts w:cstheme="minorHAnsi"/>
          <w:color w:val="000000" w:themeColor="text1"/>
          <w:lang w:val="en-US"/>
        </w:rPr>
        <w:t>d</w:t>
      </w:r>
      <w:r w:rsidR="00CE0588" w:rsidRPr="00AB660C">
        <w:rPr>
          <w:rFonts w:cstheme="minorHAnsi"/>
          <w:color w:val="000000" w:themeColor="text1"/>
          <w:lang w:val="en-US"/>
        </w:rPr>
        <w:t xml:space="preserve"> to</w:t>
      </w:r>
      <w:r w:rsidR="0020187B" w:rsidRPr="00AB660C">
        <w:rPr>
          <w:rFonts w:cstheme="minorHAnsi"/>
          <w:color w:val="000000" w:themeColor="text1"/>
          <w:lang w:val="en-US"/>
        </w:rPr>
        <w:t xml:space="preserve"> provide</w:t>
      </w:r>
      <w:r w:rsidR="00CE0588" w:rsidRPr="00AB660C">
        <w:rPr>
          <w:rFonts w:cstheme="minorHAnsi"/>
          <w:color w:val="000000" w:themeColor="text1"/>
          <w:lang w:val="en-US"/>
        </w:rPr>
        <w:t xml:space="preserve"> </w:t>
      </w:r>
      <w:r w:rsidR="001F3335" w:rsidRPr="00AB660C">
        <w:rPr>
          <w:rFonts w:cstheme="minorHAnsi"/>
          <w:color w:val="000000" w:themeColor="text1"/>
          <w:lang w:val="en-US"/>
        </w:rPr>
        <w:t xml:space="preserve">a range of </w:t>
      </w:r>
      <w:r w:rsidR="00506C80" w:rsidRPr="00AB660C">
        <w:rPr>
          <w:rFonts w:cstheme="minorHAnsi"/>
          <w:color w:val="000000" w:themeColor="text1"/>
          <w:lang w:val="en-US"/>
        </w:rPr>
        <w:t xml:space="preserve">technical and </w:t>
      </w:r>
      <w:r w:rsidR="001F3335" w:rsidRPr="00AB660C">
        <w:rPr>
          <w:rFonts w:cstheme="minorHAnsi"/>
          <w:color w:val="000000" w:themeColor="text1"/>
          <w:lang w:val="en-US"/>
        </w:rPr>
        <w:t xml:space="preserve">analytical </w:t>
      </w:r>
      <w:r w:rsidR="00CE0588" w:rsidRPr="00AB660C">
        <w:rPr>
          <w:rFonts w:cstheme="minorHAnsi"/>
          <w:color w:val="000000" w:themeColor="text1"/>
          <w:lang w:val="en-US"/>
        </w:rPr>
        <w:t>services</w:t>
      </w:r>
      <w:r w:rsidR="0020187B" w:rsidRPr="00AB660C">
        <w:rPr>
          <w:rFonts w:cstheme="minorHAnsi"/>
          <w:color w:val="000000" w:themeColor="text1"/>
          <w:lang w:val="en-US"/>
        </w:rPr>
        <w:t xml:space="preserve"> to the </w:t>
      </w:r>
      <w:r w:rsidR="000E43FE">
        <w:rPr>
          <w:rFonts w:cstheme="minorHAnsi"/>
          <w:color w:val="000000" w:themeColor="text1"/>
          <w:lang w:val="en-US"/>
        </w:rPr>
        <w:t>Australian development program in Laos</w:t>
      </w:r>
      <w:r w:rsidR="00CE0588" w:rsidRPr="00AB660C">
        <w:rPr>
          <w:rFonts w:cstheme="minorHAnsi"/>
          <w:color w:val="000000" w:themeColor="text1"/>
          <w:lang w:val="en-US"/>
        </w:rPr>
        <w:t xml:space="preserve">. In 2018-19, LADLF </w:t>
      </w:r>
      <w:r w:rsidR="00C42F71" w:rsidRPr="00AB660C">
        <w:rPr>
          <w:rFonts w:cstheme="minorHAnsi"/>
          <w:color w:val="000000" w:themeColor="text1"/>
          <w:lang w:val="en-US"/>
        </w:rPr>
        <w:t xml:space="preserve">supported </w:t>
      </w:r>
      <w:r w:rsidR="000E43FE">
        <w:rPr>
          <w:rFonts w:cstheme="minorHAnsi"/>
          <w:color w:val="000000" w:themeColor="text1"/>
          <w:lang w:val="en-US"/>
        </w:rPr>
        <w:t xml:space="preserve">a </w:t>
      </w:r>
      <w:r w:rsidR="001F3335" w:rsidRPr="00AB660C">
        <w:rPr>
          <w:rFonts w:cstheme="minorHAnsi"/>
          <w:color w:val="000000" w:themeColor="text1"/>
          <w:lang w:val="en-US"/>
        </w:rPr>
        <w:t xml:space="preserve">number of strategic activities </w:t>
      </w:r>
      <w:r w:rsidR="000E43FE">
        <w:rPr>
          <w:rFonts w:cstheme="minorHAnsi"/>
          <w:color w:val="000000" w:themeColor="text1"/>
          <w:lang w:val="en-US"/>
        </w:rPr>
        <w:t>including: G</w:t>
      </w:r>
      <w:r w:rsidR="00C42F71" w:rsidRPr="00AB660C">
        <w:rPr>
          <w:rFonts w:cstheme="minorHAnsi"/>
          <w:color w:val="000000" w:themeColor="text1"/>
          <w:lang w:val="en-US"/>
        </w:rPr>
        <w:t>EDSI Strategy</w:t>
      </w:r>
      <w:r w:rsidR="000E43FE">
        <w:rPr>
          <w:rFonts w:cstheme="minorHAnsi"/>
          <w:color w:val="000000" w:themeColor="text1"/>
          <w:lang w:val="en-US"/>
        </w:rPr>
        <w:t xml:space="preserve">; </w:t>
      </w:r>
      <w:r w:rsidR="00C42F71" w:rsidRPr="00AB660C">
        <w:rPr>
          <w:rFonts w:cstheme="minorHAnsi"/>
          <w:color w:val="000000" w:themeColor="text1"/>
          <w:lang w:val="en-US"/>
        </w:rPr>
        <w:t>Public Diplomacy Strategy</w:t>
      </w:r>
      <w:r w:rsidR="000E43FE">
        <w:rPr>
          <w:rFonts w:cstheme="minorHAnsi"/>
          <w:color w:val="000000" w:themeColor="text1"/>
          <w:lang w:val="en-US"/>
        </w:rPr>
        <w:t>;</w:t>
      </w:r>
      <w:r w:rsidR="00C42F71" w:rsidRPr="00AB660C">
        <w:rPr>
          <w:rFonts w:cstheme="minorHAnsi"/>
          <w:color w:val="000000" w:themeColor="text1"/>
          <w:lang w:val="en-US"/>
        </w:rPr>
        <w:t xml:space="preserve"> and</w:t>
      </w:r>
      <w:r w:rsidR="000E43FE">
        <w:rPr>
          <w:rFonts w:cstheme="minorHAnsi"/>
          <w:color w:val="000000" w:themeColor="text1"/>
          <w:lang w:val="en-US"/>
        </w:rPr>
        <w:t>,</w:t>
      </w:r>
      <w:r w:rsidR="00C42F71" w:rsidRPr="00AB660C">
        <w:rPr>
          <w:rFonts w:cstheme="minorHAnsi"/>
          <w:color w:val="000000" w:themeColor="text1"/>
          <w:lang w:val="en-US"/>
        </w:rPr>
        <w:t xml:space="preserve"> </w:t>
      </w:r>
      <w:r w:rsidR="00CD04C3" w:rsidRPr="00AB660C">
        <w:rPr>
          <w:rFonts w:cstheme="minorHAnsi"/>
          <w:color w:val="000000" w:themeColor="text1"/>
          <w:lang w:val="en-US"/>
        </w:rPr>
        <w:t>engagement</w:t>
      </w:r>
      <w:r w:rsidR="0020187B" w:rsidRPr="00AB660C">
        <w:rPr>
          <w:rFonts w:cstheme="minorHAnsi"/>
          <w:color w:val="000000" w:themeColor="text1"/>
          <w:lang w:val="en-US"/>
        </w:rPr>
        <w:t xml:space="preserve"> in </w:t>
      </w:r>
      <w:r w:rsidR="001F3335" w:rsidRPr="00AB660C">
        <w:rPr>
          <w:rFonts w:cstheme="minorHAnsi"/>
          <w:color w:val="000000" w:themeColor="text1"/>
          <w:lang w:val="en-US"/>
        </w:rPr>
        <w:t>the AQC and APPR processes</w:t>
      </w:r>
      <w:r w:rsidR="00C42F71" w:rsidRPr="00AB660C">
        <w:rPr>
          <w:rFonts w:cstheme="minorHAnsi"/>
          <w:color w:val="000000" w:themeColor="text1"/>
          <w:lang w:val="en-US"/>
        </w:rPr>
        <w:t xml:space="preserve">. LADLF </w:t>
      </w:r>
      <w:r w:rsidR="001F3335" w:rsidRPr="00AB660C">
        <w:rPr>
          <w:rFonts w:cstheme="minorHAnsi"/>
          <w:color w:val="000000" w:themeColor="text1"/>
          <w:lang w:val="en-US"/>
        </w:rPr>
        <w:t xml:space="preserve">also </w:t>
      </w:r>
      <w:r w:rsidR="00CE0588" w:rsidRPr="00AB660C">
        <w:rPr>
          <w:rFonts w:cstheme="minorHAnsi"/>
          <w:color w:val="000000" w:themeColor="text1"/>
          <w:lang w:val="en-US"/>
        </w:rPr>
        <w:t xml:space="preserve">led </w:t>
      </w:r>
      <w:r w:rsidR="000E6013" w:rsidRPr="00AB660C">
        <w:rPr>
          <w:rFonts w:cstheme="minorHAnsi"/>
          <w:color w:val="000000" w:themeColor="text1"/>
          <w:lang w:val="en-US"/>
        </w:rPr>
        <w:t xml:space="preserve">several </w:t>
      </w:r>
      <w:r w:rsidR="00CE0588" w:rsidRPr="00AB660C">
        <w:rPr>
          <w:rFonts w:cstheme="minorHAnsi"/>
          <w:color w:val="000000" w:themeColor="text1"/>
          <w:lang w:val="en-US"/>
        </w:rPr>
        <w:t>design</w:t>
      </w:r>
      <w:r w:rsidR="000E6013" w:rsidRPr="00AB660C">
        <w:rPr>
          <w:rFonts w:cstheme="minorHAnsi"/>
          <w:color w:val="000000" w:themeColor="text1"/>
          <w:lang w:val="en-US"/>
        </w:rPr>
        <w:t xml:space="preserve">s, evaluations and studies including the </w:t>
      </w:r>
      <w:r w:rsidR="00CE0588" w:rsidRPr="00AB660C">
        <w:rPr>
          <w:rFonts w:cstheme="minorHAnsi"/>
          <w:color w:val="000000" w:themeColor="text1"/>
          <w:lang w:val="en-US"/>
        </w:rPr>
        <w:t xml:space="preserve">multi-year Teacher Development Evaluation of the BEQUAL program, </w:t>
      </w:r>
      <w:r w:rsidR="006A64AB" w:rsidRPr="00AB660C">
        <w:rPr>
          <w:rFonts w:cstheme="minorHAnsi"/>
          <w:color w:val="000000" w:themeColor="text1"/>
          <w:lang w:val="en-US"/>
        </w:rPr>
        <w:t xml:space="preserve">the </w:t>
      </w:r>
      <w:r w:rsidR="000E6013" w:rsidRPr="00AB660C">
        <w:rPr>
          <w:rFonts w:cstheme="minorHAnsi"/>
          <w:color w:val="000000" w:themeColor="text1"/>
          <w:lang w:val="en-US"/>
        </w:rPr>
        <w:t xml:space="preserve">design of the </w:t>
      </w:r>
      <w:r w:rsidR="00CE0588" w:rsidRPr="00AB660C">
        <w:rPr>
          <w:rFonts w:cstheme="minorHAnsi"/>
          <w:color w:val="000000" w:themeColor="text1"/>
          <w:lang w:val="en-US"/>
        </w:rPr>
        <w:t>E</w:t>
      </w:r>
      <w:r w:rsidR="006A64AB" w:rsidRPr="00AB660C">
        <w:rPr>
          <w:rFonts w:cstheme="minorHAnsi"/>
          <w:color w:val="000000" w:themeColor="text1"/>
          <w:lang w:val="en-US"/>
        </w:rPr>
        <w:t xml:space="preserve">arly </w:t>
      </w:r>
      <w:r w:rsidR="00CE0588" w:rsidRPr="00AB660C">
        <w:rPr>
          <w:rFonts w:cstheme="minorHAnsi"/>
          <w:color w:val="000000" w:themeColor="text1"/>
          <w:lang w:val="en-US"/>
        </w:rPr>
        <w:t>C</w:t>
      </w:r>
      <w:r w:rsidR="006A64AB" w:rsidRPr="00AB660C">
        <w:rPr>
          <w:rFonts w:cstheme="minorHAnsi"/>
          <w:color w:val="000000" w:themeColor="text1"/>
          <w:lang w:val="en-US"/>
        </w:rPr>
        <w:t xml:space="preserve">hildhood </w:t>
      </w:r>
      <w:r w:rsidR="00C42F71" w:rsidRPr="00AB660C">
        <w:rPr>
          <w:rFonts w:cstheme="minorHAnsi"/>
          <w:color w:val="000000" w:themeColor="text1"/>
          <w:lang w:val="en-US"/>
        </w:rPr>
        <w:t xml:space="preserve">Benefits </w:t>
      </w:r>
      <w:r w:rsidR="00CE0588" w:rsidRPr="00AB660C">
        <w:rPr>
          <w:rFonts w:cstheme="minorHAnsi"/>
          <w:color w:val="000000" w:themeColor="text1"/>
          <w:lang w:val="en-US"/>
        </w:rPr>
        <w:t>P</w:t>
      </w:r>
      <w:r w:rsidR="00C42F71" w:rsidRPr="00AB660C">
        <w:rPr>
          <w:rFonts w:cstheme="minorHAnsi"/>
          <w:color w:val="000000" w:themeColor="text1"/>
          <w:lang w:val="en-US"/>
        </w:rPr>
        <w:t xml:space="preserve">rogram, </w:t>
      </w:r>
      <w:r w:rsidR="000E6013" w:rsidRPr="00AB660C">
        <w:rPr>
          <w:rFonts w:cstheme="minorHAnsi"/>
          <w:color w:val="000000" w:themeColor="text1"/>
          <w:lang w:val="en-US"/>
        </w:rPr>
        <w:t xml:space="preserve">and a </w:t>
      </w:r>
      <w:r w:rsidR="000E6013" w:rsidRPr="00AB660C">
        <w:rPr>
          <w:rFonts w:cstheme="minorHAnsi"/>
          <w:color w:val="000000" w:themeColor="text1"/>
          <w:lang w:val="en-AU"/>
        </w:rPr>
        <w:t xml:space="preserve">study on education and skills demand in the private </w:t>
      </w:r>
      <w:r w:rsidR="0020187B" w:rsidRPr="00AB660C">
        <w:rPr>
          <w:rFonts w:cstheme="minorHAnsi"/>
          <w:color w:val="000000" w:themeColor="text1"/>
          <w:lang w:val="en-AU"/>
        </w:rPr>
        <w:t>s</w:t>
      </w:r>
      <w:r w:rsidR="000E6013" w:rsidRPr="00AB660C">
        <w:rPr>
          <w:rFonts w:cstheme="minorHAnsi"/>
          <w:color w:val="000000" w:themeColor="text1"/>
          <w:lang w:val="en-AU"/>
        </w:rPr>
        <w:t xml:space="preserve">ector in </w:t>
      </w:r>
      <w:r w:rsidR="002C103E" w:rsidRPr="00AB660C">
        <w:rPr>
          <w:rFonts w:cstheme="minorHAnsi"/>
          <w:color w:val="000000" w:themeColor="text1"/>
          <w:lang w:val="en-AU"/>
        </w:rPr>
        <w:t>Laos</w:t>
      </w:r>
      <w:r w:rsidR="002C103E" w:rsidRPr="00AB660C">
        <w:rPr>
          <w:rFonts w:cstheme="minorHAnsi"/>
          <w:color w:val="000000" w:themeColor="text1"/>
          <w:lang w:val="en-US"/>
        </w:rPr>
        <w:t>.</w:t>
      </w:r>
      <w:r w:rsidR="00AC3F03" w:rsidRPr="00AB660C">
        <w:rPr>
          <w:rFonts w:cstheme="minorHAnsi"/>
          <w:color w:val="000000" w:themeColor="text1"/>
          <w:lang w:val="en-US"/>
        </w:rPr>
        <w:t xml:space="preserve"> The </w:t>
      </w:r>
      <w:r w:rsidR="000E6013" w:rsidRPr="00AB660C">
        <w:rPr>
          <w:rFonts w:cstheme="minorHAnsi"/>
          <w:color w:val="000000" w:themeColor="text1"/>
          <w:lang w:val="en-US"/>
        </w:rPr>
        <w:t>facility</w:t>
      </w:r>
      <w:r w:rsidR="00AC3F03" w:rsidRPr="00AB660C">
        <w:rPr>
          <w:rFonts w:cstheme="minorHAnsi"/>
          <w:color w:val="000000" w:themeColor="text1"/>
          <w:lang w:val="en-US"/>
        </w:rPr>
        <w:t xml:space="preserve"> </w:t>
      </w:r>
      <w:r w:rsidR="000E6013" w:rsidRPr="00AB660C">
        <w:rPr>
          <w:rFonts w:cstheme="minorHAnsi"/>
          <w:color w:val="000000" w:themeColor="text1"/>
          <w:lang w:val="en-US"/>
        </w:rPr>
        <w:t>continue</w:t>
      </w:r>
      <w:r w:rsidR="000E43FE">
        <w:rPr>
          <w:rFonts w:cstheme="minorHAnsi"/>
          <w:color w:val="000000" w:themeColor="text1"/>
          <w:lang w:val="en-US"/>
        </w:rPr>
        <w:t>d</w:t>
      </w:r>
      <w:r w:rsidR="000E6013" w:rsidRPr="00AB660C">
        <w:rPr>
          <w:rFonts w:cstheme="minorHAnsi"/>
          <w:color w:val="000000" w:themeColor="text1"/>
          <w:lang w:val="en-US"/>
        </w:rPr>
        <w:t xml:space="preserve"> to</w:t>
      </w:r>
      <w:r w:rsidR="00AC3F03" w:rsidRPr="00AB660C">
        <w:rPr>
          <w:rFonts w:cstheme="minorHAnsi"/>
          <w:color w:val="000000" w:themeColor="text1"/>
          <w:lang w:val="en-US"/>
        </w:rPr>
        <w:t xml:space="preserve"> support the Ministry of Planning and Investment </w:t>
      </w:r>
      <w:r w:rsidR="000E6013" w:rsidRPr="00AB660C">
        <w:rPr>
          <w:rFonts w:cstheme="minorHAnsi"/>
          <w:color w:val="000000" w:themeColor="text1"/>
          <w:lang w:val="en-US"/>
        </w:rPr>
        <w:t xml:space="preserve">in </w:t>
      </w:r>
      <w:r w:rsidR="0020187B" w:rsidRPr="00AB660C">
        <w:rPr>
          <w:rFonts w:cstheme="minorHAnsi"/>
          <w:color w:val="000000" w:themeColor="text1"/>
          <w:lang w:val="en-US"/>
        </w:rPr>
        <w:t xml:space="preserve">capacity building on use of </w:t>
      </w:r>
      <w:r w:rsidR="00506C80" w:rsidRPr="00AB660C">
        <w:rPr>
          <w:rFonts w:cstheme="minorHAnsi"/>
          <w:color w:val="000000" w:themeColor="text1"/>
          <w:lang w:val="en-US"/>
        </w:rPr>
        <w:t xml:space="preserve">an </w:t>
      </w:r>
      <w:r w:rsidR="00AC3F03" w:rsidRPr="00AB660C">
        <w:rPr>
          <w:rFonts w:cstheme="minorHAnsi"/>
          <w:color w:val="000000" w:themeColor="text1"/>
          <w:lang w:val="en-US"/>
        </w:rPr>
        <w:t>ODA Monitoring Information System</w:t>
      </w:r>
      <w:r w:rsidR="00506C80" w:rsidRPr="00AB660C">
        <w:rPr>
          <w:rFonts w:cstheme="minorHAnsi"/>
          <w:color w:val="000000" w:themeColor="text1"/>
          <w:lang w:val="en-US"/>
        </w:rPr>
        <w:t xml:space="preserve">; </w:t>
      </w:r>
      <w:r w:rsidR="008027BF" w:rsidRPr="00AB660C">
        <w:rPr>
          <w:rFonts w:cstheme="minorHAnsi"/>
          <w:color w:val="000000" w:themeColor="text1"/>
          <w:lang w:val="en-US"/>
        </w:rPr>
        <w:t xml:space="preserve">and the National </w:t>
      </w:r>
      <w:r w:rsidR="007E428A">
        <w:rPr>
          <w:rFonts w:cstheme="minorHAnsi"/>
          <w:color w:val="000000" w:themeColor="text1"/>
          <w:lang w:val="en-US"/>
        </w:rPr>
        <w:t xml:space="preserve">Institute for </w:t>
      </w:r>
      <w:r w:rsidR="00506C80" w:rsidRPr="00AB660C">
        <w:rPr>
          <w:rFonts w:cstheme="minorHAnsi"/>
          <w:color w:val="000000" w:themeColor="text1"/>
          <w:lang w:val="en-US"/>
        </w:rPr>
        <w:t>Economic Research</w:t>
      </w:r>
      <w:r w:rsidR="00EB40BF">
        <w:rPr>
          <w:rFonts w:cstheme="minorHAnsi"/>
          <w:color w:val="000000" w:themeColor="text1"/>
          <w:lang w:val="en-US"/>
        </w:rPr>
        <w:t xml:space="preserve"> </w:t>
      </w:r>
      <w:r w:rsidR="008027BF" w:rsidRPr="00AB660C">
        <w:rPr>
          <w:rFonts w:cstheme="minorHAnsi"/>
          <w:color w:val="000000" w:themeColor="text1"/>
          <w:lang w:val="en-US"/>
        </w:rPr>
        <w:t xml:space="preserve"> </w:t>
      </w:r>
      <w:r w:rsidR="000E6013" w:rsidRPr="00AB660C">
        <w:rPr>
          <w:rFonts w:cstheme="minorHAnsi"/>
          <w:color w:val="000000" w:themeColor="text1"/>
          <w:lang w:val="en-US"/>
        </w:rPr>
        <w:t xml:space="preserve">in conducting a </w:t>
      </w:r>
      <w:r w:rsidR="008027BF" w:rsidRPr="00AB660C">
        <w:rPr>
          <w:rFonts w:cstheme="minorHAnsi"/>
          <w:color w:val="000000" w:themeColor="text1"/>
          <w:lang w:val="en-US"/>
        </w:rPr>
        <w:t xml:space="preserve">Climate Change Adaptation </w:t>
      </w:r>
      <w:r w:rsidR="000E6013" w:rsidRPr="00AB660C">
        <w:rPr>
          <w:rFonts w:cstheme="minorHAnsi"/>
          <w:color w:val="000000" w:themeColor="text1"/>
          <w:lang w:val="en-US"/>
        </w:rPr>
        <w:t>s</w:t>
      </w:r>
      <w:r w:rsidR="008027BF" w:rsidRPr="00AB660C">
        <w:rPr>
          <w:rFonts w:cstheme="minorHAnsi"/>
          <w:color w:val="000000" w:themeColor="text1"/>
          <w:lang w:val="en-US"/>
        </w:rPr>
        <w:t xml:space="preserve">tudy. </w:t>
      </w:r>
    </w:p>
    <w:p w14:paraId="0CF3B655" w14:textId="77777777" w:rsidR="0012185B" w:rsidRPr="00AB660C" w:rsidRDefault="0012185B" w:rsidP="00EB51F9">
      <w:pPr>
        <w:rPr>
          <w:rFonts w:cstheme="minorHAnsi"/>
          <w:color w:val="000000" w:themeColor="text1"/>
          <w:highlight w:val="yellow"/>
          <w:lang w:val="en-US"/>
        </w:rPr>
      </w:pPr>
      <w:r w:rsidRPr="00AB660C">
        <w:rPr>
          <w:rFonts w:cstheme="minorHAnsi"/>
          <w:color w:val="000000" w:themeColor="text1"/>
          <w:lang w:val="en-US"/>
        </w:rPr>
        <w:t xml:space="preserve">The </w:t>
      </w:r>
      <w:r w:rsidRPr="00AB660C">
        <w:rPr>
          <w:rFonts w:cstheme="minorHAnsi"/>
          <w:b/>
          <w:color w:val="000000" w:themeColor="text1"/>
          <w:lang w:val="en-US"/>
        </w:rPr>
        <w:t>Laos-Australia Human Rights Technical Cooperation Program</w:t>
      </w:r>
      <w:r w:rsidRPr="00AB660C">
        <w:rPr>
          <w:rFonts w:cstheme="minorHAnsi"/>
          <w:color w:val="000000" w:themeColor="text1"/>
          <w:lang w:val="en-US"/>
        </w:rPr>
        <w:t xml:space="preserve"> Phase II (HRTCP II) provides practical support for Laos to meet its implementation and reporting obligations to international human rights treaty bodies. During 2018-</w:t>
      </w:r>
      <w:r w:rsidR="000E43FE">
        <w:rPr>
          <w:rFonts w:cstheme="minorHAnsi"/>
          <w:color w:val="000000" w:themeColor="text1"/>
          <w:lang w:val="en-US"/>
        </w:rPr>
        <w:t>1</w:t>
      </w:r>
      <w:r w:rsidRPr="00AB660C">
        <w:rPr>
          <w:rFonts w:cstheme="minorHAnsi"/>
          <w:color w:val="000000" w:themeColor="text1"/>
          <w:lang w:val="en-US"/>
        </w:rPr>
        <w:t>9, HRTCP delivered activities to strengthen the Lao Government’s reporting process for the International Covenant on Economic, Social and Cultural Rights and the Universal Periodic Review; and</w:t>
      </w:r>
      <w:r w:rsidR="000E43FE">
        <w:rPr>
          <w:rFonts w:cstheme="minorHAnsi"/>
          <w:color w:val="000000" w:themeColor="text1"/>
          <w:lang w:val="en-US"/>
        </w:rPr>
        <w:t>,</w:t>
      </w:r>
      <w:r w:rsidRPr="00AB660C">
        <w:rPr>
          <w:rFonts w:cstheme="minorHAnsi"/>
          <w:color w:val="000000" w:themeColor="text1"/>
          <w:lang w:val="en-US"/>
        </w:rPr>
        <w:t xml:space="preserve"> the capacity and understanding of National University of Laos School of Law students in human rights.</w:t>
      </w:r>
    </w:p>
    <w:p w14:paraId="7CA6A3DB" w14:textId="77777777" w:rsidR="00243DCC" w:rsidRPr="00243DCC" w:rsidRDefault="00441C16" w:rsidP="00243DCC">
      <w:pPr>
        <w:rPr>
          <w:color w:val="000000" w:themeColor="text1"/>
          <w:lang w:val="en-AU"/>
        </w:rPr>
      </w:pPr>
      <w:r w:rsidRPr="00243DCC">
        <w:rPr>
          <w:color w:val="000000" w:themeColor="text1"/>
          <w:lang w:val="en-US"/>
        </w:rPr>
        <w:t xml:space="preserve">The </w:t>
      </w:r>
      <w:r w:rsidRPr="00243DCC">
        <w:rPr>
          <w:b/>
          <w:bCs/>
          <w:color w:val="000000" w:themeColor="text1"/>
          <w:lang w:val="en-US"/>
        </w:rPr>
        <w:t>Greater Mekong Water Resources Program</w:t>
      </w:r>
      <w:r w:rsidRPr="00243DCC">
        <w:rPr>
          <w:color w:val="000000" w:themeColor="text1"/>
          <w:lang w:val="en-US"/>
        </w:rPr>
        <w:t xml:space="preserve"> (GMWRP) continues to play a significant role in supporting the sustainable management of water resources in Laos, while also promoting regional rules-based cooperation. </w:t>
      </w:r>
      <w:r w:rsidR="00243DCC">
        <w:rPr>
          <w:color w:val="000000" w:themeColor="text1"/>
          <w:lang w:val="en-US"/>
        </w:rPr>
        <w:t>A</w:t>
      </w:r>
      <w:r w:rsidRPr="00243DCC">
        <w:rPr>
          <w:color w:val="000000" w:themeColor="text1"/>
          <w:lang w:val="en-US"/>
        </w:rPr>
        <w:t xml:space="preserve">ustralia is supporting the drafting of a new National Water and Water Resources Management Strategy, and contributed to the Nationwide Emergency Dam Safety Inspection set up in the aftermath of the Attapeu disaster. Australia also facilitated national consultations on how to implement the 2017 Water and Water Resources Law. Laos also benefited from our support to the Mekong River Commission to improve the designs of the Pak Beng and Pak Lay Hydropower Projects. Oxfam’s Inclusion Project promoted better livelihoods opportunities for communities affected by the Don Sahong Hydropower Project in Southern </w:t>
      </w:r>
      <w:r w:rsidR="0026491B" w:rsidRPr="00243DCC">
        <w:rPr>
          <w:color w:val="000000" w:themeColor="text1"/>
          <w:lang w:val="en-US"/>
        </w:rPr>
        <w:t xml:space="preserve">Laos </w:t>
      </w:r>
      <w:r w:rsidRPr="00243DCC">
        <w:rPr>
          <w:color w:val="000000" w:themeColor="text1"/>
          <w:lang w:val="en-US"/>
        </w:rPr>
        <w:t>through targeted engagement with private sector actors and local authorities.</w:t>
      </w:r>
      <w:r w:rsidR="00243DCC" w:rsidRPr="00243DCC">
        <w:rPr>
          <w:color w:val="000000" w:themeColor="text1"/>
          <w:lang w:val="en-US"/>
        </w:rPr>
        <w:t xml:space="preserve"> </w:t>
      </w:r>
      <w:r w:rsidR="00243DCC" w:rsidRPr="00243DCC">
        <w:rPr>
          <w:color w:val="000000" w:themeColor="text1"/>
        </w:rPr>
        <w:t>In March 2019, Oxfam convened the inaugural Women and Rivers Congress, a significant event to spur collective action to challenge deep-rooted gender inequities women face in water governance worldwide.</w:t>
      </w:r>
    </w:p>
    <w:p w14:paraId="1FE9059E" w14:textId="77777777" w:rsidR="00F05B04" w:rsidRPr="00AB660C" w:rsidRDefault="0012185B" w:rsidP="005968F5">
      <w:pPr>
        <w:rPr>
          <w:rFonts w:cstheme="minorHAnsi"/>
          <w:color w:val="000000" w:themeColor="text1"/>
          <w:lang w:val="en-US"/>
        </w:rPr>
      </w:pPr>
      <w:r w:rsidRPr="00AB660C">
        <w:rPr>
          <w:rFonts w:cstheme="minorHAnsi"/>
          <w:color w:val="000000" w:themeColor="text1"/>
          <w:lang w:val="en-US"/>
        </w:rPr>
        <w:t xml:space="preserve">In 2018-19, around 25 </w:t>
      </w:r>
      <w:r w:rsidRPr="00AB660C">
        <w:rPr>
          <w:rFonts w:cstheme="minorHAnsi"/>
          <w:b/>
          <w:color w:val="000000" w:themeColor="text1"/>
          <w:lang w:val="en-US"/>
        </w:rPr>
        <w:t>Australian volunteers</w:t>
      </w:r>
      <w:r w:rsidRPr="00AB660C">
        <w:rPr>
          <w:rFonts w:cstheme="minorHAnsi"/>
          <w:color w:val="000000" w:themeColor="text1"/>
          <w:lang w:val="en-US"/>
        </w:rPr>
        <w:t xml:space="preserve"> were in Laos. Currently, volunteers are working in sectors and entities that align with AIP objectives, and build capacity for local universities, government counterparts</w:t>
      </w:r>
      <w:r w:rsidR="00CF084B">
        <w:rPr>
          <w:rFonts w:cstheme="minorHAnsi"/>
          <w:color w:val="000000" w:themeColor="text1"/>
          <w:lang w:val="en-US"/>
        </w:rPr>
        <w:t xml:space="preserve">, </w:t>
      </w:r>
      <w:r w:rsidRPr="00AB660C">
        <w:rPr>
          <w:rFonts w:cstheme="minorHAnsi"/>
          <w:color w:val="000000" w:themeColor="text1"/>
          <w:lang w:val="en-US"/>
        </w:rPr>
        <w:t xml:space="preserve">provincial agricultural departments, and civil society organisations focused on disability and social inclusion. </w:t>
      </w:r>
      <w:r w:rsidR="007D079B" w:rsidRPr="00AB660C">
        <w:rPr>
          <w:rFonts w:cstheme="minorHAnsi"/>
          <w:color w:val="000000" w:themeColor="text1"/>
          <w:lang w:val="en-US"/>
        </w:rPr>
        <w:t xml:space="preserve">The </w:t>
      </w:r>
      <w:r w:rsidR="007D079B" w:rsidRPr="00AB660C">
        <w:rPr>
          <w:rFonts w:cstheme="minorHAnsi"/>
          <w:b/>
          <w:color w:val="000000" w:themeColor="text1"/>
          <w:lang w:val="en-US"/>
        </w:rPr>
        <w:t>Australian NGO Cooperation Program</w:t>
      </w:r>
      <w:r w:rsidR="007D079B" w:rsidRPr="00AB660C">
        <w:rPr>
          <w:rFonts w:cstheme="minorHAnsi"/>
          <w:color w:val="000000" w:themeColor="text1"/>
          <w:lang w:val="en-US"/>
        </w:rPr>
        <w:t xml:space="preserve"> (ANCP) supported 23 projects ($7.3 million) in Laos in 2018-19, covering</w:t>
      </w:r>
      <w:r w:rsidR="00723C49">
        <w:rPr>
          <w:rFonts w:cstheme="minorHAnsi"/>
          <w:color w:val="000000" w:themeColor="text1"/>
          <w:lang w:val="en-US"/>
        </w:rPr>
        <w:t xml:space="preserve">: </w:t>
      </w:r>
      <w:r w:rsidR="007A7A57" w:rsidRPr="00AB660C">
        <w:rPr>
          <w:rFonts w:cstheme="minorHAnsi"/>
          <w:color w:val="000000" w:themeColor="text1"/>
          <w:lang w:val="en-US"/>
        </w:rPr>
        <w:t>nutrition</w:t>
      </w:r>
      <w:r w:rsidR="007D079B" w:rsidRPr="00AB660C">
        <w:rPr>
          <w:rFonts w:cstheme="minorHAnsi"/>
          <w:color w:val="000000" w:themeColor="text1"/>
          <w:lang w:val="en-US"/>
        </w:rPr>
        <w:t>, health, human rights,</w:t>
      </w:r>
      <w:r w:rsidR="007A7A57" w:rsidRPr="00AB660C">
        <w:rPr>
          <w:rFonts w:cstheme="minorHAnsi"/>
          <w:color w:val="000000" w:themeColor="text1"/>
          <w:lang w:val="en-US"/>
        </w:rPr>
        <w:t xml:space="preserve"> child protection, gender equality</w:t>
      </w:r>
      <w:r w:rsidR="007D079B" w:rsidRPr="00AB660C">
        <w:rPr>
          <w:rFonts w:cstheme="minorHAnsi"/>
          <w:color w:val="000000" w:themeColor="text1"/>
          <w:lang w:val="en-US"/>
        </w:rPr>
        <w:t xml:space="preserve"> and food security. </w:t>
      </w:r>
    </w:p>
    <w:p w14:paraId="49893805" w14:textId="1AF178A7" w:rsidR="003A6212" w:rsidRDefault="00E10672" w:rsidP="005968F5">
      <w:pPr>
        <w:rPr>
          <w:rFonts w:cstheme="minorHAnsi"/>
          <w:bCs/>
          <w:color w:val="000000" w:themeColor="text1"/>
        </w:rPr>
      </w:pPr>
      <w:r w:rsidRPr="00AB660C">
        <w:rPr>
          <w:rFonts w:cstheme="minorHAnsi"/>
          <w:b/>
          <w:bCs/>
          <w:color w:val="000000" w:themeColor="text1"/>
        </w:rPr>
        <w:t>Australian Centre for International Agricultural Research</w:t>
      </w:r>
      <w:r w:rsidRPr="00AB660C">
        <w:rPr>
          <w:rFonts w:cstheme="minorHAnsi"/>
          <w:bCs/>
          <w:color w:val="000000" w:themeColor="text1"/>
        </w:rPr>
        <w:t xml:space="preserve"> (ACIAR</w:t>
      </w:r>
      <w:r w:rsidR="000E43FE">
        <w:rPr>
          <w:rFonts w:cstheme="minorHAnsi"/>
          <w:bCs/>
          <w:color w:val="000000" w:themeColor="text1"/>
        </w:rPr>
        <w:t>)</w:t>
      </w:r>
      <w:r w:rsidRPr="00AB660C">
        <w:rPr>
          <w:rFonts w:cstheme="minorHAnsi"/>
          <w:bCs/>
          <w:color w:val="000000" w:themeColor="text1"/>
        </w:rPr>
        <w:t xml:space="preserve"> </w:t>
      </w:r>
      <w:r w:rsidR="000E43FE">
        <w:rPr>
          <w:rFonts w:cstheme="minorHAnsi"/>
          <w:bCs/>
          <w:color w:val="000000" w:themeColor="text1"/>
        </w:rPr>
        <w:t xml:space="preserve">totalled </w:t>
      </w:r>
      <w:r w:rsidRPr="00AB660C">
        <w:rPr>
          <w:rFonts w:cstheme="minorHAnsi"/>
          <w:bCs/>
          <w:color w:val="000000" w:themeColor="text1"/>
        </w:rPr>
        <w:t>$4.92 million in</w:t>
      </w:r>
      <w:r w:rsidR="000E43FE">
        <w:rPr>
          <w:rFonts w:cstheme="minorHAnsi"/>
          <w:bCs/>
          <w:color w:val="000000" w:themeColor="text1"/>
        </w:rPr>
        <w:t xml:space="preserve"> Laos in</w:t>
      </w:r>
      <w:r w:rsidRPr="00AB660C">
        <w:rPr>
          <w:rFonts w:cstheme="minorHAnsi"/>
          <w:bCs/>
          <w:color w:val="000000" w:themeColor="text1"/>
        </w:rPr>
        <w:t xml:space="preserve"> 2018-19</w:t>
      </w:r>
      <w:r w:rsidR="000E43FE">
        <w:rPr>
          <w:rFonts w:cstheme="minorHAnsi"/>
          <w:bCs/>
          <w:color w:val="000000" w:themeColor="text1"/>
        </w:rPr>
        <w:t xml:space="preserve">. ACIAR </w:t>
      </w:r>
      <w:r w:rsidRPr="00AB660C">
        <w:rPr>
          <w:rFonts w:cstheme="minorHAnsi"/>
          <w:bCs/>
          <w:color w:val="000000" w:themeColor="text1"/>
        </w:rPr>
        <w:t xml:space="preserve">continues to work collaboratively with Lao research partners on improving smallholder production and food security. Dry season field trials of irrigated vegetable crops on smallholder farms demonstrated that reducing irrigations to once a day lessens water use by 50% without decreasing yields. The biannual </w:t>
      </w:r>
      <w:r w:rsidRPr="00AB660C">
        <w:rPr>
          <w:rFonts w:cstheme="minorHAnsi"/>
          <w:bCs/>
          <w:color w:val="000000" w:themeColor="text1"/>
        </w:rPr>
        <w:lastRenderedPageBreak/>
        <w:t>supply of vaccinations protected livestock in farmers’ trials from foot and mouth disease outbreaks in neighbouring villages. The ACIAR-supported fish passage project was awarded the internationally-acclaimed Distinguished Project Award at the Fish Passage 2018 International Conference.</w:t>
      </w:r>
      <w:r w:rsidR="000E43FE">
        <w:rPr>
          <w:rFonts w:cstheme="minorHAnsi"/>
          <w:bCs/>
          <w:color w:val="000000" w:themeColor="text1"/>
        </w:rPr>
        <w:t xml:space="preserve"> ACIAR </w:t>
      </w:r>
      <w:r w:rsidR="003A6212">
        <w:rPr>
          <w:rFonts w:cstheme="minorHAnsi"/>
          <w:bCs/>
          <w:color w:val="000000" w:themeColor="text1"/>
        </w:rPr>
        <w:t xml:space="preserve">held its annual in-country senior level governance dialogues in Laos in March 2019 for the first time. </w:t>
      </w:r>
    </w:p>
    <w:p w14:paraId="1759DA83" w14:textId="77777777" w:rsidR="00AE21EC" w:rsidRPr="00AB660C" w:rsidRDefault="00AE21EC" w:rsidP="00AE21EC">
      <w:pPr>
        <w:rPr>
          <w:rFonts w:eastAsia="Times New Roman"/>
          <w:color w:val="000000" w:themeColor="text1"/>
        </w:rPr>
      </w:pPr>
      <w:r w:rsidRPr="00AB660C">
        <w:rPr>
          <w:rFonts w:eastAsia="Times New Roman"/>
          <w:color w:val="000000" w:themeColor="text1"/>
        </w:rPr>
        <w:t xml:space="preserve">During 2018-19 Laos benefited from </w:t>
      </w:r>
      <w:r>
        <w:rPr>
          <w:rFonts w:eastAsia="Times New Roman"/>
          <w:color w:val="000000" w:themeColor="text1"/>
        </w:rPr>
        <w:t>g</w:t>
      </w:r>
      <w:r w:rsidRPr="00AB660C">
        <w:rPr>
          <w:rFonts w:eastAsia="Times New Roman"/>
          <w:color w:val="000000" w:themeColor="text1"/>
        </w:rPr>
        <w:t xml:space="preserve">lobal, ASEAN and Mekong programs that enhance regional and global economic integration and connectivity, support the implementation of FTA and WTO commitments, improve access to financial services and support entrepreneurship, innovation and economic policy-making.  For example, the Enhanced Integrated Framework, which is funded by Australia, is helping three northern Lao provinces to increase exports and improve productivity. Through ADB and the Mekong Business Initiative, Australia is supporting the Lao National Chamber of Commerce and Industry to conduct the second Provincial Facilitation for Investment and Trade Index (ProFIT). </w:t>
      </w:r>
    </w:p>
    <w:p w14:paraId="3CAE61CE" w14:textId="17C45C7E" w:rsidR="00AE21EC" w:rsidRDefault="00AE21EC" w:rsidP="005968F5">
      <w:pPr>
        <w:rPr>
          <w:rFonts w:cstheme="minorHAnsi"/>
          <w:bCs/>
          <w:color w:val="000000" w:themeColor="text1"/>
        </w:rPr>
      </w:pPr>
    </w:p>
    <w:p w14:paraId="3036E572" w14:textId="77777777" w:rsidR="005B5769" w:rsidRPr="00015316" w:rsidRDefault="005B5769"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Mutual Obligations</w:t>
      </w:r>
    </w:p>
    <w:p w14:paraId="450D00C9" w14:textId="77777777" w:rsidR="003A6212" w:rsidRPr="00AB660C" w:rsidRDefault="000978D1" w:rsidP="00E01C62">
      <w:pPr>
        <w:spacing w:after="120"/>
        <w:rPr>
          <w:color w:val="000000" w:themeColor="text1"/>
        </w:rPr>
      </w:pPr>
      <w:r w:rsidRPr="00AB660C">
        <w:rPr>
          <w:color w:val="000000" w:themeColor="text1"/>
        </w:rPr>
        <w:t xml:space="preserve">Our mutual obligations for development are set out in the </w:t>
      </w:r>
      <w:r w:rsidRPr="00AB660C">
        <w:rPr>
          <w:i/>
          <w:color w:val="000000" w:themeColor="text1"/>
        </w:rPr>
        <w:t xml:space="preserve">Laos Aid Investment Plan 2015-16 to 2019-20. </w:t>
      </w:r>
      <w:r w:rsidRPr="00AB660C">
        <w:rPr>
          <w:color w:val="000000" w:themeColor="text1"/>
        </w:rPr>
        <w:t xml:space="preserve">High-level </w:t>
      </w:r>
      <w:r w:rsidR="00420895" w:rsidRPr="00AB660C">
        <w:rPr>
          <w:color w:val="000000" w:themeColor="text1"/>
        </w:rPr>
        <w:t>C</w:t>
      </w:r>
      <w:r w:rsidRPr="00AB660C">
        <w:rPr>
          <w:color w:val="000000" w:themeColor="text1"/>
        </w:rPr>
        <w:t>onsultations</w:t>
      </w:r>
      <w:r w:rsidR="00420895" w:rsidRPr="00AB660C">
        <w:rPr>
          <w:color w:val="000000" w:themeColor="text1"/>
        </w:rPr>
        <w:t xml:space="preserve"> (HLCs)</w:t>
      </w:r>
      <w:r w:rsidRPr="00AB660C">
        <w:rPr>
          <w:color w:val="000000" w:themeColor="text1"/>
        </w:rPr>
        <w:t xml:space="preserve"> between Australia and Laos take place on a biennial basi</w:t>
      </w:r>
      <w:r w:rsidR="0018076B">
        <w:rPr>
          <w:color w:val="000000" w:themeColor="text1"/>
        </w:rPr>
        <w:t>s – last held in October 2018</w:t>
      </w:r>
      <w:r w:rsidR="0026491B">
        <w:rPr>
          <w:color w:val="000000" w:themeColor="text1"/>
        </w:rPr>
        <w:t xml:space="preserve">. </w:t>
      </w:r>
      <w:r w:rsidR="00420895" w:rsidRPr="00AB660C">
        <w:rPr>
          <w:color w:val="000000" w:themeColor="text1"/>
        </w:rPr>
        <w:t>In alternate years to the HLCs, a Portfolio Review of Australia’s development program takes place with relevant Ministries</w:t>
      </w:r>
      <w:r w:rsidR="00DC1064">
        <w:rPr>
          <w:color w:val="000000" w:themeColor="text1"/>
        </w:rPr>
        <w:t xml:space="preserve">. </w:t>
      </w:r>
      <w:r w:rsidR="0026491B">
        <w:rPr>
          <w:color w:val="000000" w:themeColor="text1"/>
        </w:rPr>
        <w:t xml:space="preserve">Australia </w:t>
      </w:r>
      <w:r w:rsidR="00420895">
        <w:rPr>
          <w:color w:val="000000" w:themeColor="text1"/>
        </w:rPr>
        <w:t xml:space="preserve">also holds quarterly development meetings with </w:t>
      </w:r>
      <w:r w:rsidR="00420895" w:rsidRPr="00001F38">
        <w:rPr>
          <w:color w:val="000000" w:themeColor="text1"/>
        </w:rPr>
        <w:t>the Ministry of Planning and Investment</w:t>
      </w:r>
      <w:r w:rsidR="00420895">
        <w:rPr>
          <w:color w:val="000000" w:themeColor="text1"/>
        </w:rPr>
        <w:t xml:space="preserve"> where mutual obligations are discussed. </w:t>
      </w:r>
    </w:p>
    <w:p w14:paraId="1EE3E59B" w14:textId="7898A8E0" w:rsidR="00E17A9A" w:rsidRDefault="00420895" w:rsidP="00AB660C">
      <w:pPr>
        <w:spacing w:after="120"/>
        <w:rPr>
          <w:color w:val="000000" w:themeColor="text1"/>
        </w:rPr>
      </w:pPr>
      <w:r w:rsidRPr="00AB660C">
        <w:rPr>
          <w:color w:val="000000" w:themeColor="text1"/>
        </w:rPr>
        <w:t>Australia is an active participant in Laos’ annual donor-government coordination process – the Roundtable Mechanism</w:t>
      </w:r>
      <w:r w:rsidR="0026491B">
        <w:rPr>
          <w:color w:val="000000" w:themeColor="text1"/>
        </w:rPr>
        <w:t xml:space="preserve"> (RTM)</w:t>
      </w:r>
      <w:r w:rsidRPr="00AB660C">
        <w:rPr>
          <w:color w:val="000000" w:themeColor="text1"/>
        </w:rPr>
        <w:t xml:space="preserve">. </w:t>
      </w:r>
      <w:r>
        <w:rPr>
          <w:color w:val="000000" w:themeColor="text1"/>
        </w:rPr>
        <w:t>Of the 10 sector working groups</w:t>
      </w:r>
      <w:r w:rsidR="0026491B">
        <w:rPr>
          <w:color w:val="000000" w:themeColor="text1"/>
        </w:rPr>
        <w:t xml:space="preserve"> that form the RTM</w:t>
      </w:r>
      <w:r>
        <w:rPr>
          <w:color w:val="000000" w:themeColor="text1"/>
        </w:rPr>
        <w:t xml:space="preserve">, Australia is currently </w:t>
      </w:r>
      <w:r w:rsidR="0026491B">
        <w:rPr>
          <w:color w:val="000000" w:themeColor="text1"/>
        </w:rPr>
        <w:t xml:space="preserve">a co-chair of 3 - </w:t>
      </w:r>
      <w:r w:rsidR="0026491B" w:rsidRPr="00001F38">
        <w:rPr>
          <w:rFonts w:cstheme="minorHAnsi"/>
          <w:color w:val="000000" w:themeColor="text1"/>
          <w:lang w:eastAsia="en-AU"/>
        </w:rPr>
        <w:t>Education, Trade and Private Sector</w:t>
      </w:r>
      <w:r w:rsidR="0026491B">
        <w:rPr>
          <w:rFonts w:cstheme="minorHAnsi"/>
          <w:color w:val="000000" w:themeColor="text1"/>
          <w:lang w:eastAsia="en-AU"/>
        </w:rPr>
        <w:t xml:space="preserve"> and</w:t>
      </w:r>
      <w:r w:rsidR="0026491B" w:rsidRPr="00001F38">
        <w:rPr>
          <w:rFonts w:cstheme="minorHAnsi"/>
          <w:color w:val="000000" w:themeColor="text1"/>
          <w:lang w:eastAsia="en-AU"/>
        </w:rPr>
        <w:t xml:space="preserve"> Illicit Drugs</w:t>
      </w:r>
      <w:r w:rsidR="0026491B">
        <w:rPr>
          <w:rFonts w:cstheme="minorHAnsi"/>
          <w:color w:val="000000" w:themeColor="text1"/>
          <w:lang w:eastAsia="en-AU"/>
        </w:rPr>
        <w:t xml:space="preserve">. </w:t>
      </w:r>
      <w:r w:rsidR="008D5BE1">
        <w:rPr>
          <w:rFonts w:cstheme="minorHAnsi"/>
          <w:color w:val="000000" w:themeColor="text1"/>
          <w:lang w:eastAsia="en-AU"/>
        </w:rPr>
        <w:t xml:space="preserve">Australia </w:t>
      </w:r>
      <w:r w:rsidR="0026491B">
        <w:rPr>
          <w:rFonts w:cstheme="minorHAnsi"/>
          <w:color w:val="000000" w:themeColor="text1"/>
          <w:lang w:eastAsia="en-AU"/>
        </w:rPr>
        <w:t>also co-chair</w:t>
      </w:r>
      <w:r w:rsidR="008D5BE1">
        <w:rPr>
          <w:rFonts w:cstheme="minorHAnsi"/>
          <w:color w:val="000000" w:themeColor="text1"/>
          <w:lang w:eastAsia="en-AU"/>
        </w:rPr>
        <w:t>s</w:t>
      </w:r>
      <w:r w:rsidR="0026491B">
        <w:rPr>
          <w:rFonts w:cstheme="minorHAnsi"/>
          <w:color w:val="000000" w:themeColor="text1"/>
          <w:lang w:eastAsia="en-AU"/>
        </w:rPr>
        <w:t xml:space="preserve"> the Water </w:t>
      </w:r>
      <w:r w:rsidR="0026491B">
        <w:rPr>
          <w:color w:val="000000" w:themeColor="text1"/>
        </w:rPr>
        <w:t>sub-sector working group. During the 2018 RTM process, Australia advocate</w:t>
      </w:r>
      <w:r w:rsidR="00DC1064">
        <w:rPr>
          <w:color w:val="000000" w:themeColor="text1"/>
        </w:rPr>
        <w:t>d</w:t>
      </w:r>
      <w:r w:rsidR="0026491B">
        <w:rPr>
          <w:color w:val="000000" w:themeColor="text1"/>
        </w:rPr>
        <w:t xml:space="preserve"> for: a</w:t>
      </w:r>
      <w:r w:rsidR="00DC1064">
        <w:rPr>
          <w:color w:val="000000" w:themeColor="text1"/>
        </w:rPr>
        <w:t>n</w:t>
      </w:r>
      <w:r w:rsidR="0026491B">
        <w:rPr>
          <w:color w:val="000000" w:themeColor="text1"/>
        </w:rPr>
        <w:t xml:space="preserve"> inclusive coordination process which better includes non-traditional donors, the private sector and civil society; a process that is </w:t>
      </w:r>
      <w:r w:rsidR="00DC1064">
        <w:rPr>
          <w:color w:val="000000" w:themeColor="text1"/>
        </w:rPr>
        <w:t xml:space="preserve">better </w:t>
      </w:r>
      <w:r w:rsidR="0026491B">
        <w:rPr>
          <w:color w:val="000000" w:themeColor="text1"/>
        </w:rPr>
        <w:t>linked to Lao planning and budget discussions; and, embedding cross-cutting issues including gender more effective</w:t>
      </w:r>
      <w:r w:rsidR="00DC1064">
        <w:rPr>
          <w:color w:val="000000" w:themeColor="text1"/>
        </w:rPr>
        <w:t>ly</w:t>
      </w:r>
      <w:r w:rsidR="0026491B">
        <w:rPr>
          <w:color w:val="000000" w:themeColor="text1"/>
        </w:rPr>
        <w:t xml:space="preserve">. </w:t>
      </w:r>
    </w:p>
    <w:p w14:paraId="27EC22D5" w14:textId="139380A1" w:rsidR="005C5034" w:rsidRPr="00AB660C" w:rsidRDefault="005C5034" w:rsidP="005C5034">
      <w:pPr>
        <w:spacing w:after="120"/>
        <w:rPr>
          <w:color w:val="000000" w:themeColor="text1"/>
        </w:rPr>
      </w:pPr>
      <w:r w:rsidRPr="00AB660C">
        <w:rPr>
          <w:color w:val="000000" w:themeColor="text1"/>
        </w:rPr>
        <w:t>Laos’ c</w:t>
      </w:r>
      <w:r w:rsidR="00A24DEB" w:rsidRPr="00AB660C">
        <w:rPr>
          <w:color w:val="000000" w:themeColor="text1"/>
        </w:rPr>
        <w:t>ommitment</w:t>
      </w:r>
      <w:r w:rsidR="00724406">
        <w:rPr>
          <w:color w:val="000000" w:themeColor="text1"/>
        </w:rPr>
        <w:t>,</w:t>
      </w:r>
      <w:r w:rsidR="005F1841" w:rsidRPr="00AB660C">
        <w:rPr>
          <w:color w:val="000000" w:themeColor="text1"/>
        </w:rPr>
        <w:t xml:space="preserve"> made four years ago</w:t>
      </w:r>
      <w:r w:rsidR="00724406">
        <w:rPr>
          <w:color w:val="000000" w:themeColor="text1"/>
        </w:rPr>
        <w:t>,</w:t>
      </w:r>
      <w:r w:rsidR="005F1841" w:rsidRPr="00AB660C">
        <w:rPr>
          <w:color w:val="000000" w:themeColor="text1"/>
        </w:rPr>
        <w:t xml:space="preserve"> to increase the Lao education budget each year </w:t>
      </w:r>
      <w:r w:rsidR="00D67170" w:rsidRPr="00AB660C">
        <w:rPr>
          <w:color w:val="000000" w:themeColor="text1"/>
        </w:rPr>
        <w:t>ha</w:t>
      </w:r>
      <w:r w:rsidR="000E6013" w:rsidRPr="00AB660C">
        <w:rPr>
          <w:color w:val="000000" w:themeColor="text1"/>
        </w:rPr>
        <w:t>s</w:t>
      </w:r>
      <w:r w:rsidR="005F1841" w:rsidRPr="00AB660C">
        <w:rPr>
          <w:color w:val="000000" w:themeColor="text1"/>
        </w:rPr>
        <w:t xml:space="preserve"> proven difficult to </w:t>
      </w:r>
      <w:r w:rsidRPr="00AB660C">
        <w:rPr>
          <w:color w:val="000000" w:themeColor="text1"/>
        </w:rPr>
        <w:t>honour</w:t>
      </w:r>
      <w:r w:rsidR="005F1841" w:rsidRPr="00AB660C">
        <w:rPr>
          <w:color w:val="000000" w:themeColor="text1"/>
        </w:rPr>
        <w:t xml:space="preserve"> in the current context of </w:t>
      </w:r>
      <w:r w:rsidRPr="00AB660C">
        <w:rPr>
          <w:color w:val="000000" w:themeColor="text1"/>
        </w:rPr>
        <w:t xml:space="preserve">moderate economic growth and restricted fiscal space. </w:t>
      </w:r>
      <w:r w:rsidR="00724406">
        <w:rPr>
          <w:color w:val="000000" w:themeColor="text1"/>
        </w:rPr>
        <w:t>T</w:t>
      </w:r>
      <w:r w:rsidR="000E6013" w:rsidRPr="00AB660C">
        <w:rPr>
          <w:color w:val="000000" w:themeColor="text1"/>
        </w:rPr>
        <w:t xml:space="preserve">hrough </w:t>
      </w:r>
      <w:r w:rsidR="00724406">
        <w:rPr>
          <w:color w:val="000000" w:themeColor="text1"/>
        </w:rPr>
        <w:t xml:space="preserve">our </w:t>
      </w:r>
      <w:r w:rsidR="000E6013" w:rsidRPr="00AB660C">
        <w:rPr>
          <w:color w:val="000000" w:themeColor="text1"/>
        </w:rPr>
        <w:t xml:space="preserve">role as </w:t>
      </w:r>
      <w:r w:rsidRPr="00AB660C">
        <w:rPr>
          <w:color w:val="000000" w:themeColor="text1"/>
        </w:rPr>
        <w:t>co-chair of the Education Sector Working Group</w:t>
      </w:r>
      <w:r w:rsidR="00B44A41" w:rsidRPr="00AB660C">
        <w:rPr>
          <w:color w:val="000000" w:themeColor="text1"/>
        </w:rPr>
        <w:t xml:space="preserve"> (ESWG)</w:t>
      </w:r>
      <w:r w:rsidR="000E6013" w:rsidRPr="00AB660C">
        <w:rPr>
          <w:color w:val="000000" w:themeColor="text1"/>
        </w:rPr>
        <w:t>, Australia has</w:t>
      </w:r>
      <w:r w:rsidRPr="00AB660C">
        <w:rPr>
          <w:color w:val="000000" w:themeColor="text1"/>
        </w:rPr>
        <w:t xml:space="preserve"> been able to </w:t>
      </w:r>
      <w:r w:rsidR="0004517C" w:rsidRPr="00AB660C">
        <w:rPr>
          <w:color w:val="000000" w:themeColor="text1"/>
        </w:rPr>
        <w:t>influence the</w:t>
      </w:r>
      <w:r w:rsidRPr="00AB660C">
        <w:rPr>
          <w:color w:val="000000" w:themeColor="text1"/>
        </w:rPr>
        <w:t xml:space="preserve"> policy dialogue </w:t>
      </w:r>
      <w:r w:rsidR="0004517C" w:rsidRPr="00AB660C">
        <w:rPr>
          <w:color w:val="000000" w:themeColor="text1"/>
        </w:rPr>
        <w:t>and</w:t>
      </w:r>
      <w:r w:rsidRPr="00AB660C">
        <w:rPr>
          <w:color w:val="000000" w:themeColor="text1"/>
        </w:rPr>
        <w:t xml:space="preserve"> focus on </w:t>
      </w:r>
      <w:r w:rsidR="00A24DEB" w:rsidRPr="00AB660C">
        <w:rPr>
          <w:color w:val="000000" w:themeColor="text1"/>
        </w:rPr>
        <w:t>challenging</w:t>
      </w:r>
      <w:r w:rsidRPr="00AB660C">
        <w:rPr>
          <w:color w:val="000000" w:themeColor="text1"/>
        </w:rPr>
        <w:t xml:space="preserve"> reform issues</w:t>
      </w:r>
      <w:r w:rsidR="00724406">
        <w:rPr>
          <w:color w:val="000000" w:themeColor="text1"/>
        </w:rPr>
        <w:t xml:space="preserve">, including </w:t>
      </w:r>
      <w:r w:rsidRPr="00AB660C">
        <w:rPr>
          <w:color w:val="000000" w:themeColor="text1"/>
        </w:rPr>
        <w:t>education financing, equity and quality</w:t>
      </w:r>
      <w:r w:rsidR="00724406">
        <w:rPr>
          <w:color w:val="000000" w:themeColor="text1"/>
        </w:rPr>
        <w:t xml:space="preserve"> issues, </w:t>
      </w:r>
      <w:r w:rsidR="0004517C" w:rsidRPr="00AB660C">
        <w:rPr>
          <w:color w:val="000000" w:themeColor="text1"/>
        </w:rPr>
        <w:t>relevant to</w:t>
      </w:r>
      <w:r w:rsidRPr="00AB660C">
        <w:rPr>
          <w:color w:val="000000" w:themeColor="text1"/>
        </w:rPr>
        <w:t xml:space="preserve"> our education investment. While the Lao </w:t>
      </w:r>
      <w:r w:rsidR="00724406">
        <w:rPr>
          <w:color w:val="000000" w:themeColor="text1"/>
        </w:rPr>
        <w:t>G</w:t>
      </w:r>
      <w:r w:rsidRPr="00AB660C">
        <w:rPr>
          <w:color w:val="000000" w:themeColor="text1"/>
        </w:rPr>
        <w:t>overnment civil quota was reduced by half</w:t>
      </w:r>
      <w:r w:rsidR="00724406">
        <w:rPr>
          <w:color w:val="000000" w:themeColor="text1"/>
        </w:rPr>
        <w:t xml:space="preserve"> in 2019</w:t>
      </w:r>
      <w:r w:rsidRPr="00AB660C">
        <w:rPr>
          <w:color w:val="000000" w:themeColor="text1"/>
        </w:rPr>
        <w:t xml:space="preserve">, and a large number of volunteer teachers </w:t>
      </w:r>
      <w:r w:rsidR="00724406">
        <w:rPr>
          <w:color w:val="000000" w:themeColor="text1"/>
        </w:rPr>
        <w:t>were</w:t>
      </w:r>
      <w:r w:rsidR="00A24DEB" w:rsidRPr="00AB660C">
        <w:rPr>
          <w:color w:val="000000" w:themeColor="text1"/>
        </w:rPr>
        <w:t xml:space="preserve"> hoping to access </w:t>
      </w:r>
      <w:r w:rsidR="00724406">
        <w:rPr>
          <w:color w:val="000000" w:themeColor="text1"/>
        </w:rPr>
        <w:t xml:space="preserve">the </w:t>
      </w:r>
      <w:r w:rsidR="00A24DEB" w:rsidRPr="00AB660C">
        <w:rPr>
          <w:color w:val="000000" w:themeColor="text1"/>
        </w:rPr>
        <w:t>quota, Mo</w:t>
      </w:r>
      <w:r w:rsidRPr="00AB660C">
        <w:rPr>
          <w:color w:val="000000" w:themeColor="text1"/>
        </w:rPr>
        <w:t xml:space="preserve">ES agreed to provide 60 </w:t>
      </w:r>
      <w:r w:rsidR="0004517C" w:rsidRPr="00AB660C">
        <w:rPr>
          <w:color w:val="000000" w:themeColor="text1"/>
        </w:rPr>
        <w:t>place</w:t>
      </w:r>
      <w:r w:rsidRPr="00AB660C">
        <w:rPr>
          <w:color w:val="000000" w:themeColor="text1"/>
        </w:rPr>
        <w:t>s to</w:t>
      </w:r>
      <w:r w:rsidR="00724406">
        <w:rPr>
          <w:color w:val="000000" w:themeColor="text1"/>
        </w:rPr>
        <w:t xml:space="preserve"> Australian-supported </w:t>
      </w:r>
      <w:r w:rsidRPr="00AB660C">
        <w:rPr>
          <w:color w:val="000000" w:themeColor="text1"/>
        </w:rPr>
        <w:t xml:space="preserve">newly graduated ethnic teachers and to establish a committee to find a solution for the remaining </w:t>
      </w:r>
      <w:r w:rsidR="0004517C" w:rsidRPr="00AB660C">
        <w:rPr>
          <w:color w:val="000000" w:themeColor="text1"/>
        </w:rPr>
        <w:t xml:space="preserve">trained </w:t>
      </w:r>
      <w:r w:rsidRPr="00AB660C">
        <w:rPr>
          <w:color w:val="000000" w:themeColor="text1"/>
        </w:rPr>
        <w:t>ethnic teachers. This was a significant achievement in the current context</w:t>
      </w:r>
      <w:r w:rsidR="00724406">
        <w:rPr>
          <w:color w:val="000000" w:themeColor="text1"/>
        </w:rPr>
        <w:t xml:space="preserve">. </w:t>
      </w:r>
      <w:r w:rsidRPr="00AB660C">
        <w:rPr>
          <w:color w:val="000000" w:themeColor="text1"/>
        </w:rPr>
        <w:t xml:space="preserve"> </w:t>
      </w:r>
    </w:p>
    <w:p w14:paraId="29010FB6" w14:textId="77777777" w:rsidR="006307FF" w:rsidRPr="00AB660C" w:rsidRDefault="005C5034" w:rsidP="00E01C62">
      <w:pPr>
        <w:spacing w:after="120"/>
        <w:rPr>
          <w:color w:val="000000" w:themeColor="text1"/>
        </w:rPr>
      </w:pPr>
      <w:r w:rsidRPr="00AB660C">
        <w:rPr>
          <w:color w:val="000000" w:themeColor="text1"/>
        </w:rPr>
        <w:t>Australia</w:t>
      </w:r>
      <w:r w:rsidR="00243DCC">
        <w:rPr>
          <w:color w:val="000000" w:themeColor="text1"/>
        </w:rPr>
        <w:t>’s</w:t>
      </w:r>
      <w:r w:rsidR="00724406">
        <w:rPr>
          <w:color w:val="000000" w:themeColor="text1"/>
        </w:rPr>
        <w:t xml:space="preserve"> </w:t>
      </w:r>
      <w:r w:rsidRPr="00AB660C">
        <w:rPr>
          <w:color w:val="000000" w:themeColor="text1"/>
        </w:rPr>
        <w:t>support to the ESWG includ</w:t>
      </w:r>
      <w:r w:rsidR="00724406">
        <w:rPr>
          <w:color w:val="000000" w:themeColor="text1"/>
        </w:rPr>
        <w:t xml:space="preserve">es a </w:t>
      </w:r>
      <w:r w:rsidRPr="00AB660C">
        <w:rPr>
          <w:color w:val="000000" w:themeColor="text1"/>
        </w:rPr>
        <w:t>grant, technical advisor</w:t>
      </w:r>
      <w:r w:rsidR="00724406">
        <w:rPr>
          <w:color w:val="000000" w:themeColor="text1"/>
        </w:rPr>
        <w:t>s</w:t>
      </w:r>
      <w:r w:rsidRPr="00AB660C">
        <w:rPr>
          <w:color w:val="000000" w:themeColor="text1"/>
        </w:rPr>
        <w:t xml:space="preserve"> and active participation in the secretariat role. </w:t>
      </w:r>
      <w:r w:rsidR="006B2180" w:rsidRPr="00AB660C">
        <w:rPr>
          <w:color w:val="000000" w:themeColor="text1"/>
        </w:rPr>
        <w:t xml:space="preserve">A key achievement was supporting the mid-term review of the Education Sector Development Plan, which identified key themes discussed in the ESWG throughout the year. </w:t>
      </w:r>
      <w:r w:rsidRPr="00AB660C">
        <w:rPr>
          <w:color w:val="000000" w:themeColor="text1"/>
        </w:rPr>
        <w:t>We are also supporting Laos to access up to USD15 million of Global Partnership for Education funding in our role as coordinating agency</w:t>
      </w:r>
      <w:r w:rsidR="0004517C" w:rsidRPr="00AB660C">
        <w:rPr>
          <w:color w:val="000000" w:themeColor="text1"/>
        </w:rPr>
        <w:t>,</w:t>
      </w:r>
      <w:r w:rsidRPr="00AB660C">
        <w:rPr>
          <w:color w:val="000000" w:themeColor="text1"/>
        </w:rPr>
        <w:t xml:space="preserve"> and play a leading role in the discussion and consultation on G</w:t>
      </w:r>
      <w:r w:rsidR="00724406">
        <w:rPr>
          <w:color w:val="000000" w:themeColor="text1"/>
        </w:rPr>
        <w:t xml:space="preserve">lobal </w:t>
      </w:r>
      <w:r w:rsidRPr="00AB660C">
        <w:rPr>
          <w:color w:val="000000" w:themeColor="text1"/>
        </w:rPr>
        <w:t>P</w:t>
      </w:r>
      <w:r w:rsidR="00724406">
        <w:rPr>
          <w:color w:val="000000" w:themeColor="text1"/>
        </w:rPr>
        <w:t>artnership a</w:t>
      </w:r>
      <w:r w:rsidRPr="00AB660C">
        <w:rPr>
          <w:color w:val="000000" w:themeColor="text1"/>
        </w:rPr>
        <w:t>pplication.</w:t>
      </w:r>
      <w:r w:rsidR="00B44A41" w:rsidRPr="00AB660C">
        <w:rPr>
          <w:color w:val="000000" w:themeColor="text1"/>
        </w:rPr>
        <w:t xml:space="preserve"> </w:t>
      </w:r>
    </w:p>
    <w:p w14:paraId="45619932" w14:textId="5DD40689" w:rsidR="00D903D8" w:rsidRDefault="00D903D8" w:rsidP="00E01C62">
      <w:pPr>
        <w:spacing w:after="120"/>
        <w:rPr>
          <w:color w:val="000000" w:themeColor="text1"/>
        </w:rPr>
      </w:pPr>
      <w:r w:rsidRPr="00D903D8">
        <w:rPr>
          <w:color w:val="000000" w:themeColor="text1"/>
        </w:rPr>
        <w:t>Laos’ commitment to establish a Non-Tariff Measure (NTM) Working Group</w:t>
      </w:r>
      <w:r>
        <w:rPr>
          <w:color w:val="000000" w:themeColor="text1"/>
        </w:rPr>
        <w:t>,</w:t>
      </w:r>
      <w:r w:rsidRPr="00D903D8">
        <w:rPr>
          <w:color w:val="000000" w:themeColor="text1"/>
        </w:rPr>
        <w:t xml:space="preserve"> which will lead to a process reducing NTMs facing businesses</w:t>
      </w:r>
      <w:r>
        <w:rPr>
          <w:color w:val="000000" w:themeColor="text1"/>
        </w:rPr>
        <w:t>,</w:t>
      </w:r>
      <w:r w:rsidRPr="00D903D8">
        <w:rPr>
          <w:color w:val="000000" w:themeColor="text1"/>
        </w:rPr>
        <w:t xml:space="preserve"> has been achieved. Supporting Laos to address NTMs remains a focus of LCT going forward.  </w:t>
      </w:r>
    </w:p>
    <w:p w14:paraId="139AC87A" w14:textId="77777777" w:rsidR="006754A2" w:rsidRPr="00AB660C" w:rsidRDefault="00AE0FC7" w:rsidP="00E01C62">
      <w:pPr>
        <w:spacing w:after="120"/>
        <w:rPr>
          <w:color w:val="000000" w:themeColor="text1"/>
        </w:rPr>
      </w:pPr>
      <w:r w:rsidRPr="00AB660C">
        <w:rPr>
          <w:color w:val="000000" w:themeColor="text1"/>
        </w:rPr>
        <w:t>Australia has also taken a leadership role in policy dialogue in the trade sector through our joint chair</w:t>
      </w:r>
      <w:r w:rsidR="004D1F1B" w:rsidRPr="00AB660C">
        <w:rPr>
          <w:color w:val="000000" w:themeColor="text1"/>
        </w:rPr>
        <w:t>ing</w:t>
      </w:r>
      <w:r w:rsidRPr="00AB660C">
        <w:rPr>
          <w:color w:val="000000" w:themeColor="text1"/>
        </w:rPr>
        <w:t xml:space="preserve"> with the EU </w:t>
      </w:r>
      <w:r w:rsidR="00FD393E" w:rsidRPr="00AB660C">
        <w:rPr>
          <w:color w:val="000000" w:themeColor="text1"/>
        </w:rPr>
        <w:t>of</w:t>
      </w:r>
      <w:r w:rsidRPr="00AB660C">
        <w:rPr>
          <w:color w:val="000000" w:themeColor="text1"/>
        </w:rPr>
        <w:t xml:space="preserve"> the Trade and Private Sector Working </w:t>
      </w:r>
      <w:r w:rsidR="00FD393E" w:rsidRPr="00AB660C">
        <w:rPr>
          <w:color w:val="000000" w:themeColor="text1"/>
        </w:rPr>
        <w:t xml:space="preserve">Group. Australia has assisted </w:t>
      </w:r>
      <w:r w:rsidR="00724406">
        <w:rPr>
          <w:color w:val="000000" w:themeColor="text1"/>
        </w:rPr>
        <w:t xml:space="preserve">the </w:t>
      </w:r>
      <w:r w:rsidR="00FD393E" w:rsidRPr="00AB660C">
        <w:rPr>
          <w:color w:val="000000" w:themeColor="text1"/>
        </w:rPr>
        <w:t>M</w:t>
      </w:r>
      <w:r w:rsidR="00724406">
        <w:rPr>
          <w:color w:val="000000" w:themeColor="text1"/>
        </w:rPr>
        <w:t xml:space="preserve">inistry of Industry and Commerce </w:t>
      </w:r>
      <w:r w:rsidRPr="00AB660C">
        <w:rPr>
          <w:color w:val="000000" w:themeColor="text1"/>
        </w:rPr>
        <w:t xml:space="preserve">and Line Ministries to implement the Prime Minister Order No.2 on improving the coordination and regulation for Ease of Doing business in Laos. Additionally, Australia assisted the private sector to raise their issues through the technical consultation meetings under the </w:t>
      </w:r>
      <w:r w:rsidR="00262313" w:rsidRPr="00AB660C">
        <w:rPr>
          <w:color w:val="000000" w:themeColor="text1"/>
        </w:rPr>
        <w:t xml:space="preserve">Lao Business Forum. </w:t>
      </w:r>
    </w:p>
    <w:p w14:paraId="3409BDB9" w14:textId="77777777" w:rsidR="00CF084B" w:rsidRPr="00AB660C" w:rsidRDefault="005B5769" w:rsidP="00AB660C">
      <w:pPr>
        <w:pStyle w:val="ListBullet"/>
        <w:tabs>
          <w:tab w:val="clear" w:pos="284"/>
        </w:tabs>
        <w:spacing w:after="0" w:line="300" w:lineRule="exact"/>
        <w:rPr>
          <w:rFonts w:asciiTheme="majorHAnsi" w:eastAsiaTheme="majorEastAsia" w:hAnsiTheme="majorHAnsi" w:cstheme="majorBidi"/>
          <w:caps/>
          <w:color w:val="495965" w:themeColor="text2"/>
          <w:sz w:val="38"/>
          <w:szCs w:val="26"/>
          <w:lang w:val="en-GB" w:eastAsia="en-US"/>
        </w:rPr>
      </w:pPr>
      <w:r w:rsidRPr="00AB660C">
        <w:rPr>
          <w:rFonts w:asciiTheme="majorHAnsi" w:eastAsiaTheme="majorEastAsia" w:hAnsiTheme="majorHAnsi" w:cstheme="majorBidi"/>
          <w:caps/>
          <w:color w:val="495965" w:themeColor="text2"/>
          <w:sz w:val="38"/>
          <w:szCs w:val="26"/>
          <w:lang w:val="en-GB" w:eastAsia="en-US"/>
        </w:rPr>
        <w:lastRenderedPageBreak/>
        <w:t>Program Q</w:t>
      </w:r>
      <w:r w:rsidRPr="00AB660C">
        <w:rPr>
          <w:rFonts w:asciiTheme="majorHAnsi" w:eastAsiaTheme="majorEastAsia" w:hAnsiTheme="majorHAnsi" w:cstheme="majorBidi"/>
          <w:bCs/>
          <w:caps/>
          <w:color w:val="495965" w:themeColor="text2"/>
          <w:sz w:val="38"/>
          <w:szCs w:val="26"/>
          <w:lang w:val="en-GB" w:eastAsia="en-US"/>
        </w:rPr>
        <w:t>u</w:t>
      </w:r>
      <w:r w:rsidRPr="00AB660C">
        <w:rPr>
          <w:rFonts w:asciiTheme="majorHAnsi" w:eastAsiaTheme="majorEastAsia" w:hAnsiTheme="majorHAnsi" w:cstheme="majorBidi"/>
          <w:caps/>
          <w:color w:val="495965" w:themeColor="text2"/>
          <w:sz w:val="38"/>
          <w:szCs w:val="26"/>
          <w:lang w:val="en-GB" w:eastAsia="en-US"/>
        </w:rPr>
        <w:t>ality</w:t>
      </w:r>
    </w:p>
    <w:p w14:paraId="74C02E08" w14:textId="0578CA7B" w:rsidR="001C5E8B" w:rsidRDefault="00CF084B" w:rsidP="00AB660C">
      <w:pPr>
        <w:spacing w:before="0" w:after="0"/>
        <w:rPr>
          <w:rFonts w:eastAsia="Times New Roman"/>
          <w:color w:val="000000" w:themeColor="text1"/>
        </w:rPr>
      </w:pPr>
      <w:r w:rsidRPr="00AB660C">
        <w:rPr>
          <w:rFonts w:eastAsia="Times New Roman"/>
          <w:color w:val="000000" w:themeColor="text1"/>
        </w:rPr>
        <w:t xml:space="preserve">In this APPR, we reported our progress against the interim Performance Assessment Framework and </w:t>
      </w:r>
      <w:r w:rsidR="004F427F">
        <w:rPr>
          <w:rFonts w:eastAsia="Times New Roman"/>
          <w:color w:val="000000" w:themeColor="text1"/>
        </w:rPr>
        <w:t xml:space="preserve">the </w:t>
      </w:r>
      <w:r w:rsidRPr="00AB660C">
        <w:rPr>
          <w:rFonts w:eastAsia="Times New Roman"/>
          <w:color w:val="000000" w:themeColor="text1"/>
        </w:rPr>
        <w:t>Monitoring and Evaluation systems</w:t>
      </w:r>
      <w:r w:rsidR="004F427F">
        <w:rPr>
          <w:rFonts w:eastAsia="Times New Roman"/>
          <w:color w:val="000000" w:themeColor="text1"/>
        </w:rPr>
        <w:t xml:space="preserve"> of individual programs</w:t>
      </w:r>
      <w:r w:rsidRPr="00AB660C">
        <w:rPr>
          <w:rFonts w:eastAsia="Times New Roman"/>
          <w:color w:val="000000" w:themeColor="text1"/>
        </w:rPr>
        <w:t xml:space="preserve">. </w:t>
      </w:r>
      <w:r w:rsidR="001C5E8B">
        <w:rPr>
          <w:rFonts w:eastAsia="Times New Roman"/>
          <w:color w:val="000000" w:themeColor="text1"/>
        </w:rPr>
        <w:t xml:space="preserve">There were 7 key Performance Benchmarks highlighted in the 2017-18 APPR, of which the program has fully achieved 3 and partially achieved 4. </w:t>
      </w:r>
    </w:p>
    <w:p w14:paraId="0BB2E238" w14:textId="77777777" w:rsidR="001C5E8B" w:rsidRDefault="001C5E8B" w:rsidP="00AB660C">
      <w:pPr>
        <w:spacing w:before="0" w:after="0"/>
        <w:rPr>
          <w:rFonts w:eastAsia="Times New Roman"/>
          <w:color w:val="000000" w:themeColor="text1"/>
        </w:rPr>
      </w:pPr>
    </w:p>
    <w:p w14:paraId="689D34D1" w14:textId="3752A7A1" w:rsidR="00CF084B" w:rsidRPr="00AB660C" w:rsidRDefault="00CF084B" w:rsidP="00AB660C">
      <w:pPr>
        <w:spacing w:before="0" w:after="0"/>
        <w:rPr>
          <w:rFonts w:eastAsia="Times New Roman"/>
          <w:color w:val="000000" w:themeColor="text1"/>
        </w:rPr>
      </w:pPr>
      <w:r w:rsidRPr="00AB660C">
        <w:rPr>
          <w:rFonts w:eastAsia="Times New Roman"/>
          <w:color w:val="000000" w:themeColor="text1"/>
        </w:rPr>
        <w:t>A new Performance Assessment Framework</w:t>
      </w:r>
      <w:r w:rsidR="004F427F">
        <w:rPr>
          <w:rFonts w:eastAsia="Times New Roman"/>
          <w:color w:val="000000" w:themeColor="text1"/>
        </w:rPr>
        <w:t>,</w:t>
      </w:r>
      <w:r w:rsidRPr="00AB660C">
        <w:rPr>
          <w:rFonts w:eastAsia="Times New Roman"/>
          <w:color w:val="000000" w:themeColor="text1"/>
        </w:rPr>
        <w:t xml:space="preserve"> which has 11 priority Performance Benchmarks better incorporating our now changed program, </w:t>
      </w:r>
      <w:r w:rsidR="00EB40BF">
        <w:rPr>
          <w:rFonts w:eastAsia="Times New Roman"/>
          <w:color w:val="000000" w:themeColor="text1"/>
        </w:rPr>
        <w:t>was</w:t>
      </w:r>
      <w:r w:rsidRPr="00AB660C">
        <w:rPr>
          <w:rFonts w:eastAsia="Times New Roman"/>
          <w:color w:val="000000" w:themeColor="text1"/>
        </w:rPr>
        <w:t xml:space="preserve"> finalised in June 2019</w:t>
      </w:r>
      <w:r w:rsidR="00044ACE">
        <w:rPr>
          <w:rFonts w:eastAsia="Times New Roman"/>
          <w:color w:val="000000" w:themeColor="text1"/>
        </w:rPr>
        <w:t xml:space="preserve"> (Annex E). </w:t>
      </w:r>
    </w:p>
    <w:p w14:paraId="720011C9" w14:textId="77777777" w:rsidR="00CF084B" w:rsidRPr="00AB660C" w:rsidRDefault="00CF084B" w:rsidP="00AB660C">
      <w:pPr>
        <w:spacing w:before="0" w:after="0"/>
        <w:rPr>
          <w:rFonts w:eastAsia="Times New Roman"/>
          <w:color w:val="000000" w:themeColor="text1"/>
        </w:rPr>
      </w:pPr>
    </w:p>
    <w:p w14:paraId="07B74063" w14:textId="6E8A6F77" w:rsidR="001C5E8B" w:rsidRDefault="001C5E8B" w:rsidP="00AB660C">
      <w:pPr>
        <w:spacing w:before="0" w:after="0"/>
        <w:rPr>
          <w:rFonts w:eastAsia="Times New Roman"/>
          <w:color w:val="000000" w:themeColor="text1"/>
        </w:rPr>
      </w:pPr>
      <w:r>
        <w:rPr>
          <w:rFonts w:eastAsia="Times New Roman"/>
          <w:color w:val="000000" w:themeColor="text1"/>
        </w:rPr>
        <w:t>In 2018-19, the p</w:t>
      </w:r>
      <w:r w:rsidR="00AB660C">
        <w:rPr>
          <w:rFonts w:eastAsia="Times New Roman"/>
          <w:color w:val="000000" w:themeColor="text1"/>
        </w:rPr>
        <w:t>rogram completed 3 Aid Quality C</w:t>
      </w:r>
      <w:r>
        <w:rPr>
          <w:rFonts w:eastAsia="Times New Roman"/>
          <w:color w:val="000000" w:themeColor="text1"/>
        </w:rPr>
        <w:t xml:space="preserve">hecks </w:t>
      </w:r>
      <w:r w:rsidR="00AB660C">
        <w:rPr>
          <w:rFonts w:eastAsia="Times New Roman"/>
          <w:color w:val="000000" w:themeColor="text1"/>
        </w:rPr>
        <w:t xml:space="preserve">(AQCs) </w:t>
      </w:r>
      <w:r>
        <w:rPr>
          <w:rFonts w:eastAsia="Times New Roman"/>
          <w:color w:val="000000" w:themeColor="text1"/>
        </w:rPr>
        <w:t xml:space="preserve">and 2 Final </w:t>
      </w:r>
      <w:r w:rsidR="00AB660C">
        <w:rPr>
          <w:rFonts w:eastAsia="Times New Roman"/>
          <w:color w:val="000000" w:themeColor="text1"/>
        </w:rPr>
        <w:t>Aid Quality Checks (FAQCs). The two FAQCs, Trade Development Facility II and the Laos Australia Rural Livelihoods Program</w:t>
      </w:r>
      <w:r w:rsidR="00B91BC7">
        <w:rPr>
          <w:rFonts w:eastAsia="Times New Roman"/>
          <w:color w:val="000000" w:themeColor="text1"/>
        </w:rPr>
        <w:t>,</w:t>
      </w:r>
      <w:r w:rsidR="00AB660C">
        <w:rPr>
          <w:rFonts w:eastAsia="Times New Roman"/>
          <w:color w:val="000000" w:themeColor="text1"/>
        </w:rPr>
        <w:t xml:space="preserve"> </w:t>
      </w:r>
      <w:r w:rsidR="00C2617F">
        <w:rPr>
          <w:rFonts w:eastAsia="Times New Roman"/>
          <w:color w:val="000000" w:themeColor="text1"/>
        </w:rPr>
        <w:t xml:space="preserve">were </w:t>
      </w:r>
      <w:r w:rsidR="00AB660C">
        <w:rPr>
          <w:rFonts w:eastAsia="Times New Roman"/>
          <w:color w:val="000000" w:themeColor="text1"/>
        </w:rPr>
        <w:t xml:space="preserve">both </w:t>
      </w:r>
      <w:r w:rsidR="00C2617F">
        <w:rPr>
          <w:rFonts w:eastAsia="Times New Roman"/>
          <w:color w:val="000000" w:themeColor="text1"/>
        </w:rPr>
        <w:t xml:space="preserve">rated overall as </w:t>
      </w:r>
      <w:r w:rsidR="00AB660C">
        <w:rPr>
          <w:rFonts w:eastAsia="Times New Roman"/>
          <w:color w:val="000000" w:themeColor="text1"/>
        </w:rPr>
        <w:t>‘adequate’</w:t>
      </w:r>
      <w:r w:rsidR="00C2617F">
        <w:rPr>
          <w:rFonts w:eastAsia="Times New Roman"/>
          <w:color w:val="000000" w:themeColor="text1"/>
        </w:rPr>
        <w:t>, in particular for effectiveness, M&amp;E and sustainability</w:t>
      </w:r>
      <w:r w:rsidR="00AB660C">
        <w:rPr>
          <w:rFonts w:eastAsia="Times New Roman"/>
          <w:color w:val="000000" w:themeColor="text1"/>
        </w:rPr>
        <w:t xml:space="preserve">. </w:t>
      </w:r>
      <w:r w:rsidR="00C2617F">
        <w:rPr>
          <w:rFonts w:eastAsia="Times New Roman"/>
          <w:color w:val="000000" w:themeColor="text1"/>
        </w:rPr>
        <w:t xml:space="preserve">TDF II was rated ‘good’ in terms of relevance and efficiency. </w:t>
      </w:r>
      <w:r w:rsidR="00AB660C">
        <w:rPr>
          <w:rFonts w:eastAsia="Times New Roman"/>
          <w:color w:val="000000" w:themeColor="text1"/>
        </w:rPr>
        <w:t xml:space="preserve">For AQCs, there was strong improvement across the board. </w:t>
      </w:r>
      <w:r w:rsidR="00EB40BF">
        <w:rPr>
          <w:rFonts w:eastAsia="Times New Roman"/>
          <w:color w:val="000000" w:themeColor="text1"/>
        </w:rPr>
        <w:t>O</w:t>
      </w:r>
      <w:r w:rsidR="00AB660C">
        <w:rPr>
          <w:rFonts w:eastAsia="Times New Roman"/>
          <w:color w:val="000000" w:themeColor="text1"/>
        </w:rPr>
        <w:t>n the Gender Equality measure, all investments improved scores by 1 level on the rating scale. The notable shift in our support to basic education, with a reframing of BEQUAL, was reflected in improved ratings</w:t>
      </w:r>
      <w:r w:rsidR="00A066DA">
        <w:rPr>
          <w:rFonts w:eastAsia="Times New Roman"/>
          <w:color w:val="000000" w:themeColor="text1"/>
        </w:rPr>
        <w:t>,</w:t>
      </w:r>
      <w:r w:rsidR="001530D7">
        <w:rPr>
          <w:rFonts w:eastAsia="Times New Roman"/>
          <w:color w:val="000000" w:themeColor="text1"/>
        </w:rPr>
        <w:t xml:space="preserve"> including a high score on efficiency</w:t>
      </w:r>
      <w:r w:rsidR="00AB660C">
        <w:rPr>
          <w:rFonts w:eastAsia="Times New Roman"/>
          <w:color w:val="000000" w:themeColor="text1"/>
        </w:rPr>
        <w:t xml:space="preserve">. </w:t>
      </w:r>
    </w:p>
    <w:p w14:paraId="1C2DCCE4" w14:textId="77777777" w:rsidR="001C5E8B" w:rsidRDefault="001C5E8B" w:rsidP="00AB660C">
      <w:pPr>
        <w:spacing w:before="0" w:after="0"/>
        <w:rPr>
          <w:rFonts w:eastAsia="Times New Roman"/>
          <w:color w:val="000000" w:themeColor="text1"/>
        </w:rPr>
      </w:pPr>
    </w:p>
    <w:p w14:paraId="2419FFC7" w14:textId="77777777" w:rsidR="00AB660C" w:rsidRDefault="00FC3004" w:rsidP="00AB660C">
      <w:pPr>
        <w:spacing w:before="0" w:after="0"/>
        <w:rPr>
          <w:rFonts w:eastAsia="Times New Roman"/>
          <w:color w:val="000000" w:themeColor="text1"/>
        </w:rPr>
      </w:pPr>
      <w:r w:rsidRPr="00AB660C">
        <w:rPr>
          <w:rFonts w:eastAsia="Times New Roman"/>
          <w:color w:val="000000" w:themeColor="text1"/>
        </w:rPr>
        <w:t xml:space="preserve">In response to the LADLF </w:t>
      </w:r>
      <w:r w:rsidR="00AB660C">
        <w:rPr>
          <w:rFonts w:eastAsia="Times New Roman"/>
          <w:color w:val="000000" w:themeColor="text1"/>
        </w:rPr>
        <w:t>G</w:t>
      </w:r>
      <w:r w:rsidRPr="00AB660C">
        <w:rPr>
          <w:rFonts w:eastAsia="Times New Roman"/>
          <w:color w:val="000000" w:themeColor="text1"/>
        </w:rPr>
        <w:t xml:space="preserve">ender </w:t>
      </w:r>
      <w:r w:rsidR="00AB660C">
        <w:rPr>
          <w:rFonts w:eastAsia="Times New Roman"/>
          <w:color w:val="000000" w:themeColor="text1"/>
        </w:rPr>
        <w:t>E</w:t>
      </w:r>
      <w:r w:rsidRPr="00AB660C">
        <w:rPr>
          <w:rFonts w:eastAsia="Times New Roman"/>
          <w:color w:val="000000" w:themeColor="text1"/>
        </w:rPr>
        <w:t xml:space="preserve">quality and </w:t>
      </w:r>
      <w:r w:rsidR="00AB660C">
        <w:rPr>
          <w:rFonts w:eastAsia="Times New Roman"/>
          <w:color w:val="000000" w:themeColor="text1"/>
        </w:rPr>
        <w:t>D</w:t>
      </w:r>
      <w:r w:rsidRPr="00AB660C">
        <w:rPr>
          <w:rFonts w:eastAsia="Times New Roman"/>
          <w:color w:val="000000" w:themeColor="text1"/>
        </w:rPr>
        <w:t xml:space="preserve">isability </w:t>
      </w:r>
      <w:r w:rsidR="00AB660C">
        <w:rPr>
          <w:rFonts w:eastAsia="Times New Roman"/>
          <w:color w:val="000000" w:themeColor="text1"/>
        </w:rPr>
        <w:t>I</w:t>
      </w:r>
      <w:r w:rsidRPr="00AB660C">
        <w:rPr>
          <w:rFonts w:eastAsia="Times New Roman"/>
          <w:color w:val="000000" w:themeColor="text1"/>
        </w:rPr>
        <w:t xml:space="preserve">nclusion (GEDI) </w:t>
      </w:r>
      <w:r w:rsidR="00A15B4A" w:rsidRPr="00AB660C">
        <w:rPr>
          <w:rFonts w:eastAsia="Times New Roman"/>
          <w:color w:val="000000" w:themeColor="text1"/>
        </w:rPr>
        <w:t>review</w:t>
      </w:r>
      <w:r w:rsidRPr="00AB660C">
        <w:rPr>
          <w:rFonts w:eastAsia="Times New Roman"/>
          <w:color w:val="000000" w:themeColor="text1"/>
        </w:rPr>
        <w:t xml:space="preserve">, DFAT procured a GEDI Specialist in September 2018. </w:t>
      </w:r>
      <w:r w:rsidR="00AB660C">
        <w:rPr>
          <w:rFonts w:eastAsia="Times New Roman"/>
          <w:color w:val="000000" w:themeColor="text1"/>
        </w:rPr>
        <w:t xml:space="preserve">The GEDI Specialist worked closely with the Embassy team to develop a </w:t>
      </w:r>
    </w:p>
    <w:p w14:paraId="14762A92" w14:textId="77777777" w:rsidR="00FC3004" w:rsidRDefault="00FC3004" w:rsidP="00AB660C">
      <w:pPr>
        <w:spacing w:before="0" w:after="0"/>
        <w:rPr>
          <w:rFonts w:eastAsia="Times New Roman"/>
          <w:color w:val="000000" w:themeColor="text1"/>
        </w:rPr>
      </w:pPr>
      <w:r w:rsidRPr="00AB660C">
        <w:rPr>
          <w:rFonts w:eastAsia="Times New Roman"/>
          <w:color w:val="000000" w:themeColor="text1"/>
        </w:rPr>
        <w:t>Gender Equality, Disability and Social Inclusion (GEDSI) Strategy (2019-2023).  Actions, indicators and responsibilities of the strategy involve all sectors including (1) public diplomacy, foreign policy and human rights advocacy; (2) economic diplomacy; (3) the development program; and (4) corporate and human resource policies and practices.</w:t>
      </w:r>
      <w:r w:rsidR="0018076B">
        <w:rPr>
          <w:rFonts w:eastAsia="Times New Roman"/>
          <w:color w:val="000000" w:themeColor="text1"/>
        </w:rPr>
        <w:t xml:space="preserve"> </w:t>
      </w:r>
    </w:p>
    <w:p w14:paraId="144BDC23" w14:textId="77777777" w:rsidR="005B5769" w:rsidRPr="00015316" w:rsidRDefault="005B5769" w:rsidP="008243CD">
      <w:pPr>
        <w:pStyle w:val="ListBullet"/>
        <w:tabs>
          <w:tab w:val="clear" w:pos="284"/>
        </w:tabs>
        <w:spacing w:before="360" w:after="0" w:line="300" w:lineRule="exact"/>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 xml:space="preserve">Management </w:t>
      </w:r>
      <w:r w:rsidR="00E65105">
        <w:rPr>
          <w:rFonts w:asciiTheme="majorHAnsi" w:eastAsiaTheme="majorEastAsia" w:hAnsiTheme="majorHAnsi" w:cstheme="majorBidi"/>
          <w:caps/>
          <w:color w:val="495965" w:themeColor="text2"/>
          <w:sz w:val="38"/>
          <w:szCs w:val="26"/>
          <w:lang w:val="en-GB" w:eastAsia="en-US"/>
        </w:rPr>
        <w:t>actions</w:t>
      </w:r>
    </w:p>
    <w:p w14:paraId="3D48EDED" w14:textId="77777777" w:rsidR="001530D7" w:rsidRDefault="001530D7" w:rsidP="008243CD">
      <w:pPr>
        <w:spacing w:after="0"/>
        <w:rPr>
          <w:rFonts w:eastAsia="Times New Roman"/>
          <w:color w:val="000000" w:themeColor="text1"/>
        </w:rPr>
      </w:pPr>
      <w:r>
        <w:rPr>
          <w:rFonts w:eastAsia="Times New Roman"/>
          <w:color w:val="000000" w:themeColor="text1"/>
        </w:rPr>
        <w:t xml:space="preserve">In </w:t>
      </w:r>
      <w:r w:rsidR="00430C68">
        <w:rPr>
          <w:rFonts w:eastAsia="Times New Roman"/>
          <w:color w:val="000000" w:themeColor="text1"/>
        </w:rPr>
        <w:t>2018-19, we made strong</w:t>
      </w:r>
      <w:r>
        <w:rPr>
          <w:rFonts w:eastAsia="Times New Roman"/>
          <w:color w:val="000000" w:themeColor="text1"/>
        </w:rPr>
        <w:t xml:space="preserve"> progress </w:t>
      </w:r>
      <w:r w:rsidR="00430C68">
        <w:rPr>
          <w:rFonts w:eastAsia="Times New Roman"/>
          <w:color w:val="000000" w:themeColor="text1"/>
        </w:rPr>
        <w:t>against the 2017-1</w:t>
      </w:r>
      <w:r w:rsidR="00034089">
        <w:rPr>
          <w:rFonts w:eastAsia="Times New Roman"/>
          <w:color w:val="000000" w:themeColor="text1"/>
        </w:rPr>
        <w:t>8</w:t>
      </w:r>
      <w:r w:rsidR="00430C68">
        <w:rPr>
          <w:rFonts w:eastAsia="Times New Roman"/>
          <w:color w:val="000000" w:themeColor="text1"/>
        </w:rPr>
        <w:t xml:space="preserve"> management actions. All eight management actions identified in last year’s APPR were achieved in the reporting period. </w:t>
      </w:r>
    </w:p>
    <w:p w14:paraId="31DC7451" w14:textId="77777777" w:rsidR="00F565F5" w:rsidRDefault="00F565F5" w:rsidP="008243CD">
      <w:pPr>
        <w:spacing w:after="0"/>
        <w:rPr>
          <w:rFonts w:eastAsia="Times New Roman"/>
          <w:color w:val="000000" w:themeColor="text1"/>
        </w:rPr>
      </w:pPr>
    </w:p>
    <w:p w14:paraId="71670B62" w14:textId="77777777" w:rsidR="00093786" w:rsidRPr="00AB660C" w:rsidRDefault="001D5FDA" w:rsidP="00550108">
      <w:pPr>
        <w:spacing w:before="0" w:after="0"/>
        <w:rPr>
          <w:rFonts w:eastAsia="Times New Roman"/>
          <w:color w:val="000000" w:themeColor="text1"/>
        </w:rPr>
      </w:pPr>
      <w:r w:rsidRPr="00AB660C">
        <w:rPr>
          <w:rFonts w:eastAsia="Times New Roman"/>
          <w:color w:val="000000" w:themeColor="text1"/>
        </w:rPr>
        <w:t xml:space="preserve">The </w:t>
      </w:r>
      <w:r w:rsidR="00A15B4A" w:rsidRPr="00AB660C">
        <w:rPr>
          <w:rFonts w:eastAsia="Times New Roman"/>
          <w:color w:val="000000" w:themeColor="text1"/>
        </w:rPr>
        <w:t>following</w:t>
      </w:r>
      <w:r w:rsidR="00664EAF" w:rsidRPr="00AB660C">
        <w:rPr>
          <w:rFonts w:eastAsia="Times New Roman"/>
          <w:color w:val="000000" w:themeColor="text1"/>
        </w:rPr>
        <w:t xml:space="preserve"> </w:t>
      </w:r>
      <w:r w:rsidR="005015D7" w:rsidRPr="00AB660C">
        <w:rPr>
          <w:rFonts w:eastAsia="Times New Roman"/>
          <w:color w:val="000000" w:themeColor="text1"/>
        </w:rPr>
        <w:t>management actions will be undertaken in the next 12 months</w:t>
      </w:r>
      <w:r w:rsidR="00034089">
        <w:rPr>
          <w:rFonts w:eastAsia="Times New Roman"/>
          <w:color w:val="000000" w:themeColor="text1"/>
        </w:rPr>
        <w:t>:</w:t>
      </w:r>
    </w:p>
    <w:p w14:paraId="192CA524" w14:textId="77777777" w:rsidR="001F00DE" w:rsidRPr="00F565F5" w:rsidRDefault="002C2BDB" w:rsidP="00F565F5">
      <w:pPr>
        <w:pStyle w:val="ListParagraph"/>
        <w:numPr>
          <w:ilvl w:val="0"/>
          <w:numId w:val="48"/>
        </w:numPr>
        <w:spacing w:before="0" w:after="0" w:line="240" w:lineRule="auto"/>
        <w:rPr>
          <w:rFonts w:eastAsia="Times New Roman"/>
          <w:color w:val="000000" w:themeColor="text1"/>
        </w:rPr>
      </w:pPr>
      <w:r>
        <w:rPr>
          <w:rFonts w:eastAsia="Times New Roman"/>
          <w:color w:val="000000" w:themeColor="text1"/>
        </w:rPr>
        <w:t>D</w:t>
      </w:r>
      <w:r w:rsidR="0062665C" w:rsidRPr="008243CD">
        <w:rPr>
          <w:rFonts w:eastAsia="Times New Roman"/>
          <w:color w:val="000000" w:themeColor="text1"/>
        </w:rPr>
        <w:t>evelop</w:t>
      </w:r>
      <w:r w:rsidR="00430C68" w:rsidRPr="008243CD">
        <w:rPr>
          <w:rFonts w:eastAsia="Times New Roman"/>
          <w:color w:val="000000" w:themeColor="text1"/>
        </w:rPr>
        <w:t xml:space="preserve"> a new Aid Investment Plan </w:t>
      </w:r>
      <w:r>
        <w:rPr>
          <w:rFonts w:eastAsia="Times New Roman"/>
          <w:color w:val="000000" w:themeColor="text1"/>
        </w:rPr>
        <w:t xml:space="preserve">by </w:t>
      </w:r>
      <w:r w:rsidR="003F01BD">
        <w:rPr>
          <w:rFonts w:eastAsia="Times New Roman"/>
          <w:color w:val="000000" w:themeColor="text1"/>
        </w:rPr>
        <w:t>mid-2020</w:t>
      </w:r>
      <w:r>
        <w:rPr>
          <w:rFonts w:eastAsia="Times New Roman"/>
          <w:color w:val="000000" w:themeColor="text1"/>
        </w:rPr>
        <w:t xml:space="preserve"> </w:t>
      </w:r>
      <w:r w:rsidR="00430C68" w:rsidRPr="008243CD">
        <w:rPr>
          <w:rFonts w:eastAsia="Times New Roman"/>
          <w:color w:val="000000" w:themeColor="text1"/>
        </w:rPr>
        <w:t xml:space="preserve">to guide our </w:t>
      </w:r>
      <w:r w:rsidR="00430C68">
        <w:rPr>
          <w:rFonts w:eastAsia="Times New Roman"/>
          <w:color w:val="000000" w:themeColor="text1"/>
        </w:rPr>
        <w:t xml:space="preserve">Laos </w:t>
      </w:r>
      <w:r w:rsidR="00430C68" w:rsidRPr="008243CD">
        <w:rPr>
          <w:rFonts w:eastAsia="Times New Roman"/>
          <w:color w:val="000000" w:themeColor="text1"/>
        </w:rPr>
        <w:t>development program from 20</w:t>
      </w:r>
      <w:r>
        <w:rPr>
          <w:rFonts w:eastAsia="Times New Roman"/>
          <w:color w:val="000000" w:themeColor="text1"/>
        </w:rPr>
        <w:t xml:space="preserve">20 to </w:t>
      </w:r>
      <w:r w:rsidR="003F01BD">
        <w:rPr>
          <w:rFonts w:eastAsia="Times New Roman"/>
          <w:color w:val="000000" w:themeColor="text1"/>
        </w:rPr>
        <w:t>2023</w:t>
      </w:r>
      <w:r w:rsidR="00430C68" w:rsidRPr="008243CD">
        <w:rPr>
          <w:rFonts w:eastAsia="Times New Roman"/>
          <w:color w:val="000000" w:themeColor="text1"/>
        </w:rPr>
        <w:t xml:space="preserve">. </w:t>
      </w:r>
      <w:r w:rsidR="004A16CE">
        <w:rPr>
          <w:color w:val="000000" w:themeColor="text1"/>
          <w:lang w:val="en-AU"/>
        </w:rPr>
        <w:t>A Policy Advocacy Plan will be developed in conjunction with the Aid Investment Plan.</w:t>
      </w:r>
    </w:p>
    <w:p w14:paraId="60C81757" w14:textId="77777777" w:rsidR="001F00DE" w:rsidRPr="00F565F5" w:rsidRDefault="00EB40BF" w:rsidP="00F565F5">
      <w:pPr>
        <w:pStyle w:val="ListParagraph"/>
        <w:numPr>
          <w:ilvl w:val="0"/>
          <w:numId w:val="50"/>
        </w:numPr>
        <w:spacing w:before="0" w:after="0" w:line="240" w:lineRule="auto"/>
        <w:rPr>
          <w:rFonts w:eastAsia="Times New Roman"/>
          <w:color w:val="000000" w:themeColor="text1"/>
        </w:rPr>
      </w:pPr>
      <w:r w:rsidRPr="002C2BDB">
        <w:rPr>
          <w:rFonts w:eastAsia="Times New Roman"/>
          <w:color w:val="000000" w:themeColor="text1"/>
        </w:rPr>
        <w:t>Continue to i</w:t>
      </w:r>
      <w:r w:rsidR="00A15B4A" w:rsidRPr="002C2BDB">
        <w:rPr>
          <w:rFonts w:eastAsia="Times New Roman"/>
          <w:color w:val="000000" w:themeColor="text1"/>
        </w:rPr>
        <w:t>mplement</w:t>
      </w:r>
      <w:r w:rsidR="00C97CBD" w:rsidRPr="002C2BDB">
        <w:rPr>
          <w:rFonts w:eastAsia="Times New Roman"/>
          <w:color w:val="000000" w:themeColor="text1"/>
        </w:rPr>
        <w:t xml:space="preserve"> the GEDSI Strategy (2019-23</w:t>
      </w:r>
      <w:r w:rsidRPr="002C2BDB">
        <w:rPr>
          <w:rFonts w:eastAsia="Times New Roman"/>
          <w:color w:val="000000" w:themeColor="text1"/>
        </w:rPr>
        <w:t>), including by</w:t>
      </w:r>
      <w:r w:rsidR="00392CFE" w:rsidRPr="002C2BDB">
        <w:rPr>
          <w:rFonts w:eastAsia="Times New Roman"/>
          <w:color w:val="000000" w:themeColor="text1"/>
        </w:rPr>
        <w:t xml:space="preserve"> </w:t>
      </w:r>
      <w:r w:rsidRPr="002C2BDB">
        <w:rPr>
          <w:rFonts w:eastAsia="Times New Roman"/>
          <w:color w:val="000000" w:themeColor="text1"/>
        </w:rPr>
        <w:t>mainstream</w:t>
      </w:r>
      <w:r w:rsidR="002C2BDB" w:rsidRPr="002C2BDB">
        <w:rPr>
          <w:rFonts w:eastAsia="Times New Roman"/>
          <w:color w:val="000000" w:themeColor="text1"/>
        </w:rPr>
        <w:t>ing</w:t>
      </w:r>
      <w:r w:rsidRPr="002C2BDB">
        <w:rPr>
          <w:rFonts w:eastAsia="Times New Roman"/>
          <w:color w:val="000000" w:themeColor="text1"/>
        </w:rPr>
        <w:t xml:space="preserve"> </w:t>
      </w:r>
      <w:r w:rsidR="00A15B4A" w:rsidRPr="002C2BDB">
        <w:rPr>
          <w:rFonts w:eastAsia="Times New Roman"/>
          <w:color w:val="000000" w:themeColor="text1"/>
        </w:rPr>
        <w:t>through</w:t>
      </w:r>
      <w:r w:rsidR="00392CFE" w:rsidRPr="002C2BDB">
        <w:rPr>
          <w:rFonts w:eastAsia="Times New Roman"/>
          <w:color w:val="000000" w:themeColor="text1"/>
        </w:rPr>
        <w:t xml:space="preserve"> design, monitoring, evaluation and learning </w:t>
      </w:r>
      <w:r w:rsidR="00A15B4A" w:rsidRPr="002C2BDB">
        <w:rPr>
          <w:rFonts w:eastAsia="Times New Roman"/>
          <w:color w:val="000000" w:themeColor="text1"/>
        </w:rPr>
        <w:t xml:space="preserve">activities of all </w:t>
      </w:r>
      <w:r w:rsidR="001F00DE" w:rsidRPr="002C2BDB">
        <w:rPr>
          <w:rFonts w:eastAsia="Times New Roman"/>
          <w:color w:val="000000" w:themeColor="text1"/>
        </w:rPr>
        <w:t xml:space="preserve">development </w:t>
      </w:r>
      <w:r w:rsidR="00A15B4A" w:rsidRPr="002C2BDB">
        <w:rPr>
          <w:rFonts w:eastAsia="Times New Roman"/>
          <w:color w:val="000000" w:themeColor="text1"/>
        </w:rPr>
        <w:t>investments</w:t>
      </w:r>
      <w:r w:rsidR="00DC1064" w:rsidRPr="002C2BDB">
        <w:rPr>
          <w:rFonts w:eastAsia="Times New Roman"/>
          <w:color w:val="000000" w:themeColor="text1"/>
        </w:rPr>
        <w:t xml:space="preserve"> in 2019-20</w:t>
      </w:r>
      <w:r w:rsidR="00392CFE" w:rsidRPr="002C2BDB">
        <w:rPr>
          <w:rFonts w:eastAsia="Times New Roman"/>
          <w:color w:val="000000" w:themeColor="text1"/>
        </w:rPr>
        <w:t>.</w:t>
      </w:r>
      <w:r w:rsidR="001F00DE" w:rsidRPr="002C2BDB">
        <w:rPr>
          <w:rFonts w:eastAsia="Times New Roman"/>
          <w:color w:val="000000" w:themeColor="text1"/>
        </w:rPr>
        <w:t xml:space="preserve"> </w:t>
      </w:r>
    </w:p>
    <w:p w14:paraId="77344675" w14:textId="77777777" w:rsidR="00DD1A1F" w:rsidRPr="00F565F5" w:rsidRDefault="002C2BDB" w:rsidP="00F565F5">
      <w:pPr>
        <w:pStyle w:val="ListParagraph"/>
        <w:numPr>
          <w:ilvl w:val="0"/>
          <w:numId w:val="48"/>
        </w:numPr>
        <w:spacing w:before="0" w:after="0" w:line="240" w:lineRule="auto"/>
        <w:rPr>
          <w:rFonts w:eastAsia="Times New Roman"/>
          <w:color w:val="000000" w:themeColor="text1"/>
        </w:rPr>
      </w:pPr>
      <w:r w:rsidRPr="00130091">
        <w:rPr>
          <w:rFonts w:eastAsia="Times New Roman"/>
          <w:color w:val="000000" w:themeColor="text1"/>
        </w:rPr>
        <w:t>Undertake</w:t>
      </w:r>
      <w:r w:rsidR="003E70B9" w:rsidRPr="00130091">
        <w:rPr>
          <w:rFonts w:eastAsia="Times New Roman"/>
          <w:color w:val="000000" w:themeColor="text1"/>
        </w:rPr>
        <w:t xml:space="preserve"> </w:t>
      </w:r>
      <w:r w:rsidR="008A5AC9" w:rsidRPr="00130091">
        <w:rPr>
          <w:rFonts w:eastAsia="Times New Roman"/>
          <w:color w:val="000000" w:themeColor="text1"/>
        </w:rPr>
        <w:t>i</w:t>
      </w:r>
      <w:r w:rsidR="003E70B9" w:rsidRPr="00130091">
        <w:rPr>
          <w:rFonts w:eastAsia="Times New Roman"/>
          <w:color w:val="000000" w:themeColor="text1"/>
        </w:rPr>
        <w:t xml:space="preserve">nvestment designs in the areas of education, </w:t>
      </w:r>
      <w:r w:rsidR="001F00DE" w:rsidRPr="00130091">
        <w:rPr>
          <w:rFonts w:eastAsia="Times New Roman"/>
          <w:color w:val="000000" w:themeColor="text1"/>
        </w:rPr>
        <w:t xml:space="preserve">human resource development </w:t>
      </w:r>
      <w:r w:rsidR="003E70B9" w:rsidRPr="00130091">
        <w:rPr>
          <w:rFonts w:eastAsia="Times New Roman"/>
          <w:color w:val="000000" w:themeColor="text1"/>
        </w:rPr>
        <w:t>and program support.</w:t>
      </w:r>
      <w:r w:rsidR="00130091">
        <w:rPr>
          <w:rFonts w:eastAsia="Times New Roman"/>
          <w:color w:val="000000" w:themeColor="text1"/>
        </w:rPr>
        <w:t xml:space="preserve"> </w:t>
      </w:r>
      <w:r w:rsidR="00130091" w:rsidRPr="00F11801">
        <w:rPr>
          <w:rFonts w:eastAsia="Times New Roman"/>
          <w:color w:val="000000" w:themeColor="text1"/>
        </w:rPr>
        <w:t xml:space="preserve">Review LAI and LALDF to inform decisions over the respective next phases. </w:t>
      </w:r>
    </w:p>
    <w:p w14:paraId="2B7FFF40" w14:textId="77777777" w:rsidR="001F00DE" w:rsidRPr="00F565F5" w:rsidRDefault="002C2BDB" w:rsidP="00F565F5">
      <w:pPr>
        <w:pStyle w:val="ListParagraph"/>
        <w:numPr>
          <w:ilvl w:val="0"/>
          <w:numId w:val="48"/>
        </w:numPr>
        <w:spacing w:before="0" w:after="0" w:line="240" w:lineRule="auto"/>
        <w:rPr>
          <w:rFonts w:eastAsia="Times New Roman"/>
          <w:color w:val="000000" w:themeColor="text1"/>
        </w:rPr>
      </w:pPr>
      <w:r>
        <w:rPr>
          <w:rFonts w:eastAsia="Times New Roman"/>
          <w:color w:val="000000" w:themeColor="text1"/>
        </w:rPr>
        <w:t>W</w:t>
      </w:r>
      <w:r w:rsidR="001C0B08" w:rsidRPr="008243CD">
        <w:rPr>
          <w:color w:val="000000" w:themeColor="text1"/>
        </w:rPr>
        <w:t xml:space="preserve">ork closely with MoES to monitor the uptake of </w:t>
      </w:r>
      <w:r w:rsidR="00231FF0" w:rsidRPr="008243CD">
        <w:rPr>
          <w:color w:val="000000" w:themeColor="text1"/>
        </w:rPr>
        <w:t xml:space="preserve">the </w:t>
      </w:r>
      <w:r w:rsidR="001C0B08" w:rsidRPr="008243CD">
        <w:rPr>
          <w:color w:val="000000" w:themeColor="text1"/>
        </w:rPr>
        <w:t>new curriculum by Grade 1 teachers in the countr</w:t>
      </w:r>
      <w:r w:rsidR="00231FF0" w:rsidRPr="008243CD">
        <w:rPr>
          <w:color w:val="000000" w:themeColor="text1"/>
        </w:rPr>
        <w:t>y</w:t>
      </w:r>
      <w:r w:rsidR="001C0B08" w:rsidRPr="008243CD">
        <w:rPr>
          <w:color w:val="000000" w:themeColor="text1"/>
        </w:rPr>
        <w:t xml:space="preserve"> and identify what improvements can be made</w:t>
      </w:r>
      <w:r w:rsidR="00231FF0" w:rsidRPr="008243CD">
        <w:rPr>
          <w:color w:val="000000" w:themeColor="text1"/>
        </w:rPr>
        <w:t xml:space="preserve"> for</w:t>
      </w:r>
      <w:r w:rsidR="001C0B08" w:rsidRPr="008243CD">
        <w:rPr>
          <w:color w:val="000000" w:themeColor="text1"/>
        </w:rPr>
        <w:t xml:space="preserve"> the rollout of Grade 2 curriculum from September 2020. </w:t>
      </w:r>
    </w:p>
    <w:p w14:paraId="687000C1" w14:textId="77777777" w:rsidR="001F00DE" w:rsidRPr="00F565F5" w:rsidRDefault="002C2BDB" w:rsidP="00F565F5">
      <w:pPr>
        <w:pStyle w:val="ListParagraph"/>
        <w:numPr>
          <w:ilvl w:val="0"/>
          <w:numId w:val="48"/>
        </w:numPr>
        <w:suppressAutoHyphens w:val="0"/>
        <w:spacing w:before="0" w:after="0" w:line="240" w:lineRule="auto"/>
        <w:rPr>
          <w:rFonts w:eastAsia="Times New Roman"/>
          <w:color w:val="000000" w:themeColor="text1"/>
        </w:rPr>
      </w:pPr>
      <w:r>
        <w:rPr>
          <w:rFonts w:eastAsia="Times New Roman"/>
          <w:color w:val="000000" w:themeColor="text1"/>
        </w:rPr>
        <w:t>M</w:t>
      </w:r>
      <w:r w:rsidR="0012185B" w:rsidRPr="008243CD">
        <w:rPr>
          <w:rFonts w:eastAsia="Times New Roman"/>
          <w:color w:val="000000" w:themeColor="text1"/>
        </w:rPr>
        <w:t xml:space="preserve">onitor the outcomes </w:t>
      </w:r>
      <w:r w:rsidR="00BE37FE" w:rsidRPr="008243CD">
        <w:rPr>
          <w:rFonts w:eastAsia="Times New Roman"/>
          <w:color w:val="000000" w:themeColor="text1"/>
        </w:rPr>
        <w:t>of</w:t>
      </w:r>
      <w:r w:rsidR="006D0556" w:rsidRPr="008243CD">
        <w:rPr>
          <w:rFonts w:eastAsia="Times New Roman"/>
          <w:color w:val="000000" w:themeColor="text1"/>
        </w:rPr>
        <w:t xml:space="preserve"> the revised</w:t>
      </w:r>
      <w:r w:rsidR="001F00DE" w:rsidRPr="00E96406">
        <w:rPr>
          <w:rFonts w:eastAsia="Times New Roman"/>
          <w:color w:val="000000" w:themeColor="text1"/>
        </w:rPr>
        <w:t xml:space="preserve"> Australian Awards Scholarship</w:t>
      </w:r>
      <w:r w:rsidR="006D0556" w:rsidRPr="008243CD">
        <w:rPr>
          <w:rFonts w:eastAsia="Times New Roman"/>
          <w:color w:val="000000" w:themeColor="text1"/>
        </w:rPr>
        <w:t xml:space="preserve"> </w:t>
      </w:r>
      <w:r w:rsidR="001F00DE" w:rsidRPr="00E96406">
        <w:rPr>
          <w:rFonts w:eastAsia="Times New Roman"/>
          <w:color w:val="000000" w:themeColor="text1"/>
        </w:rPr>
        <w:t>E</w:t>
      </w:r>
      <w:r w:rsidR="006D0556" w:rsidRPr="008243CD">
        <w:rPr>
          <w:rFonts w:eastAsia="Times New Roman"/>
          <w:color w:val="000000" w:themeColor="text1"/>
        </w:rPr>
        <w:t>nglish preparation curriculum, particularly for women, and make improvements</w:t>
      </w:r>
      <w:r w:rsidR="00BE37FE" w:rsidRPr="008243CD">
        <w:rPr>
          <w:rFonts w:eastAsia="Times New Roman"/>
          <w:color w:val="000000" w:themeColor="text1"/>
        </w:rPr>
        <w:t xml:space="preserve"> </w:t>
      </w:r>
      <w:r w:rsidR="006D0556" w:rsidRPr="008243CD">
        <w:rPr>
          <w:rFonts w:eastAsia="Times New Roman"/>
          <w:color w:val="000000" w:themeColor="text1"/>
        </w:rPr>
        <w:t>after final results are released in August 2019</w:t>
      </w:r>
      <w:r w:rsidR="0012185B" w:rsidRPr="008243CD">
        <w:rPr>
          <w:rFonts w:eastAsia="Times New Roman"/>
          <w:color w:val="000000" w:themeColor="text1"/>
        </w:rPr>
        <w:t xml:space="preserve">. </w:t>
      </w:r>
    </w:p>
    <w:p w14:paraId="2BD9E965" w14:textId="77777777" w:rsidR="00DA4B22" w:rsidRPr="00F565F5" w:rsidRDefault="002C2BDB" w:rsidP="00F565F5">
      <w:pPr>
        <w:pStyle w:val="ListParagraph"/>
        <w:numPr>
          <w:ilvl w:val="0"/>
          <w:numId w:val="48"/>
        </w:numPr>
        <w:spacing w:before="0" w:after="0" w:line="240" w:lineRule="auto"/>
        <w:rPr>
          <w:rFonts w:eastAsia="Times New Roman"/>
          <w:color w:val="000000" w:themeColor="text1"/>
        </w:rPr>
      </w:pPr>
      <w:r>
        <w:rPr>
          <w:rFonts w:eastAsia="Times New Roman"/>
          <w:color w:val="000000" w:themeColor="text1"/>
        </w:rPr>
        <w:t>E</w:t>
      </w:r>
      <w:r w:rsidR="00243DCC" w:rsidRPr="00243DCC">
        <w:rPr>
          <w:rFonts w:eastAsia="Times New Roman"/>
          <w:color w:val="000000" w:themeColor="text1"/>
        </w:rPr>
        <w:t>nsur</w:t>
      </w:r>
      <w:r>
        <w:rPr>
          <w:rFonts w:eastAsia="Times New Roman"/>
          <w:color w:val="000000" w:themeColor="text1"/>
        </w:rPr>
        <w:t>e</w:t>
      </w:r>
      <w:r w:rsidR="00243DCC" w:rsidRPr="00243DCC">
        <w:rPr>
          <w:rFonts w:eastAsia="Times New Roman"/>
          <w:color w:val="000000" w:themeColor="text1"/>
        </w:rPr>
        <w:t xml:space="preserve"> </w:t>
      </w:r>
      <w:r w:rsidR="003F0156" w:rsidRPr="00243DCC">
        <w:rPr>
          <w:rFonts w:eastAsia="Times New Roman"/>
          <w:color w:val="000000" w:themeColor="text1"/>
        </w:rPr>
        <w:t xml:space="preserve">that </w:t>
      </w:r>
      <w:r>
        <w:rPr>
          <w:rFonts w:eastAsia="Times New Roman"/>
          <w:color w:val="000000" w:themeColor="text1"/>
        </w:rPr>
        <w:t xml:space="preserve">features of </w:t>
      </w:r>
      <w:r w:rsidR="00C53CF5" w:rsidRPr="00243DCC">
        <w:rPr>
          <w:rFonts w:eastAsia="Times New Roman"/>
          <w:color w:val="000000" w:themeColor="text1"/>
        </w:rPr>
        <w:t xml:space="preserve">new </w:t>
      </w:r>
      <w:r>
        <w:rPr>
          <w:rFonts w:eastAsia="Times New Roman"/>
          <w:color w:val="000000" w:themeColor="text1"/>
        </w:rPr>
        <w:t xml:space="preserve">Trade and Private Sector </w:t>
      </w:r>
      <w:r w:rsidR="00C53CF5" w:rsidRPr="00243DCC">
        <w:rPr>
          <w:rFonts w:eastAsia="Times New Roman"/>
          <w:color w:val="000000" w:themeColor="text1"/>
        </w:rPr>
        <w:t xml:space="preserve">investments agreed upon during </w:t>
      </w:r>
      <w:r w:rsidR="000E6BED" w:rsidRPr="00243DCC">
        <w:rPr>
          <w:rFonts w:eastAsia="Times New Roman"/>
          <w:color w:val="000000" w:themeColor="text1"/>
        </w:rPr>
        <w:t xml:space="preserve">design phase are </w:t>
      </w:r>
      <w:r w:rsidR="00C53CF5" w:rsidRPr="00243DCC">
        <w:rPr>
          <w:rFonts w:eastAsia="Times New Roman"/>
          <w:color w:val="000000" w:themeColor="text1"/>
        </w:rPr>
        <w:t xml:space="preserve">delivered </w:t>
      </w:r>
      <w:r w:rsidR="00896D4C" w:rsidRPr="00243DCC">
        <w:rPr>
          <w:rFonts w:eastAsia="Times New Roman"/>
          <w:color w:val="000000" w:themeColor="text1"/>
        </w:rPr>
        <w:t xml:space="preserve">effectively, including </w:t>
      </w:r>
      <w:r w:rsidR="003F0156" w:rsidRPr="00243DCC">
        <w:rPr>
          <w:rFonts w:eastAsia="Times New Roman"/>
          <w:color w:val="000000" w:themeColor="text1"/>
        </w:rPr>
        <w:t>strong M&amp;E frameworks</w:t>
      </w:r>
      <w:r w:rsidR="00C53CF5" w:rsidRPr="00243DCC">
        <w:rPr>
          <w:rFonts w:eastAsia="Times New Roman"/>
          <w:color w:val="000000" w:themeColor="text1"/>
        </w:rPr>
        <w:t xml:space="preserve"> and </w:t>
      </w:r>
      <w:r w:rsidR="003F0156" w:rsidRPr="00243DCC">
        <w:rPr>
          <w:rFonts w:eastAsia="Times New Roman"/>
          <w:color w:val="000000" w:themeColor="text1"/>
        </w:rPr>
        <w:t>gender and social inclusion s</w:t>
      </w:r>
      <w:r w:rsidR="00C53CF5" w:rsidRPr="00243DCC">
        <w:rPr>
          <w:rFonts w:eastAsia="Times New Roman"/>
          <w:color w:val="000000" w:themeColor="text1"/>
        </w:rPr>
        <w:t>trategies</w:t>
      </w:r>
      <w:r w:rsidR="006E774C">
        <w:rPr>
          <w:rFonts w:eastAsia="Times New Roman"/>
          <w:color w:val="000000" w:themeColor="text1"/>
        </w:rPr>
        <w:t xml:space="preserve"> and the </w:t>
      </w:r>
      <w:r>
        <w:rPr>
          <w:rFonts w:eastAsia="Times New Roman"/>
          <w:color w:val="000000" w:themeColor="text1"/>
        </w:rPr>
        <w:t xml:space="preserve">recruitment of gender </w:t>
      </w:r>
      <w:r w:rsidR="006E774C">
        <w:rPr>
          <w:rFonts w:eastAsia="Times New Roman"/>
          <w:color w:val="000000" w:themeColor="text1"/>
        </w:rPr>
        <w:t xml:space="preserve">and inclusion </w:t>
      </w:r>
      <w:r w:rsidR="00DA4B22" w:rsidRPr="00243DCC">
        <w:rPr>
          <w:rFonts w:eastAsia="Times New Roman"/>
          <w:color w:val="000000" w:themeColor="text1"/>
        </w:rPr>
        <w:t>specialists</w:t>
      </w:r>
      <w:r w:rsidR="00723C49" w:rsidRPr="00243DCC">
        <w:rPr>
          <w:rFonts w:eastAsia="Times New Roman"/>
          <w:color w:val="000000" w:themeColor="text1"/>
        </w:rPr>
        <w:t xml:space="preserve">. </w:t>
      </w:r>
      <w:r w:rsidR="00DA4B22" w:rsidRPr="00243DCC">
        <w:rPr>
          <w:rFonts w:eastAsia="Times New Roman"/>
          <w:color w:val="000000" w:themeColor="text1"/>
        </w:rPr>
        <w:t xml:space="preserve"> </w:t>
      </w:r>
    </w:p>
    <w:p w14:paraId="61DB9624" w14:textId="77777777" w:rsidR="003E70B9" w:rsidRPr="00F565F5" w:rsidRDefault="002C2BDB" w:rsidP="00F565F5">
      <w:pPr>
        <w:pStyle w:val="ListParagraph"/>
        <w:numPr>
          <w:ilvl w:val="0"/>
          <w:numId w:val="48"/>
        </w:numPr>
        <w:spacing w:before="0" w:after="0" w:line="240" w:lineRule="auto"/>
        <w:rPr>
          <w:rFonts w:eastAsia="Times New Roman"/>
          <w:color w:val="000000" w:themeColor="text1"/>
        </w:rPr>
      </w:pPr>
      <w:r>
        <w:rPr>
          <w:rFonts w:eastAsia="Times New Roman"/>
          <w:color w:val="000000" w:themeColor="text1"/>
        </w:rPr>
        <w:t>Finalise a</w:t>
      </w:r>
      <w:r w:rsidR="003E70B9" w:rsidRPr="008243CD">
        <w:rPr>
          <w:rFonts w:eastAsia="Times New Roman"/>
          <w:color w:val="000000" w:themeColor="text1"/>
        </w:rPr>
        <w:t xml:space="preserve"> Public Diplomacy Strateg</w:t>
      </w:r>
      <w:r w:rsidR="00130091">
        <w:rPr>
          <w:rFonts w:eastAsia="Times New Roman"/>
          <w:color w:val="000000" w:themeColor="text1"/>
        </w:rPr>
        <w:t>y to outline Post priorities including the promotion of the development program</w:t>
      </w:r>
      <w:r w:rsidR="003E70B9" w:rsidRPr="008243CD">
        <w:rPr>
          <w:rFonts w:eastAsia="Times New Roman"/>
          <w:color w:val="000000" w:themeColor="text1"/>
        </w:rPr>
        <w:t xml:space="preserve"> and recruit a </w:t>
      </w:r>
      <w:r w:rsidR="00231FF0" w:rsidRPr="008243CD">
        <w:rPr>
          <w:rFonts w:eastAsia="Times New Roman"/>
          <w:color w:val="000000" w:themeColor="text1"/>
        </w:rPr>
        <w:t>Public Diplomacy and Communications</w:t>
      </w:r>
      <w:r w:rsidR="003E70B9" w:rsidRPr="008243CD">
        <w:rPr>
          <w:rFonts w:eastAsia="Times New Roman"/>
          <w:color w:val="000000" w:themeColor="text1"/>
        </w:rPr>
        <w:t xml:space="preserve"> Adviser to support its implementation.</w:t>
      </w:r>
    </w:p>
    <w:p w14:paraId="401BC3BC" w14:textId="77777777" w:rsidR="003E70B9" w:rsidRDefault="003E70B9" w:rsidP="00550108">
      <w:pPr>
        <w:spacing w:before="0" w:after="0"/>
        <w:rPr>
          <w:rFonts w:eastAsia="Times New Roman"/>
        </w:rPr>
      </w:pPr>
    </w:p>
    <w:p w14:paraId="0430E947" w14:textId="77777777" w:rsidR="00D00802" w:rsidRDefault="00D00802" w:rsidP="005B5769">
      <w:pPr>
        <w:pStyle w:val="ListBullet"/>
        <w:tabs>
          <w:tab w:val="clear" w:pos="284"/>
        </w:tabs>
        <w:sectPr w:rsidR="00D00802" w:rsidSect="00D2653F">
          <w:headerReference w:type="default" r:id="rId24"/>
          <w:footerReference w:type="default" r:id="rId25"/>
          <w:pgSz w:w="11906" w:h="16838" w:code="9"/>
          <w:pgMar w:top="1811" w:right="1134" w:bottom="851" w:left="1134" w:header="1565" w:footer="342" w:gutter="0"/>
          <w:cols w:space="397"/>
          <w:docGrid w:linePitch="360"/>
        </w:sectPr>
      </w:pPr>
    </w:p>
    <w:p w14:paraId="6372046F" w14:textId="77777777" w:rsidR="00AF1B85" w:rsidRPr="00376C17" w:rsidRDefault="00AF1B85" w:rsidP="00376C17">
      <w:pPr>
        <w:pStyle w:val="Subtitle"/>
        <w:spacing w:before="360" w:after="120" w:line="300" w:lineRule="exact"/>
        <w:rPr>
          <w:rFonts w:asciiTheme="majorHAnsi" w:hAnsiTheme="majorHAnsi" w:cstheme="majorHAnsi"/>
        </w:rPr>
      </w:pPr>
      <w:r w:rsidRPr="00EF26B5">
        <w:rPr>
          <w:rFonts w:asciiTheme="majorHAnsi" w:hAnsiTheme="majorHAnsi" w:cstheme="majorHAnsi"/>
        </w:rPr>
        <w:lastRenderedPageBreak/>
        <w:t xml:space="preserve">Annex A - Progress in </w:t>
      </w:r>
      <w:r w:rsidR="00376C17">
        <w:rPr>
          <w:rFonts w:asciiTheme="majorHAnsi" w:hAnsiTheme="majorHAnsi" w:cstheme="majorHAnsi"/>
        </w:rPr>
        <w:t>Addressing Management Responses</w:t>
      </w:r>
    </w:p>
    <w:tbl>
      <w:tblPr>
        <w:tblStyle w:val="APPR"/>
        <w:tblpPr w:leftFromText="180" w:rightFromText="180" w:vertAnchor="text" w:tblpY="1"/>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1"/>
        <w:gridCol w:w="1179"/>
        <w:gridCol w:w="6733"/>
      </w:tblGrid>
      <w:tr w:rsidR="00AF1B85" w:rsidRPr="00812509" w14:paraId="227EB941" w14:textId="77777777" w:rsidTr="00B12CD4">
        <w:trPr>
          <w:cnfStyle w:val="000000010000" w:firstRow="0" w:lastRow="0" w:firstColumn="0" w:lastColumn="0" w:oddVBand="0" w:evenVBand="0" w:oddHBand="0" w:evenHBand="1" w:firstRowFirstColumn="0" w:firstRowLastColumn="0" w:lastRowFirstColumn="0" w:lastRowLastColumn="0"/>
        </w:trPr>
        <w:tc>
          <w:tcPr>
            <w:tcW w:w="64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2106A5" w14:textId="77777777" w:rsidR="00AF1B85" w:rsidRPr="00812509" w:rsidRDefault="00AF1B85" w:rsidP="005D5723">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w:t>
            </w:r>
            <w:r w:rsidR="005D5723">
              <w:rPr>
                <w:rFonts w:asciiTheme="minorHAnsi" w:eastAsia="Times New Roman" w:hAnsiTheme="minorHAnsi"/>
                <w:b/>
                <w:iCs/>
                <w:szCs w:val="17"/>
                <w:lang w:eastAsia="en-US"/>
              </w:rPr>
              <w:t>17-18</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11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08A623" w14:textId="77777777"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83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4DA370C" w14:textId="77777777" w:rsidR="00AF1B85" w:rsidRPr="00812509" w:rsidRDefault="00AF1B85" w:rsidP="005D5723">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w:t>
            </w:r>
            <w:r w:rsidR="005D5723">
              <w:rPr>
                <w:rFonts w:asciiTheme="minorHAnsi" w:eastAsia="Times New Roman" w:hAnsiTheme="minorHAnsi"/>
                <w:b/>
                <w:iCs/>
                <w:szCs w:val="17"/>
                <w:lang w:eastAsia="en-US"/>
              </w:rPr>
              <w:t>8-19</w:t>
            </w:r>
          </w:p>
        </w:tc>
      </w:tr>
      <w:tr w:rsidR="00AF1B85" w:rsidRPr="00812509" w14:paraId="14253B9A" w14:textId="77777777" w:rsidTr="00B12CD4">
        <w:trPr>
          <w:cnfStyle w:val="000000010000" w:firstRow="0" w:lastRow="0" w:firstColumn="0" w:lastColumn="0" w:oddVBand="0" w:evenVBand="0" w:oddHBand="0" w:evenHBand="1" w:firstRowFirstColumn="0" w:firstRowLastColumn="0" w:lastRowFirstColumn="0" w:lastRowLastColumn="0"/>
        </w:trPr>
        <w:tc>
          <w:tcPr>
            <w:tcW w:w="64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95A9AF" w14:textId="77777777" w:rsidR="00AF1B85" w:rsidRPr="00E96406" w:rsidRDefault="00243844" w:rsidP="00D15A00">
            <w:pPr>
              <w:keepLines/>
              <w:spacing w:before="40" w:after="40" w:line="200" w:lineRule="atLeast"/>
              <w:rPr>
                <w:rFonts w:asciiTheme="minorHAnsi" w:eastAsia="Times New Roman" w:hAnsiTheme="minorHAnsi" w:cstheme="minorHAnsi"/>
                <w:iCs/>
                <w:szCs w:val="17"/>
                <w:lang w:eastAsia="en-US"/>
              </w:rPr>
            </w:pPr>
            <w:r w:rsidRPr="00E96406">
              <w:rPr>
                <w:rFonts w:asciiTheme="minorHAnsi" w:eastAsia="Times New Roman" w:hAnsiTheme="minorHAnsi" w:cstheme="minorHAnsi"/>
                <w:iCs/>
                <w:szCs w:val="17"/>
                <w:lang w:eastAsia="en-US"/>
              </w:rPr>
              <w:t>Develop key strategy documents which will better integrate the aid program across Australia’s whole of government interests in Laos</w:t>
            </w:r>
          </w:p>
        </w:tc>
        <w:tc>
          <w:tcPr>
            <w:tcW w:w="11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729B8BD1" w14:textId="77777777"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83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4FCAD5" w14:textId="77777777" w:rsidR="00AF1B85" w:rsidRPr="008243CD" w:rsidRDefault="00BA2254" w:rsidP="00243DCC">
            <w:pPr>
              <w:keepLines/>
              <w:spacing w:before="40" w:after="40" w:line="200" w:lineRule="atLeast"/>
              <w:rPr>
                <w:rFonts w:asciiTheme="minorHAnsi" w:eastAsia="Times New Roman" w:hAnsiTheme="minorHAnsi" w:cstheme="minorHAnsi"/>
                <w:iCs/>
                <w:szCs w:val="17"/>
                <w:lang w:eastAsia="en-US"/>
              </w:rPr>
            </w:pPr>
            <w:r w:rsidRPr="00E96406">
              <w:rPr>
                <w:rFonts w:asciiTheme="minorHAnsi" w:eastAsia="Times New Roman" w:hAnsiTheme="minorHAnsi" w:cstheme="minorHAnsi"/>
                <w:iCs/>
                <w:szCs w:val="17"/>
                <w:lang w:eastAsia="en-US"/>
              </w:rPr>
              <w:t xml:space="preserve">In 2019, </w:t>
            </w:r>
            <w:r w:rsidR="00243844" w:rsidRPr="00E96406">
              <w:rPr>
                <w:rFonts w:asciiTheme="minorHAnsi" w:eastAsia="Times New Roman" w:hAnsiTheme="minorHAnsi" w:cstheme="minorHAnsi"/>
                <w:iCs/>
                <w:szCs w:val="17"/>
                <w:lang w:eastAsia="en-US"/>
              </w:rPr>
              <w:t>Post endorsed whole of embassy GEDSI Strategy</w:t>
            </w:r>
            <w:r w:rsidRPr="00E96406">
              <w:rPr>
                <w:rFonts w:asciiTheme="minorHAnsi" w:eastAsia="Times New Roman" w:hAnsiTheme="minorHAnsi" w:cstheme="minorHAnsi"/>
                <w:iCs/>
                <w:szCs w:val="17"/>
                <w:lang w:eastAsia="en-US"/>
              </w:rPr>
              <w:t>,</w:t>
            </w:r>
            <w:r w:rsidR="00243844" w:rsidRPr="008243CD">
              <w:rPr>
                <w:rFonts w:asciiTheme="minorHAnsi" w:eastAsia="Times New Roman" w:hAnsiTheme="minorHAnsi" w:cstheme="minorHAnsi"/>
                <w:iCs/>
                <w:szCs w:val="17"/>
                <w:lang w:eastAsia="en-US"/>
              </w:rPr>
              <w:t xml:space="preserve"> and revised its Performance Assessment Framework.</w:t>
            </w:r>
          </w:p>
        </w:tc>
      </w:tr>
      <w:tr w:rsidR="00AF1B85" w:rsidRPr="00812509" w14:paraId="53588FA7" w14:textId="77777777" w:rsidTr="00B12CD4">
        <w:trPr>
          <w:cnfStyle w:val="000000010000" w:firstRow="0" w:lastRow="0" w:firstColumn="0" w:lastColumn="0" w:oddVBand="0" w:evenVBand="0" w:oddHBand="0" w:evenHBand="1" w:firstRowFirstColumn="0" w:firstRowLastColumn="0" w:lastRowFirstColumn="0" w:lastRowLastColumn="0"/>
        </w:trPr>
        <w:tc>
          <w:tcPr>
            <w:tcW w:w="64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6C3DD6" w14:textId="77777777" w:rsidR="00AF1B85" w:rsidRPr="00E96406" w:rsidRDefault="00BA2254" w:rsidP="00D15A00">
            <w:pPr>
              <w:keepLines/>
              <w:spacing w:before="40" w:after="40" w:line="200" w:lineRule="atLeast"/>
              <w:rPr>
                <w:rFonts w:asciiTheme="minorHAnsi" w:eastAsia="Times New Roman" w:hAnsiTheme="minorHAnsi" w:cstheme="minorHAnsi"/>
                <w:iCs/>
                <w:szCs w:val="17"/>
                <w:lang w:eastAsia="en-US"/>
              </w:rPr>
            </w:pPr>
            <w:r w:rsidRPr="00E96406">
              <w:rPr>
                <w:rFonts w:asciiTheme="minorHAnsi" w:eastAsia="Times New Roman" w:hAnsiTheme="minorHAnsi" w:cstheme="minorHAnsi"/>
                <w:iCs/>
                <w:szCs w:val="17"/>
                <w:lang w:eastAsia="en-US"/>
              </w:rPr>
              <w:t>A new Gender and Disability Specialist will be recruited by September 2018</w:t>
            </w:r>
          </w:p>
        </w:tc>
        <w:tc>
          <w:tcPr>
            <w:tcW w:w="11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1A8D321B" w14:textId="77777777"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r w:rsidRPr="00812509">
              <w:rPr>
                <w:rFonts w:eastAsia="Times New Roman"/>
                <w:iCs/>
                <w:color w:val="FFFFFF" w:themeColor="background1"/>
                <w:szCs w:val="17"/>
              </w:rPr>
              <w:fldChar w:fldCharType="begin"/>
            </w:r>
            <w:r w:rsidRPr="00812509">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812509">
              <w:rPr>
                <w:rFonts w:eastAsia="Times New Roman"/>
                <w:iCs/>
                <w:color w:val="FFFFFF" w:themeColor="background1"/>
                <w:szCs w:val="17"/>
              </w:rPr>
              <w:fldChar w:fldCharType="end"/>
            </w:r>
          </w:p>
        </w:tc>
        <w:tc>
          <w:tcPr>
            <w:tcW w:w="683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C7F6EC" w14:textId="77777777" w:rsidR="00AF1B85" w:rsidRPr="00E96406" w:rsidRDefault="00BA2254" w:rsidP="00D15A00">
            <w:pPr>
              <w:keepLines/>
              <w:spacing w:before="40" w:after="40" w:line="200" w:lineRule="atLeast"/>
              <w:rPr>
                <w:rFonts w:asciiTheme="minorHAnsi" w:eastAsia="Times New Roman" w:hAnsiTheme="minorHAnsi" w:cstheme="minorHAnsi"/>
                <w:iCs/>
                <w:szCs w:val="17"/>
                <w:lang w:eastAsia="en-US"/>
              </w:rPr>
            </w:pPr>
            <w:r w:rsidRPr="00E96406">
              <w:rPr>
                <w:rFonts w:asciiTheme="minorHAnsi" w:eastAsia="Times New Roman" w:hAnsiTheme="minorHAnsi" w:cstheme="minorHAnsi"/>
                <w:iCs/>
                <w:szCs w:val="17"/>
                <w:lang w:eastAsia="en-US"/>
              </w:rPr>
              <w:t>LADLF recruited a GEDI Adviser who will continue to work closely with all Embassy teams to implement their GEDSI Strategy.</w:t>
            </w:r>
          </w:p>
        </w:tc>
      </w:tr>
      <w:tr w:rsidR="00AF1B85" w:rsidRPr="00812509" w14:paraId="08121A90" w14:textId="77777777" w:rsidTr="00B12CD4">
        <w:trPr>
          <w:cnfStyle w:val="000000010000" w:firstRow="0" w:lastRow="0" w:firstColumn="0" w:lastColumn="0" w:oddVBand="0" w:evenVBand="0" w:oddHBand="0" w:evenHBand="1" w:firstRowFirstColumn="0" w:firstRowLastColumn="0" w:lastRowFirstColumn="0" w:lastRowLastColumn="0"/>
        </w:trPr>
        <w:tc>
          <w:tcPr>
            <w:tcW w:w="64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8BE44B" w14:textId="77777777" w:rsidR="00AF1B85" w:rsidRPr="008243CD" w:rsidRDefault="00BA2254" w:rsidP="00D15A00">
            <w:pPr>
              <w:keepLines/>
              <w:spacing w:before="40" w:after="40" w:line="200" w:lineRule="atLeast"/>
              <w:rPr>
                <w:rFonts w:asciiTheme="minorHAnsi" w:eastAsia="Times New Roman" w:hAnsiTheme="minorHAnsi" w:cstheme="minorHAnsi"/>
                <w:iCs/>
                <w:szCs w:val="17"/>
                <w:lang w:eastAsia="en-US"/>
              </w:rPr>
            </w:pPr>
            <w:r w:rsidRPr="00E96406">
              <w:rPr>
                <w:rFonts w:asciiTheme="minorHAnsi" w:eastAsia="Times New Roman" w:hAnsiTheme="minorHAnsi" w:cstheme="minorHAnsi"/>
                <w:iCs/>
                <w:szCs w:val="17"/>
                <w:lang w:eastAsia="en-US"/>
              </w:rPr>
              <w:t xml:space="preserve">Post will complete outstanding </w:t>
            </w:r>
            <w:r w:rsidR="00BE676D" w:rsidRPr="00E96406">
              <w:rPr>
                <w:rFonts w:asciiTheme="minorHAnsi" w:eastAsia="Times New Roman" w:hAnsiTheme="minorHAnsi" w:cstheme="minorHAnsi"/>
                <w:iCs/>
                <w:szCs w:val="17"/>
                <w:lang w:eastAsia="en-US"/>
              </w:rPr>
              <w:t>actions in the management response to the BEQUAL MTR</w:t>
            </w:r>
          </w:p>
        </w:tc>
        <w:tc>
          <w:tcPr>
            <w:tcW w:w="11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1CC1D6EF" w14:textId="77777777"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83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5F3F74" w14:textId="77777777" w:rsidR="00AF1B85" w:rsidRPr="008243CD" w:rsidRDefault="00BE676D" w:rsidP="00BE676D">
            <w:pPr>
              <w:keepLines/>
              <w:spacing w:before="40" w:after="40" w:line="200" w:lineRule="atLeast"/>
              <w:rPr>
                <w:rFonts w:asciiTheme="minorHAnsi" w:eastAsia="Times New Roman" w:hAnsiTheme="minorHAnsi" w:cstheme="minorHAnsi"/>
                <w:iCs/>
                <w:szCs w:val="17"/>
                <w:lang w:eastAsia="en-US"/>
              </w:rPr>
            </w:pPr>
            <w:r w:rsidRPr="00E96406">
              <w:rPr>
                <w:rFonts w:asciiTheme="minorHAnsi" w:eastAsia="Times New Roman" w:hAnsiTheme="minorHAnsi" w:cstheme="minorHAnsi"/>
                <w:iCs/>
                <w:szCs w:val="17"/>
                <w:lang w:eastAsia="en-US"/>
              </w:rPr>
              <w:t xml:space="preserve">BEQUAL program underwent a process of major restructuring in late 2018, including the revision of its program logic, </w:t>
            </w:r>
            <w:r w:rsidR="00C53CF5" w:rsidRPr="008243CD">
              <w:rPr>
                <w:rFonts w:asciiTheme="minorHAnsi" w:eastAsia="Times New Roman" w:hAnsiTheme="minorHAnsi" w:cstheme="minorHAnsi"/>
                <w:iCs/>
                <w:szCs w:val="17"/>
                <w:lang w:eastAsia="en-US"/>
              </w:rPr>
              <w:t xml:space="preserve">targeting strategy, </w:t>
            </w:r>
            <w:r w:rsidRPr="008243CD">
              <w:rPr>
                <w:rFonts w:asciiTheme="minorHAnsi" w:eastAsia="Times New Roman" w:hAnsiTheme="minorHAnsi" w:cstheme="minorHAnsi"/>
                <w:iCs/>
                <w:szCs w:val="17"/>
                <w:lang w:eastAsia="en-US"/>
              </w:rPr>
              <w:t xml:space="preserve">MEL framework, Gender and Social Inclusion Strategy, </w:t>
            </w:r>
            <w:r w:rsidR="00C53CF5" w:rsidRPr="008243CD">
              <w:rPr>
                <w:rFonts w:asciiTheme="minorHAnsi" w:eastAsia="Times New Roman" w:hAnsiTheme="minorHAnsi" w:cstheme="minorHAnsi"/>
                <w:iCs/>
                <w:szCs w:val="17"/>
                <w:lang w:eastAsia="en-US"/>
              </w:rPr>
              <w:t>and</w:t>
            </w:r>
            <w:r w:rsidRPr="008243CD">
              <w:rPr>
                <w:rFonts w:asciiTheme="minorHAnsi" w:eastAsia="Times New Roman" w:hAnsiTheme="minorHAnsi" w:cstheme="minorHAnsi"/>
                <w:iCs/>
                <w:szCs w:val="17"/>
                <w:lang w:eastAsia="en-US"/>
              </w:rPr>
              <w:t xml:space="preserve"> management structure.</w:t>
            </w:r>
          </w:p>
        </w:tc>
      </w:tr>
      <w:tr w:rsidR="00AF1B85" w:rsidRPr="00812509" w14:paraId="5F64F3D8" w14:textId="77777777" w:rsidTr="00B12CD4">
        <w:trPr>
          <w:cnfStyle w:val="000000010000" w:firstRow="0" w:lastRow="0" w:firstColumn="0" w:lastColumn="0" w:oddVBand="0" w:evenVBand="0" w:oddHBand="0" w:evenHBand="1" w:firstRowFirstColumn="0" w:firstRowLastColumn="0" w:lastRowFirstColumn="0" w:lastRowLastColumn="0"/>
        </w:trPr>
        <w:tc>
          <w:tcPr>
            <w:tcW w:w="64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91BC7D" w14:textId="77777777" w:rsidR="00AF1B85" w:rsidRPr="00E96406" w:rsidRDefault="00171230" w:rsidP="00D15A00">
            <w:pPr>
              <w:keepLines/>
              <w:spacing w:before="40" w:after="40" w:line="200" w:lineRule="atLeast"/>
              <w:rPr>
                <w:rFonts w:asciiTheme="minorHAnsi" w:eastAsia="Times New Roman" w:hAnsiTheme="minorHAnsi" w:cstheme="minorHAnsi"/>
                <w:iCs/>
                <w:szCs w:val="17"/>
                <w:lang w:eastAsia="en-US"/>
              </w:rPr>
            </w:pPr>
            <w:r w:rsidRPr="00E96406">
              <w:rPr>
                <w:rFonts w:asciiTheme="minorHAnsi" w:eastAsia="Times New Roman" w:hAnsiTheme="minorHAnsi" w:cstheme="minorHAnsi"/>
                <w:iCs/>
                <w:szCs w:val="17"/>
                <w:lang w:eastAsia="en-US"/>
              </w:rPr>
              <w:t>Post will ensure increased effectiveness on monitoring and evaluation of Australia’s investment to HRD</w:t>
            </w:r>
          </w:p>
        </w:tc>
        <w:tc>
          <w:tcPr>
            <w:tcW w:w="11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26F8C767" w14:textId="77777777" w:rsidR="00AF1B85" w:rsidRPr="00812509" w:rsidRDefault="0065248C" w:rsidP="00D15A0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83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06728A" w14:textId="77777777" w:rsidR="00AF1B85" w:rsidRPr="008243CD" w:rsidRDefault="004C2101" w:rsidP="0065248C">
            <w:pPr>
              <w:keepLines/>
              <w:spacing w:before="40" w:after="40" w:line="200" w:lineRule="atLeast"/>
              <w:rPr>
                <w:rFonts w:asciiTheme="minorHAnsi" w:eastAsia="Times New Roman" w:hAnsiTheme="minorHAnsi" w:cstheme="minorHAnsi"/>
                <w:iCs/>
                <w:szCs w:val="17"/>
                <w:lang w:eastAsia="en-US"/>
              </w:rPr>
            </w:pPr>
            <w:r w:rsidRPr="00E96406">
              <w:rPr>
                <w:rFonts w:asciiTheme="minorHAnsi" w:eastAsia="Times New Roman" w:hAnsiTheme="minorHAnsi" w:cstheme="minorHAnsi"/>
                <w:iCs/>
                <w:szCs w:val="17"/>
                <w:lang w:eastAsia="en-US"/>
              </w:rPr>
              <w:t xml:space="preserve">Under the leadership of a new Director, LAI undertook significant policy and practice improvements in 2018, including increased staffing for Monitoring and Evaluation. </w:t>
            </w:r>
            <w:r w:rsidR="0065248C" w:rsidRPr="008243CD">
              <w:rPr>
                <w:rFonts w:asciiTheme="minorHAnsi" w:eastAsia="Times New Roman" w:hAnsiTheme="minorHAnsi" w:cstheme="minorHAnsi"/>
                <w:iCs/>
                <w:szCs w:val="17"/>
                <w:lang w:eastAsia="en-US"/>
              </w:rPr>
              <w:t xml:space="preserve">A number of surveys and other monitoring activities have been conducted and have informed the program activities in 2018-19. </w:t>
            </w:r>
            <w:r w:rsidR="00C53CF5" w:rsidRPr="008243CD">
              <w:rPr>
                <w:rFonts w:asciiTheme="minorHAnsi" w:eastAsia="Times New Roman" w:hAnsiTheme="minorHAnsi" w:cstheme="minorHAnsi"/>
                <w:iCs/>
                <w:szCs w:val="17"/>
                <w:lang w:eastAsia="en-US"/>
              </w:rPr>
              <w:t>A</w:t>
            </w:r>
            <w:r w:rsidRPr="008243CD">
              <w:rPr>
                <w:rFonts w:asciiTheme="minorHAnsi" w:eastAsia="Times New Roman" w:hAnsiTheme="minorHAnsi" w:cstheme="minorHAnsi"/>
                <w:iCs/>
                <w:szCs w:val="17"/>
                <w:lang w:eastAsia="en-US"/>
              </w:rPr>
              <w:t xml:space="preserve">n independent </w:t>
            </w:r>
            <w:r w:rsidR="00C53CF5" w:rsidRPr="008243CD">
              <w:rPr>
                <w:rFonts w:asciiTheme="minorHAnsi" w:eastAsia="Times New Roman" w:hAnsiTheme="minorHAnsi" w:cstheme="minorHAnsi"/>
                <w:iCs/>
                <w:szCs w:val="17"/>
                <w:lang w:eastAsia="en-US"/>
              </w:rPr>
              <w:t>formative</w:t>
            </w:r>
            <w:r w:rsidRPr="008243CD">
              <w:rPr>
                <w:rFonts w:asciiTheme="minorHAnsi" w:eastAsia="Times New Roman" w:hAnsiTheme="minorHAnsi" w:cstheme="minorHAnsi"/>
                <w:iCs/>
                <w:szCs w:val="17"/>
                <w:lang w:eastAsia="en-US"/>
              </w:rPr>
              <w:t xml:space="preserve"> review of the program is also planned for October 2019 and will inform </w:t>
            </w:r>
            <w:r w:rsidR="0006419F" w:rsidRPr="008243CD">
              <w:rPr>
                <w:rFonts w:asciiTheme="minorHAnsi" w:eastAsia="Times New Roman" w:hAnsiTheme="minorHAnsi" w:cstheme="minorHAnsi"/>
                <w:iCs/>
                <w:szCs w:val="17"/>
                <w:lang w:eastAsia="en-US"/>
              </w:rPr>
              <w:t>program results and performance to date.</w:t>
            </w:r>
          </w:p>
        </w:tc>
      </w:tr>
      <w:tr w:rsidR="00AF1B85" w:rsidRPr="00812509" w14:paraId="586E1248" w14:textId="77777777" w:rsidTr="00220F2A">
        <w:trPr>
          <w:cnfStyle w:val="000000010000" w:firstRow="0" w:lastRow="0" w:firstColumn="0" w:lastColumn="0" w:oddVBand="0" w:evenVBand="0" w:oddHBand="0" w:evenHBand="1" w:firstRowFirstColumn="0" w:firstRowLastColumn="0" w:lastRowFirstColumn="0" w:lastRowLastColumn="0"/>
        </w:trPr>
        <w:tc>
          <w:tcPr>
            <w:tcW w:w="64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EB8BE5" w14:textId="77777777" w:rsidR="00AF1B85" w:rsidRPr="00E96406" w:rsidRDefault="00171230" w:rsidP="00D15A00">
            <w:pPr>
              <w:keepLines/>
              <w:spacing w:before="40" w:after="40" w:line="200" w:lineRule="atLeast"/>
              <w:rPr>
                <w:rFonts w:asciiTheme="minorHAnsi" w:eastAsia="Times New Roman" w:hAnsiTheme="minorHAnsi" w:cstheme="minorHAnsi"/>
                <w:iCs/>
                <w:szCs w:val="17"/>
                <w:lang w:eastAsia="en-US"/>
              </w:rPr>
            </w:pPr>
            <w:r w:rsidRPr="00E96406">
              <w:rPr>
                <w:rFonts w:asciiTheme="minorHAnsi" w:eastAsia="Times New Roman" w:hAnsiTheme="minorHAnsi" w:cstheme="minorHAnsi"/>
                <w:iCs/>
                <w:szCs w:val="17"/>
                <w:lang w:eastAsia="en-US"/>
              </w:rPr>
              <w:t>By December 2019 a post-specific Alumni engagement strategy will be developed</w:t>
            </w:r>
          </w:p>
        </w:tc>
        <w:tc>
          <w:tcPr>
            <w:tcW w:w="11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95D21"/>
          </w:tcPr>
          <w:p w14:paraId="6D62B5A4" w14:textId="77777777" w:rsidR="00AF1B85" w:rsidRPr="00812509" w:rsidRDefault="00220F2A" w:rsidP="00D15A0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partly achieved</w:t>
            </w:r>
          </w:p>
        </w:tc>
        <w:tc>
          <w:tcPr>
            <w:tcW w:w="683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DF5287" w14:textId="77777777" w:rsidR="0006419F" w:rsidRPr="00E96406" w:rsidRDefault="007B4777" w:rsidP="006E774C">
            <w:pPr>
              <w:keepLines/>
              <w:spacing w:before="40" w:after="40" w:line="200" w:lineRule="atLeast"/>
              <w:rPr>
                <w:rFonts w:asciiTheme="minorHAnsi" w:eastAsia="Times New Roman" w:hAnsiTheme="minorHAnsi" w:cstheme="minorHAnsi"/>
                <w:iCs/>
                <w:szCs w:val="17"/>
                <w:lang w:eastAsia="en-US"/>
              </w:rPr>
            </w:pPr>
            <w:r w:rsidRPr="00E96406">
              <w:rPr>
                <w:rFonts w:asciiTheme="minorHAnsi" w:eastAsia="Times New Roman" w:hAnsiTheme="minorHAnsi" w:cstheme="minorHAnsi"/>
                <w:iCs/>
                <w:szCs w:val="17"/>
                <w:lang w:eastAsia="en-US"/>
              </w:rPr>
              <w:t xml:space="preserve">As of 30 June, a </w:t>
            </w:r>
            <w:r w:rsidR="00C53CF5" w:rsidRPr="00E96406">
              <w:rPr>
                <w:rFonts w:asciiTheme="minorHAnsi" w:eastAsia="Times New Roman" w:hAnsiTheme="minorHAnsi" w:cstheme="minorHAnsi"/>
                <w:iCs/>
                <w:szCs w:val="17"/>
                <w:lang w:eastAsia="en-US"/>
              </w:rPr>
              <w:t>Post</w:t>
            </w:r>
            <w:r w:rsidRPr="00E96406">
              <w:rPr>
                <w:rFonts w:asciiTheme="minorHAnsi" w:eastAsia="Times New Roman" w:hAnsiTheme="minorHAnsi" w:cstheme="minorHAnsi"/>
                <w:iCs/>
                <w:szCs w:val="17"/>
                <w:lang w:eastAsia="en-US"/>
              </w:rPr>
              <w:t xml:space="preserve"> specific Alumni engagement strategy has been drafted </w:t>
            </w:r>
            <w:r w:rsidR="006E774C">
              <w:rPr>
                <w:rFonts w:asciiTheme="minorHAnsi" w:eastAsia="Times New Roman" w:hAnsiTheme="minorHAnsi" w:cstheme="minorHAnsi"/>
                <w:iCs/>
                <w:szCs w:val="17"/>
                <w:lang w:eastAsia="en-US"/>
              </w:rPr>
              <w:t xml:space="preserve">and is in the final stages of approval. </w:t>
            </w:r>
          </w:p>
        </w:tc>
      </w:tr>
      <w:tr w:rsidR="00171230" w:rsidRPr="00812509" w14:paraId="4A41A28A" w14:textId="77777777" w:rsidTr="002C103E">
        <w:trPr>
          <w:cnfStyle w:val="000000010000" w:firstRow="0" w:lastRow="0" w:firstColumn="0" w:lastColumn="0" w:oddVBand="0" w:evenVBand="0" w:oddHBand="0" w:evenHBand="1" w:firstRowFirstColumn="0" w:firstRowLastColumn="0" w:lastRowFirstColumn="0" w:lastRowLastColumn="0"/>
        </w:trPr>
        <w:tc>
          <w:tcPr>
            <w:tcW w:w="6417" w:type="dxa"/>
            <w:tcBorders>
              <w:top w:val="single" w:sz="4" w:space="0" w:color="auto"/>
              <w:bottom w:val="single" w:sz="4" w:space="0" w:color="auto"/>
              <w:right w:val="single" w:sz="4" w:space="0" w:color="auto"/>
            </w:tcBorders>
          </w:tcPr>
          <w:p w14:paraId="11C03D22" w14:textId="77777777" w:rsidR="00171230" w:rsidRPr="00E96406" w:rsidRDefault="00B12CD4" w:rsidP="00D15A00">
            <w:pPr>
              <w:keepLines/>
              <w:spacing w:before="40" w:after="40" w:line="200" w:lineRule="atLeast"/>
              <w:rPr>
                <w:rFonts w:asciiTheme="minorHAnsi" w:eastAsia="Times New Roman" w:hAnsiTheme="minorHAnsi" w:cstheme="minorHAnsi"/>
                <w:iCs/>
                <w:szCs w:val="17"/>
                <w:lang w:eastAsia="en-US"/>
              </w:rPr>
            </w:pPr>
            <w:r w:rsidRPr="00E96406">
              <w:rPr>
                <w:rFonts w:asciiTheme="minorHAnsi" w:eastAsia="Times New Roman" w:hAnsiTheme="minorHAnsi" w:cstheme="minorHAnsi"/>
                <w:iCs/>
                <w:szCs w:val="17"/>
                <w:lang w:eastAsia="en-US"/>
              </w:rPr>
              <w:t>Post’s trade and private sector team will finalise investment decisions for Objective 3 and submit to relevant delegates for approval</w:t>
            </w:r>
          </w:p>
        </w:tc>
        <w:tc>
          <w:tcPr>
            <w:tcW w:w="1172" w:type="dxa"/>
            <w:tcBorders>
              <w:top w:val="single" w:sz="4" w:space="0" w:color="auto"/>
              <w:left w:val="single" w:sz="4" w:space="0" w:color="auto"/>
              <w:bottom w:val="single" w:sz="4" w:space="0" w:color="auto"/>
              <w:right w:val="single" w:sz="4" w:space="0" w:color="auto"/>
            </w:tcBorders>
            <w:shd w:val="clear" w:color="auto" w:fill="92D050"/>
          </w:tcPr>
          <w:p w14:paraId="16F60730" w14:textId="77777777" w:rsidR="00171230" w:rsidRPr="00812509" w:rsidRDefault="00220F2A" w:rsidP="00D15A00">
            <w:pPr>
              <w:keepLines/>
              <w:spacing w:before="40" w:after="40" w:line="200" w:lineRule="atLeast"/>
              <w:jc w:val="center"/>
              <w:rPr>
                <w:rFonts w:eastAsia="Times New Roman"/>
                <w:iCs/>
                <w:color w:val="FFFFFF" w:themeColor="background1"/>
                <w:szCs w:val="17"/>
              </w:rPr>
            </w:pPr>
            <w:r>
              <w:rPr>
                <w:rFonts w:eastAsia="Times New Roman"/>
                <w:iCs/>
                <w:color w:val="FFFFFF" w:themeColor="background1"/>
                <w:szCs w:val="17"/>
              </w:rPr>
              <w:t>Achieved</w:t>
            </w:r>
          </w:p>
        </w:tc>
        <w:tc>
          <w:tcPr>
            <w:tcW w:w="6838" w:type="dxa"/>
            <w:tcBorders>
              <w:top w:val="single" w:sz="4" w:space="0" w:color="auto"/>
              <w:left w:val="single" w:sz="4" w:space="0" w:color="auto"/>
              <w:bottom w:val="single" w:sz="4" w:space="0" w:color="auto"/>
            </w:tcBorders>
          </w:tcPr>
          <w:p w14:paraId="777E7B00" w14:textId="77777777" w:rsidR="00171230" w:rsidRPr="008243CD" w:rsidRDefault="00036319" w:rsidP="00036319">
            <w:pPr>
              <w:keepLines/>
              <w:spacing w:before="40" w:after="40" w:line="200" w:lineRule="atLeast"/>
              <w:rPr>
                <w:rFonts w:asciiTheme="minorHAnsi" w:eastAsia="Times New Roman" w:hAnsiTheme="minorHAnsi" w:cstheme="minorHAnsi"/>
                <w:iCs/>
                <w:szCs w:val="17"/>
              </w:rPr>
            </w:pPr>
            <w:r w:rsidRPr="00E96406">
              <w:rPr>
                <w:rFonts w:asciiTheme="minorHAnsi" w:eastAsia="Times New Roman" w:hAnsiTheme="minorHAnsi" w:cstheme="minorHAnsi"/>
                <w:iCs/>
                <w:szCs w:val="17"/>
                <w:lang w:eastAsia="en-US"/>
              </w:rPr>
              <w:t xml:space="preserve">Following LADLF’s option paper on Australia’s trade and private sector development Investment Plan (February 2018), Post </w:t>
            </w:r>
            <w:r w:rsidR="00C53CF5" w:rsidRPr="00E96406">
              <w:rPr>
                <w:rFonts w:asciiTheme="minorHAnsi" w:eastAsia="Times New Roman" w:hAnsiTheme="minorHAnsi" w:cstheme="minorHAnsi"/>
                <w:iCs/>
                <w:szCs w:val="17"/>
                <w:lang w:eastAsia="en-US"/>
              </w:rPr>
              <w:t xml:space="preserve">sought approval to </w:t>
            </w:r>
            <w:r w:rsidR="002C103E" w:rsidRPr="00E96406">
              <w:rPr>
                <w:rFonts w:asciiTheme="minorHAnsi" w:eastAsia="Times New Roman" w:hAnsiTheme="minorHAnsi" w:cstheme="minorHAnsi"/>
                <w:iCs/>
                <w:szCs w:val="17"/>
                <w:lang w:eastAsia="en-US"/>
              </w:rPr>
              <w:t>renew its commitment</w:t>
            </w:r>
            <w:r w:rsidR="00C53CF5" w:rsidRPr="008243CD">
              <w:rPr>
                <w:rFonts w:asciiTheme="minorHAnsi" w:eastAsia="Times New Roman" w:hAnsiTheme="minorHAnsi" w:cstheme="minorHAnsi"/>
                <w:iCs/>
                <w:szCs w:val="17"/>
                <w:lang w:eastAsia="en-US"/>
              </w:rPr>
              <w:t xml:space="preserve"> to </w:t>
            </w:r>
            <w:r w:rsidRPr="008243CD">
              <w:rPr>
                <w:rFonts w:asciiTheme="minorHAnsi" w:eastAsia="Times New Roman" w:hAnsiTheme="minorHAnsi" w:cstheme="minorHAnsi"/>
                <w:iCs/>
                <w:szCs w:val="17"/>
                <w:lang w:eastAsia="en-US"/>
              </w:rPr>
              <w:t>t</w:t>
            </w:r>
            <w:r w:rsidR="002C103E" w:rsidRPr="008243CD">
              <w:rPr>
                <w:rFonts w:asciiTheme="minorHAnsi" w:eastAsia="Times New Roman" w:hAnsiTheme="minorHAnsi" w:cstheme="minorHAnsi"/>
                <w:iCs/>
                <w:szCs w:val="17"/>
                <w:lang w:eastAsia="en-US"/>
              </w:rPr>
              <w:t xml:space="preserve">he successor programs of TDF 2 and AFP IV. Australia’s support to </w:t>
            </w:r>
            <w:r w:rsidRPr="008243CD">
              <w:rPr>
                <w:rFonts w:asciiTheme="minorHAnsi" w:eastAsia="Times New Roman" w:hAnsiTheme="minorHAnsi" w:cstheme="minorHAnsi"/>
                <w:iCs/>
                <w:szCs w:val="17"/>
                <w:lang w:eastAsia="en-US"/>
              </w:rPr>
              <w:t>LCTP and AFP</w:t>
            </w:r>
            <w:r w:rsidR="00C53CF5" w:rsidRPr="008243CD">
              <w:rPr>
                <w:rFonts w:asciiTheme="minorHAnsi" w:eastAsia="Times New Roman" w:hAnsiTheme="minorHAnsi" w:cstheme="minorHAnsi"/>
                <w:iCs/>
                <w:szCs w:val="17"/>
                <w:lang w:eastAsia="en-US"/>
              </w:rPr>
              <w:t xml:space="preserve"> </w:t>
            </w:r>
            <w:r w:rsidRPr="008243CD">
              <w:rPr>
                <w:rFonts w:asciiTheme="minorHAnsi" w:eastAsia="Times New Roman" w:hAnsiTheme="minorHAnsi" w:cstheme="minorHAnsi"/>
                <w:iCs/>
                <w:szCs w:val="17"/>
                <w:lang w:eastAsia="en-US"/>
              </w:rPr>
              <w:t>V</w:t>
            </w:r>
            <w:r w:rsidR="002C103E" w:rsidRPr="008243CD">
              <w:rPr>
                <w:rFonts w:asciiTheme="minorHAnsi" w:eastAsia="Times New Roman" w:hAnsiTheme="minorHAnsi" w:cstheme="minorHAnsi"/>
                <w:iCs/>
                <w:szCs w:val="17"/>
                <w:lang w:eastAsia="en-US"/>
              </w:rPr>
              <w:t xml:space="preserve"> was</w:t>
            </w:r>
            <w:r w:rsidRPr="008243CD">
              <w:rPr>
                <w:rFonts w:asciiTheme="minorHAnsi" w:eastAsia="Times New Roman" w:hAnsiTheme="minorHAnsi" w:cstheme="minorHAnsi"/>
                <w:iCs/>
                <w:szCs w:val="17"/>
                <w:lang w:eastAsia="en-US"/>
              </w:rPr>
              <w:t xml:space="preserve"> approved</w:t>
            </w:r>
            <w:r w:rsidR="003A204E" w:rsidRPr="008243CD">
              <w:rPr>
                <w:rFonts w:asciiTheme="minorHAnsi" w:eastAsia="Times New Roman" w:hAnsiTheme="minorHAnsi" w:cstheme="minorHAnsi"/>
                <w:iCs/>
                <w:szCs w:val="17"/>
                <w:lang w:eastAsia="en-US"/>
              </w:rPr>
              <w:t xml:space="preserve"> by relevant delegates</w:t>
            </w:r>
            <w:r w:rsidRPr="008243CD">
              <w:rPr>
                <w:rFonts w:asciiTheme="minorHAnsi" w:eastAsia="Times New Roman" w:hAnsiTheme="minorHAnsi" w:cstheme="minorHAnsi"/>
                <w:iCs/>
                <w:szCs w:val="17"/>
                <w:lang w:eastAsia="en-US"/>
              </w:rPr>
              <w:t xml:space="preserve"> and launched in 2019.</w:t>
            </w:r>
          </w:p>
        </w:tc>
      </w:tr>
      <w:tr w:rsidR="00171230" w:rsidRPr="00812509" w14:paraId="63ECDBB1" w14:textId="77777777" w:rsidTr="002C103E">
        <w:trPr>
          <w:cnfStyle w:val="000000010000" w:firstRow="0" w:lastRow="0" w:firstColumn="0" w:lastColumn="0" w:oddVBand="0" w:evenVBand="0" w:oddHBand="0" w:evenHBand="1" w:firstRowFirstColumn="0" w:firstRowLastColumn="0" w:lastRowFirstColumn="0" w:lastRowLastColumn="0"/>
        </w:trPr>
        <w:tc>
          <w:tcPr>
            <w:tcW w:w="6417" w:type="dxa"/>
            <w:tcBorders>
              <w:top w:val="single" w:sz="4" w:space="0" w:color="auto"/>
              <w:bottom w:val="single" w:sz="4" w:space="0" w:color="auto"/>
              <w:right w:val="single" w:sz="4" w:space="0" w:color="auto"/>
            </w:tcBorders>
          </w:tcPr>
          <w:p w14:paraId="53056591" w14:textId="77777777" w:rsidR="00171230" w:rsidRPr="00E96406" w:rsidRDefault="00B12CD4" w:rsidP="00D15A00">
            <w:pPr>
              <w:keepLines/>
              <w:spacing w:before="40" w:after="40" w:line="200" w:lineRule="atLeast"/>
              <w:rPr>
                <w:rFonts w:asciiTheme="minorHAnsi" w:eastAsia="Times New Roman" w:hAnsiTheme="minorHAnsi" w:cstheme="minorHAnsi"/>
                <w:iCs/>
                <w:szCs w:val="17"/>
                <w:highlight w:val="yellow"/>
                <w:lang w:eastAsia="en-US"/>
              </w:rPr>
            </w:pPr>
            <w:r w:rsidRPr="008243CD">
              <w:rPr>
                <w:rFonts w:asciiTheme="minorHAnsi" w:eastAsia="Times New Roman" w:hAnsiTheme="minorHAnsi" w:cstheme="minorHAnsi"/>
                <w:iCs/>
                <w:szCs w:val="17"/>
              </w:rPr>
              <w:t xml:space="preserve">Program teams to publish all outstanding designs, evaluations and reviews on </w:t>
            </w:r>
            <w:hyperlink r:id="rId26" w:history="1">
              <w:r w:rsidRPr="008243CD">
                <w:rPr>
                  <w:rFonts w:asciiTheme="minorHAnsi" w:hAnsiTheme="minorHAnsi" w:cstheme="minorHAnsi"/>
                </w:rPr>
                <w:t>www.dfat.gov.au</w:t>
              </w:r>
            </w:hyperlink>
            <w:r w:rsidRPr="008243CD">
              <w:rPr>
                <w:rFonts w:asciiTheme="minorHAnsi" w:eastAsia="Times New Roman" w:hAnsiTheme="minorHAnsi" w:cstheme="minorHAnsi"/>
                <w:iCs/>
                <w:szCs w:val="17"/>
              </w:rPr>
              <w:t xml:space="preserve"> by December 2018</w:t>
            </w:r>
          </w:p>
        </w:tc>
        <w:tc>
          <w:tcPr>
            <w:tcW w:w="1172" w:type="dxa"/>
            <w:tcBorders>
              <w:top w:val="single" w:sz="4" w:space="0" w:color="auto"/>
              <w:left w:val="single" w:sz="4" w:space="0" w:color="auto"/>
              <w:bottom w:val="single" w:sz="4" w:space="0" w:color="auto"/>
              <w:right w:val="single" w:sz="4" w:space="0" w:color="auto"/>
            </w:tcBorders>
            <w:shd w:val="clear" w:color="auto" w:fill="92D050"/>
          </w:tcPr>
          <w:p w14:paraId="111658ED" w14:textId="77777777" w:rsidR="00171230" w:rsidRPr="00812509" w:rsidRDefault="00C505EA" w:rsidP="00D15A00">
            <w:pPr>
              <w:keepLines/>
              <w:spacing w:before="40" w:after="40" w:line="200" w:lineRule="atLeast"/>
              <w:jc w:val="center"/>
              <w:rPr>
                <w:rFonts w:eastAsia="Times New Roman"/>
                <w:iCs/>
                <w:color w:val="FFFFFF" w:themeColor="background1"/>
                <w:szCs w:val="17"/>
              </w:rPr>
            </w:pPr>
            <w:r>
              <w:rPr>
                <w:rFonts w:eastAsia="Times New Roman"/>
                <w:iCs/>
                <w:color w:val="FFFFFF" w:themeColor="background1"/>
                <w:szCs w:val="17"/>
              </w:rPr>
              <w:t xml:space="preserve">Achieved </w:t>
            </w:r>
          </w:p>
        </w:tc>
        <w:tc>
          <w:tcPr>
            <w:tcW w:w="6838" w:type="dxa"/>
            <w:tcBorders>
              <w:top w:val="single" w:sz="4" w:space="0" w:color="auto"/>
              <w:left w:val="single" w:sz="4" w:space="0" w:color="auto"/>
              <w:bottom w:val="single" w:sz="4" w:space="0" w:color="auto"/>
            </w:tcBorders>
          </w:tcPr>
          <w:p w14:paraId="215E2922" w14:textId="77777777" w:rsidR="00171230" w:rsidRDefault="00C505EA" w:rsidP="00D15A00">
            <w:pPr>
              <w:keepLines/>
              <w:spacing w:before="40" w:after="40" w:line="200" w:lineRule="atLeast"/>
              <w:rPr>
                <w:rFonts w:asciiTheme="minorHAnsi" w:eastAsia="Times New Roman" w:hAnsiTheme="minorHAnsi" w:cstheme="minorHAnsi"/>
                <w:iCs/>
                <w:szCs w:val="17"/>
              </w:rPr>
            </w:pPr>
            <w:r w:rsidRPr="008243CD">
              <w:rPr>
                <w:rFonts w:asciiTheme="minorHAnsi" w:eastAsia="Times New Roman" w:hAnsiTheme="minorHAnsi" w:cstheme="minorHAnsi"/>
                <w:iCs/>
                <w:szCs w:val="17"/>
              </w:rPr>
              <w:t xml:space="preserve">BEQUAL Mid-Term Review and Management Response published </w:t>
            </w:r>
            <w:r w:rsidR="00E96406" w:rsidRPr="008243CD">
              <w:rPr>
                <w:rFonts w:asciiTheme="minorHAnsi" w:eastAsia="Times New Roman" w:hAnsiTheme="minorHAnsi" w:cstheme="minorHAnsi"/>
                <w:iCs/>
                <w:szCs w:val="17"/>
              </w:rPr>
              <w:t xml:space="preserve">in October 2018. </w:t>
            </w:r>
          </w:p>
          <w:p w14:paraId="345CB732" w14:textId="77777777" w:rsidR="00E96406" w:rsidRPr="008243CD" w:rsidRDefault="00E96406" w:rsidP="008243CD">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 xml:space="preserve">Report </w:t>
            </w:r>
            <w:r w:rsidRPr="00E96406">
              <w:rPr>
                <w:rFonts w:asciiTheme="minorHAnsi" w:eastAsia="Times New Roman" w:hAnsiTheme="minorHAnsi" w:cstheme="minorHAnsi"/>
                <w:iCs/>
                <w:szCs w:val="17"/>
              </w:rPr>
              <w:t>Assessing the Financial Performance and Poverty Outreach of Village Funds 2017</w:t>
            </w:r>
            <w:r>
              <w:rPr>
                <w:rFonts w:asciiTheme="minorHAnsi" w:eastAsia="Times New Roman" w:hAnsiTheme="minorHAnsi" w:cstheme="minorHAnsi"/>
                <w:iCs/>
                <w:szCs w:val="17"/>
              </w:rPr>
              <w:t xml:space="preserve"> published in June 2019. </w:t>
            </w:r>
          </w:p>
        </w:tc>
      </w:tr>
    </w:tbl>
    <w:p w14:paraId="10B51009"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sz w:val="16"/>
          <w:szCs w:val="14"/>
        </w:rPr>
        <w:t xml:space="preserve">Note: </w:t>
      </w:r>
    </w:p>
    <w:p w14:paraId="0D34F0FB"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14:paraId="430D7A24"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14:paraId="77139051" w14:textId="77777777" w:rsidR="00093786" w:rsidRPr="00093786" w:rsidRDefault="00AF1B85" w:rsidP="00093786">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w:t>
      </w:r>
      <w:r w:rsidR="00093786">
        <w:rPr>
          <w:rFonts w:eastAsia="Times New Roman"/>
          <w:b/>
          <w:sz w:val="16"/>
          <w:szCs w:val="14"/>
        </w:rPr>
        <w:t>ignificantly below expectations</w:t>
      </w:r>
    </w:p>
    <w:p w14:paraId="44945A14" w14:textId="77777777" w:rsidR="00093786" w:rsidRDefault="00093786" w:rsidP="00745DDE">
      <w:pPr>
        <w:pStyle w:val="ListBullet"/>
        <w:sectPr w:rsidR="00093786" w:rsidSect="00D00802">
          <w:headerReference w:type="first" r:id="rId27"/>
          <w:pgSz w:w="16838" w:h="11906" w:orient="landscape" w:code="9"/>
          <w:pgMar w:top="1134" w:right="1952" w:bottom="1134" w:left="851" w:header="1107" w:footer="567" w:gutter="0"/>
          <w:cols w:space="397"/>
          <w:titlePg/>
          <w:docGrid w:linePitch="360"/>
        </w:sectPr>
      </w:pPr>
    </w:p>
    <w:p w14:paraId="0A50856A" w14:textId="77777777" w:rsidR="00184F1E" w:rsidRPr="00EF26B5" w:rsidRDefault="00184F1E" w:rsidP="00BB648A">
      <w:pPr>
        <w:pStyle w:val="Subtitle"/>
        <w:spacing w:before="360" w:after="120" w:line="300" w:lineRule="exact"/>
        <w:rPr>
          <w:rFonts w:asciiTheme="majorHAnsi" w:hAnsiTheme="majorHAnsi" w:cstheme="majorHAnsi"/>
        </w:rPr>
      </w:pPr>
      <w:r w:rsidRPr="00EF26B5">
        <w:rPr>
          <w:rFonts w:asciiTheme="majorHAnsi" w:hAnsiTheme="majorHAnsi" w:cstheme="majorHAnsi"/>
        </w:rPr>
        <w:lastRenderedPageBreak/>
        <w:t>Annex B – PERFORMANCE BENCHMARKS</w:t>
      </w:r>
    </w:p>
    <w:p w14:paraId="4E1AE64F" w14:textId="77777777" w:rsidR="00184F1E" w:rsidRPr="000410F6" w:rsidRDefault="00F8189A" w:rsidP="000410F6">
      <w:pPr>
        <w:rPr>
          <w:rFonts w:eastAsia="Times New Roman" w:cstheme="minorHAnsi"/>
          <w:sz w:val="32"/>
          <w:szCs w:val="32"/>
        </w:rPr>
      </w:pPr>
      <w:r>
        <w:rPr>
          <w:rFonts w:eastAsia="Times New Roman" w:cstheme="minorHAnsi"/>
          <w:sz w:val="32"/>
          <w:szCs w:val="32"/>
        </w:rPr>
        <w:t>1</w:t>
      </w:r>
      <w:r w:rsidR="00E96406">
        <w:rPr>
          <w:rFonts w:eastAsia="Times New Roman" w:cstheme="minorHAnsi"/>
          <w:sz w:val="32"/>
          <w:szCs w:val="32"/>
        </w:rPr>
        <w:t>.</w:t>
      </w:r>
      <w:r>
        <w:rPr>
          <w:rFonts w:eastAsia="Times New Roman" w:cstheme="minorHAnsi"/>
          <w:sz w:val="32"/>
          <w:szCs w:val="32"/>
        </w:rPr>
        <w:t xml:space="preserve"> </w:t>
      </w:r>
      <w:r w:rsidR="00184F1E" w:rsidRPr="00F8189A">
        <w:rPr>
          <w:rFonts w:eastAsia="Times New Roman" w:cstheme="minorHAnsi"/>
          <w:sz w:val="32"/>
          <w:szCs w:val="32"/>
        </w:rPr>
        <w:t>Progress towards Performance Benchmarks in 201</w:t>
      </w:r>
      <w:r w:rsidRPr="00F8189A">
        <w:rPr>
          <w:rFonts w:eastAsia="Times New Roman" w:cstheme="minorHAnsi"/>
          <w:sz w:val="32"/>
          <w:szCs w:val="32"/>
        </w:rPr>
        <w:t>8-19</w:t>
      </w:r>
    </w:p>
    <w:tbl>
      <w:tblPr>
        <w:tblStyle w:val="DFA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525"/>
        <w:gridCol w:w="1593"/>
        <w:gridCol w:w="7719"/>
      </w:tblGrid>
      <w:tr w:rsidR="00184F1E" w:rsidRPr="00C61187" w14:paraId="5D94824B" w14:textId="77777777" w:rsidTr="00325061">
        <w:trPr>
          <w:tblHeader/>
        </w:trPr>
        <w:tc>
          <w:tcPr>
            <w:tcW w:w="780" w:type="pct"/>
            <w:tcMar>
              <w:top w:w="57" w:type="dxa"/>
              <w:bottom w:w="57" w:type="dxa"/>
            </w:tcMar>
          </w:tcPr>
          <w:p w14:paraId="79024461" w14:textId="77777777" w:rsidR="00184F1E" w:rsidRPr="00880004" w:rsidRDefault="00184F1E" w:rsidP="00A75E1E">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900" w:type="pct"/>
          </w:tcPr>
          <w:p w14:paraId="67063BB7" w14:textId="77777777" w:rsidR="00184F1E" w:rsidRPr="00880004" w:rsidRDefault="00184F1E" w:rsidP="00A75E1E">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568" w:type="pct"/>
          </w:tcPr>
          <w:p w14:paraId="752DCCB2" w14:textId="77777777" w:rsidR="00184F1E" w:rsidRPr="00880004" w:rsidRDefault="00184F1E" w:rsidP="00A75E1E">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752" w:type="pct"/>
          </w:tcPr>
          <w:p w14:paraId="7912B41C" w14:textId="77777777" w:rsidR="00184F1E" w:rsidRPr="00880004" w:rsidRDefault="00184F1E" w:rsidP="000847AD">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sidR="000847AD">
              <w:rPr>
                <w:rFonts w:asciiTheme="minorHAnsi" w:eastAsia="Times New Roman" w:hAnsiTheme="minorHAnsi"/>
                <w:b/>
                <w:iCs/>
                <w:szCs w:val="17"/>
                <w:lang w:eastAsia="en-US"/>
              </w:rPr>
              <w:t>8-19</w:t>
            </w:r>
          </w:p>
        </w:tc>
      </w:tr>
      <w:tr w:rsidR="006F674D" w:rsidRPr="00C61187" w14:paraId="589331A5" w14:textId="77777777" w:rsidTr="00325061">
        <w:tc>
          <w:tcPr>
            <w:tcW w:w="780" w:type="pct"/>
            <w:vMerge w:val="restart"/>
            <w:tcMar>
              <w:top w:w="57" w:type="dxa"/>
              <w:bottom w:w="57" w:type="dxa"/>
            </w:tcMar>
          </w:tcPr>
          <w:p w14:paraId="25575548" w14:textId="77777777" w:rsidR="006F674D" w:rsidRPr="006F674D" w:rsidRDefault="006F674D" w:rsidP="00F8189A">
            <w:pPr>
              <w:keepLines/>
              <w:spacing w:before="40" w:after="40" w:line="200" w:lineRule="atLeast"/>
              <w:rPr>
                <w:b/>
                <w:bCs/>
              </w:rPr>
            </w:pPr>
            <w:r w:rsidRPr="006F674D">
              <w:rPr>
                <w:rFonts w:asciiTheme="minorHAnsi" w:eastAsia="Times New Roman" w:hAnsiTheme="minorHAnsi"/>
                <w:b/>
                <w:bCs/>
                <w:iCs/>
                <w:szCs w:val="17"/>
                <w:lang w:eastAsia="en-US"/>
              </w:rPr>
              <w:t>Objective 1</w:t>
            </w:r>
            <w:r w:rsidRPr="006F674D">
              <w:rPr>
                <w:b/>
                <w:bCs/>
              </w:rPr>
              <w:t xml:space="preserve"> </w:t>
            </w:r>
          </w:p>
          <w:p w14:paraId="226F836D" w14:textId="77777777" w:rsidR="006F674D" w:rsidRDefault="006F674D" w:rsidP="00F8189A">
            <w:pPr>
              <w:keepLines/>
              <w:spacing w:before="40" w:after="40" w:line="200" w:lineRule="atLeast"/>
            </w:pPr>
          </w:p>
          <w:p w14:paraId="2B119F07" w14:textId="77777777" w:rsidR="006F674D" w:rsidRPr="006F674D" w:rsidRDefault="006F674D" w:rsidP="00F8189A">
            <w:pPr>
              <w:keepLines/>
              <w:spacing w:before="40" w:after="40" w:line="200" w:lineRule="atLeast"/>
              <w:rPr>
                <w:rFonts w:asciiTheme="minorHAnsi" w:eastAsia="Times New Roman" w:hAnsiTheme="minorHAnsi"/>
                <w:iCs/>
                <w:szCs w:val="17"/>
                <w:lang w:eastAsia="en-US"/>
              </w:rPr>
            </w:pPr>
            <w:r w:rsidRPr="007B3CE4">
              <w:rPr>
                <w:rFonts w:asciiTheme="minorHAnsi" w:eastAsia="Times New Roman" w:hAnsiTheme="minorHAnsi"/>
                <w:iCs/>
                <w:szCs w:val="17"/>
                <w:lang w:eastAsia="en-US"/>
              </w:rPr>
              <w:t>More disadvantaged girls and boys complete a quality basic education</w:t>
            </w:r>
          </w:p>
        </w:tc>
        <w:tc>
          <w:tcPr>
            <w:tcW w:w="900" w:type="pct"/>
          </w:tcPr>
          <w:p w14:paraId="5E0E8C62" w14:textId="77777777" w:rsidR="006F674D" w:rsidRPr="006F674D" w:rsidRDefault="003918DD" w:rsidP="00542558">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w:t>
            </w:r>
            <w:r w:rsidR="00542558">
              <w:rPr>
                <w:rFonts w:asciiTheme="minorHAnsi" w:eastAsia="Times New Roman" w:hAnsiTheme="minorHAnsi"/>
                <w:iCs/>
                <w:szCs w:val="17"/>
                <w:lang w:eastAsia="en-US"/>
              </w:rPr>
              <w:t>%</w:t>
            </w:r>
            <w:r w:rsidR="006F674D" w:rsidRPr="006F674D">
              <w:rPr>
                <w:rFonts w:asciiTheme="minorHAnsi" w:eastAsia="Times New Roman" w:hAnsiTheme="minorHAnsi"/>
                <w:iCs/>
                <w:szCs w:val="17"/>
                <w:lang w:eastAsia="en-US"/>
              </w:rPr>
              <w:t xml:space="preserve"> of staff within MoES assigned to curriculum writing and development can operate with minimal specialist t</w:t>
            </w:r>
            <w:r w:rsidR="006F674D">
              <w:rPr>
                <w:rFonts w:asciiTheme="minorHAnsi" w:eastAsia="Times New Roman" w:hAnsiTheme="minorHAnsi"/>
                <w:iCs/>
                <w:szCs w:val="17"/>
                <w:lang w:eastAsia="en-US"/>
              </w:rPr>
              <w:t>echnical support.</w:t>
            </w:r>
          </w:p>
        </w:tc>
        <w:tc>
          <w:tcPr>
            <w:tcW w:w="568" w:type="pct"/>
            <w:shd w:val="clear" w:color="auto" w:fill="FF9900"/>
          </w:tcPr>
          <w:p w14:paraId="6F2C7852" w14:textId="77777777" w:rsidR="006F674D" w:rsidRPr="00880004" w:rsidRDefault="00220F2A" w:rsidP="003918DD">
            <w:pPr>
              <w:keepLines/>
              <w:spacing w:before="40" w:after="40" w:line="200" w:lineRule="atLeast"/>
              <w:jc w:val="center"/>
              <w:rPr>
                <w:rFonts w:asciiTheme="minorHAnsi" w:eastAsia="Times New Roman" w:hAnsiTheme="minorHAnsi"/>
                <w:iCs/>
                <w:color w:val="FFFFFF" w:themeColor="background1"/>
                <w:szCs w:val="17"/>
                <w:lang w:eastAsia="en-US"/>
              </w:rPr>
            </w:pPr>
            <w:r w:rsidRPr="00BB2C8D">
              <w:rPr>
                <w:rFonts w:asciiTheme="minorHAnsi" w:eastAsia="Times New Roman" w:hAnsiTheme="minorHAnsi"/>
                <w:iCs/>
                <w:color w:val="FFFFFF" w:themeColor="background1"/>
                <w:szCs w:val="17"/>
                <w:lang w:eastAsia="en-US"/>
              </w:rPr>
              <w:t>Part</w:t>
            </w:r>
            <w:r w:rsidR="003918DD" w:rsidRPr="00BB2C8D">
              <w:rPr>
                <w:rFonts w:asciiTheme="minorHAnsi" w:eastAsia="Times New Roman" w:hAnsiTheme="minorHAnsi"/>
                <w:iCs/>
                <w:color w:val="FFFFFF" w:themeColor="background1"/>
                <w:szCs w:val="17"/>
                <w:lang w:eastAsia="en-US"/>
              </w:rPr>
              <w:t xml:space="preserve">ly </w:t>
            </w:r>
            <w:r w:rsidR="00661F1C" w:rsidRPr="00BB2C8D">
              <w:rPr>
                <w:rFonts w:asciiTheme="minorHAnsi" w:eastAsia="Times New Roman" w:hAnsiTheme="minorHAnsi"/>
                <w:iCs/>
                <w:color w:val="FFFFFF" w:themeColor="background1"/>
                <w:szCs w:val="17"/>
                <w:lang w:eastAsia="en-US"/>
              </w:rPr>
              <w:t>A</w:t>
            </w:r>
            <w:r w:rsidR="003918DD" w:rsidRPr="00BB2C8D">
              <w:rPr>
                <w:rFonts w:asciiTheme="minorHAnsi" w:eastAsia="Times New Roman" w:hAnsiTheme="minorHAnsi"/>
                <w:iCs/>
                <w:color w:val="FFFFFF" w:themeColor="background1"/>
                <w:szCs w:val="17"/>
                <w:lang w:eastAsia="en-US"/>
              </w:rPr>
              <w:t>chieved</w:t>
            </w:r>
          </w:p>
        </w:tc>
        <w:tc>
          <w:tcPr>
            <w:tcW w:w="2752" w:type="pct"/>
          </w:tcPr>
          <w:p w14:paraId="1810D123" w14:textId="77777777" w:rsidR="008B5C05" w:rsidRDefault="008B5C05" w:rsidP="00F8189A">
            <w:pPr>
              <w:keepLines/>
              <w:spacing w:before="40" w:after="40" w:line="200" w:lineRule="atLeast"/>
              <w:rPr>
                <w:rFonts w:asciiTheme="minorHAnsi" w:eastAsia="Times New Roman" w:hAnsiTheme="minorHAnsi"/>
                <w:iCs/>
                <w:szCs w:val="17"/>
                <w:lang w:eastAsia="en-US"/>
              </w:rPr>
            </w:pPr>
            <w:r w:rsidRPr="008B5C05">
              <w:rPr>
                <w:rFonts w:asciiTheme="minorHAnsi" w:eastAsia="Times New Roman" w:hAnsiTheme="minorHAnsi"/>
                <w:iCs/>
                <w:szCs w:val="17"/>
                <w:lang w:eastAsia="en-US"/>
              </w:rPr>
              <w:t>0% of curriculum writers and 38% of layout and production team</w:t>
            </w:r>
            <w:r>
              <w:rPr>
                <w:rFonts w:asciiTheme="minorHAnsi" w:eastAsia="Times New Roman" w:hAnsiTheme="minorHAnsi"/>
                <w:iCs/>
                <w:szCs w:val="17"/>
                <w:lang w:eastAsia="en-US"/>
              </w:rPr>
              <w:t>.</w:t>
            </w:r>
          </w:p>
          <w:p w14:paraId="5833DC31" w14:textId="77777777" w:rsidR="006F674D" w:rsidRPr="00085E5F" w:rsidRDefault="003918DD">
            <w:pPr>
              <w:keepLines/>
              <w:spacing w:before="40" w:after="40" w:line="200" w:lineRule="atLeast"/>
              <w:rPr>
                <w:rFonts w:asciiTheme="minorHAnsi" w:eastAsia="Times New Roman" w:hAnsiTheme="minorHAnsi"/>
                <w:iCs/>
                <w:color w:val="FF0000"/>
                <w:szCs w:val="17"/>
                <w:lang w:eastAsia="en-US"/>
              </w:rPr>
            </w:pPr>
            <w:r w:rsidRPr="003918DD">
              <w:rPr>
                <w:rFonts w:asciiTheme="minorHAnsi" w:eastAsia="Times New Roman" w:hAnsiTheme="minorHAnsi"/>
                <w:iCs/>
                <w:szCs w:val="17"/>
                <w:lang w:eastAsia="en-US"/>
              </w:rPr>
              <w:t>Despite increased BEQUAL investment, R</w:t>
            </w:r>
            <w:r w:rsidR="005B4D6F">
              <w:rPr>
                <w:rFonts w:asciiTheme="minorHAnsi" w:eastAsia="Times New Roman" w:hAnsiTheme="minorHAnsi"/>
                <w:iCs/>
                <w:szCs w:val="17"/>
                <w:lang w:eastAsia="en-US"/>
              </w:rPr>
              <w:t>esearch Institute for Educational Sciences</w:t>
            </w:r>
            <w:r w:rsidRPr="003918DD">
              <w:rPr>
                <w:rFonts w:asciiTheme="minorHAnsi" w:eastAsia="Times New Roman" w:hAnsiTheme="minorHAnsi"/>
                <w:iCs/>
                <w:szCs w:val="17"/>
                <w:lang w:eastAsia="en-US"/>
              </w:rPr>
              <w:t xml:space="preserve"> is behind the 20% target of staff who operate with minimal assistance demonstrating the low capacity environment. This is not a significant indicator to achieving curriculum reform</w:t>
            </w:r>
            <w:r w:rsidR="00F821E0">
              <w:rPr>
                <w:rFonts w:asciiTheme="minorHAnsi" w:eastAsia="Times New Roman" w:hAnsiTheme="minorHAnsi"/>
                <w:iCs/>
                <w:szCs w:val="17"/>
                <w:lang w:eastAsia="en-US"/>
              </w:rPr>
              <w:t xml:space="preserve"> in itself but rather stresses the long-term commitments required here to ensure sustainable change</w:t>
            </w:r>
            <w:r w:rsidRPr="003918DD">
              <w:rPr>
                <w:rFonts w:asciiTheme="minorHAnsi" w:eastAsia="Times New Roman" w:hAnsiTheme="minorHAnsi"/>
                <w:iCs/>
                <w:szCs w:val="17"/>
                <w:lang w:eastAsia="en-US"/>
              </w:rPr>
              <w:t>.</w:t>
            </w:r>
          </w:p>
        </w:tc>
      </w:tr>
      <w:tr w:rsidR="006F674D" w:rsidRPr="00C61187" w14:paraId="44C0DE7A" w14:textId="77777777" w:rsidTr="00325061">
        <w:tc>
          <w:tcPr>
            <w:tcW w:w="780" w:type="pct"/>
            <w:vMerge/>
            <w:tcMar>
              <w:top w:w="57" w:type="dxa"/>
              <w:bottom w:w="57" w:type="dxa"/>
            </w:tcMar>
          </w:tcPr>
          <w:p w14:paraId="21E46BB9" w14:textId="77777777" w:rsidR="006F674D" w:rsidRDefault="006F674D" w:rsidP="00F8189A">
            <w:pPr>
              <w:keepLines/>
              <w:spacing w:before="40" w:after="40" w:line="200" w:lineRule="atLeast"/>
              <w:rPr>
                <w:rFonts w:eastAsia="Times New Roman"/>
                <w:iCs/>
                <w:szCs w:val="17"/>
              </w:rPr>
            </w:pPr>
          </w:p>
        </w:tc>
        <w:tc>
          <w:tcPr>
            <w:tcW w:w="900" w:type="pct"/>
            <w:tcBorders>
              <w:top w:val="nil"/>
            </w:tcBorders>
          </w:tcPr>
          <w:p w14:paraId="53055772" w14:textId="77777777" w:rsidR="006F674D" w:rsidRPr="006F674D" w:rsidRDefault="00542558" w:rsidP="006F674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18 PESS and </w:t>
            </w:r>
            <w:r w:rsidRPr="00542558">
              <w:rPr>
                <w:rFonts w:asciiTheme="minorHAnsi" w:eastAsia="Times New Roman" w:hAnsiTheme="minorHAnsi"/>
                <w:iCs/>
                <w:szCs w:val="17"/>
                <w:lang w:eastAsia="en-US"/>
              </w:rPr>
              <w:t>32 DESB staff trained in financial management and accounting for E</w:t>
            </w:r>
            <w:r>
              <w:rPr>
                <w:rFonts w:asciiTheme="minorHAnsi" w:eastAsia="Times New Roman" w:hAnsiTheme="minorHAnsi"/>
                <w:iCs/>
                <w:szCs w:val="17"/>
                <w:lang w:eastAsia="en-US"/>
              </w:rPr>
              <w:t xml:space="preserve">ducation </w:t>
            </w:r>
            <w:r w:rsidRPr="00542558">
              <w:rPr>
                <w:rFonts w:asciiTheme="minorHAnsi" w:eastAsia="Times New Roman" w:hAnsiTheme="minorHAnsi"/>
                <w:iCs/>
                <w:szCs w:val="17"/>
                <w:lang w:eastAsia="en-US"/>
              </w:rPr>
              <w:t>S</w:t>
            </w:r>
            <w:r>
              <w:rPr>
                <w:rFonts w:asciiTheme="minorHAnsi" w:eastAsia="Times New Roman" w:hAnsiTheme="minorHAnsi"/>
                <w:iCs/>
                <w:szCs w:val="17"/>
                <w:lang w:eastAsia="en-US"/>
              </w:rPr>
              <w:t xml:space="preserve">upport </w:t>
            </w:r>
            <w:r w:rsidRPr="00542558">
              <w:rPr>
                <w:rFonts w:asciiTheme="minorHAnsi" w:eastAsia="Times New Roman" w:hAnsiTheme="minorHAnsi"/>
                <w:iCs/>
                <w:szCs w:val="17"/>
                <w:lang w:eastAsia="en-US"/>
              </w:rPr>
              <w:t>G</w:t>
            </w:r>
            <w:r>
              <w:rPr>
                <w:rFonts w:asciiTheme="minorHAnsi" w:eastAsia="Times New Roman" w:hAnsiTheme="minorHAnsi"/>
                <w:iCs/>
                <w:szCs w:val="17"/>
                <w:lang w:eastAsia="en-US"/>
              </w:rPr>
              <w:t>rant management</w:t>
            </w:r>
            <w:r w:rsidRPr="00542558">
              <w:rPr>
                <w:rFonts w:asciiTheme="minorHAnsi" w:eastAsia="Times New Roman" w:hAnsiTheme="minorHAnsi"/>
                <w:iCs/>
                <w:szCs w:val="17"/>
                <w:lang w:eastAsia="en-US"/>
              </w:rPr>
              <w:t xml:space="preserve"> by May 2019</w:t>
            </w:r>
          </w:p>
        </w:tc>
        <w:tc>
          <w:tcPr>
            <w:tcW w:w="568" w:type="pct"/>
            <w:tcBorders>
              <w:top w:val="nil"/>
            </w:tcBorders>
            <w:shd w:val="clear" w:color="auto" w:fill="FF9900"/>
          </w:tcPr>
          <w:p w14:paraId="0EF895F2" w14:textId="77777777" w:rsidR="006F674D" w:rsidRPr="00880004" w:rsidRDefault="00220F2A" w:rsidP="003918DD">
            <w:pPr>
              <w:keepLines/>
              <w:spacing w:before="40" w:after="40" w:line="200" w:lineRule="atLeast"/>
              <w:jc w:val="center"/>
              <w:rPr>
                <w:rFonts w:eastAsia="Times New Roman"/>
                <w:iCs/>
                <w:color w:val="FFFFFF" w:themeColor="background1"/>
                <w:szCs w:val="17"/>
              </w:rPr>
            </w:pPr>
            <w:r>
              <w:rPr>
                <w:rFonts w:asciiTheme="minorHAnsi" w:eastAsia="Times New Roman" w:hAnsiTheme="minorHAnsi"/>
                <w:iCs/>
                <w:color w:val="FFFFFF" w:themeColor="background1"/>
                <w:szCs w:val="17"/>
                <w:lang w:eastAsia="en-US"/>
              </w:rPr>
              <w:t>Part</w:t>
            </w:r>
            <w:r w:rsidR="008B5C05">
              <w:rPr>
                <w:rFonts w:asciiTheme="minorHAnsi" w:eastAsia="Times New Roman" w:hAnsiTheme="minorHAnsi"/>
                <w:iCs/>
                <w:color w:val="FFFFFF" w:themeColor="background1"/>
                <w:szCs w:val="17"/>
                <w:lang w:eastAsia="en-US"/>
              </w:rPr>
              <w:t>ly Achieved</w:t>
            </w:r>
          </w:p>
        </w:tc>
        <w:tc>
          <w:tcPr>
            <w:tcW w:w="2752" w:type="pct"/>
            <w:tcBorders>
              <w:top w:val="nil"/>
            </w:tcBorders>
          </w:tcPr>
          <w:p w14:paraId="719D1D1C" w14:textId="77777777" w:rsidR="008B5C05" w:rsidRPr="008B5C05" w:rsidRDefault="008B5C05" w:rsidP="008B5C05">
            <w:pPr>
              <w:keepLines/>
              <w:spacing w:before="40" w:after="40" w:line="200" w:lineRule="atLeast"/>
              <w:rPr>
                <w:rFonts w:eastAsia="Times New Roman"/>
                <w:iCs/>
                <w:color w:val="FF0000"/>
                <w:szCs w:val="17"/>
              </w:rPr>
            </w:pPr>
          </w:p>
          <w:p w14:paraId="33729DDB" w14:textId="77777777" w:rsidR="008B5C05" w:rsidRPr="008B5C05" w:rsidRDefault="008B5C05" w:rsidP="008B5C05">
            <w:pPr>
              <w:keepLines/>
              <w:spacing w:before="40" w:after="40" w:line="200" w:lineRule="atLeast"/>
              <w:rPr>
                <w:rFonts w:asciiTheme="minorHAnsi" w:eastAsia="Times New Roman" w:hAnsiTheme="minorHAnsi"/>
                <w:iCs/>
                <w:szCs w:val="17"/>
                <w:lang w:eastAsia="en-US"/>
              </w:rPr>
            </w:pPr>
            <w:r w:rsidRPr="008B5C05">
              <w:rPr>
                <w:rFonts w:asciiTheme="minorHAnsi" w:eastAsia="Times New Roman" w:hAnsiTheme="minorHAnsi"/>
                <w:iCs/>
                <w:szCs w:val="17"/>
                <w:lang w:eastAsia="en-US"/>
              </w:rPr>
              <w:t>106 staff from 18 P</w:t>
            </w:r>
            <w:r w:rsidR="005B4D6F">
              <w:rPr>
                <w:rFonts w:asciiTheme="minorHAnsi" w:eastAsia="Times New Roman" w:hAnsiTheme="minorHAnsi"/>
                <w:iCs/>
                <w:szCs w:val="17"/>
                <w:lang w:eastAsia="en-US"/>
              </w:rPr>
              <w:t>rovincial Education and Sports Services</w:t>
            </w:r>
            <w:r w:rsidRPr="008B5C05">
              <w:rPr>
                <w:rFonts w:asciiTheme="minorHAnsi" w:eastAsia="Times New Roman" w:hAnsiTheme="minorHAnsi"/>
                <w:iCs/>
                <w:szCs w:val="17"/>
                <w:lang w:eastAsia="en-US"/>
              </w:rPr>
              <w:t xml:space="preserve"> (50% Female) were trained.</w:t>
            </w:r>
          </w:p>
          <w:p w14:paraId="4F1E9693" w14:textId="77777777" w:rsidR="008B5C05" w:rsidRPr="008B5C05" w:rsidRDefault="008B5C05" w:rsidP="008B5C05">
            <w:pPr>
              <w:keepLines/>
              <w:spacing w:before="40" w:after="40" w:line="200" w:lineRule="atLeast"/>
              <w:rPr>
                <w:rFonts w:asciiTheme="minorHAnsi" w:eastAsia="Times New Roman" w:hAnsiTheme="minorHAnsi"/>
                <w:iCs/>
                <w:szCs w:val="17"/>
                <w:lang w:eastAsia="en-US"/>
              </w:rPr>
            </w:pPr>
            <w:r w:rsidRPr="008B5C05">
              <w:rPr>
                <w:rFonts w:asciiTheme="minorHAnsi" w:eastAsia="Times New Roman" w:hAnsiTheme="minorHAnsi"/>
                <w:iCs/>
                <w:szCs w:val="17"/>
                <w:lang w:eastAsia="en-US"/>
              </w:rPr>
              <w:t>Training to D</w:t>
            </w:r>
            <w:r w:rsidR="00B744CD">
              <w:rPr>
                <w:rFonts w:asciiTheme="minorHAnsi" w:eastAsia="Times New Roman" w:hAnsiTheme="minorHAnsi"/>
                <w:iCs/>
                <w:szCs w:val="17"/>
                <w:lang w:eastAsia="en-US"/>
              </w:rPr>
              <w:t xml:space="preserve">istrict </w:t>
            </w:r>
            <w:r w:rsidRPr="008B5C05">
              <w:rPr>
                <w:rFonts w:asciiTheme="minorHAnsi" w:eastAsia="Times New Roman" w:hAnsiTheme="minorHAnsi"/>
                <w:iCs/>
                <w:szCs w:val="17"/>
                <w:lang w:eastAsia="en-US"/>
              </w:rPr>
              <w:t>E</w:t>
            </w:r>
            <w:r w:rsidR="00B744CD">
              <w:rPr>
                <w:rFonts w:asciiTheme="minorHAnsi" w:eastAsia="Times New Roman" w:hAnsiTheme="minorHAnsi"/>
                <w:iCs/>
                <w:szCs w:val="17"/>
                <w:lang w:eastAsia="en-US"/>
              </w:rPr>
              <w:t xml:space="preserve">ducation and </w:t>
            </w:r>
            <w:r w:rsidRPr="008B5C05">
              <w:rPr>
                <w:rFonts w:asciiTheme="minorHAnsi" w:eastAsia="Times New Roman" w:hAnsiTheme="minorHAnsi"/>
                <w:iCs/>
                <w:szCs w:val="17"/>
                <w:lang w:eastAsia="en-US"/>
              </w:rPr>
              <w:t>S</w:t>
            </w:r>
            <w:r w:rsidR="00B744CD">
              <w:rPr>
                <w:rFonts w:asciiTheme="minorHAnsi" w:eastAsia="Times New Roman" w:hAnsiTheme="minorHAnsi"/>
                <w:iCs/>
                <w:szCs w:val="17"/>
                <w:lang w:eastAsia="en-US"/>
              </w:rPr>
              <w:t xml:space="preserve">ports </w:t>
            </w:r>
            <w:r w:rsidRPr="008B5C05">
              <w:rPr>
                <w:rFonts w:asciiTheme="minorHAnsi" w:eastAsia="Times New Roman" w:hAnsiTheme="minorHAnsi"/>
                <w:iCs/>
                <w:szCs w:val="17"/>
                <w:lang w:eastAsia="en-US"/>
              </w:rPr>
              <w:t>B</w:t>
            </w:r>
            <w:r w:rsidR="00B744CD">
              <w:rPr>
                <w:rFonts w:asciiTheme="minorHAnsi" w:eastAsia="Times New Roman" w:hAnsiTheme="minorHAnsi"/>
                <w:iCs/>
                <w:szCs w:val="17"/>
                <w:lang w:eastAsia="en-US"/>
              </w:rPr>
              <w:t>ureau</w:t>
            </w:r>
            <w:r w:rsidRPr="008B5C05">
              <w:rPr>
                <w:rFonts w:asciiTheme="minorHAnsi" w:eastAsia="Times New Roman" w:hAnsiTheme="minorHAnsi"/>
                <w:iCs/>
                <w:szCs w:val="17"/>
                <w:lang w:eastAsia="en-US"/>
              </w:rPr>
              <w:t xml:space="preserve"> staff </w:t>
            </w:r>
            <w:r w:rsidR="007A7A57">
              <w:rPr>
                <w:rFonts w:asciiTheme="minorHAnsi" w:eastAsia="Times New Roman" w:hAnsiTheme="minorHAnsi"/>
                <w:iCs/>
                <w:szCs w:val="17"/>
                <w:lang w:eastAsia="en-US"/>
              </w:rPr>
              <w:t>was</w:t>
            </w:r>
            <w:r w:rsidRPr="008B5C05">
              <w:rPr>
                <w:rFonts w:asciiTheme="minorHAnsi" w:eastAsia="Times New Roman" w:hAnsiTheme="minorHAnsi"/>
                <w:iCs/>
                <w:szCs w:val="17"/>
                <w:lang w:eastAsia="en-US"/>
              </w:rPr>
              <w:t xml:space="preserve"> postponed from June to August 2019</w:t>
            </w:r>
            <w:r w:rsidR="007A7A57">
              <w:rPr>
                <w:rFonts w:asciiTheme="minorHAnsi" w:eastAsia="Times New Roman" w:hAnsiTheme="minorHAnsi"/>
                <w:iCs/>
                <w:szCs w:val="17"/>
                <w:lang w:eastAsia="en-US"/>
              </w:rPr>
              <w:t xml:space="preserve"> to ensure BEQUAL could first focus on adequate support for teacher in-servicing</w:t>
            </w:r>
            <w:r w:rsidRPr="008B5C05">
              <w:rPr>
                <w:rFonts w:asciiTheme="minorHAnsi" w:eastAsia="Times New Roman" w:hAnsiTheme="minorHAnsi"/>
                <w:iCs/>
                <w:szCs w:val="17"/>
                <w:lang w:eastAsia="en-US"/>
              </w:rPr>
              <w:t>.</w:t>
            </w:r>
          </w:p>
          <w:p w14:paraId="63837232" w14:textId="77777777" w:rsidR="006F674D" w:rsidRPr="00085E5F" w:rsidRDefault="008B5C05" w:rsidP="008B5C05">
            <w:pPr>
              <w:keepLines/>
              <w:spacing w:before="40" w:after="40" w:line="200" w:lineRule="atLeast"/>
              <w:rPr>
                <w:rFonts w:eastAsia="Times New Roman"/>
                <w:iCs/>
                <w:color w:val="FF0000"/>
                <w:szCs w:val="17"/>
              </w:rPr>
            </w:pPr>
            <w:r w:rsidRPr="008B5C05">
              <w:rPr>
                <w:rFonts w:eastAsia="Times New Roman"/>
                <w:iCs/>
                <w:color w:val="FF0000"/>
                <w:szCs w:val="17"/>
              </w:rPr>
              <w:t xml:space="preserve"> </w:t>
            </w:r>
          </w:p>
        </w:tc>
      </w:tr>
      <w:tr w:rsidR="006F674D" w:rsidRPr="00C61187" w14:paraId="49990530" w14:textId="77777777" w:rsidTr="00E079EE">
        <w:tc>
          <w:tcPr>
            <w:tcW w:w="780" w:type="pct"/>
            <w:vMerge/>
            <w:tcMar>
              <w:top w:w="57" w:type="dxa"/>
              <w:bottom w:w="57" w:type="dxa"/>
            </w:tcMar>
          </w:tcPr>
          <w:p w14:paraId="3623C0E4" w14:textId="77777777" w:rsidR="006F674D" w:rsidRDefault="006F674D" w:rsidP="00F8189A">
            <w:pPr>
              <w:keepLines/>
              <w:spacing w:before="40" w:after="40" w:line="200" w:lineRule="atLeast"/>
              <w:rPr>
                <w:rFonts w:eastAsia="Times New Roman"/>
                <w:iCs/>
                <w:szCs w:val="17"/>
              </w:rPr>
            </w:pPr>
          </w:p>
        </w:tc>
        <w:tc>
          <w:tcPr>
            <w:tcW w:w="900" w:type="pct"/>
          </w:tcPr>
          <w:p w14:paraId="14ABCB1D" w14:textId="77777777" w:rsidR="006F674D" w:rsidRPr="00542558" w:rsidRDefault="00542558" w:rsidP="006F674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90% (212)</w:t>
            </w:r>
            <w:r w:rsidR="006F674D" w:rsidRPr="006F674D">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 xml:space="preserve">of cohort 1 </w:t>
            </w:r>
            <w:r w:rsidR="006F674D" w:rsidRPr="006F674D">
              <w:rPr>
                <w:rFonts w:asciiTheme="minorHAnsi" w:eastAsia="Times New Roman" w:hAnsiTheme="minorHAnsi"/>
                <w:iCs/>
                <w:szCs w:val="17"/>
                <w:lang w:eastAsia="en-US"/>
              </w:rPr>
              <w:t xml:space="preserve">graduated ethnic teachers – </w:t>
            </w:r>
            <w:r w:rsidR="007A7A57">
              <w:rPr>
                <w:rFonts w:asciiTheme="minorHAnsi" w:eastAsia="Times New Roman" w:hAnsiTheme="minorHAnsi"/>
                <w:iCs/>
                <w:szCs w:val="17"/>
                <w:lang w:eastAsia="en-US"/>
              </w:rPr>
              <w:t>6</w:t>
            </w:r>
            <w:r w:rsidR="006F674D" w:rsidRPr="006F674D">
              <w:rPr>
                <w:rFonts w:asciiTheme="minorHAnsi" w:eastAsia="Times New Roman" w:hAnsiTheme="minorHAnsi"/>
                <w:iCs/>
                <w:szCs w:val="17"/>
                <w:lang w:eastAsia="en-US"/>
              </w:rPr>
              <w:t>0% female – are deployed and teaching effective</w:t>
            </w:r>
            <w:r w:rsidR="006F674D">
              <w:rPr>
                <w:rFonts w:asciiTheme="minorHAnsi" w:eastAsia="Times New Roman" w:hAnsiTheme="minorHAnsi"/>
                <w:iCs/>
                <w:szCs w:val="17"/>
                <w:lang w:eastAsia="en-US"/>
              </w:rPr>
              <w:t>ly in targeted schools.</w:t>
            </w:r>
          </w:p>
        </w:tc>
        <w:tc>
          <w:tcPr>
            <w:tcW w:w="568" w:type="pct"/>
            <w:shd w:val="clear" w:color="auto" w:fill="00B050"/>
          </w:tcPr>
          <w:p w14:paraId="1D9BDAAC" w14:textId="77777777" w:rsidR="006F674D" w:rsidRPr="00B264C4" w:rsidRDefault="003918DD" w:rsidP="00F8189A">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2752" w:type="pct"/>
          </w:tcPr>
          <w:p w14:paraId="7F20C8BB" w14:textId="77777777" w:rsidR="00B264C4" w:rsidRDefault="008B5C05" w:rsidP="00F8189A">
            <w:pPr>
              <w:keepLines/>
              <w:spacing w:before="40" w:after="40" w:line="200" w:lineRule="atLeast"/>
              <w:rPr>
                <w:rFonts w:asciiTheme="minorHAnsi" w:eastAsia="Times New Roman" w:hAnsiTheme="minorHAnsi"/>
                <w:iCs/>
                <w:szCs w:val="17"/>
                <w:lang w:eastAsia="en-US"/>
              </w:rPr>
            </w:pPr>
            <w:r w:rsidRPr="008B5C05">
              <w:rPr>
                <w:rFonts w:asciiTheme="minorHAnsi" w:eastAsia="Times New Roman" w:hAnsiTheme="minorHAnsi"/>
                <w:iCs/>
                <w:szCs w:val="17"/>
                <w:lang w:eastAsia="en-US"/>
              </w:rPr>
              <w:t xml:space="preserve">Out of the </w:t>
            </w:r>
            <w:r w:rsidR="00B264C4">
              <w:rPr>
                <w:rFonts w:asciiTheme="minorHAnsi" w:eastAsia="Times New Roman" w:hAnsiTheme="minorHAnsi"/>
                <w:iCs/>
                <w:szCs w:val="17"/>
                <w:lang w:eastAsia="en-US"/>
              </w:rPr>
              <w:t>2</w:t>
            </w:r>
            <w:r w:rsidR="00B264C4" w:rsidRPr="00B264C4">
              <w:rPr>
                <w:rFonts w:asciiTheme="minorHAnsi" w:eastAsia="Times New Roman" w:hAnsiTheme="minorHAnsi"/>
                <w:iCs/>
                <w:szCs w:val="17"/>
                <w:lang w:eastAsia="en-US"/>
              </w:rPr>
              <w:t>12 (64% female) ethnic students</w:t>
            </w:r>
            <w:r>
              <w:rPr>
                <w:rFonts w:asciiTheme="minorHAnsi" w:eastAsia="Times New Roman" w:hAnsiTheme="minorHAnsi"/>
                <w:iCs/>
                <w:szCs w:val="17"/>
                <w:lang w:eastAsia="en-US"/>
              </w:rPr>
              <w:t xml:space="preserve"> who</w:t>
            </w:r>
            <w:r w:rsidR="00B264C4" w:rsidRPr="00B264C4">
              <w:rPr>
                <w:rFonts w:asciiTheme="minorHAnsi" w:eastAsia="Times New Roman" w:hAnsiTheme="minorHAnsi"/>
                <w:iCs/>
                <w:szCs w:val="17"/>
                <w:lang w:eastAsia="en-US"/>
              </w:rPr>
              <w:t xml:space="preserve"> graduated in 2018</w:t>
            </w:r>
            <w:r>
              <w:rPr>
                <w:rFonts w:asciiTheme="minorHAnsi" w:eastAsia="Times New Roman" w:hAnsiTheme="minorHAnsi"/>
                <w:iCs/>
                <w:szCs w:val="17"/>
                <w:lang w:eastAsia="en-US"/>
              </w:rPr>
              <w:t>,</w:t>
            </w:r>
            <w:r w:rsidR="00B264C4" w:rsidRPr="00B264C4">
              <w:rPr>
                <w:rFonts w:asciiTheme="minorHAnsi" w:eastAsia="Times New Roman" w:hAnsiTheme="minorHAnsi"/>
                <w:iCs/>
                <w:szCs w:val="17"/>
                <w:lang w:eastAsia="en-US"/>
              </w:rPr>
              <w:t xml:space="preserve"> 209</w:t>
            </w:r>
            <w:r w:rsidR="00B264C4">
              <w:rPr>
                <w:rFonts w:asciiTheme="minorHAnsi" w:eastAsia="Times New Roman" w:hAnsiTheme="minorHAnsi"/>
                <w:iCs/>
                <w:szCs w:val="17"/>
                <w:lang w:eastAsia="en-US"/>
              </w:rPr>
              <w:t xml:space="preserve"> (</w:t>
            </w:r>
            <w:r w:rsidR="003918DD">
              <w:rPr>
                <w:rFonts w:asciiTheme="minorHAnsi" w:eastAsia="Times New Roman" w:hAnsiTheme="minorHAnsi"/>
                <w:iCs/>
                <w:szCs w:val="17"/>
                <w:lang w:eastAsia="en-US"/>
              </w:rPr>
              <w:t>98</w:t>
            </w:r>
            <w:r w:rsidR="00B264C4">
              <w:rPr>
                <w:rFonts w:asciiTheme="minorHAnsi" w:eastAsia="Times New Roman" w:hAnsiTheme="minorHAnsi"/>
                <w:iCs/>
                <w:szCs w:val="17"/>
                <w:lang w:eastAsia="en-US"/>
              </w:rPr>
              <w:t>%)</w:t>
            </w:r>
            <w:r>
              <w:rPr>
                <w:rFonts w:asciiTheme="minorHAnsi" w:eastAsia="Times New Roman" w:hAnsiTheme="minorHAnsi"/>
                <w:iCs/>
                <w:szCs w:val="17"/>
                <w:lang w:eastAsia="en-US"/>
              </w:rPr>
              <w:t>,</w:t>
            </w:r>
            <w:r w:rsidR="00B264C4" w:rsidRPr="00B264C4">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 xml:space="preserve">including 63% female, </w:t>
            </w:r>
            <w:r w:rsidR="00B264C4" w:rsidRPr="00B264C4">
              <w:rPr>
                <w:rFonts w:asciiTheme="minorHAnsi" w:eastAsia="Times New Roman" w:hAnsiTheme="minorHAnsi"/>
                <w:iCs/>
                <w:szCs w:val="17"/>
                <w:lang w:eastAsia="en-US"/>
              </w:rPr>
              <w:t xml:space="preserve">were deployed to teach in target schools. </w:t>
            </w:r>
          </w:p>
          <w:p w14:paraId="27C19C61" w14:textId="77777777" w:rsidR="006F674D" w:rsidRPr="00085E5F" w:rsidRDefault="00B264C4" w:rsidP="008B5C05">
            <w:pPr>
              <w:keepLines/>
              <w:spacing w:before="40" w:after="40" w:line="200" w:lineRule="atLeast"/>
              <w:rPr>
                <w:rFonts w:eastAsia="Times New Roman"/>
                <w:iCs/>
                <w:color w:val="FF0000"/>
                <w:szCs w:val="17"/>
              </w:rPr>
            </w:pPr>
            <w:r w:rsidRPr="00B264C4">
              <w:rPr>
                <w:rFonts w:asciiTheme="minorHAnsi" w:eastAsia="Times New Roman" w:hAnsiTheme="minorHAnsi"/>
                <w:iCs/>
                <w:szCs w:val="17"/>
                <w:lang w:eastAsia="en-US"/>
              </w:rPr>
              <w:t xml:space="preserve">Monitoring visits found that all 209 teachers are teaching regularly and </w:t>
            </w:r>
            <w:r w:rsidR="008B5C05">
              <w:rPr>
                <w:rFonts w:asciiTheme="minorHAnsi" w:eastAsia="Times New Roman" w:hAnsiTheme="minorHAnsi"/>
                <w:iCs/>
                <w:szCs w:val="17"/>
                <w:lang w:eastAsia="en-US"/>
              </w:rPr>
              <w:t xml:space="preserve">a large </w:t>
            </w:r>
            <w:r w:rsidR="002C103E">
              <w:rPr>
                <w:rFonts w:asciiTheme="minorHAnsi" w:eastAsia="Times New Roman" w:hAnsiTheme="minorHAnsi"/>
                <w:iCs/>
                <w:szCs w:val="17"/>
                <w:lang w:eastAsia="en-US"/>
              </w:rPr>
              <w:t>majority</w:t>
            </w:r>
            <w:r w:rsidR="002C103E" w:rsidRPr="00B264C4">
              <w:rPr>
                <w:rFonts w:asciiTheme="minorHAnsi" w:eastAsia="Times New Roman" w:hAnsiTheme="minorHAnsi"/>
                <w:iCs/>
                <w:szCs w:val="17"/>
                <w:lang w:eastAsia="en-US"/>
              </w:rPr>
              <w:t xml:space="preserve"> of</w:t>
            </w:r>
            <w:r w:rsidRPr="00B264C4">
              <w:rPr>
                <w:rFonts w:asciiTheme="minorHAnsi" w:eastAsia="Times New Roman" w:hAnsiTheme="minorHAnsi"/>
                <w:iCs/>
                <w:szCs w:val="17"/>
                <w:lang w:eastAsia="en-US"/>
              </w:rPr>
              <w:t xml:space="preserve"> them are motivated.</w:t>
            </w:r>
          </w:p>
        </w:tc>
      </w:tr>
      <w:tr w:rsidR="00B35FE2" w:rsidRPr="00C61187" w14:paraId="29106C33" w14:textId="77777777" w:rsidTr="00E079EE">
        <w:tc>
          <w:tcPr>
            <w:tcW w:w="780" w:type="pct"/>
            <w:vMerge w:val="restart"/>
            <w:tcMar>
              <w:top w:w="57" w:type="dxa"/>
              <w:bottom w:w="57" w:type="dxa"/>
            </w:tcMar>
          </w:tcPr>
          <w:p w14:paraId="0E68D503" w14:textId="77777777" w:rsidR="00B35FE2" w:rsidRPr="006F674D" w:rsidRDefault="00B35FE2" w:rsidP="00F8189A">
            <w:pPr>
              <w:keepLines/>
              <w:spacing w:before="40" w:after="40" w:line="200" w:lineRule="atLeast"/>
              <w:rPr>
                <w:rFonts w:asciiTheme="minorHAnsi" w:eastAsia="Times New Roman" w:hAnsiTheme="minorHAnsi"/>
                <w:b/>
                <w:bCs/>
                <w:iCs/>
                <w:szCs w:val="17"/>
                <w:lang w:eastAsia="en-US"/>
              </w:rPr>
            </w:pPr>
            <w:r w:rsidRPr="006F674D">
              <w:rPr>
                <w:rFonts w:asciiTheme="minorHAnsi" w:eastAsia="Times New Roman" w:hAnsiTheme="minorHAnsi"/>
                <w:b/>
                <w:bCs/>
                <w:iCs/>
                <w:szCs w:val="17"/>
                <w:lang w:eastAsia="en-US"/>
              </w:rPr>
              <w:t xml:space="preserve">Objective 2 </w:t>
            </w:r>
          </w:p>
          <w:p w14:paraId="66C08E02" w14:textId="77777777" w:rsidR="00B35FE2" w:rsidRPr="00085E5F" w:rsidRDefault="00B35FE2" w:rsidP="00F8189A">
            <w:pPr>
              <w:keepLines/>
              <w:spacing w:before="40" w:after="40" w:line="200" w:lineRule="atLeast"/>
              <w:rPr>
                <w:rFonts w:eastAsia="Times New Roman"/>
                <w:iCs/>
                <w:color w:val="FF0000"/>
                <w:szCs w:val="17"/>
              </w:rPr>
            </w:pPr>
            <w:r w:rsidRPr="007B3CE4">
              <w:rPr>
                <w:rFonts w:asciiTheme="minorHAnsi" w:eastAsia="Times New Roman" w:hAnsiTheme="minorHAnsi"/>
                <w:iCs/>
                <w:szCs w:val="17"/>
                <w:lang w:eastAsia="en-US"/>
              </w:rPr>
              <w:t>Improving Laos’ human resources through scholarships, training and organisational capacity building</w:t>
            </w:r>
          </w:p>
        </w:tc>
        <w:tc>
          <w:tcPr>
            <w:tcW w:w="900" w:type="pct"/>
          </w:tcPr>
          <w:p w14:paraId="0414CC3B" w14:textId="77777777" w:rsidR="00B35FE2" w:rsidRPr="00B35FE2" w:rsidRDefault="00B35FE2" w:rsidP="00B35FE2">
            <w:pPr>
              <w:keepLines/>
              <w:spacing w:before="40" w:after="40" w:line="200" w:lineRule="atLeast"/>
              <w:rPr>
                <w:rFonts w:asciiTheme="minorHAnsi" w:eastAsia="Times New Roman" w:hAnsiTheme="minorHAnsi"/>
                <w:iCs/>
                <w:szCs w:val="17"/>
                <w:lang w:eastAsia="en-US"/>
              </w:rPr>
            </w:pPr>
            <w:r w:rsidRPr="00B35FE2">
              <w:rPr>
                <w:rFonts w:asciiTheme="minorHAnsi" w:eastAsia="Times New Roman" w:hAnsiTheme="minorHAnsi"/>
                <w:iCs/>
                <w:szCs w:val="17"/>
                <w:lang w:eastAsia="en-US"/>
              </w:rPr>
              <w:t xml:space="preserve">90% of AAS awardees and </w:t>
            </w:r>
          </w:p>
          <w:p w14:paraId="2CEB9D52" w14:textId="77777777" w:rsidR="00B35FE2" w:rsidRPr="00B35FE2" w:rsidRDefault="00B35FE2" w:rsidP="00B35FE2">
            <w:pPr>
              <w:keepLines/>
              <w:spacing w:before="40" w:after="40" w:line="200" w:lineRule="atLeast"/>
              <w:rPr>
                <w:rFonts w:asciiTheme="minorHAnsi" w:eastAsia="Times New Roman" w:hAnsiTheme="minorHAnsi"/>
                <w:iCs/>
                <w:szCs w:val="17"/>
                <w:lang w:eastAsia="en-US"/>
              </w:rPr>
            </w:pPr>
            <w:r w:rsidRPr="00B35FE2">
              <w:rPr>
                <w:rFonts w:asciiTheme="minorHAnsi" w:eastAsia="Times New Roman" w:hAnsiTheme="minorHAnsi"/>
                <w:iCs/>
                <w:szCs w:val="17"/>
                <w:lang w:eastAsia="en-US"/>
              </w:rPr>
              <w:t xml:space="preserve">95 % of LANS awardees successfully completing studies </w:t>
            </w:r>
          </w:p>
        </w:tc>
        <w:tc>
          <w:tcPr>
            <w:tcW w:w="568" w:type="pct"/>
            <w:shd w:val="clear" w:color="auto" w:fill="00B050"/>
          </w:tcPr>
          <w:p w14:paraId="65FF1ADE" w14:textId="77777777" w:rsidR="00B35FE2" w:rsidRPr="00880004" w:rsidRDefault="00661F1C" w:rsidP="00F8189A">
            <w:pPr>
              <w:keepLines/>
              <w:spacing w:before="40" w:after="40" w:line="200" w:lineRule="atLeast"/>
              <w:jc w:val="center"/>
              <w:rPr>
                <w:rFonts w:eastAsia="Times New Roman"/>
                <w:iCs/>
                <w:color w:val="FFFFFF" w:themeColor="background1"/>
                <w:szCs w:val="17"/>
              </w:rPr>
            </w:pPr>
            <w:r w:rsidRPr="00953C47">
              <w:rPr>
                <w:rFonts w:eastAsia="Times New Roman"/>
                <w:iCs/>
                <w:color w:val="FFFFFF" w:themeColor="background1"/>
                <w:szCs w:val="17"/>
              </w:rPr>
              <w:t>Achieved</w:t>
            </w:r>
            <w:r>
              <w:rPr>
                <w:rFonts w:eastAsia="Times New Roman"/>
                <w:iCs/>
                <w:color w:val="FFFFFF" w:themeColor="background1"/>
                <w:szCs w:val="17"/>
              </w:rPr>
              <w:t xml:space="preserve"> </w:t>
            </w:r>
          </w:p>
        </w:tc>
        <w:tc>
          <w:tcPr>
            <w:tcW w:w="2752" w:type="pct"/>
            <w:vAlign w:val="center"/>
          </w:tcPr>
          <w:p w14:paraId="06B6ACD0" w14:textId="77777777" w:rsidR="00B35FE2" w:rsidRPr="00920494" w:rsidRDefault="00661F1C" w:rsidP="00F8189A">
            <w:pPr>
              <w:keepLines/>
              <w:spacing w:before="40" w:after="40" w:line="200" w:lineRule="atLeast"/>
              <w:rPr>
                <w:rFonts w:asciiTheme="minorHAnsi" w:eastAsia="Times New Roman" w:hAnsiTheme="minorHAnsi"/>
                <w:iCs/>
                <w:szCs w:val="17"/>
                <w:highlight w:val="yellow"/>
                <w:lang w:eastAsia="en-US"/>
              </w:rPr>
            </w:pPr>
            <w:r w:rsidRPr="00661F1C">
              <w:rPr>
                <w:rFonts w:asciiTheme="minorHAnsi" w:eastAsia="Times New Roman" w:hAnsiTheme="minorHAnsi"/>
                <w:iCs/>
                <w:szCs w:val="17"/>
                <w:lang w:eastAsia="en-US"/>
              </w:rPr>
              <w:t>93.94% of AAS and 100% of LANS awardees successfully completing studies</w:t>
            </w:r>
          </w:p>
        </w:tc>
      </w:tr>
      <w:tr w:rsidR="00B35FE2" w:rsidRPr="00C61187" w14:paraId="34CDD4FE" w14:textId="77777777" w:rsidTr="00E079EE">
        <w:tc>
          <w:tcPr>
            <w:tcW w:w="780" w:type="pct"/>
            <w:vMerge/>
            <w:tcMar>
              <w:top w:w="57" w:type="dxa"/>
              <w:bottom w:w="57" w:type="dxa"/>
            </w:tcMar>
          </w:tcPr>
          <w:p w14:paraId="7613A2B0" w14:textId="77777777" w:rsidR="00B35FE2" w:rsidRPr="006F674D" w:rsidRDefault="00B35FE2" w:rsidP="00F8189A">
            <w:pPr>
              <w:keepLines/>
              <w:spacing w:before="40" w:after="40" w:line="200" w:lineRule="atLeast"/>
              <w:rPr>
                <w:rFonts w:eastAsia="Times New Roman"/>
                <w:b/>
                <w:bCs/>
                <w:iCs/>
                <w:szCs w:val="17"/>
              </w:rPr>
            </w:pPr>
          </w:p>
        </w:tc>
        <w:tc>
          <w:tcPr>
            <w:tcW w:w="900" w:type="pct"/>
          </w:tcPr>
          <w:p w14:paraId="6A5522AF" w14:textId="77777777" w:rsidR="00B35FE2" w:rsidRPr="00B35FE2" w:rsidRDefault="00B35FE2" w:rsidP="00B35FE2">
            <w:pPr>
              <w:keepLines/>
              <w:spacing w:before="40" w:after="40" w:line="200" w:lineRule="atLeast"/>
              <w:rPr>
                <w:rFonts w:asciiTheme="minorHAnsi" w:eastAsia="Times New Roman" w:hAnsiTheme="minorHAnsi"/>
                <w:iCs/>
                <w:szCs w:val="17"/>
                <w:lang w:eastAsia="en-US"/>
              </w:rPr>
            </w:pPr>
            <w:r w:rsidRPr="00B35FE2">
              <w:rPr>
                <w:rFonts w:asciiTheme="minorHAnsi" w:eastAsia="Times New Roman" w:hAnsiTheme="minorHAnsi"/>
                <w:iCs/>
                <w:szCs w:val="17"/>
                <w:lang w:eastAsia="en-US"/>
              </w:rPr>
              <w:t xml:space="preserve"> 95% of AAS alumni, 75% of LANS alumni, and</w:t>
            </w:r>
            <w:r>
              <w:rPr>
                <w:rFonts w:asciiTheme="minorHAnsi" w:eastAsia="Times New Roman" w:hAnsiTheme="minorHAnsi"/>
                <w:iCs/>
                <w:szCs w:val="17"/>
                <w:lang w:eastAsia="en-US"/>
              </w:rPr>
              <w:t xml:space="preserve"> </w:t>
            </w:r>
            <w:r w:rsidRPr="00B35FE2">
              <w:rPr>
                <w:rFonts w:asciiTheme="minorHAnsi" w:eastAsia="Times New Roman" w:hAnsiTheme="minorHAnsi"/>
                <w:iCs/>
                <w:szCs w:val="17"/>
                <w:lang w:eastAsia="en-US"/>
              </w:rPr>
              <w:t xml:space="preserve">90% of Short Courses alumni are able to provide examples of relevant contributions to development in Laos at selected periods after receiving support (i.e. post Short Course, or Long Term Scholarships completion)  </w:t>
            </w:r>
          </w:p>
        </w:tc>
        <w:tc>
          <w:tcPr>
            <w:tcW w:w="568" w:type="pct"/>
            <w:shd w:val="clear" w:color="auto" w:fill="FF9933"/>
          </w:tcPr>
          <w:p w14:paraId="5F209161" w14:textId="77777777" w:rsidR="00B35FE2" w:rsidRPr="00880004" w:rsidRDefault="00661F1C" w:rsidP="00F8189A">
            <w:pPr>
              <w:keepLines/>
              <w:spacing w:before="40" w:after="40" w:line="200" w:lineRule="atLeast"/>
              <w:jc w:val="center"/>
              <w:rPr>
                <w:rFonts w:eastAsia="Times New Roman"/>
                <w:iCs/>
                <w:color w:val="FFFFFF" w:themeColor="background1"/>
                <w:szCs w:val="17"/>
              </w:rPr>
            </w:pPr>
            <w:r w:rsidRPr="00953C47">
              <w:rPr>
                <w:rFonts w:eastAsia="Times New Roman"/>
                <w:iCs/>
                <w:color w:val="FFFFFF" w:themeColor="background1"/>
                <w:szCs w:val="17"/>
              </w:rPr>
              <w:t xml:space="preserve">Partly Achieved </w:t>
            </w:r>
          </w:p>
        </w:tc>
        <w:tc>
          <w:tcPr>
            <w:tcW w:w="2752" w:type="pct"/>
            <w:vAlign w:val="center"/>
          </w:tcPr>
          <w:p w14:paraId="7F760F1A" w14:textId="77777777" w:rsidR="00661F1C" w:rsidRPr="00661F1C" w:rsidRDefault="00661F1C" w:rsidP="00661F1C">
            <w:pPr>
              <w:rPr>
                <w:rFonts w:asciiTheme="minorHAnsi" w:eastAsia="Times New Roman" w:hAnsiTheme="minorHAnsi"/>
                <w:iCs/>
                <w:szCs w:val="17"/>
                <w:lang w:eastAsia="en-US"/>
              </w:rPr>
            </w:pPr>
            <w:r w:rsidRPr="00661F1C">
              <w:rPr>
                <w:rFonts w:asciiTheme="minorHAnsi" w:eastAsia="Times New Roman" w:hAnsiTheme="minorHAnsi"/>
                <w:iCs/>
                <w:szCs w:val="17"/>
                <w:lang w:eastAsia="en-US"/>
              </w:rPr>
              <w:t>100% of alumni who participated in the Women's Executive Development course that benefited 24 mid-career AAS alumni were able to provide examples of relevant contributions to development in Laos.</w:t>
            </w:r>
          </w:p>
          <w:p w14:paraId="6F2E429E" w14:textId="77777777" w:rsidR="00661F1C" w:rsidRPr="00661F1C" w:rsidRDefault="00661F1C" w:rsidP="00661F1C">
            <w:pPr>
              <w:rPr>
                <w:rFonts w:asciiTheme="minorHAnsi" w:eastAsia="Times New Roman" w:hAnsiTheme="minorHAnsi"/>
                <w:iCs/>
                <w:szCs w:val="17"/>
                <w:lang w:eastAsia="en-US"/>
              </w:rPr>
            </w:pPr>
            <w:r w:rsidRPr="00661F1C">
              <w:rPr>
                <w:rFonts w:asciiTheme="minorHAnsi" w:eastAsia="Times New Roman" w:hAnsiTheme="minorHAnsi"/>
                <w:iCs/>
                <w:szCs w:val="17"/>
                <w:lang w:eastAsia="en-US"/>
              </w:rPr>
              <w:t>94% of alumni who participated in a second pilot of a Work Readiness course that supported 27 LANS women graduates to enter the workforce were able to provide examples of relevant contributions to development in Laos.</w:t>
            </w:r>
          </w:p>
          <w:p w14:paraId="5CBE9012" w14:textId="77777777" w:rsidR="00661F1C" w:rsidRDefault="00661F1C" w:rsidP="00661F1C">
            <w:pPr>
              <w:rPr>
                <w:rFonts w:asciiTheme="minorHAnsi" w:eastAsia="Times New Roman" w:hAnsiTheme="minorHAnsi"/>
                <w:iCs/>
                <w:szCs w:val="17"/>
                <w:lang w:eastAsia="en-US"/>
              </w:rPr>
            </w:pPr>
            <w:r w:rsidRPr="00661F1C">
              <w:rPr>
                <w:rFonts w:asciiTheme="minorHAnsi" w:eastAsia="Times New Roman" w:hAnsiTheme="minorHAnsi"/>
                <w:iCs/>
                <w:szCs w:val="17"/>
                <w:lang w:eastAsia="en-US"/>
              </w:rPr>
              <w:t>Alumni Development Impact Survey (ADIS) data for AAS and LANS is not yet available.</w:t>
            </w:r>
          </w:p>
          <w:p w14:paraId="15A9F94E" w14:textId="77777777" w:rsidR="00B35FE2" w:rsidRPr="00E079EE" w:rsidRDefault="00B35FE2" w:rsidP="00F8189A">
            <w:pPr>
              <w:keepLines/>
              <w:spacing w:before="40" w:after="40" w:line="200" w:lineRule="atLeast"/>
              <w:rPr>
                <w:rFonts w:asciiTheme="minorHAnsi" w:eastAsia="Times New Roman" w:hAnsiTheme="minorHAnsi"/>
                <w:iCs/>
                <w:szCs w:val="17"/>
                <w:lang w:eastAsia="en-US"/>
              </w:rPr>
            </w:pPr>
          </w:p>
        </w:tc>
      </w:tr>
      <w:tr w:rsidR="00B35FE2" w:rsidRPr="00C61187" w14:paraId="2C271957" w14:textId="77777777" w:rsidTr="00E079EE">
        <w:tc>
          <w:tcPr>
            <w:tcW w:w="780" w:type="pct"/>
            <w:vMerge/>
            <w:tcMar>
              <w:top w:w="57" w:type="dxa"/>
              <w:bottom w:w="57" w:type="dxa"/>
            </w:tcMar>
          </w:tcPr>
          <w:p w14:paraId="5770DBD4" w14:textId="77777777" w:rsidR="00B35FE2" w:rsidRPr="006F674D" w:rsidRDefault="00B35FE2" w:rsidP="00F8189A">
            <w:pPr>
              <w:keepLines/>
              <w:spacing w:before="40" w:after="40" w:line="200" w:lineRule="atLeast"/>
              <w:rPr>
                <w:rFonts w:eastAsia="Times New Roman"/>
                <w:b/>
                <w:bCs/>
                <w:iCs/>
                <w:szCs w:val="17"/>
              </w:rPr>
            </w:pPr>
          </w:p>
        </w:tc>
        <w:tc>
          <w:tcPr>
            <w:tcW w:w="900" w:type="pct"/>
            <w:shd w:val="clear" w:color="auto" w:fill="auto"/>
          </w:tcPr>
          <w:p w14:paraId="1FAE3FC4" w14:textId="77777777" w:rsidR="00B35FE2" w:rsidRPr="00B35FE2" w:rsidRDefault="00B35FE2" w:rsidP="00B35FE2">
            <w:pPr>
              <w:keepLines/>
              <w:spacing w:before="40" w:after="40" w:line="200" w:lineRule="atLeast"/>
              <w:rPr>
                <w:rFonts w:asciiTheme="minorHAnsi" w:eastAsia="Times New Roman" w:hAnsiTheme="minorHAnsi"/>
                <w:iCs/>
                <w:szCs w:val="17"/>
                <w:lang w:eastAsia="en-US"/>
              </w:rPr>
            </w:pPr>
            <w:r w:rsidRPr="00B35FE2">
              <w:rPr>
                <w:rFonts w:asciiTheme="minorHAnsi" w:eastAsia="Times New Roman" w:hAnsiTheme="minorHAnsi"/>
                <w:iCs/>
                <w:szCs w:val="17"/>
                <w:lang w:eastAsia="en-US"/>
              </w:rPr>
              <w:t xml:space="preserve"> 95% of AAS </w:t>
            </w:r>
            <w:r>
              <w:rPr>
                <w:rFonts w:asciiTheme="minorHAnsi" w:eastAsia="Times New Roman" w:hAnsiTheme="minorHAnsi"/>
                <w:iCs/>
                <w:szCs w:val="17"/>
                <w:lang w:eastAsia="en-US"/>
              </w:rPr>
              <w:t xml:space="preserve">female </w:t>
            </w:r>
            <w:r w:rsidRPr="00B35FE2">
              <w:rPr>
                <w:rFonts w:asciiTheme="minorHAnsi" w:eastAsia="Times New Roman" w:hAnsiTheme="minorHAnsi"/>
                <w:iCs/>
                <w:szCs w:val="17"/>
                <w:lang w:eastAsia="en-US"/>
              </w:rPr>
              <w:t>awardees and 95 % of LANS female</w:t>
            </w:r>
            <w:r>
              <w:rPr>
                <w:rFonts w:asciiTheme="minorHAnsi" w:eastAsia="Times New Roman" w:hAnsiTheme="minorHAnsi"/>
                <w:iCs/>
                <w:szCs w:val="17"/>
                <w:lang w:eastAsia="en-US"/>
              </w:rPr>
              <w:t xml:space="preserve"> awardees </w:t>
            </w:r>
            <w:r w:rsidRPr="00B35FE2">
              <w:rPr>
                <w:rFonts w:asciiTheme="minorHAnsi" w:eastAsia="Times New Roman" w:hAnsiTheme="minorHAnsi"/>
                <w:iCs/>
                <w:szCs w:val="17"/>
                <w:lang w:eastAsia="en-US"/>
              </w:rPr>
              <w:t>successfully completing studies</w:t>
            </w:r>
          </w:p>
        </w:tc>
        <w:tc>
          <w:tcPr>
            <w:tcW w:w="568" w:type="pct"/>
            <w:shd w:val="clear" w:color="auto" w:fill="00B050"/>
          </w:tcPr>
          <w:p w14:paraId="7AD0FD51" w14:textId="77777777" w:rsidR="00B35FE2" w:rsidRPr="00880004" w:rsidRDefault="00661F1C" w:rsidP="00F8189A">
            <w:pPr>
              <w:keepLines/>
              <w:spacing w:before="40" w:after="40" w:line="200" w:lineRule="atLeast"/>
              <w:jc w:val="center"/>
              <w:rPr>
                <w:rFonts w:eastAsia="Times New Roman"/>
                <w:iCs/>
                <w:color w:val="FFFFFF" w:themeColor="background1"/>
                <w:szCs w:val="17"/>
              </w:rPr>
            </w:pPr>
            <w:r w:rsidRPr="00953C47">
              <w:rPr>
                <w:rFonts w:eastAsia="Times New Roman"/>
                <w:iCs/>
                <w:color w:val="FFFFFF" w:themeColor="background1"/>
                <w:szCs w:val="17"/>
              </w:rPr>
              <w:t xml:space="preserve">Achieved </w:t>
            </w:r>
          </w:p>
        </w:tc>
        <w:tc>
          <w:tcPr>
            <w:tcW w:w="2752" w:type="pct"/>
          </w:tcPr>
          <w:p w14:paraId="3E9318B1" w14:textId="77777777" w:rsidR="00B35FE2" w:rsidRPr="00AB660C" w:rsidRDefault="00661F1C" w:rsidP="00661F1C">
            <w:pPr>
              <w:keepLines/>
              <w:spacing w:before="40" w:after="40" w:line="200" w:lineRule="atLeast"/>
              <w:rPr>
                <w:rFonts w:asciiTheme="minorHAnsi" w:eastAsia="Times New Roman" w:hAnsiTheme="minorHAnsi"/>
                <w:iCs/>
                <w:szCs w:val="17"/>
                <w:lang w:eastAsia="en-US"/>
              </w:rPr>
            </w:pPr>
            <w:r w:rsidRPr="00AB660C">
              <w:rPr>
                <w:rFonts w:asciiTheme="minorHAnsi" w:eastAsia="Times New Roman" w:hAnsiTheme="minorHAnsi"/>
                <w:iCs/>
                <w:szCs w:val="17"/>
                <w:lang w:eastAsia="en-US"/>
              </w:rPr>
              <w:t xml:space="preserve">95.45% of AAS and 100% of LANS female awardees successfully completed their studies </w:t>
            </w:r>
          </w:p>
        </w:tc>
      </w:tr>
      <w:tr w:rsidR="00580B2F" w:rsidRPr="00C61187" w14:paraId="445BA9FA" w14:textId="77777777" w:rsidTr="009B53AA">
        <w:tc>
          <w:tcPr>
            <w:tcW w:w="780" w:type="pct"/>
            <w:tcMar>
              <w:top w:w="57" w:type="dxa"/>
              <w:bottom w:w="57" w:type="dxa"/>
            </w:tcMar>
          </w:tcPr>
          <w:p w14:paraId="7303ECAE" w14:textId="77777777" w:rsidR="00580B2F" w:rsidRDefault="00580B2F" w:rsidP="00580B2F">
            <w:pPr>
              <w:keepLines/>
              <w:spacing w:before="40" w:after="40" w:line="200" w:lineRule="atLeast"/>
              <w:rPr>
                <w:rFonts w:asciiTheme="minorHAnsi" w:eastAsia="Times New Roman" w:hAnsiTheme="minorHAnsi"/>
                <w:b/>
                <w:bCs/>
                <w:iCs/>
                <w:szCs w:val="17"/>
                <w:lang w:eastAsia="en-US"/>
              </w:rPr>
            </w:pPr>
            <w:r w:rsidRPr="006F674D">
              <w:rPr>
                <w:rFonts w:asciiTheme="minorHAnsi" w:eastAsia="Times New Roman" w:hAnsiTheme="minorHAnsi"/>
                <w:b/>
                <w:bCs/>
                <w:iCs/>
                <w:szCs w:val="17"/>
                <w:lang w:eastAsia="en-US"/>
              </w:rPr>
              <w:t xml:space="preserve">Objective 3 </w:t>
            </w:r>
          </w:p>
          <w:p w14:paraId="789BB363" w14:textId="77777777" w:rsidR="00580B2F" w:rsidRPr="006F674D" w:rsidRDefault="00580B2F" w:rsidP="00580B2F">
            <w:pPr>
              <w:keepLines/>
              <w:spacing w:before="40" w:after="40" w:line="200" w:lineRule="atLeast"/>
              <w:rPr>
                <w:rFonts w:asciiTheme="minorHAnsi" w:eastAsia="Times New Roman" w:hAnsiTheme="minorHAnsi"/>
                <w:b/>
                <w:bCs/>
                <w:iCs/>
                <w:szCs w:val="17"/>
                <w:lang w:eastAsia="en-US"/>
              </w:rPr>
            </w:pPr>
          </w:p>
          <w:p w14:paraId="083DD7A0" w14:textId="77777777" w:rsidR="00580B2F" w:rsidRPr="00085E5F" w:rsidRDefault="00580B2F" w:rsidP="00580B2F">
            <w:pPr>
              <w:keepLines/>
              <w:spacing w:before="40" w:after="40" w:line="200" w:lineRule="atLeast"/>
              <w:rPr>
                <w:rFonts w:asciiTheme="minorHAnsi" w:eastAsia="Times New Roman" w:hAnsiTheme="minorHAnsi"/>
                <w:iCs/>
                <w:color w:val="FF0000"/>
                <w:szCs w:val="17"/>
                <w:lang w:eastAsia="en-US"/>
              </w:rPr>
            </w:pPr>
            <w:r w:rsidRPr="007B3CE4">
              <w:rPr>
                <w:rFonts w:asciiTheme="minorHAnsi" w:eastAsia="Times New Roman" w:hAnsiTheme="minorHAnsi"/>
                <w:iCs/>
                <w:szCs w:val="17"/>
                <w:lang w:eastAsia="en-US"/>
              </w:rPr>
              <w:t>A stronger trade regime and more competitive private sector</w:t>
            </w:r>
          </w:p>
        </w:tc>
        <w:tc>
          <w:tcPr>
            <w:tcW w:w="900" w:type="pct"/>
            <w:shd w:val="clear" w:color="auto" w:fill="auto"/>
          </w:tcPr>
          <w:p w14:paraId="4785D5F0" w14:textId="77777777" w:rsidR="00580B2F" w:rsidRPr="00315656" w:rsidRDefault="00580B2F" w:rsidP="00580B2F">
            <w:pPr>
              <w:keepLines/>
              <w:spacing w:before="40" w:after="40" w:line="200" w:lineRule="atLeast"/>
              <w:rPr>
                <w:rFonts w:asciiTheme="minorHAnsi" w:eastAsia="Times New Roman" w:hAnsiTheme="minorHAnsi"/>
                <w:iCs/>
                <w:szCs w:val="17"/>
                <w:lang w:eastAsia="en-US"/>
              </w:rPr>
            </w:pPr>
            <w:r w:rsidRPr="00315656">
              <w:rPr>
                <w:rFonts w:asciiTheme="minorHAnsi" w:eastAsia="Times New Roman" w:hAnsiTheme="minorHAnsi"/>
                <w:iCs/>
                <w:szCs w:val="17"/>
                <w:lang w:eastAsia="en-US"/>
              </w:rPr>
              <w:t xml:space="preserve">Recommendations from 1st and 2nd Lao Business Forum supported by TDF2 are actioned, including recommendations from women-led businesses and SMEs </w:t>
            </w:r>
          </w:p>
        </w:tc>
        <w:tc>
          <w:tcPr>
            <w:tcW w:w="568" w:type="pct"/>
            <w:shd w:val="clear" w:color="auto" w:fill="00B050"/>
          </w:tcPr>
          <w:p w14:paraId="746D3698" w14:textId="77777777" w:rsidR="00580B2F" w:rsidRPr="00880004" w:rsidRDefault="00580B2F" w:rsidP="00580B2F">
            <w:pPr>
              <w:keepLines/>
              <w:spacing w:before="40" w:after="40" w:line="200" w:lineRule="atLeast"/>
              <w:jc w:val="center"/>
              <w:rPr>
                <w:rFonts w:asciiTheme="minorHAnsi" w:eastAsia="Times New Roman" w:hAnsiTheme="minorHAnsi"/>
                <w:iCs/>
                <w:szCs w:val="17"/>
                <w:lang w:eastAsia="en-US"/>
              </w:rPr>
            </w:pPr>
            <w:r w:rsidRPr="00953C47">
              <w:rPr>
                <w:rFonts w:eastAsia="Times New Roman"/>
                <w:iCs/>
                <w:color w:val="FFFFFF" w:themeColor="background1"/>
                <w:szCs w:val="17"/>
              </w:rPr>
              <w:t xml:space="preserve">Achieved </w:t>
            </w:r>
          </w:p>
        </w:tc>
        <w:tc>
          <w:tcPr>
            <w:tcW w:w="2752" w:type="pct"/>
          </w:tcPr>
          <w:p w14:paraId="1CD46054" w14:textId="77777777" w:rsidR="00580B2F" w:rsidRPr="00580B2F" w:rsidRDefault="00580B2F" w:rsidP="00580B2F">
            <w:pPr>
              <w:rPr>
                <w:rFonts w:asciiTheme="minorHAnsi" w:hAnsiTheme="minorHAnsi" w:cstheme="minorHAnsi"/>
                <w:iCs/>
                <w:color w:val="auto"/>
                <w:lang w:val="en-AU"/>
              </w:rPr>
            </w:pPr>
            <w:r w:rsidRPr="00580B2F">
              <w:rPr>
                <w:rFonts w:asciiTheme="minorHAnsi" w:hAnsiTheme="minorHAnsi" w:cstheme="minorHAnsi"/>
                <w:iCs/>
              </w:rPr>
              <w:t>Of the issues 22 priority issues raised at the July 2018 LBF, three issues were solved completely, four issues are expected to be solved before the 2019 LBF and six remain in the process of discussion.   Participation by representatives of women-led enterprises in LBF working group discussed increased from 25% in 2017 to 39% in 2018.</w:t>
            </w:r>
          </w:p>
          <w:p w14:paraId="1A803AC7" w14:textId="77777777" w:rsidR="00580B2F" w:rsidRPr="00580B2F" w:rsidRDefault="00580B2F" w:rsidP="00580B2F">
            <w:pPr>
              <w:keepLines/>
              <w:spacing w:before="40" w:after="40" w:line="200" w:lineRule="atLeast"/>
              <w:rPr>
                <w:rFonts w:asciiTheme="minorHAnsi" w:eastAsia="Times New Roman" w:hAnsiTheme="minorHAnsi" w:cstheme="minorHAnsi"/>
                <w:iCs/>
                <w:szCs w:val="17"/>
                <w:lang w:eastAsia="en-US"/>
              </w:rPr>
            </w:pPr>
          </w:p>
        </w:tc>
      </w:tr>
    </w:tbl>
    <w:p w14:paraId="0B94B2D1"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629CAAFB"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14:paraId="2F583BB9"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14:paraId="66F7E832"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14:paraId="4F93A4A6" w14:textId="77777777" w:rsidR="00BE1BEB" w:rsidRDefault="00BE1BEB" w:rsidP="00184F1E">
      <w:pPr>
        <w:rPr>
          <w:rFonts w:ascii="Franklin Gothic Book" w:eastAsia="Times New Roman" w:hAnsi="Franklin Gothic Book"/>
          <w:b/>
          <w:sz w:val="24"/>
          <w:szCs w:val="24"/>
        </w:rPr>
      </w:pPr>
    </w:p>
    <w:p w14:paraId="6E205004" w14:textId="77777777" w:rsidR="00E96406" w:rsidRDefault="00E96406" w:rsidP="00184F1E">
      <w:pPr>
        <w:rPr>
          <w:rFonts w:eastAsia="Times New Roman" w:cstheme="minorHAnsi"/>
          <w:sz w:val="32"/>
          <w:szCs w:val="32"/>
        </w:rPr>
      </w:pPr>
    </w:p>
    <w:p w14:paraId="68AA8FE1" w14:textId="77777777" w:rsidR="00E96406" w:rsidRDefault="00E96406">
      <w:pPr>
        <w:suppressAutoHyphens w:val="0"/>
        <w:spacing w:before="0" w:after="120" w:line="440" w:lineRule="atLeast"/>
        <w:rPr>
          <w:rFonts w:eastAsia="Times New Roman" w:cstheme="minorHAnsi"/>
          <w:sz w:val="32"/>
          <w:szCs w:val="32"/>
        </w:rPr>
      </w:pPr>
      <w:r>
        <w:rPr>
          <w:rFonts w:eastAsia="Times New Roman" w:cstheme="minorHAnsi"/>
          <w:sz w:val="32"/>
          <w:szCs w:val="32"/>
        </w:rPr>
        <w:br w:type="page"/>
      </w:r>
    </w:p>
    <w:p w14:paraId="725E9043" w14:textId="77777777" w:rsidR="00184F1E" w:rsidRPr="00F8189A" w:rsidRDefault="00E96406" w:rsidP="00184F1E">
      <w:pPr>
        <w:rPr>
          <w:rFonts w:eastAsia="Times New Roman" w:cstheme="minorHAnsi"/>
          <w:sz w:val="32"/>
          <w:szCs w:val="32"/>
        </w:rPr>
      </w:pPr>
      <w:r>
        <w:rPr>
          <w:rFonts w:eastAsia="Times New Roman" w:cstheme="minorHAnsi"/>
          <w:sz w:val="32"/>
          <w:szCs w:val="32"/>
        </w:rPr>
        <w:lastRenderedPageBreak/>
        <w:t xml:space="preserve">2. </w:t>
      </w:r>
      <w:r w:rsidR="00184F1E" w:rsidRPr="00F8189A">
        <w:rPr>
          <w:rFonts w:eastAsia="Times New Roman" w:cstheme="minorHAnsi"/>
          <w:sz w:val="32"/>
          <w:szCs w:val="32"/>
        </w:rPr>
        <w:t xml:space="preserve">Performance Benchmarks for </w:t>
      </w:r>
      <w:r w:rsidR="00F8189A">
        <w:rPr>
          <w:rFonts w:eastAsia="Times New Roman" w:cstheme="minorHAnsi"/>
          <w:sz w:val="32"/>
          <w:szCs w:val="32"/>
        </w:rPr>
        <w:t>2019-20</w:t>
      </w:r>
    </w:p>
    <w:tbl>
      <w:tblPr>
        <w:tblStyle w:val="DFA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4222"/>
        <w:gridCol w:w="2238"/>
        <w:gridCol w:w="5324"/>
      </w:tblGrid>
      <w:tr w:rsidR="005B027B" w14:paraId="7DC08792" w14:textId="77777777" w:rsidTr="00A23CAE">
        <w:trPr>
          <w:trHeight w:val="245"/>
        </w:trPr>
        <w:tc>
          <w:tcPr>
            <w:tcW w:w="799" w:type="pct"/>
            <w:shd w:val="clear" w:color="auto" w:fill="auto"/>
          </w:tcPr>
          <w:p w14:paraId="30D15F44" w14:textId="77777777" w:rsidR="005B027B" w:rsidRPr="00BE6C6D" w:rsidRDefault="005B027B" w:rsidP="00A75E1E">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505" w:type="pct"/>
            <w:shd w:val="clear" w:color="auto" w:fill="auto"/>
          </w:tcPr>
          <w:p w14:paraId="6B40702B" w14:textId="77777777" w:rsidR="005B027B" w:rsidRPr="00BE6C6D" w:rsidRDefault="005B027B" w:rsidP="00A75E1E">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798" w:type="pct"/>
            <w:shd w:val="clear" w:color="auto" w:fill="auto"/>
            <w:hideMark/>
          </w:tcPr>
          <w:p w14:paraId="221C11DE" w14:textId="77777777" w:rsidR="005B027B" w:rsidRPr="00BE6C6D" w:rsidRDefault="005B027B" w:rsidP="00A75E1E">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w:t>
            </w:r>
          </w:p>
        </w:tc>
        <w:tc>
          <w:tcPr>
            <w:tcW w:w="1898" w:type="pct"/>
            <w:shd w:val="clear" w:color="auto" w:fill="auto"/>
            <w:hideMark/>
          </w:tcPr>
          <w:p w14:paraId="29E62906" w14:textId="77777777" w:rsidR="005B027B" w:rsidRPr="00BE6C6D" w:rsidRDefault="005B027B" w:rsidP="00A75E1E">
            <w:pPr>
              <w:pStyle w:val="NormalIndented"/>
              <w:ind w:left="33"/>
              <w:jc w:val="center"/>
              <w:rPr>
                <w:rFonts w:asciiTheme="minorHAnsi" w:hAnsiTheme="minorHAnsi"/>
                <w:b/>
              </w:rPr>
            </w:pPr>
            <w:r w:rsidRPr="00BE6C6D">
              <w:rPr>
                <w:rFonts w:asciiTheme="minorHAnsi" w:hAnsiTheme="minorHAnsi"/>
                <w:b/>
              </w:rPr>
              <w:t>201</w:t>
            </w:r>
            <w:r>
              <w:rPr>
                <w:rFonts w:asciiTheme="minorHAnsi" w:hAnsiTheme="minorHAnsi"/>
                <w:b/>
              </w:rPr>
              <w:t>9-20</w:t>
            </w:r>
          </w:p>
        </w:tc>
      </w:tr>
      <w:tr w:rsidR="00C30150" w14:paraId="4518F046" w14:textId="77777777" w:rsidTr="00A23CAE">
        <w:trPr>
          <w:trHeight w:val="730"/>
        </w:trPr>
        <w:tc>
          <w:tcPr>
            <w:tcW w:w="799" w:type="pct"/>
            <w:vMerge w:val="restart"/>
            <w:shd w:val="clear" w:color="auto" w:fill="auto"/>
          </w:tcPr>
          <w:p w14:paraId="5E1DD550" w14:textId="77777777" w:rsidR="00C30150" w:rsidRPr="00CD0354" w:rsidRDefault="00C30150" w:rsidP="00C26176">
            <w:pPr>
              <w:pStyle w:val="NormalIndented"/>
              <w:ind w:left="0"/>
              <w:rPr>
                <w:b/>
                <w:bCs/>
              </w:rPr>
            </w:pPr>
            <w:r w:rsidRPr="00CD0354">
              <w:rPr>
                <w:rFonts w:asciiTheme="minorHAnsi" w:eastAsia="Times New Roman" w:hAnsiTheme="minorHAnsi"/>
                <w:b/>
                <w:bCs/>
                <w:iCs/>
                <w:szCs w:val="17"/>
                <w:lang w:eastAsia="en-US"/>
              </w:rPr>
              <w:t>Objective 1</w:t>
            </w:r>
          </w:p>
          <w:p w14:paraId="398D3FD8" w14:textId="77777777" w:rsidR="00C30150" w:rsidRPr="00085E5F" w:rsidRDefault="00C30150" w:rsidP="00C26176">
            <w:pPr>
              <w:pStyle w:val="NormalIndented"/>
              <w:ind w:left="0"/>
              <w:rPr>
                <w:rFonts w:asciiTheme="minorHAnsi" w:hAnsiTheme="minorHAnsi"/>
                <w:i/>
                <w:color w:val="FF0000"/>
                <w:sz w:val="18"/>
              </w:rPr>
            </w:pPr>
            <w:r w:rsidRPr="007B3CE4">
              <w:rPr>
                <w:rFonts w:asciiTheme="minorHAnsi" w:eastAsia="Times New Roman" w:hAnsiTheme="minorHAnsi"/>
                <w:iCs/>
                <w:szCs w:val="17"/>
                <w:lang w:eastAsia="en-US"/>
              </w:rPr>
              <w:t>More disadvantaged girls and boys complete a quality basic education</w:t>
            </w:r>
          </w:p>
        </w:tc>
        <w:tc>
          <w:tcPr>
            <w:tcW w:w="1505" w:type="pct"/>
            <w:shd w:val="clear" w:color="auto" w:fill="auto"/>
            <w:vAlign w:val="center"/>
          </w:tcPr>
          <w:p w14:paraId="7AD71CE1" w14:textId="77777777" w:rsidR="00C30150" w:rsidRPr="00C30150" w:rsidRDefault="00C30150" w:rsidP="00C30150">
            <w:pPr>
              <w:pStyle w:val="NormalIndented"/>
              <w:ind w:left="0"/>
              <w:rPr>
                <w:rFonts w:asciiTheme="minorHAnsi" w:eastAsia="Times New Roman" w:hAnsiTheme="minorHAnsi"/>
                <w:iCs/>
                <w:szCs w:val="17"/>
                <w:lang w:eastAsia="en-US"/>
              </w:rPr>
            </w:pPr>
            <w:r w:rsidRPr="00C30150">
              <w:rPr>
                <w:rFonts w:asciiTheme="minorHAnsi" w:eastAsia="Times New Roman" w:hAnsiTheme="minorHAnsi"/>
                <w:iCs/>
                <w:szCs w:val="17"/>
                <w:lang w:eastAsia="en-US"/>
              </w:rPr>
              <w:t xml:space="preserve">Percentage of staff within MoES assigned to curriculum writing and development who can operate with minimal specialist technical </w:t>
            </w:r>
            <w:r w:rsidR="002C103E" w:rsidRPr="00C30150">
              <w:rPr>
                <w:rFonts w:asciiTheme="minorHAnsi" w:eastAsia="Times New Roman" w:hAnsiTheme="minorHAnsi"/>
                <w:iCs/>
                <w:szCs w:val="17"/>
                <w:lang w:eastAsia="en-US"/>
              </w:rPr>
              <w:t>support</w:t>
            </w:r>
            <w:r w:rsidR="002C103E">
              <w:rPr>
                <w:rFonts w:asciiTheme="minorHAnsi" w:eastAsia="Times New Roman" w:hAnsiTheme="minorHAnsi"/>
                <w:iCs/>
                <w:szCs w:val="17"/>
                <w:lang w:eastAsia="en-US"/>
              </w:rPr>
              <w:t>.</w:t>
            </w:r>
          </w:p>
        </w:tc>
        <w:tc>
          <w:tcPr>
            <w:tcW w:w="798" w:type="pct"/>
            <w:shd w:val="clear" w:color="auto" w:fill="auto"/>
            <w:hideMark/>
          </w:tcPr>
          <w:p w14:paraId="297BD4A8" w14:textId="77777777" w:rsidR="00C30150" w:rsidRPr="006C0672" w:rsidRDefault="006C0672" w:rsidP="00A75E1E">
            <w:pPr>
              <w:pStyle w:val="NormalIndented"/>
              <w:ind w:left="33"/>
              <w:jc w:val="center"/>
              <w:rPr>
                <w:rFonts w:asciiTheme="minorHAnsi" w:eastAsia="Times New Roman" w:hAnsiTheme="minorHAnsi"/>
                <w:iCs/>
                <w:szCs w:val="17"/>
                <w:lang w:eastAsia="en-US"/>
              </w:rPr>
            </w:pPr>
            <w:r w:rsidRPr="006C0672">
              <w:rPr>
                <w:rFonts w:asciiTheme="minorHAnsi" w:eastAsia="Times New Roman" w:hAnsiTheme="minorHAnsi"/>
                <w:iCs/>
                <w:szCs w:val="17"/>
                <w:lang w:eastAsia="en-US"/>
              </w:rPr>
              <w:t>20%</w:t>
            </w:r>
          </w:p>
        </w:tc>
        <w:tc>
          <w:tcPr>
            <w:tcW w:w="1898" w:type="pct"/>
            <w:shd w:val="clear" w:color="auto" w:fill="auto"/>
            <w:hideMark/>
          </w:tcPr>
          <w:p w14:paraId="0E9A00AF" w14:textId="77777777" w:rsidR="00C30150" w:rsidRPr="006C0672" w:rsidRDefault="006C0672" w:rsidP="00A75E1E">
            <w:pPr>
              <w:pStyle w:val="NormalIndented"/>
              <w:jc w:val="center"/>
              <w:rPr>
                <w:rFonts w:asciiTheme="minorHAnsi" w:eastAsia="Times New Roman" w:hAnsiTheme="minorHAnsi"/>
                <w:iCs/>
                <w:szCs w:val="17"/>
                <w:lang w:eastAsia="en-US"/>
              </w:rPr>
            </w:pPr>
            <w:r w:rsidRPr="006C0672">
              <w:rPr>
                <w:rFonts w:asciiTheme="minorHAnsi" w:eastAsia="Times New Roman" w:hAnsiTheme="minorHAnsi"/>
                <w:iCs/>
                <w:szCs w:val="17"/>
                <w:lang w:eastAsia="en-US"/>
              </w:rPr>
              <w:t>40%</w:t>
            </w:r>
          </w:p>
        </w:tc>
      </w:tr>
      <w:tr w:rsidR="00C30150" w14:paraId="38883304" w14:textId="77777777" w:rsidTr="00A23CAE">
        <w:trPr>
          <w:trHeight w:val="730"/>
        </w:trPr>
        <w:tc>
          <w:tcPr>
            <w:tcW w:w="799" w:type="pct"/>
            <w:vMerge/>
            <w:shd w:val="clear" w:color="auto" w:fill="auto"/>
          </w:tcPr>
          <w:p w14:paraId="68C677D5" w14:textId="77777777" w:rsidR="00C30150" w:rsidRPr="00CD0354" w:rsidRDefault="00C30150" w:rsidP="00C26176">
            <w:pPr>
              <w:pStyle w:val="NormalIndented"/>
              <w:ind w:left="0"/>
              <w:rPr>
                <w:rFonts w:eastAsia="Times New Roman"/>
                <w:b/>
                <w:bCs/>
                <w:iCs/>
                <w:szCs w:val="17"/>
              </w:rPr>
            </w:pPr>
          </w:p>
        </w:tc>
        <w:tc>
          <w:tcPr>
            <w:tcW w:w="1505" w:type="pct"/>
            <w:shd w:val="clear" w:color="auto" w:fill="auto"/>
            <w:vAlign w:val="center"/>
          </w:tcPr>
          <w:p w14:paraId="20F00E62" w14:textId="77777777" w:rsidR="00C30150" w:rsidRPr="00C30150" w:rsidRDefault="00C30150" w:rsidP="006C0672">
            <w:pPr>
              <w:pStyle w:val="NormalIndented"/>
              <w:ind w:left="0"/>
              <w:rPr>
                <w:rFonts w:asciiTheme="minorHAnsi" w:eastAsia="Times New Roman" w:hAnsiTheme="minorHAnsi"/>
                <w:iCs/>
                <w:szCs w:val="17"/>
                <w:lang w:eastAsia="en-US"/>
              </w:rPr>
            </w:pPr>
            <w:r w:rsidRPr="00C30150">
              <w:rPr>
                <w:rFonts w:asciiTheme="minorHAnsi" w:eastAsia="Times New Roman" w:hAnsiTheme="minorHAnsi"/>
                <w:iCs/>
                <w:szCs w:val="17"/>
                <w:lang w:eastAsia="en-US"/>
              </w:rPr>
              <w:t xml:space="preserve">Percentage of Grade 1 teachers demonstrating knowledge of the new grade 1 curriculum in classroom practice </w:t>
            </w:r>
          </w:p>
        </w:tc>
        <w:tc>
          <w:tcPr>
            <w:tcW w:w="798" w:type="pct"/>
            <w:shd w:val="clear" w:color="auto" w:fill="auto"/>
          </w:tcPr>
          <w:p w14:paraId="34647D93" w14:textId="77777777" w:rsidR="00C30150" w:rsidRPr="006C0672" w:rsidRDefault="006C0672" w:rsidP="00A75E1E">
            <w:pPr>
              <w:pStyle w:val="NormalIndented"/>
              <w:ind w:left="33"/>
              <w:jc w:val="center"/>
              <w:rPr>
                <w:rFonts w:asciiTheme="minorHAnsi" w:eastAsia="Times New Roman" w:hAnsiTheme="minorHAnsi"/>
                <w:iCs/>
                <w:szCs w:val="17"/>
                <w:lang w:eastAsia="en-US"/>
              </w:rPr>
            </w:pPr>
            <w:r w:rsidRPr="006C0672">
              <w:rPr>
                <w:rFonts w:asciiTheme="minorHAnsi" w:eastAsia="Times New Roman" w:hAnsiTheme="minorHAnsi"/>
                <w:iCs/>
                <w:szCs w:val="17"/>
                <w:lang w:eastAsia="en-US"/>
              </w:rPr>
              <w:t>NA</w:t>
            </w:r>
          </w:p>
        </w:tc>
        <w:tc>
          <w:tcPr>
            <w:tcW w:w="1898" w:type="pct"/>
            <w:shd w:val="clear" w:color="auto" w:fill="auto"/>
          </w:tcPr>
          <w:p w14:paraId="0E323E2E" w14:textId="77777777" w:rsidR="00C30150" w:rsidRPr="006C0672" w:rsidRDefault="006C0672" w:rsidP="00A75E1E">
            <w:pPr>
              <w:pStyle w:val="NormalIndented"/>
              <w:jc w:val="center"/>
              <w:rPr>
                <w:rFonts w:asciiTheme="minorHAnsi" w:eastAsia="Times New Roman" w:hAnsiTheme="minorHAnsi"/>
                <w:iCs/>
                <w:szCs w:val="17"/>
                <w:lang w:eastAsia="en-US"/>
              </w:rPr>
            </w:pPr>
            <w:r w:rsidRPr="006C0672">
              <w:rPr>
                <w:rFonts w:asciiTheme="minorHAnsi" w:eastAsia="Times New Roman" w:hAnsiTheme="minorHAnsi"/>
                <w:iCs/>
                <w:szCs w:val="17"/>
                <w:lang w:eastAsia="en-US"/>
              </w:rPr>
              <w:t xml:space="preserve">At least 60% </w:t>
            </w:r>
            <w:r>
              <w:rPr>
                <w:rFonts w:asciiTheme="minorHAnsi" w:eastAsia="Times New Roman" w:hAnsiTheme="minorHAnsi"/>
                <w:iCs/>
                <w:szCs w:val="17"/>
                <w:lang w:eastAsia="en-US"/>
              </w:rPr>
              <w:t>of Grade 1 teachers by June 2020</w:t>
            </w:r>
          </w:p>
        </w:tc>
      </w:tr>
      <w:tr w:rsidR="00C30150" w14:paraId="7D3D8F3F" w14:textId="77777777" w:rsidTr="00A23CAE">
        <w:trPr>
          <w:trHeight w:val="730"/>
        </w:trPr>
        <w:tc>
          <w:tcPr>
            <w:tcW w:w="799" w:type="pct"/>
            <w:vMerge/>
            <w:shd w:val="clear" w:color="auto" w:fill="auto"/>
          </w:tcPr>
          <w:p w14:paraId="5C1A0528" w14:textId="77777777" w:rsidR="00C30150" w:rsidRPr="00CD0354" w:rsidRDefault="00C30150" w:rsidP="00C26176">
            <w:pPr>
              <w:pStyle w:val="NormalIndented"/>
              <w:ind w:left="0"/>
              <w:rPr>
                <w:rFonts w:eastAsia="Times New Roman"/>
                <w:b/>
                <w:bCs/>
                <w:iCs/>
                <w:szCs w:val="17"/>
              </w:rPr>
            </w:pPr>
          </w:p>
        </w:tc>
        <w:tc>
          <w:tcPr>
            <w:tcW w:w="1505" w:type="pct"/>
            <w:shd w:val="clear" w:color="auto" w:fill="auto"/>
            <w:vAlign w:val="center"/>
          </w:tcPr>
          <w:p w14:paraId="6D44AE2A" w14:textId="77777777" w:rsidR="00C30150" w:rsidRPr="00C30150" w:rsidRDefault="00C30150" w:rsidP="006C0672">
            <w:pPr>
              <w:spacing w:after="120"/>
              <w:contextualSpacing/>
              <w:rPr>
                <w:rFonts w:asciiTheme="minorHAnsi" w:eastAsia="Times New Roman" w:hAnsiTheme="minorHAnsi"/>
                <w:iCs/>
                <w:szCs w:val="17"/>
                <w:lang w:eastAsia="en-US"/>
              </w:rPr>
            </w:pPr>
            <w:r w:rsidRPr="00C30150">
              <w:rPr>
                <w:rFonts w:asciiTheme="minorHAnsi" w:eastAsia="Times New Roman" w:hAnsiTheme="minorHAnsi"/>
                <w:iCs/>
                <w:szCs w:val="17"/>
                <w:lang w:eastAsia="en-US"/>
              </w:rPr>
              <w:t>Percentage of PESS and DESB successfully using ESGs for the purpose intended and reporting according to grant agreements.</w:t>
            </w:r>
          </w:p>
        </w:tc>
        <w:tc>
          <w:tcPr>
            <w:tcW w:w="798" w:type="pct"/>
            <w:shd w:val="clear" w:color="auto" w:fill="auto"/>
          </w:tcPr>
          <w:p w14:paraId="7EDA6AE7" w14:textId="77777777" w:rsidR="00C30150" w:rsidRPr="006C0672" w:rsidRDefault="006C0672" w:rsidP="00A75E1E">
            <w:pPr>
              <w:pStyle w:val="NormalIndented"/>
              <w:ind w:left="33"/>
              <w:jc w:val="center"/>
              <w:rPr>
                <w:rFonts w:asciiTheme="minorHAnsi" w:eastAsia="Times New Roman" w:hAnsiTheme="minorHAnsi"/>
                <w:iCs/>
                <w:szCs w:val="17"/>
                <w:lang w:eastAsia="en-US"/>
              </w:rPr>
            </w:pPr>
            <w:r w:rsidRPr="006C0672">
              <w:rPr>
                <w:rFonts w:asciiTheme="minorHAnsi" w:eastAsia="Times New Roman" w:hAnsiTheme="minorHAnsi"/>
                <w:iCs/>
                <w:szCs w:val="17"/>
                <w:lang w:eastAsia="en-US"/>
              </w:rPr>
              <w:t>18 PESS and 32 DESB staff trained in financial management and accounting for ESG by May 2019</w:t>
            </w:r>
          </w:p>
        </w:tc>
        <w:tc>
          <w:tcPr>
            <w:tcW w:w="1898" w:type="pct"/>
            <w:shd w:val="clear" w:color="auto" w:fill="auto"/>
          </w:tcPr>
          <w:p w14:paraId="1C44249E" w14:textId="77777777" w:rsidR="00C30150" w:rsidRPr="006C0672" w:rsidRDefault="006C0672" w:rsidP="00A75E1E">
            <w:pPr>
              <w:pStyle w:val="NormalIndented"/>
              <w:jc w:val="center"/>
              <w:rPr>
                <w:rFonts w:asciiTheme="minorHAnsi" w:eastAsia="Times New Roman" w:hAnsiTheme="minorHAnsi"/>
                <w:iCs/>
                <w:szCs w:val="17"/>
                <w:lang w:eastAsia="en-US"/>
              </w:rPr>
            </w:pPr>
            <w:r w:rsidRPr="006C0672">
              <w:rPr>
                <w:rFonts w:asciiTheme="minorHAnsi" w:eastAsia="Times New Roman" w:hAnsiTheme="minorHAnsi"/>
                <w:iCs/>
                <w:szCs w:val="17"/>
                <w:lang w:eastAsia="en-US"/>
              </w:rPr>
              <w:t>100% of PESS and DESB successfully managing ESGs by Dec 2019</w:t>
            </w:r>
          </w:p>
        </w:tc>
      </w:tr>
      <w:tr w:rsidR="00C30150" w14:paraId="548A47DA" w14:textId="77777777" w:rsidTr="00F359BE">
        <w:trPr>
          <w:trHeight w:val="730"/>
        </w:trPr>
        <w:tc>
          <w:tcPr>
            <w:tcW w:w="799" w:type="pct"/>
            <w:vMerge/>
          </w:tcPr>
          <w:p w14:paraId="3DAD5986" w14:textId="77777777" w:rsidR="00C30150" w:rsidRPr="00CD0354" w:rsidRDefault="00C30150" w:rsidP="00C26176">
            <w:pPr>
              <w:pStyle w:val="NormalIndented"/>
              <w:ind w:left="0"/>
              <w:rPr>
                <w:rFonts w:eastAsia="Times New Roman"/>
                <w:b/>
                <w:bCs/>
                <w:iCs/>
                <w:szCs w:val="17"/>
              </w:rPr>
            </w:pPr>
          </w:p>
        </w:tc>
        <w:tc>
          <w:tcPr>
            <w:tcW w:w="1505" w:type="pct"/>
            <w:vAlign w:val="center"/>
          </w:tcPr>
          <w:p w14:paraId="3E504A6A" w14:textId="77777777" w:rsidR="00C30150" w:rsidRPr="00C30150" w:rsidRDefault="00C30150" w:rsidP="00092360">
            <w:pPr>
              <w:pStyle w:val="NormalIndented"/>
              <w:spacing w:before="0"/>
              <w:ind w:left="0"/>
              <w:rPr>
                <w:rFonts w:asciiTheme="minorHAnsi" w:eastAsia="Times New Roman" w:hAnsiTheme="minorHAnsi"/>
                <w:iCs/>
                <w:szCs w:val="17"/>
                <w:lang w:eastAsia="en-US"/>
              </w:rPr>
            </w:pPr>
            <w:r w:rsidRPr="00C30150">
              <w:rPr>
                <w:rFonts w:asciiTheme="minorHAnsi" w:eastAsia="Times New Roman" w:hAnsiTheme="minorHAnsi"/>
                <w:iCs/>
                <w:szCs w:val="17"/>
                <w:lang w:eastAsia="en-US"/>
              </w:rPr>
              <w:t xml:space="preserve">Percentage of graduated ethnic teachers – </w:t>
            </w:r>
            <w:r w:rsidR="007A7A57">
              <w:rPr>
                <w:rFonts w:asciiTheme="minorHAnsi" w:eastAsia="Times New Roman" w:hAnsiTheme="minorHAnsi"/>
                <w:iCs/>
                <w:szCs w:val="17"/>
                <w:lang w:eastAsia="en-US"/>
              </w:rPr>
              <w:t>6</w:t>
            </w:r>
            <w:r w:rsidRPr="00C30150">
              <w:rPr>
                <w:rFonts w:asciiTheme="minorHAnsi" w:eastAsia="Times New Roman" w:hAnsiTheme="minorHAnsi"/>
                <w:iCs/>
                <w:szCs w:val="17"/>
                <w:lang w:eastAsia="en-US"/>
              </w:rPr>
              <w:t>0% female – are deployed and teaching effectively in tar</w:t>
            </w:r>
            <w:r w:rsidR="006C0672">
              <w:rPr>
                <w:rFonts w:asciiTheme="minorHAnsi" w:eastAsia="Times New Roman" w:hAnsiTheme="minorHAnsi"/>
                <w:iCs/>
                <w:szCs w:val="17"/>
                <w:lang w:eastAsia="en-US"/>
              </w:rPr>
              <w:t xml:space="preserve">geted schools. </w:t>
            </w:r>
          </w:p>
        </w:tc>
        <w:tc>
          <w:tcPr>
            <w:tcW w:w="798" w:type="pct"/>
          </w:tcPr>
          <w:p w14:paraId="29438B18" w14:textId="77777777" w:rsidR="00C30150" w:rsidRPr="006C0672" w:rsidRDefault="00AB4A31" w:rsidP="00AB4A31">
            <w:pPr>
              <w:pStyle w:val="NormalIndented"/>
              <w:ind w:left="33"/>
              <w:jc w:val="center"/>
              <w:rPr>
                <w:rFonts w:asciiTheme="minorHAnsi" w:eastAsia="Times New Roman" w:hAnsiTheme="minorHAnsi"/>
                <w:iCs/>
                <w:szCs w:val="17"/>
                <w:lang w:eastAsia="en-US"/>
              </w:rPr>
            </w:pPr>
            <w:r>
              <w:rPr>
                <w:rFonts w:asciiTheme="minorHAnsi" w:eastAsia="Times New Roman" w:hAnsiTheme="minorHAnsi"/>
                <w:iCs/>
                <w:szCs w:val="17"/>
                <w:lang w:eastAsia="en-US"/>
              </w:rPr>
              <w:t>90% (212)</w:t>
            </w:r>
            <w:r w:rsidRPr="006F674D">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 xml:space="preserve">of cohort 1 </w:t>
            </w:r>
            <w:r w:rsidRPr="006F674D">
              <w:rPr>
                <w:rFonts w:asciiTheme="minorHAnsi" w:eastAsia="Times New Roman" w:hAnsiTheme="minorHAnsi"/>
                <w:iCs/>
                <w:szCs w:val="17"/>
                <w:lang w:eastAsia="en-US"/>
              </w:rPr>
              <w:t>graduated ethnic teachers are deployed and teaching effective</w:t>
            </w:r>
            <w:r>
              <w:rPr>
                <w:rFonts w:asciiTheme="minorHAnsi" w:eastAsia="Times New Roman" w:hAnsiTheme="minorHAnsi"/>
                <w:iCs/>
                <w:szCs w:val="17"/>
                <w:lang w:eastAsia="en-US"/>
              </w:rPr>
              <w:t>ly in targeted schools.</w:t>
            </w:r>
          </w:p>
        </w:tc>
        <w:tc>
          <w:tcPr>
            <w:tcW w:w="1898" w:type="pct"/>
          </w:tcPr>
          <w:p w14:paraId="1F3BCF3E" w14:textId="77777777" w:rsidR="00C30150" w:rsidRPr="006C0672" w:rsidRDefault="006C0672" w:rsidP="00A75E1E">
            <w:pPr>
              <w:pStyle w:val="NormalIndented"/>
              <w:jc w:val="center"/>
              <w:rPr>
                <w:rFonts w:asciiTheme="minorHAnsi" w:eastAsia="Times New Roman" w:hAnsiTheme="minorHAnsi"/>
                <w:iCs/>
                <w:szCs w:val="17"/>
                <w:lang w:eastAsia="en-US"/>
              </w:rPr>
            </w:pPr>
            <w:r w:rsidRPr="006C0672">
              <w:rPr>
                <w:rFonts w:asciiTheme="minorHAnsi" w:eastAsia="Times New Roman" w:hAnsiTheme="minorHAnsi"/>
                <w:iCs/>
                <w:szCs w:val="17"/>
                <w:lang w:eastAsia="en-US"/>
              </w:rPr>
              <w:t>90% (124) of Cohort 2 Ethnic teacher</w:t>
            </w:r>
            <w:r w:rsidR="00AB4A31">
              <w:rPr>
                <w:rFonts w:asciiTheme="minorHAnsi" w:eastAsia="Times New Roman" w:hAnsiTheme="minorHAnsi"/>
                <w:iCs/>
                <w:szCs w:val="17"/>
                <w:lang w:eastAsia="en-US"/>
              </w:rPr>
              <w:t>s are deployed and teaching effectively in targeted schools.</w:t>
            </w:r>
          </w:p>
        </w:tc>
      </w:tr>
      <w:tr w:rsidR="00F47335" w14:paraId="41F95DC3" w14:textId="77777777" w:rsidTr="007205CC">
        <w:trPr>
          <w:trHeight w:val="730"/>
        </w:trPr>
        <w:tc>
          <w:tcPr>
            <w:tcW w:w="799" w:type="pct"/>
            <w:vMerge w:val="restart"/>
            <w:shd w:val="clear" w:color="auto" w:fill="F2F2F2" w:themeFill="background1" w:themeFillShade="F2"/>
          </w:tcPr>
          <w:p w14:paraId="57F3573A" w14:textId="77777777" w:rsidR="00F47335" w:rsidRPr="00CD0354" w:rsidRDefault="00F47335" w:rsidP="00C26176">
            <w:pPr>
              <w:pStyle w:val="NormalIndented"/>
              <w:ind w:left="0"/>
              <w:rPr>
                <w:rFonts w:asciiTheme="minorHAnsi" w:eastAsia="Times New Roman" w:hAnsiTheme="minorHAnsi"/>
                <w:b/>
                <w:bCs/>
                <w:iCs/>
                <w:szCs w:val="17"/>
                <w:lang w:eastAsia="en-US"/>
              </w:rPr>
            </w:pPr>
            <w:r w:rsidRPr="00CD0354">
              <w:rPr>
                <w:rFonts w:asciiTheme="minorHAnsi" w:eastAsia="Times New Roman" w:hAnsiTheme="minorHAnsi"/>
                <w:b/>
                <w:bCs/>
                <w:iCs/>
                <w:szCs w:val="17"/>
                <w:lang w:eastAsia="en-US"/>
              </w:rPr>
              <w:t xml:space="preserve">Objective 2 </w:t>
            </w:r>
          </w:p>
          <w:p w14:paraId="2D662E87" w14:textId="77777777" w:rsidR="00F47335" w:rsidRPr="00085E5F" w:rsidRDefault="00F47335" w:rsidP="00C26176">
            <w:pPr>
              <w:pStyle w:val="NormalIndented"/>
              <w:ind w:left="0"/>
              <w:rPr>
                <w:rFonts w:eastAsia="Times New Roman"/>
                <w:iCs/>
                <w:color w:val="FF0000"/>
                <w:szCs w:val="17"/>
              </w:rPr>
            </w:pPr>
            <w:r w:rsidRPr="007B3CE4">
              <w:rPr>
                <w:rFonts w:asciiTheme="minorHAnsi" w:eastAsia="Times New Roman" w:hAnsiTheme="minorHAnsi"/>
                <w:iCs/>
                <w:szCs w:val="17"/>
                <w:lang w:eastAsia="en-US"/>
              </w:rPr>
              <w:t>Improving Laos’ human resources through scholarships, training and organisational capacity building</w:t>
            </w:r>
          </w:p>
        </w:tc>
        <w:tc>
          <w:tcPr>
            <w:tcW w:w="1505" w:type="pct"/>
            <w:shd w:val="clear" w:color="auto" w:fill="F2F2F2" w:themeFill="background1" w:themeFillShade="F2"/>
            <w:vAlign w:val="center"/>
          </w:tcPr>
          <w:p w14:paraId="4413BE72" w14:textId="77777777" w:rsidR="00F47335" w:rsidRPr="00FB23FC" w:rsidRDefault="00F47335" w:rsidP="00FB23FC">
            <w:pPr>
              <w:rPr>
                <w:rFonts w:asciiTheme="minorHAnsi" w:eastAsia="Times New Roman" w:hAnsiTheme="minorHAnsi"/>
                <w:iCs/>
                <w:szCs w:val="17"/>
                <w:lang w:eastAsia="en-US"/>
              </w:rPr>
            </w:pPr>
            <w:r w:rsidRPr="00FB23FC">
              <w:rPr>
                <w:rFonts w:asciiTheme="minorHAnsi" w:eastAsia="Times New Roman" w:hAnsiTheme="minorHAnsi"/>
                <w:iCs/>
                <w:szCs w:val="17"/>
                <w:lang w:eastAsia="en-US"/>
              </w:rPr>
              <w:t>% of Long Term Scholarship awardees successfully completing studies</w:t>
            </w:r>
            <w:r w:rsidRPr="00FB23FC">
              <w:rPr>
                <w:rFonts w:asciiTheme="minorHAnsi" w:eastAsia="Times New Roman" w:hAnsiTheme="minorHAnsi"/>
                <w:iCs/>
                <w:szCs w:val="17"/>
                <w:lang w:eastAsia="en-US"/>
              </w:rPr>
              <w:footnoteReference w:id="2"/>
            </w:r>
          </w:p>
        </w:tc>
        <w:tc>
          <w:tcPr>
            <w:tcW w:w="798" w:type="pct"/>
            <w:shd w:val="clear" w:color="auto" w:fill="F2F2F2" w:themeFill="background1" w:themeFillShade="F2"/>
            <w:vAlign w:val="center"/>
          </w:tcPr>
          <w:p w14:paraId="447DE73E" w14:textId="77777777" w:rsidR="00F47335" w:rsidRPr="00FB23FC" w:rsidRDefault="00F47335" w:rsidP="00F47335">
            <w:pPr>
              <w:jc w:val="center"/>
              <w:rPr>
                <w:rFonts w:asciiTheme="minorHAnsi" w:eastAsia="Times New Roman" w:hAnsiTheme="minorHAnsi"/>
                <w:iCs/>
                <w:szCs w:val="17"/>
                <w:lang w:eastAsia="en-US"/>
              </w:rPr>
            </w:pPr>
            <w:r w:rsidRPr="00FB23FC">
              <w:rPr>
                <w:rFonts w:asciiTheme="minorHAnsi" w:eastAsia="Times New Roman" w:hAnsiTheme="minorHAnsi"/>
                <w:iCs/>
                <w:szCs w:val="17"/>
                <w:lang w:eastAsia="en-US"/>
              </w:rPr>
              <w:t>90% AAS</w:t>
            </w:r>
          </w:p>
          <w:p w14:paraId="2D1D0878" w14:textId="77777777" w:rsidR="00F47335" w:rsidRPr="00FB23FC" w:rsidRDefault="00F47335" w:rsidP="00F47335">
            <w:pPr>
              <w:pStyle w:val="NormalIndented"/>
              <w:ind w:left="33"/>
              <w:jc w:val="center"/>
              <w:rPr>
                <w:rFonts w:asciiTheme="minorHAnsi" w:eastAsia="Times New Roman" w:hAnsiTheme="minorHAnsi"/>
                <w:iCs/>
                <w:szCs w:val="17"/>
                <w:lang w:eastAsia="en-US"/>
              </w:rPr>
            </w:pPr>
            <w:r w:rsidRPr="00FB23FC">
              <w:rPr>
                <w:rFonts w:asciiTheme="minorHAnsi" w:eastAsia="Times New Roman" w:hAnsiTheme="minorHAnsi"/>
                <w:iCs/>
                <w:szCs w:val="17"/>
                <w:lang w:eastAsia="en-US"/>
              </w:rPr>
              <w:t>95 % LANS</w:t>
            </w:r>
          </w:p>
        </w:tc>
        <w:tc>
          <w:tcPr>
            <w:tcW w:w="1898" w:type="pct"/>
            <w:shd w:val="clear" w:color="auto" w:fill="F2F2F2" w:themeFill="background1" w:themeFillShade="F2"/>
            <w:vAlign w:val="center"/>
          </w:tcPr>
          <w:p w14:paraId="4DDAC05B" w14:textId="77777777" w:rsidR="00F47335" w:rsidRPr="00F47335" w:rsidRDefault="00F47335" w:rsidP="00F47335">
            <w:pPr>
              <w:jc w:val="center"/>
              <w:rPr>
                <w:rFonts w:asciiTheme="minorHAnsi" w:eastAsia="Times New Roman" w:hAnsiTheme="minorHAnsi"/>
                <w:iCs/>
                <w:szCs w:val="17"/>
                <w:lang w:eastAsia="en-US"/>
              </w:rPr>
            </w:pPr>
            <w:r w:rsidRPr="00F47335">
              <w:rPr>
                <w:rFonts w:asciiTheme="minorHAnsi" w:eastAsia="Times New Roman" w:hAnsiTheme="minorHAnsi"/>
                <w:iCs/>
                <w:szCs w:val="17"/>
                <w:lang w:eastAsia="en-US"/>
              </w:rPr>
              <w:t>90% AAS</w:t>
            </w:r>
          </w:p>
          <w:p w14:paraId="5C1237F3" w14:textId="77777777" w:rsidR="00F47335" w:rsidRPr="00F47335" w:rsidRDefault="00F47335" w:rsidP="00F47335">
            <w:pPr>
              <w:pStyle w:val="NormalIndented"/>
              <w:ind w:left="0"/>
              <w:jc w:val="center"/>
              <w:rPr>
                <w:rFonts w:asciiTheme="minorHAnsi" w:eastAsia="Times New Roman" w:hAnsiTheme="minorHAnsi"/>
                <w:iCs/>
                <w:szCs w:val="17"/>
                <w:lang w:eastAsia="en-US"/>
              </w:rPr>
            </w:pPr>
            <w:r w:rsidRPr="00F47335">
              <w:rPr>
                <w:rFonts w:asciiTheme="minorHAnsi" w:eastAsia="Times New Roman" w:hAnsiTheme="minorHAnsi"/>
                <w:iCs/>
                <w:szCs w:val="17"/>
                <w:lang w:eastAsia="en-US"/>
              </w:rPr>
              <w:t>95% LANS</w:t>
            </w:r>
          </w:p>
        </w:tc>
      </w:tr>
      <w:tr w:rsidR="00F47335" w14:paraId="49BBA9F5" w14:textId="77777777" w:rsidTr="007205CC">
        <w:trPr>
          <w:trHeight w:val="730"/>
        </w:trPr>
        <w:tc>
          <w:tcPr>
            <w:tcW w:w="799" w:type="pct"/>
            <w:vMerge/>
            <w:shd w:val="clear" w:color="auto" w:fill="F2F2F2" w:themeFill="background1" w:themeFillShade="F2"/>
          </w:tcPr>
          <w:p w14:paraId="168EDEAE" w14:textId="77777777" w:rsidR="00F47335" w:rsidRPr="00CD0354" w:rsidRDefault="00F47335" w:rsidP="00C26176">
            <w:pPr>
              <w:pStyle w:val="NormalIndented"/>
              <w:ind w:left="0"/>
              <w:rPr>
                <w:rFonts w:eastAsia="Times New Roman"/>
                <w:b/>
                <w:bCs/>
                <w:iCs/>
                <w:szCs w:val="17"/>
              </w:rPr>
            </w:pPr>
          </w:p>
        </w:tc>
        <w:tc>
          <w:tcPr>
            <w:tcW w:w="1505" w:type="pct"/>
            <w:shd w:val="clear" w:color="auto" w:fill="F2F2F2" w:themeFill="background1" w:themeFillShade="F2"/>
            <w:vAlign w:val="center"/>
          </w:tcPr>
          <w:p w14:paraId="02016EB7" w14:textId="77777777" w:rsidR="00F47335" w:rsidRPr="00FB23FC" w:rsidRDefault="00F47335" w:rsidP="00FB23FC">
            <w:pPr>
              <w:pStyle w:val="NormalIndented"/>
              <w:ind w:left="0"/>
              <w:rPr>
                <w:rFonts w:asciiTheme="minorHAnsi" w:eastAsia="Times New Roman" w:hAnsiTheme="minorHAnsi"/>
                <w:iCs/>
                <w:szCs w:val="17"/>
                <w:lang w:eastAsia="en-US"/>
              </w:rPr>
            </w:pPr>
            <w:r w:rsidRPr="00FB23FC">
              <w:rPr>
                <w:rFonts w:asciiTheme="minorHAnsi" w:eastAsia="Times New Roman" w:hAnsiTheme="minorHAnsi"/>
                <w:iCs/>
                <w:szCs w:val="17"/>
                <w:lang w:eastAsia="en-US"/>
              </w:rPr>
              <w:t>% of alumni able to provide examples of relevant contributions to development in Laos at selected periods after receiving support (i.e. post Short Course, or Long Term Scholarships completion)</w:t>
            </w:r>
            <w:r w:rsidRPr="00FB23FC">
              <w:rPr>
                <w:rFonts w:asciiTheme="minorHAnsi" w:eastAsia="Times New Roman" w:hAnsiTheme="minorHAnsi"/>
                <w:iCs/>
                <w:szCs w:val="17"/>
                <w:lang w:eastAsia="en-US"/>
              </w:rPr>
              <w:footnoteReference w:id="3"/>
            </w:r>
            <w:r w:rsidRPr="00FB23FC">
              <w:rPr>
                <w:rFonts w:asciiTheme="minorHAnsi" w:eastAsia="Times New Roman" w:hAnsiTheme="minorHAnsi"/>
                <w:iCs/>
                <w:szCs w:val="17"/>
                <w:lang w:eastAsia="en-US"/>
              </w:rPr>
              <w:t xml:space="preserve"> </w:t>
            </w:r>
          </w:p>
        </w:tc>
        <w:tc>
          <w:tcPr>
            <w:tcW w:w="798" w:type="pct"/>
            <w:shd w:val="clear" w:color="auto" w:fill="F2F2F2" w:themeFill="background1" w:themeFillShade="F2"/>
            <w:vAlign w:val="center"/>
          </w:tcPr>
          <w:p w14:paraId="0C010A1F" w14:textId="77777777" w:rsidR="00F47335" w:rsidRPr="00FB23FC" w:rsidRDefault="00F47335" w:rsidP="00F47335">
            <w:pPr>
              <w:jc w:val="center"/>
              <w:rPr>
                <w:rFonts w:asciiTheme="minorHAnsi" w:eastAsia="Times New Roman" w:hAnsiTheme="minorHAnsi"/>
                <w:iCs/>
                <w:szCs w:val="17"/>
                <w:lang w:eastAsia="en-US"/>
              </w:rPr>
            </w:pPr>
            <w:r w:rsidRPr="00FB23FC">
              <w:rPr>
                <w:rFonts w:asciiTheme="minorHAnsi" w:eastAsia="Times New Roman" w:hAnsiTheme="minorHAnsi"/>
                <w:iCs/>
                <w:szCs w:val="17"/>
                <w:lang w:eastAsia="en-US"/>
              </w:rPr>
              <w:t>95% AAS</w:t>
            </w:r>
          </w:p>
          <w:p w14:paraId="1EEDFE1D" w14:textId="77777777" w:rsidR="00F47335" w:rsidRPr="00FB23FC" w:rsidRDefault="00F47335" w:rsidP="00F47335">
            <w:pPr>
              <w:jc w:val="center"/>
              <w:rPr>
                <w:rFonts w:asciiTheme="minorHAnsi" w:eastAsia="Times New Roman" w:hAnsiTheme="minorHAnsi"/>
                <w:iCs/>
                <w:szCs w:val="17"/>
                <w:lang w:eastAsia="en-US"/>
              </w:rPr>
            </w:pPr>
            <w:r w:rsidRPr="00FB23FC">
              <w:rPr>
                <w:rFonts w:asciiTheme="minorHAnsi" w:eastAsia="Times New Roman" w:hAnsiTheme="minorHAnsi"/>
                <w:iCs/>
                <w:szCs w:val="17"/>
                <w:lang w:eastAsia="en-US"/>
              </w:rPr>
              <w:t>75% LANS</w:t>
            </w:r>
          </w:p>
          <w:p w14:paraId="2B3A6782" w14:textId="77777777" w:rsidR="00F47335" w:rsidRPr="00FB23FC" w:rsidRDefault="00F47335" w:rsidP="00F47335">
            <w:pPr>
              <w:jc w:val="center"/>
              <w:rPr>
                <w:rFonts w:asciiTheme="minorHAnsi" w:eastAsia="Times New Roman" w:hAnsiTheme="minorHAnsi"/>
                <w:iCs/>
                <w:szCs w:val="17"/>
                <w:lang w:eastAsia="en-US"/>
              </w:rPr>
            </w:pPr>
            <w:r w:rsidRPr="00FB23FC">
              <w:rPr>
                <w:rFonts w:asciiTheme="minorHAnsi" w:eastAsia="Times New Roman" w:hAnsiTheme="minorHAnsi"/>
                <w:iCs/>
                <w:szCs w:val="17"/>
                <w:lang w:eastAsia="en-US"/>
              </w:rPr>
              <w:t>90% Short Courses</w:t>
            </w:r>
          </w:p>
        </w:tc>
        <w:tc>
          <w:tcPr>
            <w:tcW w:w="1898" w:type="pct"/>
            <w:shd w:val="clear" w:color="auto" w:fill="F2F2F2" w:themeFill="background1" w:themeFillShade="F2"/>
            <w:vAlign w:val="center"/>
          </w:tcPr>
          <w:p w14:paraId="7AA1ADAB" w14:textId="77777777" w:rsidR="00F47335" w:rsidRPr="00F47335" w:rsidRDefault="00F47335" w:rsidP="00F47335">
            <w:pPr>
              <w:jc w:val="center"/>
              <w:rPr>
                <w:rFonts w:asciiTheme="minorHAnsi" w:eastAsia="Times New Roman" w:hAnsiTheme="minorHAnsi"/>
                <w:iCs/>
                <w:szCs w:val="17"/>
                <w:lang w:eastAsia="en-US"/>
              </w:rPr>
            </w:pPr>
            <w:r w:rsidRPr="00F47335">
              <w:rPr>
                <w:rFonts w:asciiTheme="minorHAnsi" w:eastAsia="Times New Roman" w:hAnsiTheme="minorHAnsi"/>
                <w:iCs/>
                <w:szCs w:val="17"/>
                <w:lang w:eastAsia="en-US"/>
              </w:rPr>
              <w:t>95% AAS </w:t>
            </w:r>
          </w:p>
          <w:p w14:paraId="27906D99" w14:textId="77777777" w:rsidR="00F47335" w:rsidRPr="00F47335" w:rsidRDefault="00F47335" w:rsidP="00F47335">
            <w:pPr>
              <w:jc w:val="center"/>
              <w:rPr>
                <w:rFonts w:asciiTheme="minorHAnsi" w:eastAsia="Times New Roman" w:hAnsiTheme="minorHAnsi"/>
                <w:iCs/>
                <w:szCs w:val="17"/>
                <w:lang w:eastAsia="en-US"/>
              </w:rPr>
            </w:pPr>
            <w:r w:rsidRPr="00F47335">
              <w:rPr>
                <w:rFonts w:asciiTheme="minorHAnsi" w:eastAsia="Times New Roman" w:hAnsiTheme="minorHAnsi"/>
                <w:iCs/>
                <w:szCs w:val="17"/>
                <w:lang w:eastAsia="en-US"/>
              </w:rPr>
              <w:t>75%LANS</w:t>
            </w:r>
          </w:p>
          <w:p w14:paraId="6AC95B2C" w14:textId="77777777" w:rsidR="00F47335" w:rsidRPr="00F47335" w:rsidRDefault="00F47335" w:rsidP="00F47335">
            <w:pPr>
              <w:pStyle w:val="NormalIndented"/>
              <w:jc w:val="center"/>
              <w:rPr>
                <w:rFonts w:asciiTheme="minorHAnsi" w:eastAsia="Times New Roman" w:hAnsiTheme="minorHAnsi"/>
                <w:iCs/>
                <w:szCs w:val="17"/>
                <w:lang w:eastAsia="en-US"/>
              </w:rPr>
            </w:pPr>
            <w:r w:rsidRPr="00F47335">
              <w:rPr>
                <w:rFonts w:asciiTheme="minorHAnsi" w:eastAsia="Times New Roman" w:hAnsiTheme="minorHAnsi"/>
                <w:iCs/>
                <w:szCs w:val="17"/>
                <w:lang w:eastAsia="en-US"/>
              </w:rPr>
              <w:t>90% Short Courses</w:t>
            </w:r>
          </w:p>
        </w:tc>
      </w:tr>
      <w:tr w:rsidR="00F47335" w14:paraId="7030B27F" w14:textId="77777777" w:rsidTr="007205CC">
        <w:trPr>
          <w:trHeight w:val="730"/>
        </w:trPr>
        <w:tc>
          <w:tcPr>
            <w:tcW w:w="799" w:type="pct"/>
            <w:vMerge/>
            <w:shd w:val="clear" w:color="auto" w:fill="F2F2F2" w:themeFill="background1" w:themeFillShade="F2"/>
          </w:tcPr>
          <w:p w14:paraId="3F740953" w14:textId="77777777" w:rsidR="00F47335" w:rsidRPr="00CD0354" w:rsidRDefault="00F47335" w:rsidP="00C26176">
            <w:pPr>
              <w:pStyle w:val="NormalIndented"/>
              <w:ind w:left="0"/>
              <w:rPr>
                <w:rFonts w:eastAsia="Times New Roman"/>
                <w:b/>
                <w:bCs/>
                <w:iCs/>
                <w:szCs w:val="17"/>
              </w:rPr>
            </w:pPr>
          </w:p>
        </w:tc>
        <w:tc>
          <w:tcPr>
            <w:tcW w:w="1505" w:type="pct"/>
            <w:shd w:val="clear" w:color="auto" w:fill="F2F2F2" w:themeFill="background1" w:themeFillShade="F2"/>
            <w:vAlign w:val="center"/>
          </w:tcPr>
          <w:p w14:paraId="61968F84" w14:textId="77777777" w:rsidR="00F47335" w:rsidRPr="00FB23FC" w:rsidRDefault="00F47335" w:rsidP="00FB23FC">
            <w:pPr>
              <w:pStyle w:val="NormalIndented"/>
              <w:ind w:left="0"/>
              <w:rPr>
                <w:rFonts w:asciiTheme="minorHAnsi" w:eastAsia="Times New Roman" w:hAnsiTheme="minorHAnsi"/>
                <w:iCs/>
                <w:szCs w:val="17"/>
                <w:lang w:eastAsia="en-US"/>
              </w:rPr>
            </w:pPr>
            <w:r w:rsidRPr="00FB23FC">
              <w:rPr>
                <w:rFonts w:asciiTheme="minorHAnsi" w:eastAsia="Times New Roman" w:hAnsiTheme="minorHAnsi"/>
                <w:iCs/>
                <w:szCs w:val="17"/>
                <w:lang w:eastAsia="en-US"/>
              </w:rPr>
              <w:t>% of female Long Term Scholarship awardees successfully completing studies</w:t>
            </w:r>
          </w:p>
        </w:tc>
        <w:tc>
          <w:tcPr>
            <w:tcW w:w="798" w:type="pct"/>
            <w:shd w:val="clear" w:color="auto" w:fill="F2F2F2" w:themeFill="background1" w:themeFillShade="F2"/>
            <w:vAlign w:val="center"/>
          </w:tcPr>
          <w:p w14:paraId="680C970A" w14:textId="77777777" w:rsidR="00F47335" w:rsidRPr="00FB23FC" w:rsidRDefault="00F47335" w:rsidP="00F47335">
            <w:pPr>
              <w:jc w:val="center"/>
              <w:rPr>
                <w:rFonts w:asciiTheme="minorHAnsi" w:eastAsia="Times New Roman" w:hAnsiTheme="minorHAnsi"/>
                <w:iCs/>
                <w:szCs w:val="17"/>
                <w:lang w:eastAsia="en-US"/>
              </w:rPr>
            </w:pPr>
            <w:r w:rsidRPr="00FB23FC">
              <w:rPr>
                <w:rFonts w:asciiTheme="minorHAnsi" w:eastAsia="Times New Roman" w:hAnsiTheme="minorHAnsi"/>
                <w:iCs/>
                <w:szCs w:val="17"/>
                <w:lang w:eastAsia="en-US"/>
              </w:rPr>
              <w:t>95% AAS</w:t>
            </w:r>
          </w:p>
          <w:p w14:paraId="460B3D8A" w14:textId="77777777" w:rsidR="00F47335" w:rsidRPr="00FB23FC" w:rsidRDefault="00F47335" w:rsidP="00F47335">
            <w:pPr>
              <w:pStyle w:val="NormalIndented"/>
              <w:ind w:left="33"/>
              <w:jc w:val="center"/>
              <w:rPr>
                <w:rFonts w:asciiTheme="minorHAnsi" w:eastAsia="Times New Roman" w:hAnsiTheme="minorHAnsi"/>
                <w:iCs/>
                <w:szCs w:val="17"/>
                <w:lang w:eastAsia="en-US"/>
              </w:rPr>
            </w:pPr>
            <w:r w:rsidRPr="00FB23FC">
              <w:rPr>
                <w:rFonts w:asciiTheme="minorHAnsi" w:eastAsia="Times New Roman" w:hAnsiTheme="minorHAnsi"/>
                <w:iCs/>
                <w:szCs w:val="17"/>
                <w:lang w:eastAsia="en-US"/>
              </w:rPr>
              <w:t>95 % LANS</w:t>
            </w:r>
          </w:p>
        </w:tc>
        <w:tc>
          <w:tcPr>
            <w:tcW w:w="1898" w:type="pct"/>
            <w:shd w:val="clear" w:color="auto" w:fill="F2F2F2" w:themeFill="background1" w:themeFillShade="F2"/>
            <w:vAlign w:val="center"/>
          </w:tcPr>
          <w:p w14:paraId="3844A7FB" w14:textId="77777777" w:rsidR="00F47335" w:rsidRPr="00F47335" w:rsidRDefault="00F47335" w:rsidP="00F47335">
            <w:pPr>
              <w:jc w:val="center"/>
              <w:rPr>
                <w:rFonts w:asciiTheme="minorHAnsi" w:eastAsia="Times New Roman" w:hAnsiTheme="minorHAnsi"/>
                <w:iCs/>
                <w:szCs w:val="17"/>
                <w:lang w:eastAsia="en-US"/>
              </w:rPr>
            </w:pPr>
            <w:r w:rsidRPr="00F47335">
              <w:rPr>
                <w:rFonts w:asciiTheme="minorHAnsi" w:eastAsia="Times New Roman" w:hAnsiTheme="minorHAnsi"/>
                <w:iCs/>
                <w:szCs w:val="17"/>
                <w:lang w:eastAsia="en-US"/>
              </w:rPr>
              <w:t>95% AAS</w:t>
            </w:r>
          </w:p>
          <w:p w14:paraId="3CED21A6" w14:textId="77777777" w:rsidR="00F47335" w:rsidRPr="00F47335" w:rsidRDefault="00F47335" w:rsidP="00F47335">
            <w:pPr>
              <w:pStyle w:val="NormalIndented"/>
              <w:ind w:left="0"/>
              <w:jc w:val="center"/>
              <w:rPr>
                <w:rFonts w:asciiTheme="minorHAnsi" w:eastAsia="Times New Roman" w:hAnsiTheme="minorHAnsi"/>
                <w:iCs/>
                <w:szCs w:val="17"/>
                <w:lang w:eastAsia="en-US"/>
              </w:rPr>
            </w:pPr>
            <w:r w:rsidRPr="00F47335">
              <w:rPr>
                <w:rFonts w:asciiTheme="minorHAnsi" w:eastAsia="Times New Roman" w:hAnsiTheme="minorHAnsi"/>
                <w:iCs/>
                <w:szCs w:val="17"/>
                <w:lang w:eastAsia="en-US"/>
              </w:rPr>
              <w:t>95 % LANS</w:t>
            </w:r>
          </w:p>
        </w:tc>
      </w:tr>
      <w:tr w:rsidR="00F47335" w14:paraId="08985128" w14:textId="77777777" w:rsidTr="00E01E95">
        <w:trPr>
          <w:trHeight w:val="455"/>
        </w:trPr>
        <w:tc>
          <w:tcPr>
            <w:tcW w:w="799" w:type="pct"/>
            <w:vMerge w:val="restart"/>
          </w:tcPr>
          <w:p w14:paraId="173CA022" w14:textId="77777777" w:rsidR="00F47335" w:rsidRPr="00CD0354" w:rsidRDefault="00F47335" w:rsidP="00C26176">
            <w:pPr>
              <w:pStyle w:val="NormalIndented"/>
              <w:ind w:left="0"/>
              <w:rPr>
                <w:rFonts w:asciiTheme="minorHAnsi" w:eastAsia="Times New Roman" w:hAnsiTheme="minorHAnsi"/>
                <w:b/>
                <w:bCs/>
                <w:iCs/>
                <w:szCs w:val="17"/>
                <w:lang w:eastAsia="en-US"/>
              </w:rPr>
            </w:pPr>
            <w:r w:rsidRPr="00CD0354">
              <w:rPr>
                <w:rFonts w:asciiTheme="minorHAnsi" w:eastAsia="Times New Roman" w:hAnsiTheme="minorHAnsi"/>
                <w:b/>
                <w:bCs/>
                <w:iCs/>
                <w:szCs w:val="17"/>
                <w:lang w:eastAsia="en-US"/>
              </w:rPr>
              <w:lastRenderedPageBreak/>
              <w:t xml:space="preserve">Objective 3 </w:t>
            </w:r>
          </w:p>
          <w:p w14:paraId="0BD804B5" w14:textId="77777777" w:rsidR="00F47335" w:rsidRPr="00085E5F" w:rsidRDefault="00F47335" w:rsidP="00C26176">
            <w:pPr>
              <w:pStyle w:val="NormalIndented"/>
              <w:ind w:left="0"/>
              <w:rPr>
                <w:rFonts w:asciiTheme="minorHAnsi" w:hAnsiTheme="minorHAnsi"/>
                <w:i/>
                <w:color w:val="FF0000"/>
                <w:sz w:val="18"/>
              </w:rPr>
            </w:pPr>
            <w:r w:rsidRPr="007B3CE4">
              <w:rPr>
                <w:rFonts w:asciiTheme="minorHAnsi" w:eastAsia="Times New Roman" w:hAnsiTheme="minorHAnsi"/>
                <w:iCs/>
                <w:szCs w:val="17"/>
                <w:lang w:eastAsia="en-US"/>
              </w:rPr>
              <w:t>A stronger trade regime and more competitive private sector</w:t>
            </w:r>
          </w:p>
        </w:tc>
        <w:tc>
          <w:tcPr>
            <w:tcW w:w="1505" w:type="pct"/>
          </w:tcPr>
          <w:p w14:paraId="79394AC0" w14:textId="77777777" w:rsidR="00F47335" w:rsidRPr="00D94F2C" w:rsidRDefault="00F47335" w:rsidP="00D94F2C">
            <w:pPr>
              <w:pStyle w:val="NormalIndented"/>
              <w:ind w:left="0"/>
              <w:rPr>
                <w:rFonts w:asciiTheme="minorHAnsi" w:eastAsia="Times New Roman" w:hAnsiTheme="minorHAnsi"/>
                <w:iCs/>
                <w:szCs w:val="17"/>
                <w:lang w:eastAsia="en-US"/>
              </w:rPr>
            </w:pPr>
            <w:r w:rsidRPr="00D94F2C">
              <w:rPr>
                <w:rFonts w:asciiTheme="minorHAnsi" w:eastAsia="Times New Roman" w:hAnsiTheme="minorHAnsi"/>
                <w:iCs/>
                <w:szCs w:val="17"/>
                <w:lang w:eastAsia="en-US"/>
              </w:rPr>
              <w:t>Time</w:t>
            </w:r>
            <w:r>
              <w:rPr>
                <w:rFonts w:asciiTheme="minorHAnsi" w:eastAsia="Times New Roman" w:hAnsiTheme="minorHAnsi"/>
                <w:iCs/>
                <w:szCs w:val="17"/>
                <w:lang w:eastAsia="en-US"/>
              </w:rPr>
              <w:t xml:space="preserve"> </w:t>
            </w:r>
            <w:r w:rsidRPr="00D94F2C">
              <w:rPr>
                <w:rFonts w:asciiTheme="minorHAnsi" w:eastAsia="Times New Roman" w:hAnsiTheme="minorHAnsi"/>
                <w:iCs/>
                <w:szCs w:val="17"/>
                <w:lang w:eastAsia="en-US"/>
              </w:rPr>
              <w:t>(</w:t>
            </w:r>
            <w:r>
              <w:rPr>
                <w:rFonts w:asciiTheme="minorHAnsi" w:eastAsia="Times New Roman" w:hAnsiTheme="minorHAnsi"/>
                <w:iCs/>
                <w:szCs w:val="17"/>
                <w:lang w:eastAsia="en-US"/>
              </w:rPr>
              <w:t>in days)</w:t>
            </w:r>
            <w:r w:rsidRPr="00D94F2C">
              <w:rPr>
                <w:rFonts w:asciiTheme="minorHAnsi" w:eastAsia="Times New Roman" w:hAnsiTheme="minorHAnsi"/>
                <w:iCs/>
                <w:szCs w:val="17"/>
                <w:lang w:eastAsia="en-US"/>
              </w:rPr>
              <w:t xml:space="preserve"> to obtain </w:t>
            </w:r>
            <w:r w:rsidR="002C103E" w:rsidRPr="00D94F2C">
              <w:rPr>
                <w:rFonts w:asciiTheme="minorHAnsi" w:eastAsia="Times New Roman" w:hAnsiTheme="minorHAnsi"/>
                <w:iCs/>
                <w:szCs w:val="17"/>
                <w:lang w:eastAsia="en-US"/>
              </w:rPr>
              <w:t>Enterprise</w:t>
            </w:r>
            <w:r w:rsidRPr="00D94F2C">
              <w:rPr>
                <w:rFonts w:asciiTheme="minorHAnsi" w:eastAsia="Times New Roman" w:hAnsiTheme="minorHAnsi"/>
                <w:iCs/>
                <w:szCs w:val="17"/>
                <w:lang w:eastAsia="en-US"/>
              </w:rPr>
              <w:t xml:space="preserve"> Registration certificate (ERC) from DERM disaggregated by women-led </w:t>
            </w:r>
            <w:r w:rsidR="002C103E" w:rsidRPr="00D94F2C">
              <w:rPr>
                <w:rFonts w:asciiTheme="minorHAnsi" w:eastAsia="Times New Roman" w:hAnsiTheme="minorHAnsi"/>
                <w:iCs/>
                <w:szCs w:val="17"/>
                <w:lang w:eastAsia="en-US"/>
              </w:rPr>
              <w:t>enterprises</w:t>
            </w:r>
            <w:r w:rsidRPr="00D94F2C">
              <w:rPr>
                <w:rFonts w:asciiTheme="minorHAnsi" w:eastAsia="Times New Roman" w:hAnsiTheme="minorHAnsi"/>
                <w:iCs/>
                <w:szCs w:val="17"/>
                <w:lang w:eastAsia="en-US"/>
              </w:rPr>
              <w:t xml:space="preserve"> versus men-led </w:t>
            </w:r>
            <w:r w:rsidR="002C103E" w:rsidRPr="00D94F2C">
              <w:rPr>
                <w:rFonts w:asciiTheme="minorHAnsi" w:eastAsia="Times New Roman" w:hAnsiTheme="minorHAnsi"/>
                <w:iCs/>
                <w:szCs w:val="17"/>
                <w:lang w:eastAsia="en-US"/>
              </w:rPr>
              <w:t>enterprises</w:t>
            </w:r>
          </w:p>
        </w:tc>
        <w:tc>
          <w:tcPr>
            <w:tcW w:w="798" w:type="pct"/>
          </w:tcPr>
          <w:p w14:paraId="25F58E07" w14:textId="77777777" w:rsidR="00F47335" w:rsidRPr="00D94F2C" w:rsidRDefault="00F47335" w:rsidP="00D94F2C">
            <w:pPr>
              <w:pStyle w:val="NormalIndented"/>
              <w:ind w:left="33"/>
              <w:jc w:val="center"/>
              <w:rPr>
                <w:rFonts w:asciiTheme="minorHAnsi" w:eastAsia="Times New Roman" w:hAnsiTheme="minorHAnsi"/>
                <w:iCs/>
                <w:szCs w:val="17"/>
                <w:lang w:eastAsia="en-US"/>
              </w:rPr>
            </w:pPr>
            <w:r>
              <w:rPr>
                <w:rFonts w:asciiTheme="minorHAnsi" w:eastAsia="Times New Roman" w:hAnsiTheme="minorHAnsi"/>
                <w:iCs/>
                <w:szCs w:val="17"/>
                <w:lang w:eastAsia="en-US"/>
              </w:rPr>
              <w:t>14</w:t>
            </w:r>
            <w:r w:rsidRPr="00D94F2C">
              <w:rPr>
                <w:rFonts w:asciiTheme="minorHAnsi" w:eastAsia="Times New Roman" w:hAnsiTheme="minorHAnsi"/>
                <w:iCs/>
                <w:szCs w:val="17"/>
                <w:lang w:eastAsia="en-US"/>
              </w:rPr>
              <w:t xml:space="preserve"> days (baseline</w:t>
            </w:r>
            <w:r>
              <w:rPr>
                <w:rFonts w:asciiTheme="minorHAnsi" w:eastAsia="Times New Roman" w:hAnsiTheme="minorHAnsi"/>
                <w:iCs/>
                <w:szCs w:val="17"/>
                <w:lang w:eastAsia="en-US"/>
              </w:rPr>
              <w:t xml:space="preserve"> value</w:t>
            </w:r>
            <w:r w:rsidRPr="00D94F2C">
              <w:rPr>
                <w:rFonts w:asciiTheme="minorHAnsi" w:eastAsia="Times New Roman" w:hAnsiTheme="minorHAnsi"/>
                <w:iCs/>
                <w:szCs w:val="17"/>
                <w:lang w:eastAsia="en-US"/>
              </w:rPr>
              <w:t>)</w:t>
            </w:r>
          </w:p>
        </w:tc>
        <w:tc>
          <w:tcPr>
            <w:tcW w:w="1898" w:type="pct"/>
          </w:tcPr>
          <w:p w14:paraId="58567A22" w14:textId="77777777" w:rsidR="00F47335" w:rsidRPr="00D94F2C" w:rsidRDefault="00F47335" w:rsidP="00A75E1E">
            <w:pPr>
              <w:pStyle w:val="NormalIndented"/>
              <w:ind w:left="33"/>
              <w:jc w:val="center"/>
              <w:rPr>
                <w:rFonts w:asciiTheme="minorHAnsi" w:eastAsia="Times New Roman" w:hAnsiTheme="minorHAnsi"/>
                <w:iCs/>
                <w:szCs w:val="17"/>
                <w:lang w:eastAsia="en-US"/>
              </w:rPr>
            </w:pPr>
            <w:r w:rsidRPr="00D94F2C">
              <w:rPr>
                <w:rFonts w:asciiTheme="minorHAnsi" w:eastAsia="Times New Roman" w:hAnsiTheme="minorHAnsi"/>
                <w:iCs/>
                <w:szCs w:val="17"/>
                <w:lang w:eastAsia="en-US"/>
              </w:rPr>
              <w:t>10 days</w:t>
            </w:r>
          </w:p>
        </w:tc>
      </w:tr>
      <w:tr w:rsidR="00F47335" w14:paraId="5BD0492E" w14:textId="77777777" w:rsidTr="00F359BE">
        <w:trPr>
          <w:trHeight w:val="455"/>
        </w:trPr>
        <w:tc>
          <w:tcPr>
            <w:tcW w:w="799" w:type="pct"/>
            <w:vMerge/>
          </w:tcPr>
          <w:p w14:paraId="566E2719" w14:textId="77777777" w:rsidR="00F47335" w:rsidRPr="007B3CE4" w:rsidRDefault="00F47335" w:rsidP="00C26176">
            <w:pPr>
              <w:pStyle w:val="NormalIndented"/>
              <w:ind w:left="0"/>
              <w:rPr>
                <w:rFonts w:eastAsia="Times New Roman"/>
                <w:iCs/>
                <w:szCs w:val="17"/>
              </w:rPr>
            </w:pPr>
          </w:p>
        </w:tc>
        <w:tc>
          <w:tcPr>
            <w:tcW w:w="1505" w:type="pct"/>
            <w:vAlign w:val="center"/>
          </w:tcPr>
          <w:p w14:paraId="5ADED36E" w14:textId="77777777" w:rsidR="00F47335" w:rsidRPr="00D94F2C" w:rsidRDefault="00F47335" w:rsidP="00D94F2C">
            <w:pPr>
              <w:pStyle w:val="NormalIndented"/>
              <w:ind w:left="0"/>
              <w:rPr>
                <w:rFonts w:asciiTheme="minorHAnsi" w:eastAsia="Times New Roman" w:hAnsiTheme="minorHAnsi"/>
                <w:iCs/>
                <w:szCs w:val="17"/>
                <w:lang w:eastAsia="en-US"/>
              </w:rPr>
            </w:pPr>
            <w:r w:rsidRPr="00D94F2C">
              <w:rPr>
                <w:rFonts w:asciiTheme="minorHAnsi" w:eastAsia="Times New Roman" w:hAnsiTheme="minorHAnsi"/>
                <w:iCs/>
                <w:szCs w:val="17"/>
                <w:lang w:eastAsia="en-US"/>
              </w:rPr>
              <w:t>Number of women-led enterprises who access matching grants from the Business Assistance Facility</w:t>
            </w:r>
          </w:p>
        </w:tc>
        <w:tc>
          <w:tcPr>
            <w:tcW w:w="798" w:type="pct"/>
          </w:tcPr>
          <w:p w14:paraId="31620BA3" w14:textId="77777777" w:rsidR="00F47335" w:rsidRPr="00D94F2C" w:rsidRDefault="00F47335" w:rsidP="00D94F2C">
            <w:pPr>
              <w:pStyle w:val="NormalIndented"/>
              <w:ind w:left="33"/>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1898" w:type="pct"/>
          </w:tcPr>
          <w:p w14:paraId="19653C8A" w14:textId="77777777" w:rsidR="00F47335" w:rsidRPr="00D94F2C" w:rsidRDefault="00F47335" w:rsidP="00A75E1E">
            <w:pPr>
              <w:pStyle w:val="NormalIndented"/>
              <w:ind w:left="33"/>
              <w:jc w:val="center"/>
              <w:rPr>
                <w:rFonts w:asciiTheme="minorHAnsi" w:eastAsia="Times New Roman" w:hAnsiTheme="minorHAnsi"/>
                <w:iCs/>
                <w:szCs w:val="17"/>
                <w:lang w:eastAsia="en-US"/>
              </w:rPr>
            </w:pPr>
            <w:r w:rsidRPr="00D94F2C">
              <w:rPr>
                <w:rFonts w:asciiTheme="minorHAnsi" w:eastAsia="Times New Roman" w:hAnsiTheme="minorHAnsi"/>
                <w:iCs/>
                <w:szCs w:val="17"/>
                <w:lang w:eastAsia="en-US"/>
              </w:rPr>
              <w:t>40% of all grants</w:t>
            </w:r>
          </w:p>
        </w:tc>
      </w:tr>
      <w:tr w:rsidR="00F47335" w14:paraId="6D9CEBFF" w14:textId="77777777" w:rsidTr="00F359BE">
        <w:trPr>
          <w:trHeight w:val="455"/>
        </w:trPr>
        <w:tc>
          <w:tcPr>
            <w:tcW w:w="799" w:type="pct"/>
            <w:vMerge/>
          </w:tcPr>
          <w:p w14:paraId="60945BC0" w14:textId="77777777" w:rsidR="00F47335" w:rsidRPr="007B3CE4" w:rsidRDefault="00F47335" w:rsidP="00C26176">
            <w:pPr>
              <w:pStyle w:val="NormalIndented"/>
              <w:ind w:left="0"/>
              <w:rPr>
                <w:rFonts w:eastAsia="Times New Roman"/>
                <w:iCs/>
                <w:szCs w:val="17"/>
              </w:rPr>
            </w:pPr>
          </w:p>
        </w:tc>
        <w:tc>
          <w:tcPr>
            <w:tcW w:w="1505" w:type="pct"/>
            <w:vAlign w:val="center"/>
          </w:tcPr>
          <w:p w14:paraId="3690C020" w14:textId="77777777" w:rsidR="00F47335" w:rsidRPr="00D94F2C" w:rsidRDefault="00F47335" w:rsidP="00D94F2C">
            <w:pPr>
              <w:pStyle w:val="NormalIndented"/>
              <w:ind w:left="0"/>
              <w:rPr>
                <w:rFonts w:asciiTheme="minorHAnsi" w:eastAsia="Times New Roman" w:hAnsiTheme="minorHAnsi"/>
                <w:iCs/>
                <w:szCs w:val="17"/>
                <w:lang w:eastAsia="en-US"/>
              </w:rPr>
            </w:pPr>
            <w:r w:rsidRPr="00D94F2C">
              <w:rPr>
                <w:rFonts w:asciiTheme="minorHAnsi" w:eastAsia="Times New Roman" w:hAnsiTheme="minorHAnsi"/>
                <w:iCs/>
                <w:szCs w:val="17"/>
                <w:lang w:eastAsia="en-US"/>
              </w:rPr>
              <w:t>Percentage of  supported village banks working sustainably, even after booking of loan loss provision</w:t>
            </w:r>
          </w:p>
        </w:tc>
        <w:tc>
          <w:tcPr>
            <w:tcW w:w="798" w:type="pct"/>
          </w:tcPr>
          <w:p w14:paraId="6A274A43" w14:textId="77777777" w:rsidR="00F47335" w:rsidRPr="00D94F2C" w:rsidRDefault="00F47335" w:rsidP="00D94F2C">
            <w:pPr>
              <w:pStyle w:val="NormalIndented"/>
              <w:ind w:left="33"/>
              <w:jc w:val="center"/>
              <w:rPr>
                <w:rFonts w:asciiTheme="minorHAnsi" w:eastAsia="Times New Roman" w:hAnsiTheme="minorHAnsi"/>
                <w:iCs/>
                <w:szCs w:val="17"/>
                <w:lang w:eastAsia="en-US"/>
              </w:rPr>
            </w:pPr>
            <w:r w:rsidRPr="00D94F2C">
              <w:rPr>
                <w:rFonts w:asciiTheme="minorHAnsi" w:eastAsia="Times New Roman" w:hAnsiTheme="minorHAnsi"/>
                <w:iCs/>
                <w:szCs w:val="17"/>
                <w:lang w:eastAsia="en-US"/>
              </w:rPr>
              <w:t>96% (baseline value)</w:t>
            </w:r>
          </w:p>
        </w:tc>
        <w:tc>
          <w:tcPr>
            <w:tcW w:w="1898" w:type="pct"/>
          </w:tcPr>
          <w:p w14:paraId="0058E6DA" w14:textId="77777777" w:rsidR="00F47335" w:rsidRPr="00D94F2C" w:rsidRDefault="00F47335" w:rsidP="00A75E1E">
            <w:pPr>
              <w:pStyle w:val="NormalIndented"/>
              <w:ind w:left="33"/>
              <w:jc w:val="center"/>
              <w:rPr>
                <w:rFonts w:asciiTheme="minorHAnsi" w:eastAsia="Times New Roman" w:hAnsiTheme="minorHAnsi"/>
                <w:iCs/>
                <w:szCs w:val="17"/>
                <w:lang w:eastAsia="en-US"/>
              </w:rPr>
            </w:pPr>
            <w:r w:rsidRPr="00D94F2C">
              <w:rPr>
                <w:rFonts w:asciiTheme="minorHAnsi" w:eastAsia="Times New Roman" w:hAnsiTheme="minorHAnsi"/>
                <w:iCs/>
                <w:szCs w:val="17"/>
                <w:lang w:eastAsia="en-US"/>
              </w:rPr>
              <w:t>97% (final target 98%)</w:t>
            </w:r>
          </w:p>
        </w:tc>
      </w:tr>
      <w:tr w:rsidR="00F47335" w14:paraId="0F497D38" w14:textId="77777777" w:rsidTr="00F359BE">
        <w:trPr>
          <w:trHeight w:val="455"/>
        </w:trPr>
        <w:tc>
          <w:tcPr>
            <w:tcW w:w="799" w:type="pct"/>
            <w:vMerge/>
          </w:tcPr>
          <w:p w14:paraId="38167553" w14:textId="77777777" w:rsidR="00F47335" w:rsidRPr="007B3CE4" w:rsidRDefault="00F47335" w:rsidP="00C26176">
            <w:pPr>
              <w:pStyle w:val="NormalIndented"/>
              <w:ind w:left="0"/>
              <w:rPr>
                <w:rFonts w:eastAsia="Times New Roman"/>
                <w:iCs/>
                <w:szCs w:val="17"/>
              </w:rPr>
            </w:pPr>
          </w:p>
        </w:tc>
        <w:tc>
          <w:tcPr>
            <w:tcW w:w="1505" w:type="pct"/>
            <w:vAlign w:val="center"/>
          </w:tcPr>
          <w:p w14:paraId="509FB15D" w14:textId="77777777" w:rsidR="00F47335" w:rsidRPr="00D94F2C" w:rsidRDefault="00F47335" w:rsidP="00D94F2C">
            <w:pPr>
              <w:rPr>
                <w:rFonts w:asciiTheme="minorHAnsi" w:eastAsia="Times New Roman" w:hAnsiTheme="minorHAnsi"/>
                <w:iCs/>
                <w:szCs w:val="17"/>
                <w:lang w:eastAsia="en-US"/>
              </w:rPr>
            </w:pPr>
            <w:r w:rsidRPr="00D94F2C">
              <w:rPr>
                <w:rFonts w:asciiTheme="minorHAnsi" w:eastAsia="Times New Roman" w:hAnsiTheme="minorHAnsi"/>
                <w:iCs/>
                <w:szCs w:val="17"/>
                <w:lang w:eastAsia="en-US"/>
              </w:rPr>
              <w:t>Number of women holding single accounts in village banks (AFP V)</w:t>
            </w:r>
          </w:p>
        </w:tc>
        <w:tc>
          <w:tcPr>
            <w:tcW w:w="798" w:type="pct"/>
          </w:tcPr>
          <w:p w14:paraId="1964302D" w14:textId="77777777" w:rsidR="00F47335" w:rsidRPr="00D94F2C" w:rsidRDefault="00F47335" w:rsidP="00D94F2C">
            <w:pPr>
              <w:pStyle w:val="NormalIndented"/>
              <w:ind w:left="33"/>
              <w:jc w:val="center"/>
              <w:rPr>
                <w:rFonts w:asciiTheme="minorHAnsi" w:eastAsia="Times New Roman" w:hAnsiTheme="minorHAnsi"/>
                <w:iCs/>
                <w:szCs w:val="17"/>
                <w:lang w:eastAsia="en-US"/>
              </w:rPr>
            </w:pPr>
            <w:r w:rsidRPr="00D94F2C">
              <w:rPr>
                <w:rFonts w:asciiTheme="minorHAnsi" w:eastAsia="Times New Roman" w:hAnsiTheme="minorHAnsi"/>
                <w:iCs/>
                <w:szCs w:val="17"/>
                <w:lang w:eastAsia="en-US"/>
              </w:rPr>
              <w:t>24,229 (baseline value)</w:t>
            </w:r>
          </w:p>
        </w:tc>
        <w:tc>
          <w:tcPr>
            <w:tcW w:w="1898" w:type="pct"/>
          </w:tcPr>
          <w:p w14:paraId="3398FDB3" w14:textId="77777777" w:rsidR="00F47335" w:rsidRPr="00D94F2C" w:rsidRDefault="00F47335" w:rsidP="00A75E1E">
            <w:pPr>
              <w:pStyle w:val="NormalIndented"/>
              <w:ind w:left="33"/>
              <w:jc w:val="center"/>
              <w:rPr>
                <w:rFonts w:asciiTheme="minorHAnsi" w:eastAsia="Times New Roman" w:hAnsiTheme="minorHAnsi"/>
                <w:iCs/>
                <w:szCs w:val="17"/>
                <w:lang w:eastAsia="en-US"/>
              </w:rPr>
            </w:pPr>
            <w:r w:rsidRPr="00D94F2C">
              <w:rPr>
                <w:rFonts w:asciiTheme="minorHAnsi" w:eastAsia="Times New Roman" w:hAnsiTheme="minorHAnsi"/>
                <w:iCs/>
                <w:szCs w:val="17"/>
                <w:lang w:eastAsia="en-US"/>
              </w:rPr>
              <w:t xml:space="preserve">27,863 (final target 36,344) </w:t>
            </w:r>
          </w:p>
        </w:tc>
      </w:tr>
    </w:tbl>
    <w:p w14:paraId="115581DF" w14:textId="77777777" w:rsidR="00AF1B85" w:rsidRPr="00EF26B5" w:rsidRDefault="00184F1E" w:rsidP="008243CD">
      <w:pPr>
        <w:pStyle w:val="Subtitle"/>
        <w:spacing w:before="0" w:after="120" w:line="300" w:lineRule="exact"/>
        <w:rPr>
          <w:rFonts w:asciiTheme="majorHAnsi" w:hAnsiTheme="majorHAnsi" w:cstheme="majorHAnsi"/>
        </w:rPr>
      </w:pPr>
      <w:r>
        <w:br w:type="page"/>
      </w:r>
      <w:r w:rsidR="00AF1B85" w:rsidRPr="00EF26B5">
        <w:rPr>
          <w:rFonts w:asciiTheme="majorHAnsi" w:hAnsiTheme="majorHAnsi" w:cstheme="majorHAnsi"/>
        </w:rPr>
        <w:lastRenderedPageBreak/>
        <w:t xml:space="preserve">Annex </w:t>
      </w:r>
      <w:r w:rsidRPr="00EF26B5">
        <w:rPr>
          <w:rFonts w:asciiTheme="majorHAnsi" w:hAnsiTheme="majorHAnsi" w:cstheme="majorHAnsi"/>
        </w:rPr>
        <w:t>C</w:t>
      </w:r>
      <w:r w:rsidR="00AF1B85" w:rsidRPr="00EF26B5">
        <w:rPr>
          <w:rFonts w:asciiTheme="majorHAnsi" w:hAnsiTheme="majorHAnsi" w:cstheme="majorHAnsi"/>
        </w:rPr>
        <w:t xml:space="preserve"> - Evaluation Planning</w:t>
      </w:r>
    </w:p>
    <w:p w14:paraId="18640827" w14:textId="77777777" w:rsidR="00AF1B85" w:rsidRPr="00EF26B5" w:rsidRDefault="00EF26B5" w:rsidP="008243CD">
      <w:pPr>
        <w:spacing w:before="0"/>
        <w:rPr>
          <w:rFonts w:eastAsiaTheme="majorEastAsia" w:cstheme="minorHAnsi"/>
          <w:caps/>
          <w:sz w:val="36"/>
          <w:szCs w:val="36"/>
        </w:rPr>
      </w:pPr>
      <w:r w:rsidRPr="00EF26B5">
        <w:rPr>
          <w:rFonts w:eastAsiaTheme="majorEastAsia" w:cstheme="minorHAnsi"/>
          <w:caps/>
          <w:sz w:val="36"/>
          <w:szCs w:val="36"/>
        </w:rPr>
        <w:t>1</w:t>
      </w:r>
      <w:r w:rsidR="00241AD6">
        <w:rPr>
          <w:rFonts w:eastAsiaTheme="majorEastAsia" w:cstheme="minorHAnsi"/>
          <w:caps/>
          <w:sz w:val="36"/>
          <w:szCs w:val="36"/>
        </w:rPr>
        <w:t>.</w:t>
      </w:r>
      <w:r w:rsidRPr="00EF26B5">
        <w:rPr>
          <w:rFonts w:eastAsiaTheme="majorEastAsia" w:cstheme="minorHAnsi"/>
          <w:caps/>
          <w:sz w:val="36"/>
          <w:szCs w:val="36"/>
        </w:rPr>
        <w:t xml:space="preserve"> </w:t>
      </w:r>
      <w:r w:rsidR="00AF1B85" w:rsidRPr="00EF26B5">
        <w:rPr>
          <w:rFonts w:eastAsiaTheme="majorEastAsia" w:cstheme="minorHAnsi"/>
          <w:caps/>
          <w:sz w:val="36"/>
          <w:szCs w:val="36"/>
        </w:rPr>
        <w:t xml:space="preserve">List of evaluations completed in the reporting period </w:t>
      </w:r>
    </w:p>
    <w:tbl>
      <w:tblPr>
        <w:tblStyle w:val="AP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6"/>
        <w:gridCol w:w="3693"/>
        <w:gridCol w:w="1425"/>
        <w:gridCol w:w="1981"/>
        <w:gridCol w:w="1699"/>
        <w:gridCol w:w="2407"/>
      </w:tblGrid>
      <w:tr w:rsidR="00AF1B85" w:rsidRPr="00C61187" w14:paraId="47E619DF" w14:textId="77777777" w:rsidTr="00E01E95">
        <w:trPr>
          <w:cnfStyle w:val="100000000000" w:firstRow="1" w:lastRow="0" w:firstColumn="0" w:lastColumn="0" w:oddVBand="0" w:evenVBand="0" w:oddHBand="0" w:evenHBand="0" w:firstRowFirstColumn="0" w:firstRowLastColumn="0" w:lastRowFirstColumn="0" w:lastRowLastColumn="0"/>
        </w:trPr>
        <w:tc>
          <w:tcPr>
            <w:tcW w:w="3064" w:type="dxa"/>
            <w:tcBorders>
              <w:top w:val="none" w:sz="0" w:space="0" w:color="auto"/>
              <w:bottom w:val="none" w:sz="0" w:space="0" w:color="auto"/>
            </w:tcBorders>
          </w:tcPr>
          <w:p w14:paraId="5099863A"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14:paraId="2CBF328B" w14:textId="77777777" w:rsidR="00AF1B85" w:rsidRPr="00812509" w:rsidRDefault="00AF1B85" w:rsidP="00D15A00">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(if applicable) </w:t>
            </w:r>
          </w:p>
        </w:tc>
        <w:tc>
          <w:tcPr>
            <w:tcW w:w="3665" w:type="dxa"/>
            <w:tcBorders>
              <w:top w:val="none" w:sz="0" w:space="0" w:color="auto"/>
              <w:bottom w:val="none" w:sz="0" w:space="0" w:color="auto"/>
            </w:tcBorders>
          </w:tcPr>
          <w:p w14:paraId="3E02BF4F"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Borders>
              <w:top w:val="none" w:sz="0" w:space="0" w:color="auto"/>
              <w:bottom w:val="none" w:sz="0" w:space="0" w:color="auto"/>
            </w:tcBorders>
          </w:tcPr>
          <w:p w14:paraId="0A72181D"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Borders>
              <w:top w:val="none" w:sz="0" w:space="0" w:color="auto"/>
              <w:bottom w:val="none" w:sz="0" w:space="0" w:color="auto"/>
            </w:tcBorders>
          </w:tcPr>
          <w:p w14:paraId="5613BEEA" w14:textId="77777777" w:rsidR="00AF1B85" w:rsidRPr="008243CD" w:rsidRDefault="00AF1B85" w:rsidP="00D15A00">
            <w:pPr>
              <w:keepLines/>
              <w:spacing w:line="200" w:lineRule="atLeast"/>
              <w:rPr>
                <w:rFonts w:asciiTheme="minorHAnsi" w:eastAsia="Times New Roman" w:hAnsiTheme="minorHAnsi"/>
                <w:iCs/>
                <w:szCs w:val="17"/>
                <w:lang w:eastAsia="en-US"/>
              </w:rPr>
            </w:pPr>
            <w:r w:rsidRPr="008243CD">
              <w:rPr>
                <w:rFonts w:asciiTheme="minorHAnsi" w:eastAsia="Times New Roman" w:hAnsiTheme="minorHAnsi"/>
                <w:iCs/>
                <w:szCs w:val="17"/>
                <w:lang w:eastAsia="en-US"/>
              </w:rPr>
              <w:t>Date Evaluation report Uploaded into AidWorks</w:t>
            </w:r>
          </w:p>
        </w:tc>
        <w:tc>
          <w:tcPr>
            <w:tcW w:w="1671" w:type="dxa"/>
            <w:tcBorders>
              <w:top w:val="none" w:sz="0" w:space="0" w:color="auto"/>
              <w:bottom w:val="none" w:sz="0" w:space="0" w:color="auto"/>
            </w:tcBorders>
          </w:tcPr>
          <w:p w14:paraId="4E90018E" w14:textId="77777777" w:rsidR="00AF1B85" w:rsidRPr="008243CD" w:rsidRDefault="00AF1B85" w:rsidP="00D15A00">
            <w:pPr>
              <w:keepLines/>
              <w:spacing w:line="200" w:lineRule="atLeast"/>
              <w:rPr>
                <w:rFonts w:asciiTheme="minorHAnsi" w:eastAsia="Times New Roman" w:hAnsiTheme="minorHAnsi"/>
                <w:iCs/>
                <w:szCs w:val="17"/>
                <w:lang w:eastAsia="en-US"/>
              </w:rPr>
            </w:pPr>
            <w:r w:rsidRPr="008243CD">
              <w:rPr>
                <w:rFonts w:asciiTheme="minorHAnsi" w:eastAsia="Times New Roman" w:hAnsiTheme="minorHAnsi"/>
                <w:iCs/>
                <w:szCs w:val="17"/>
                <w:lang w:eastAsia="en-US"/>
              </w:rPr>
              <w:t>Date Management response uploaded into AidWorks</w:t>
            </w:r>
          </w:p>
        </w:tc>
        <w:tc>
          <w:tcPr>
            <w:tcW w:w="2365" w:type="dxa"/>
            <w:tcBorders>
              <w:top w:val="none" w:sz="0" w:space="0" w:color="auto"/>
              <w:bottom w:val="none" w:sz="0" w:space="0" w:color="auto"/>
            </w:tcBorders>
          </w:tcPr>
          <w:p w14:paraId="059889AB" w14:textId="77777777" w:rsidR="00AF1B85" w:rsidRPr="008243CD" w:rsidRDefault="00AF1B85" w:rsidP="00D15A00">
            <w:pPr>
              <w:keepLines/>
              <w:spacing w:line="200" w:lineRule="atLeast"/>
              <w:rPr>
                <w:rFonts w:asciiTheme="minorHAnsi" w:eastAsia="Times New Roman" w:hAnsiTheme="minorHAnsi"/>
                <w:iCs/>
                <w:szCs w:val="17"/>
                <w:lang w:eastAsia="en-US"/>
              </w:rPr>
            </w:pPr>
            <w:r w:rsidRPr="008243CD">
              <w:rPr>
                <w:rFonts w:asciiTheme="minorHAnsi" w:eastAsia="Times New Roman" w:hAnsiTheme="minorHAnsi"/>
                <w:iCs/>
                <w:szCs w:val="17"/>
                <w:lang w:eastAsia="en-US"/>
              </w:rPr>
              <w:t>Published on website</w:t>
            </w:r>
          </w:p>
        </w:tc>
      </w:tr>
      <w:tr w:rsidR="001B3634" w:rsidRPr="001B3634" w14:paraId="0AF1E4A7" w14:textId="77777777" w:rsidTr="00E01E95">
        <w:trPr>
          <w:cnfStyle w:val="100000000000" w:firstRow="1" w:lastRow="0" w:firstColumn="0" w:lastColumn="0" w:oddVBand="0" w:evenVBand="0" w:oddHBand="0" w:evenHBand="0" w:firstRowFirstColumn="0" w:firstRowLastColumn="0" w:lastRowFirstColumn="0" w:lastRowLastColumn="0"/>
        </w:trPr>
        <w:tc>
          <w:tcPr>
            <w:tcW w:w="3064" w:type="dxa"/>
          </w:tcPr>
          <w:p w14:paraId="617B550E" w14:textId="77777777" w:rsidR="001B3634" w:rsidRPr="001B3634" w:rsidRDefault="001B3634" w:rsidP="001B3634">
            <w:pPr>
              <w:keepLines/>
              <w:spacing w:before="40" w:after="40" w:line="200" w:lineRule="atLeast"/>
              <w:rPr>
                <w:rFonts w:asciiTheme="minorHAnsi" w:eastAsia="Times New Roman" w:hAnsiTheme="minorHAnsi"/>
                <w:b w:val="0"/>
                <w:iCs/>
                <w:color w:val="auto"/>
                <w:szCs w:val="17"/>
                <w:lang w:eastAsia="en-US"/>
              </w:rPr>
            </w:pPr>
            <w:r w:rsidRPr="001B3634">
              <w:rPr>
                <w:rFonts w:asciiTheme="minorHAnsi" w:eastAsia="Times New Roman" w:hAnsiTheme="minorHAnsi"/>
                <w:b w:val="0"/>
                <w:iCs/>
                <w:color w:val="auto"/>
                <w:szCs w:val="17"/>
                <w:lang w:eastAsia="en-US"/>
              </w:rPr>
              <w:t>INL332 Basic Education Quality and Access in Laos (BEQUAL)</w:t>
            </w:r>
          </w:p>
        </w:tc>
        <w:tc>
          <w:tcPr>
            <w:tcW w:w="3665" w:type="dxa"/>
          </w:tcPr>
          <w:p w14:paraId="537ADA25" w14:textId="77777777" w:rsidR="001B3634" w:rsidRPr="001B3634" w:rsidRDefault="00E342A8" w:rsidP="00D15A00">
            <w:pPr>
              <w:keepLines/>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Rapid Appraisal of BEQUAL Key Result Area 2</w:t>
            </w:r>
            <w:r w:rsidR="001B3634">
              <w:rPr>
                <w:rFonts w:asciiTheme="minorHAnsi" w:eastAsia="Times New Roman" w:hAnsiTheme="minorHAnsi"/>
                <w:b w:val="0"/>
                <w:iCs/>
                <w:color w:val="auto"/>
                <w:szCs w:val="17"/>
                <w:lang w:eastAsia="en-US"/>
              </w:rPr>
              <w:t xml:space="preserve"> </w:t>
            </w:r>
          </w:p>
        </w:tc>
        <w:tc>
          <w:tcPr>
            <w:tcW w:w="1397" w:type="dxa"/>
          </w:tcPr>
          <w:p w14:paraId="2B0F9209" w14:textId="77777777" w:rsidR="001B3634" w:rsidRPr="001B3634" w:rsidRDefault="00E342A8" w:rsidP="00D15A00">
            <w:pPr>
              <w:keepLines/>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July 2018</w:t>
            </w:r>
          </w:p>
        </w:tc>
        <w:tc>
          <w:tcPr>
            <w:tcW w:w="1953" w:type="dxa"/>
          </w:tcPr>
          <w:p w14:paraId="0F623FE2" w14:textId="77777777" w:rsidR="001B3634" w:rsidRPr="008243CD" w:rsidRDefault="00E96406" w:rsidP="00D15A00">
            <w:pPr>
              <w:keepLines/>
              <w:spacing w:before="40" w:after="40" w:line="200" w:lineRule="atLeast"/>
              <w:rPr>
                <w:rFonts w:asciiTheme="minorHAnsi" w:eastAsia="Times New Roman" w:hAnsiTheme="minorHAnsi"/>
                <w:b w:val="0"/>
                <w:iCs/>
                <w:color w:val="auto"/>
                <w:szCs w:val="17"/>
                <w:lang w:eastAsia="en-US"/>
              </w:rPr>
            </w:pPr>
            <w:r w:rsidRPr="008243CD">
              <w:rPr>
                <w:rFonts w:asciiTheme="minorHAnsi" w:eastAsia="Times New Roman" w:hAnsiTheme="minorHAnsi"/>
                <w:b w:val="0"/>
                <w:iCs/>
                <w:color w:val="auto"/>
                <w:szCs w:val="17"/>
                <w:lang w:eastAsia="en-US"/>
              </w:rPr>
              <w:t>July 2019</w:t>
            </w:r>
          </w:p>
        </w:tc>
        <w:tc>
          <w:tcPr>
            <w:tcW w:w="1671" w:type="dxa"/>
          </w:tcPr>
          <w:p w14:paraId="4739880F" w14:textId="77777777" w:rsidR="001B3634" w:rsidRPr="008243CD" w:rsidRDefault="00E96406" w:rsidP="00D15A00">
            <w:pPr>
              <w:keepLines/>
              <w:spacing w:before="40" w:after="40" w:line="200" w:lineRule="atLeast"/>
              <w:rPr>
                <w:rFonts w:asciiTheme="minorHAnsi" w:eastAsia="Times New Roman" w:hAnsiTheme="minorHAnsi"/>
                <w:b w:val="0"/>
                <w:iCs/>
                <w:color w:val="auto"/>
                <w:szCs w:val="17"/>
                <w:lang w:eastAsia="en-US"/>
              </w:rPr>
            </w:pPr>
            <w:r w:rsidRPr="008243CD">
              <w:rPr>
                <w:rFonts w:asciiTheme="minorHAnsi" w:eastAsia="Times New Roman" w:hAnsiTheme="minorHAnsi"/>
                <w:b w:val="0"/>
                <w:iCs/>
                <w:color w:val="auto"/>
                <w:szCs w:val="17"/>
                <w:lang w:eastAsia="en-US"/>
              </w:rPr>
              <w:t>n/a</w:t>
            </w:r>
          </w:p>
        </w:tc>
        <w:tc>
          <w:tcPr>
            <w:tcW w:w="2365" w:type="dxa"/>
          </w:tcPr>
          <w:p w14:paraId="052581D1" w14:textId="77777777" w:rsidR="001B3634" w:rsidRPr="008243CD" w:rsidRDefault="000410F6" w:rsidP="003E305C">
            <w:pPr>
              <w:keepLines/>
              <w:spacing w:before="40" w:after="40" w:line="200" w:lineRule="atLeast"/>
              <w:rPr>
                <w:rFonts w:asciiTheme="minorHAnsi" w:eastAsia="Times New Roman" w:hAnsiTheme="minorHAnsi"/>
                <w:b w:val="0"/>
                <w:iCs/>
                <w:color w:val="auto"/>
                <w:szCs w:val="17"/>
                <w:lang w:eastAsia="en-US"/>
              </w:rPr>
            </w:pPr>
            <w:r w:rsidRPr="008243CD">
              <w:rPr>
                <w:rFonts w:asciiTheme="minorHAnsi" w:eastAsia="Times New Roman" w:hAnsiTheme="minorHAnsi"/>
                <w:b w:val="0"/>
                <w:iCs/>
                <w:color w:val="auto"/>
                <w:szCs w:val="17"/>
                <w:lang w:eastAsia="en-US"/>
              </w:rPr>
              <w:t>n/a</w:t>
            </w:r>
          </w:p>
        </w:tc>
      </w:tr>
      <w:tr w:rsidR="008B14E3" w:rsidRPr="008B14E3" w14:paraId="699CA3EA" w14:textId="77777777" w:rsidTr="00E01E95">
        <w:trPr>
          <w:cnfStyle w:val="100000000000" w:firstRow="1" w:lastRow="0" w:firstColumn="0" w:lastColumn="0" w:oddVBand="0" w:evenVBand="0" w:oddHBand="0" w:evenHBand="0" w:firstRowFirstColumn="0" w:firstRowLastColumn="0" w:lastRowFirstColumn="0" w:lastRowLastColumn="0"/>
        </w:trPr>
        <w:tc>
          <w:tcPr>
            <w:tcW w:w="3064" w:type="dxa"/>
          </w:tcPr>
          <w:p w14:paraId="7CDD9735" w14:textId="77777777" w:rsidR="008B14E3" w:rsidRPr="008B14E3" w:rsidRDefault="008B14E3" w:rsidP="00D15A00">
            <w:pPr>
              <w:keepLines/>
              <w:spacing w:before="40" w:after="40" w:line="200" w:lineRule="atLeast"/>
              <w:rPr>
                <w:rFonts w:asciiTheme="minorHAnsi" w:eastAsia="Times New Roman" w:hAnsiTheme="minorHAnsi"/>
                <w:b w:val="0"/>
                <w:iCs/>
                <w:color w:val="auto"/>
                <w:szCs w:val="17"/>
                <w:lang w:eastAsia="en-US"/>
              </w:rPr>
            </w:pPr>
            <w:r w:rsidRPr="00432D26">
              <w:rPr>
                <w:rFonts w:asciiTheme="minorHAnsi" w:eastAsia="Times New Roman" w:hAnsiTheme="minorHAnsi"/>
                <w:b w:val="0"/>
                <w:iCs/>
                <w:color w:val="auto"/>
                <w:szCs w:val="17"/>
                <w:lang w:eastAsia="en-US"/>
              </w:rPr>
              <w:t>INK391 Laos Australia Rural Livelihoods Program</w:t>
            </w:r>
          </w:p>
        </w:tc>
        <w:tc>
          <w:tcPr>
            <w:tcW w:w="3665" w:type="dxa"/>
          </w:tcPr>
          <w:p w14:paraId="5BFEC377" w14:textId="77777777" w:rsidR="008B14E3" w:rsidRPr="0004757B" w:rsidRDefault="008B14E3" w:rsidP="00D15A00">
            <w:pPr>
              <w:keepLines/>
              <w:spacing w:before="40" w:after="40" w:line="200" w:lineRule="atLeast"/>
              <w:rPr>
                <w:rFonts w:asciiTheme="minorHAnsi" w:eastAsia="Times New Roman" w:hAnsiTheme="minorHAnsi"/>
                <w:b w:val="0"/>
                <w:iCs/>
                <w:color w:val="auto"/>
                <w:szCs w:val="17"/>
                <w:lang w:eastAsia="en-US"/>
              </w:rPr>
            </w:pPr>
            <w:r w:rsidRPr="0004757B">
              <w:rPr>
                <w:rFonts w:asciiTheme="minorHAnsi" w:eastAsia="Times New Roman" w:hAnsiTheme="minorHAnsi"/>
                <w:b w:val="0"/>
                <w:iCs/>
                <w:color w:val="auto"/>
                <w:szCs w:val="17"/>
                <w:lang w:eastAsia="en-US"/>
              </w:rPr>
              <w:t>Assessing the Financial Performance and Poverty Outreach of Village Funds 2017</w:t>
            </w:r>
          </w:p>
        </w:tc>
        <w:tc>
          <w:tcPr>
            <w:tcW w:w="1397" w:type="dxa"/>
          </w:tcPr>
          <w:p w14:paraId="579D85C5" w14:textId="77777777" w:rsidR="008B14E3" w:rsidRPr="0004757B" w:rsidRDefault="008B14E3" w:rsidP="00D15A00">
            <w:pPr>
              <w:keepLines/>
              <w:spacing w:before="40" w:after="40" w:line="200" w:lineRule="atLeast"/>
              <w:rPr>
                <w:rFonts w:asciiTheme="minorHAnsi" w:eastAsia="Times New Roman" w:hAnsiTheme="minorHAnsi"/>
                <w:b w:val="0"/>
                <w:iCs/>
                <w:color w:val="auto"/>
                <w:szCs w:val="17"/>
                <w:lang w:eastAsia="en-US"/>
              </w:rPr>
            </w:pPr>
            <w:r w:rsidRPr="0004757B">
              <w:rPr>
                <w:rFonts w:asciiTheme="minorHAnsi" w:eastAsia="Times New Roman" w:hAnsiTheme="minorHAnsi"/>
                <w:b w:val="0"/>
                <w:iCs/>
                <w:color w:val="auto"/>
                <w:szCs w:val="17"/>
                <w:lang w:eastAsia="en-US"/>
              </w:rPr>
              <w:t>Jun</w:t>
            </w:r>
            <w:r w:rsidR="006A2E43" w:rsidRPr="0004757B">
              <w:rPr>
                <w:rFonts w:asciiTheme="minorHAnsi" w:eastAsia="Times New Roman" w:hAnsiTheme="minorHAnsi"/>
                <w:b w:val="0"/>
                <w:iCs/>
                <w:color w:val="auto"/>
                <w:szCs w:val="17"/>
                <w:lang w:eastAsia="en-US"/>
              </w:rPr>
              <w:t>e</w:t>
            </w:r>
            <w:r w:rsidRPr="0004757B">
              <w:rPr>
                <w:rFonts w:asciiTheme="minorHAnsi" w:eastAsia="Times New Roman" w:hAnsiTheme="minorHAnsi"/>
                <w:b w:val="0"/>
                <w:iCs/>
                <w:color w:val="auto"/>
                <w:szCs w:val="17"/>
                <w:lang w:eastAsia="en-US"/>
              </w:rPr>
              <w:t xml:space="preserve"> </w:t>
            </w:r>
            <w:r w:rsidR="00E342A8">
              <w:rPr>
                <w:rFonts w:asciiTheme="minorHAnsi" w:eastAsia="Times New Roman" w:hAnsiTheme="minorHAnsi"/>
                <w:b w:val="0"/>
                <w:iCs/>
                <w:color w:val="auto"/>
                <w:szCs w:val="17"/>
                <w:lang w:eastAsia="en-US"/>
              </w:rPr>
              <w:t>20</w:t>
            </w:r>
            <w:r w:rsidRPr="0004757B">
              <w:rPr>
                <w:rFonts w:asciiTheme="minorHAnsi" w:eastAsia="Times New Roman" w:hAnsiTheme="minorHAnsi"/>
                <w:b w:val="0"/>
                <w:iCs/>
                <w:color w:val="auto"/>
                <w:szCs w:val="17"/>
                <w:lang w:eastAsia="en-US"/>
              </w:rPr>
              <w:t>19</w:t>
            </w:r>
          </w:p>
        </w:tc>
        <w:tc>
          <w:tcPr>
            <w:tcW w:w="1953" w:type="dxa"/>
          </w:tcPr>
          <w:p w14:paraId="5121B2BA" w14:textId="77777777" w:rsidR="008B14E3" w:rsidRPr="008243CD" w:rsidRDefault="008B14E3" w:rsidP="00D15A00">
            <w:pPr>
              <w:keepLines/>
              <w:spacing w:before="40" w:after="40" w:line="200" w:lineRule="atLeast"/>
              <w:rPr>
                <w:rFonts w:asciiTheme="minorHAnsi" w:eastAsia="Times New Roman" w:hAnsiTheme="minorHAnsi"/>
                <w:b w:val="0"/>
                <w:iCs/>
                <w:color w:val="auto"/>
                <w:szCs w:val="17"/>
                <w:lang w:eastAsia="en-US"/>
              </w:rPr>
            </w:pPr>
            <w:r w:rsidRPr="008243CD">
              <w:rPr>
                <w:rFonts w:asciiTheme="minorHAnsi" w:eastAsia="Times New Roman" w:hAnsiTheme="minorHAnsi"/>
                <w:b w:val="0"/>
                <w:iCs/>
                <w:color w:val="auto"/>
                <w:szCs w:val="17"/>
                <w:lang w:eastAsia="en-US"/>
              </w:rPr>
              <w:t>Jun</w:t>
            </w:r>
            <w:r w:rsidR="006A2E43" w:rsidRPr="008243CD">
              <w:rPr>
                <w:rFonts w:asciiTheme="minorHAnsi" w:eastAsia="Times New Roman" w:hAnsiTheme="minorHAnsi"/>
                <w:b w:val="0"/>
                <w:iCs/>
                <w:color w:val="auto"/>
                <w:szCs w:val="17"/>
                <w:lang w:eastAsia="en-US"/>
              </w:rPr>
              <w:t>e</w:t>
            </w:r>
            <w:r w:rsidRPr="008243CD">
              <w:rPr>
                <w:rFonts w:asciiTheme="minorHAnsi" w:eastAsia="Times New Roman" w:hAnsiTheme="minorHAnsi"/>
                <w:b w:val="0"/>
                <w:iCs/>
                <w:color w:val="auto"/>
                <w:szCs w:val="17"/>
                <w:lang w:eastAsia="en-US"/>
              </w:rPr>
              <w:t xml:space="preserve"> </w:t>
            </w:r>
            <w:r w:rsidR="000410F6" w:rsidRPr="008243CD">
              <w:rPr>
                <w:rFonts w:asciiTheme="minorHAnsi" w:eastAsia="Times New Roman" w:hAnsiTheme="minorHAnsi"/>
                <w:b w:val="0"/>
                <w:iCs/>
                <w:color w:val="auto"/>
                <w:szCs w:val="17"/>
                <w:lang w:eastAsia="en-US"/>
              </w:rPr>
              <w:t>20</w:t>
            </w:r>
            <w:r w:rsidRPr="008243CD">
              <w:rPr>
                <w:rFonts w:asciiTheme="minorHAnsi" w:eastAsia="Times New Roman" w:hAnsiTheme="minorHAnsi"/>
                <w:b w:val="0"/>
                <w:iCs/>
                <w:color w:val="auto"/>
                <w:szCs w:val="17"/>
                <w:lang w:eastAsia="en-US"/>
              </w:rPr>
              <w:t>19</w:t>
            </w:r>
          </w:p>
        </w:tc>
        <w:tc>
          <w:tcPr>
            <w:tcW w:w="1671" w:type="dxa"/>
          </w:tcPr>
          <w:p w14:paraId="14D27372" w14:textId="77777777" w:rsidR="008B14E3" w:rsidRPr="008243CD" w:rsidRDefault="008B14E3" w:rsidP="00D15A00">
            <w:pPr>
              <w:keepLines/>
              <w:spacing w:before="40" w:after="40" w:line="200" w:lineRule="atLeast"/>
              <w:rPr>
                <w:rFonts w:asciiTheme="minorHAnsi" w:eastAsia="Times New Roman" w:hAnsiTheme="minorHAnsi"/>
                <w:b w:val="0"/>
                <w:iCs/>
                <w:color w:val="auto"/>
                <w:szCs w:val="17"/>
                <w:lang w:eastAsia="en-US"/>
              </w:rPr>
            </w:pPr>
            <w:r w:rsidRPr="008243CD">
              <w:rPr>
                <w:rFonts w:asciiTheme="minorHAnsi" w:eastAsia="Times New Roman" w:hAnsiTheme="minorHAnsi"/>
                <w:b w:val="0"/>
                <w:iCs/>
                <w:color w:val="auto"/>
                <w:szCs w:val="17"/>
                <w:lang w:eastAsia="en-US"/>
              </w:rPr>
              <w:t>n/a</w:t>
            </w:r>
          </w:p>
        </w:tc>
        <w:tc>
          <w:tcPr>
            <w:tcW w:w="2365" w:type="dxa"/>
          </w:tcPr>
          <w:p w14:paraId="68A3A923" w14:textId="77777777" w:rsidR="008B14E3" w:rsidRPr="008243CD" w:rsidRDefault="006A2E43" w:rsidP="003E305C">
            <w:pPr>
              <w:keepLines/>
              <w:spacing w:before="40" w:after="40" w:line="200" w:lineRule="atLeast"/>
              <w:rPr>
                <w:rFonts w:asciiTheme="minorHAnsi" w:eastAsia="Times New Roman" w:hAnsiTheme="minorHAnsi"/>
                <w:b w:val="0"/>
                <w:iCs/>
                <w:color w:val="auto"/>
                <w:szCs w:val="17"/>
                <w:lang w:eastAsia="en-US"/>
              </w:rPr>
            </w:pPr>
            <w:r w:rsidRPr="008243CD">
              <w:rPr>
                <w:rFonts w:asciiTheme="minorHAnsi" w:eastAsia="Times New Roman" w:hAnsiTheme="minorHAnsi"/>
                <w:b w:val="0"/>
                <w:iCs/>
                <w:color w:val="auto"/>
                <w:szCs w:val="17"/>
                <w:lang w:eastAsia="en-US"/>
              </w:rPr>
              <w:t>Published on LADLF</w:t>
            </w:r>
            <w:r w:rsidR="008B14E3" w:rsidRPr="008243CD">
              <w:rPr>
                <w:rFonts w:asciiTheme="minorHAnsi" w:eastAsia="Times New Roman" w:hAnsiTheme="minorHAnsi"/>
                <w:b w:val="0"/>
                <w:iCs/>
                <w:color w:val="auto"/>
                <w:szCs w:val="17"/>
                <w:lang w:eastAsia="en-US"/>
              </w:rPr>
              <w:t xml:space="preserve"> website</w:t>
            </w:r>
            <w:r w:rsidRPr="008243CD">
              <w:rPr>
                <w:rFonts w:asciiTheme="minorHAnsi" w:eastAsia="Times New Roman" w:hAnsiTheme="minorHAnsi"/>
                <w:b w:val="0"/>
                <w:iCs/>
                <w:color w:val="auto"/>
                <w:szCs w:val="17"/>
                <w:lang w:eastAsia="en-US"/>
              </w:rPr>
              <w:t xml:space="preserve"> in July 2019</w:t>
            </w:r>
          </w:p>
        </w:tc>
      </w:tr>
    </w:tbl>
    <w:p w14:paraId="3949400B" w14:textId="77777777" w:rsidR="00AF1B85" w:rsidRPr="00EF26B5" w:rsidRDefault="00EF26B5" w:rsidP="007A13AE">
      <w:pPr>
        <w:spacing w:before="360"/>
        <w:rPr>
          <w:rFonts w:eastAsiaTheme="majorEastAsia" w:cstheme="minorHAnsi"/>
          <w:caps/>
          <w:sz w:val="36"/>
          <w:szCs w:val="36"/>
        </w:rPr>
      </w:pPr>
      <w:r w:rsidRPr="00EF26B5">
        <w:rPr>
          <w:rFonts w:eastAsiaTheme="majorEastAsia" w:cstheme="minorHAnsi"/>
          <w:caps/>
          <w:sz w:val="36"/>
          <w:szCs w:val="36"/>
        </w:rPr>
        <w:t>2</w:t>
      </w:r>
      <w:r w:rsidR="00241AD6">
        <w:rPr>
          <w:rFonts w:eastAsiaTheme="majorEastAsia" w:cstheme="minorHAnsi"/>
          <w:caps/>
          <w:sz w:val="36"/>
          <w:szCs w:val="36"/>
        </w:rPr>
        <w:t>.</w:t>
      </w:r>
      <w:r w:rsidRPr="00EF26B5">
        <w:rPr>
          <w:rFonts w:eastAsiaTheme="majorEastAsia" w:cstheme="minorHAnsi"/>
          <w:caps/>
          <w:sz w:val="36"/>
          <w:szCs w:val="36"/>
        </w:rPr>
        <w:t xml:space="preserve"> </w:t>
      </w:r>
      <w:r w:rsidR="00AF1B85" w:rsidRPr="00EF26B5">
        <w:rPr>
          <w:rFonts w:eastAsiaTheme="majorEastAsia" w:cstheme="minorHAnsi"/>
          <w:caps/>
          <w:sz w:val="36"/>
          <w:szCs w:val="36"/>
        </w:rPr>
        <w:t xml:space="preserve">List of program prioritised evaluations planned for the next 12 months </w:t>
      </w:r>
    </w:p>
    <w:tbl>
      <w:tblPr>
        <w:tblStyle w:val="AP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86"/>
        <w:gridCol w:w="2384"/>
        <w:gridCol w:w="2070"/>
        <w:gridCol w:w="2236"/>
        <w:gridCol w:w="2353"/>
        <w:gridCol w:w="2782"/>
      </w:tblGrid>
      <w:tr w:rsidR="00AF1B85" w:rsidRPr="00C61187" w14:paraId="758F2337" w14:textId="77777777" w:rsidTr="00E01E95">
        <w:tc>
          <w:tcPr>
            <w:tcW w:w="2444" w:type="dxa"/>
          </w:tcPr>
          <w:p w14:paraId="4A2ABF63"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14:paraId="64FD0730"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14:paraId="5A09AE8D"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14:paraId="407A4990"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14:paraId="2E64FA32"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14:paraId="72DF24AE"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DF0C91" w:rsidRPr="007F1EBB" w14:paraId="2200267D" w14:textId="77777777" w:rsidTr="00E01E95">
        <w:tc>
          <w:tcPr>
            <w:tcW w:w="2444" w:type="dxa"/>
          </w:tcPr>
          <w:p w14:paraId="0F46E680" w14:textId="77777777" w:rsidR="00DF0C91" w:rsidRPr="0004757B" w:rsidRDefault="007F1EBB" w:rsidP="00D15A00">
            <w:pPr>
              <w:keepLines/>
              <w:spacing w:before="40" w:after="40" w:line="200" w:lineRule="atLeast"/>
              <w:rPr>
                <w:rFonts w:asciiTheme="minorHAnsi" w:eastAsia="Times New Roman" w:hAnsiTheme="minorHAnsi"/>
                <w:iCs/>
                <w:color w:val="auto"/>
                <w:szCs w:val="17"/>
                <w:lang w:eastAsia="en-US"/>
              </w:rPr>
            </w:pPr>
            <w:r w:rsidRPr="0004757B">
              <w:rPr>
                <w:rFonts w:asciiTheme="minorHAnsi" w:eastAsia="Times New Roman" w:hAnsiTheme="minorHAnsi"/>
                <w:iCs/>
                <w:color w:val="auto"/>
                <w:szCs w:val="17"/>
                <w:lang w:eastAsia="en-US"/>
              </w:rPr>
              <w:t>Teacher Development Evaluation</w:t>
            </w:r>
          </w:p>
        </w:tc>
        <w:tc>
          <w:tcPr>
            <w:tcW w:w="2356" w:type="dxa"/>
          </w:tcPr>
          <w:p w14:paraId="2E05772C" w14:textId="77777777" w:rsidR="00DF0C91" w:rsidRPr="0004757B" w:rsidRDefault="007F1EBB" w:rsidP="00D15A00">
            <w:pPr>
              <w:keepLines/>
              <w:spacing w:before="40" w:after="40" w:line="200" w:lineRule="atLeast"/>
              <w:rPr>
                <w:rFonts w:asciiTheme="minorHAnsi" w:eastAsia="Times New Roman" w:hAnsiTheme="minorHAnsi"/>
                <w:iCs/>
                <w:color w:val="auto"/>
                <w:szCs w:val="17"/>
                <w:lang w:eastAsia="en-US"/>
              </w:rPr>
            </w:pPr>
            <w:r w:rsidRPr="0004757B">
              <w:rPr>
                <w:rFonts w:asciiTheme="minorHAnsi" w:eastAsia="Times New Roman" w:hAnsiTheme="minorHAnsi"/>
                <w:iCs/>
                <w:color w:val="auto"/>
                <w:szCs w:val="17"/>
                <w:lang w:eastAsia="en-US"/>
              </w:rPr>
              <w:t>INL332 Basic Education Quality and Access in Laos (BEQUAL)</w:t>
            </w:r>
          </w:p>
        </w:tc>
        <w:tc>
          <w:tcPr>
            <w:tcW w:w="2042" w:type="dxa"/>
          </w:tcPr>
          <w:p w14:paraId="22B98F14" w14:textId="77777777" w:rsidR="00DF0C91" w:rsidRPr="0004757B" w:rsidRDefault="007F1EBB" w:rsidP="00D15A00">
            <w:pPr>
              <w:keepLines/>
              <w:spacing w:before="40" w:after="40" w:line="200" w:lineRule="atLeast"/>
              <w:rPr>
                <w:rFonts w:asciiTheme="minorHAnsi" w:eastAsia="Times New Roman" w:hAnsiTheme="minorHAnsi"/>
                <w:iCs/>
                <w:color w:val="auto"/>
                <w:szCs w:val="17"/>
                <w:lang w:eastAsia="en-US"/>
              </w:rPr>
            </w:pPr>
            <w:r w:rsidRPr="0004757B">
              <w:rPr>
                <w:rFonts w:asciiTheme="minorHAnsi" w:eastAsia="Times New Roman" w:hAnsiTheme="minorHAnsi"/>
                <w:iCs/>
                <w:color w:val="auto"/>
                <w:szCs w:val="17"/>
                <w:lang w:eastAsia="en-US"/>
              </w:rPr>
              <w:t>April 2019</w:t>
            </w:r>
          </w:p>
        </w:tc>
        <w:tc>
          <w:tcPr>
            <w:tcW w:w="2208" w:type="dxa"/>
          </w:tcPr>
          <w:p w14:paraId="43B2BFAB" w14:textId="77777777" w:rsidR="00DF0C91" w:rsidRPr="0004757B" w:rsidRDefault="007F1EBB" w:rsidP="00D15A00">
            <w:pPr>
              <w:keepLines/>
              <w:spacing w:before="40" w:after="40" w:line="200" w:lineRule="atLeast"/>
              <w:rPr>
                <w:rFonts w:asciiTheme="minorHAnsi" w:eastAsia="Times New Roman" w:hAnsiTheme="minorHAnsi"/>
                <w:iCs/>
                <w:color w:val="auto"/>
                <w:szCs w:val="17"/>
                <w:lang w:eastAsia="en-US"/>
              </w:rPr>
            </w:pPr>
            <w:r w:rsidRPr="0004757B">
              <w:rPr>
                <w:rFonts w:asciiTheme="minorHAnsi" w:eastAsia="Times New Roman" w:hAnsiTheme="minorHAnsi"/>
                <w:iCs/>
                <w:color w:val="auto"/>
                <w:szCs w:val="17"/>
                <w:lang w:eastAsia="en-US"/>
              </w:rPr>
              <w:t>October 2021</w:t>
            </w:r>
          </w:p>
        </w:tc>
        <w:tc>
          <w:tcPr>
            <w:tcW w:w="2325" w:type="dxa"/>
          </w:tcPr>
          <w:p w14:paraId="3B6FCEF3" w14:textId="77777777" w:rsidR="002C103E" w:rsidRPr="0004757B" w:rsidRDefault="007F1EBB" w:rsidP="002C103E">
            <w:pPr>
              <w:keepLines/>
              <w:spacing w:before="40" w:after="40" w:line="200" w:lineRule="atLeast"/>
              <w:rPr>
                <w:rFonts w:asciiTheme="minorHAnsi" w:eastAsia="Times New Roman" w:hAnsiTheme="minorHAnsi"/>
                <w:iCs/>
                <w:color w:val="auto"/>
                <w:szCs w:val="17"/>
                <w:lang w:eastAsia="en-US"/>
              </w:rPr>
            </w:pPr>
            <w:r w:rsidRPr="0004757B">
              <w:rPr>
                <w:rFonts w:asciiTheme="minorHAnsi" w:eastAsia="Times New Roman" w:hAnsiTheme="minorHAnsi"/>
                <w:iCs/>
                <w:color w:val="auto"/>
                <w:szCs w:val="17"/>
                <w:lang w:eastAsia="en-US"/>
              </w:rPr>
              <w:t xml:space="preserve">- </w:t>
            </w:r>
            <w:r w:rsidR="00A40718">
              <w:rPr>
                <w:rFonts w:asciiTheme="minorHAnsi" w:eastAsia="Times New Roman" w:hAnsiTheme="minorHAnsi"/>
                <w:iCs/>
                <w:color w:val="auto"/>
                <w:szCs w:val="17"/>
                <w:lang w:eastAsia="en-US"/>
              </w:rPr>
              <w:t>D</w:t>
            </w:r>
            <w:r w:rsidR="002C103E" w:rsidRPr="0004757B">
              <w:rPr>
                <w:rFonts w:asciiTheme="minorHAnsi" w:eastAsia="Times New Roman" w:hAnsiTheme="minorHAnsi"/>
                <w:iCs/>
                <w:color w:val="auto"/>
                <w:szCs w:val="17"/>
                <w:lang w:eastAsia="en-US"/>
              </w:rPr>
              <w:t xml:space="preserve">emonstrate results </w:t>
            </w:r>
            <w:r w:rsidR="00241AD6">
              <w:rPr>
                <w:rFonts w:asciiTheme="minorHAnsi" w:eastAsia="Times New Roman" w:hAnsiTheme="minorHAnsi"/>
                <w:iCs/>
                <w:color w:val="auto"/>
                <w:szCs w:val="17"/>
                <w:lang w:eastAsia="en-US"/>
              </w:rPr>
              <w:t>and i</w:t>
            </w:r>
            <w:r w:rsidRPr="0004757B">
              <w:rPr>
                <w:rFonts w:asciiTheme="minorHAnsi" w:eastAsia="Times New Roman" w:hAnsiTheme="minorHAnsi"/>
                <w:iCs/>
                <w:color w:val="auto"/>
                <w:szCs w:val="17"/>
                <w:lang w:eastAsia="en-US"/>
              </w:rPr>
              <w:t xml:space="preserve">nform </w:t>
            </w:r>
            <w:r w:rsidR="002C103E">
              <w:rPr>
                <w:rFonts w:asciiTheme="minorHAnsi" w:eastAsia="Times New Roman" w:hAnsiTheme="minorHAnsi"/>
                <w:iCs/>
                <w:color w:val="auto"/>
                <w:szCs w:val="17"/>
                <w:lang w:eastAsia="en-US"/>
              </w:rPr>
              <w:t xml:space="preserve">future </w:t>
            </w:r>
            <w:r w:rsidRPr="0004757B">
              <w:rPr>
                <w:rFonts w:asciiTheme="minorHAnsi" w:eastAsia="Times New Roman" w:hAnsiTheme="minorHAnsi"/>
                <w:iCs/>
                <w:color w:val="auto"/>
                <w:szCs w:val="17"/>
                <w:lang w:eastAsia="en-US"/>
              </w:rPr>
              <w:t xml:space="preserve">investment in teacher </w:t>
            </w:r>
            <w:r w:rsidR="002C103E">
              <w:rPr>
                <w:rFonts w:asciiTheme="minorHAnsi" w:eastAsia="Times New Roman" w:hAnsiTheme="minorHAnsi"/>
                <w:iCs/>
                <w:color w:val="auto"/>
                <w:szCs w:val="17"/>
                <w:lang w:eastAsia="en-US"/>
              </w:rPr>
              <w:t xml:space="preserve">development </w:t>
            </w:r>
            <w:r w:rsidRPr="0004757B">
              <w:rPr>
                <w:rFonts w:asciiTheme="minorHAnsi" w:eastAsia="Times New Roman" w:hAnsiTheme="minorHAnsi"/>
                <w:iCs/>
                <w:color w:val="auto"/>
                <w:szCs w:val="17"/>
                <w:lang w:eastAsia="en-US"/>
              </w:rPr>
              <w:t>in Laos</w:t>
            </w:r>
          </w:p>
          <w:p w14:paraId="4B631339" w14:textId="77777777" w:rsidR="00DF0C91" w:rsidRPr="0004757B" w:rsidRDefault="002C103E" w:rsidP="007F1EBB">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 </w:t>
            </w:r>
            <w:r w:rsidR="00A40718">
              <w:rPr>
                <w:rFonts w:asciiTheme="minorHAnsi" w:eastAsia="Times New Roman" w:hAnsiTheme="minorHAnsi"/>
                <w:iCs/>
                <w:color w:val="auto"/>
                <w:szCs w:val="17"/>
                <w:lang w:eastAsia="en-US"/>
              </w:rPr>
              <w:t>C</w:t>
            </w:r>
            <w:r>
              <w:rPr>
                <w:rFonts w:asciiTheme="minorHAnsi" w:eastAsia="Times New Roman" w:hAnsiTheme="minorHAnsi"/>
                <w:iCs/>
                <w:color w:val="auto"/>
                <w:szCs w:val="17"/>
                <w:lang w:eastAsia="en-US"/>
              </w:rPr>
              <w:t>ontribute to DFAT global evaluation on teacher development initiatives</w:t>
            </w:r>
          </w:p>
        </w:tc>
        <w:tc>
          <w:tcPr>
            <w:tcW w:w="2740" w:type="dxa"/>
          </w:tcPr>
          <w:p w14:paraId="32E54E78" w14:textId="77777777" w:rsidR="00DF0C91" w:rsidRPr="008243CD" w:rsidRDefault="007F1EBB" w:rsidP="00D15A00">
            <w:pPr>
              <w:keepLines/>
              <w:spacing w:before="40" w:after="40" w:line="200" w:lineRule="atLeast"/>
              <w:rPr>
                <w:rFonts w:asciiTheme="minorHAnsi" w:eastAsia="Times New Roman" w:hAnsiTheme="minorHAnsi"/>
                <w:iCs/>
                <w:color w:val="auto"/>
                <w:szCs w:val="17"/>
                <w:lang w:eastAsia="en-US"/>
              </w:rPr>
            </w:pPr>
            <w:r w:rsidRPr="008243CD">
              <w:rPr>
                <w:rFonts w:asciiTheme="minorHAnsi" w:eastAsia="Times New Roman" w:hAnsiTheme="minorHAnsi"/>
                <w:iCs/>
                <w:color w:val="auto"/>
                <w:szCs w:val="17"/>
                <w:lang w:eastAsia="en-US"/>
              </w:rPr>
              <w:t xml:space="preserve">- DFAT led with the support of LADLF and ACER </w:t>
            </w:r>
          </w:p>
        </w:tc>
      </w:tr>
      <w:tr w:rsidR="00091909" w:rsidRPr="00091909" w14:paraId="7FD5C18E" w14:textId="77777777" w:rsidTr="00E01E95">
        <w:tc>
          <w:tcPr>
            <w:tcW w:w="2444" w:type="dxa"/>
          </w:tcPr>
          <w:p w14:paraId="7AD15B87" w14:textId="77777777" w:rsidR="00091909" w:rsidRPr="00091909" w:rsidRDefault="00091909" w:rsidP="00D15A00">
            <w:pPr>
              <w:keepLines/>
              <w:spacing w:before="40" w:after="40" w:line="200" w:lineRule="atLeast"/>
              <w:rPr>
                <w:rFonts w:asciiTheme="minorHAnsi" w:eastAsia="Times New Roman" w:hAnsiTheme="minorHAnsi"/>
                <w:iCs/>
                <w:color w:val="auto"/>
                <w:szCs w:val="17"/>
                <w:lang w:eastAsia="en-US"/>
              </w:rPr>
            </w:pPr>
            <w:r w:rsidRPr="00091909">
              <w:rPr>
                <w:rFonts w:asciiTheme="minorHAnsi" w:eastAsia="Times New Roman" w:hAnsiTheme="minorHAnsi"/>
                <w:iCs/>
                <w:color w:val="auto"/>
                <w:szCs w:val="17"/>
                <w:lang w:eastAsia="en-US"/>
              </w:rPr>
              <w:t>Formative Review of the Primary Education Governance in Lao PDR</w:t>
            </w:r>
          </w:p>
        </w:tc>
        <w:tc>
          <w:tcPr>
            <w:tcW w:w="2356" w:type="dxa"/>
          </w:tcPr>
          <w:p w14:paraId="4CB14D3E" w14:textId="77777777" w:rsidR="00091909" w:rsidRPr="00091909" w:rsidRDefault="00091909" w:rsidP="00D15A00">
            <w:pPr>
              <w:keepLines/>
              <w:spacing w:before="40" w:after="40" w:line="200" w:lineRule="atLeast"/>
              <w:rPr>
                <w:rFonts w:asciiTheme="minorHAnsi" w:eastAsia="Times New Roman" w:hAnsiTheme="minorHAnsi"/>
                <w:iCs/>
                <w:color w:val="auto"/>
                <w:szCs w:val="17"/>
                <w:lang w:eastAsia="en-US"/>
              </w:rPr>
            </w:pPr>
            <w:r w:rsidRPr="00091909">
              <w:rPr>
                <w:rFonts w:asciiTheme="minorHAnsi" w:eastAsia="Times New Roman" w:hAnsiTheme="minorHAnsi"/>
                <w:iCs/>
                <w:color w:val="auto"/>
                <w:szCs w:val="17"/>
                <w:lang w:eastAsia="en-US"/>
              </w:rPr>
              <w:t>INL332 Basic Education Quality and Access in Laos (BEQUAL)</w:t>
            </w:r>
          </w:p>
        </w:tc>
        <w:tc>
          <w:tcPr>
            <w:tcW w:w="2042" w:type="dxa"/>
          </w:tcPr>
          <w:p w14:paraId="48ED1F76" w14:textId="77777777" w:rsidR="00091909" w:rsidRPr="00091909" w:rsidRDefault="00091909" w:rsidP="00D15A00">
            <w:pPr>
              <w:keepLines/>
              <w:spacing w:before="40" w:after="40" w:line="200" w:lineRule="atLeast"/>
              <w:rPr>
                <w:rFonts w:asciiTheme="minorHAnsi" w:eastAsia="Times New Roman" w:hAnsiTheme="minorHAnsi"/>
                <w:iCs/>
                <w:color w:val="auto"/>
                <w:szCs w:val="17"/>
                <w:lang w:eastAsia="en-US"/>
              </w:rPr>
            </w:pPr>
            <w:r w:rsidRPr="00091909">
              <w:rPr>
                <w:rFonts w:asciiTheme="minorHAnsi" w:eastAsia="Times New Roman" w:hAnsiTheme="minorHAnsi"/>
                <w:iCs/>
                <w:color w:val="auto"/>
                <w:szCs w:val="17"/>
                <w:lang w:eastAsia="en-US"/>
              </w:rPr>
              <w:t>June 2019</w:t>
            </w:r>
          </w:p>
        </w:tc>
        <w:tc>
          <w:tcPr>
            <w:tcW w:w="2208" w:type="dxa"/>
          </w:tcPr>
          <w:p w14:paraId="4BDCC6D6" w14:textId="77777777" w:rsidR="00091909" w:rsidRPr="00091909" w:rsidRDefault="00091909" w:rsidP="00D15A00">
            <w:pPr>
              <w:keepLines/>
              <w:spacing w:before="40" w:after="40" w:line="200" w:lineRule="atLeast"/>
              <w:rPr>
                <w:rFonts w:asciiTheme="minorHAnsi" w:eastAsia="Times New Roman" w:hAnsiTheme="minorHAnsi"/>
                <w:iCs/>
                <w:color w:val="auto"/>
                <w:szCs w:val="17"/>
                <w:lang w:eastAsia="en-US"/>
              </w:rPr>
            </w:pPr>
            <w:r w:rsidRPr="00091909">
              <w:rPr>
                <w:rFonts w:asciiTheme="minorHAnsi" w:eastAsia="Times New Roman" w:hAnsiTheme="minorHAnsi"/>
                <w:iCs/>
                <w:color w:val="auto"/>
                <w:szCs w:val="17"/>
                <w:lang w:eastAsia="en-US"/>
              </w:rPr>
              <w:t>October 2019</w:t>
            </w:r>
          </w:p>
        </w:tc>
        <w:tc>
          <w:tcPr>
            <w:tcW w:w="2325" w:type="dxa"/>
          </w:tcPr>
          <w:p w14:paraId="6FC4D8D4" w14:textId="77777777" w:rsidR="00A40718" w:rsidRDefault="00091909" w:rsidP="00091909">
            <w:pPr>
              <w:keepLines/>
              <w:spacing w:before="40" w:after="40" w:line="200" w:lineRule="atLeast"/>
              <w:rPr>
                <w:rFonts w:asciiTheme="minorHAnsi" w:eastAsia="Times New Roman" w:hAnsiTheme="minorHAnsi"/>
                <w:iCs/>
                <w:color w:val="auto"/>
                <w:szCs w:val="17"/>
                <w:lang w:eastAsia="en-US"/>
              </w:rPr>
            </w:pPr>
            <w:r w:rsidRPr="002C103E">
              <w:rPr>
                <w:rFonts w:asciiTheme="minorHAnsi" w:eastAsia="Times New Roman" w:hAnsiTheme="minorHAnsi"/>
                <w:iCs/>
                <w:color w:val="auto"/>
                <w:szCs w:val="17"/>
                <w:lang w:eastAsia="en-US"/>
              </w:rPr>
              <w:t xml:space="preserve">- </w:t>
            </w:r>
            <w:r w:rsidR="00A40718">
              <w:rPr>
                <w:rFonts w:asciiTheme="minorHAnsi" w:eastAsia="Times New Roman" w:hAnsiTheme="minorHAnsi"/>
                <w:iCs/>
                <w:color w:val="auto"/>
                <w:szCs w:val="17"/>
                <w:lang w:eastAsia="en-US"/>
              </w:rPr>
              <w:t>Enquire about</w:t>
            </w:r>
            <w:r w:rsidR="00A40718" w:rsidRPr="002C103E">
              <w:rPr>
                <w:rFonts w:asciiTheme="minorHAnsi" w:eastAsia="Times New Roman" w:hAnsiTheme="minorHAnsi"/>
                <w:iCs/>
                <w:color w:val="auto"/>
                <w:szCs w:val="17"/>
                <w:lang w:eastAsia="en-US"/>
              </w:rPr>
              <w:t xml:space="preserve"> governance arrangements and capacity </w:t>
            </w:r>
            <w:r w:rsidR="00A40718">
              <w:rPr>
                <w:rFonts w:asciiTheme="minorHAnsi" w:eastAsia="Times New Roman" w:hAnsiTheme="minorHAnsi"/>
                <w:iCs/>
                <w:color w:val="auto"/>
                <w:szCs w:val="17"/>
                <w:lang w:eastAsia="en-US"/>
              </w:rPr>
              <w:t>at subnational level</w:t>
            </w:r>
          </w:p>
          <w:p w14:paraId="6DBF3C17" w14:textId="77777777" w:rsidR="00091909" w:rsidRPr="002C103E" w:rsidRDefault="00241AD6" w:rsidP="00091909">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 </w:t>
            </w:r>
            <w:r w:rsidRPr="002C103E">
              <w:rPr>
                <w:rFonts w:asciiTheme="minorHAnsi" w:eastAsia="Times New Roman" w:hAnsiTheme="minorHAnsi"/>
                <w:iCs/>
                <w:color w:val="auto"/>
                <w:szCs w:val="17"/>
                <w:lang w:eastAsia="en-US"/>
              </w:rPr>
              <w:t>Inform design</w:t>
            </w:r>
            <w:r>
              <w:rPr>
                <w:rFonts w:asciiTheme="minorHAnsi" w:eastAsia="Times New Roman" w:hAnsiTheme="minorHAnsi"/>
                <w:iCs/>
                <w:color w:val="auto"/>
                <w:szCs w:val="17"/>
                <w:lang w:eastAsia="en-US"/>
              </w:rPr>
              <w:t xml:space="preserve"> of next phase</w:t>
            </w:r>
          </w:p>
        </w:tc>
        <w:tc>
          <w:tcPr>
            <w:tcW w:w="2740" w:type="dxa"/>
          </w:tcPr>
          <w:p w14:paraId="5C7140F4" w14:textId="77777777" w:rsidR="00091909" w:rsidRPr="008243CD" w:rsidRDefault="00FF60EE" w:rsidP="00D15A00">
            <w:pPr>
              <w:keepLines/>
              <w:spacing w:before="40" w:after="40" w:line="200" w:lineRule="atLeast"/>
              <w:rPr>
                <w:rFonts w:asciiTheme="minorHAnsi" w:eastAsia="Times New Roman" w:hAnsiTheme="minorHAnsi"/>
                <w:iCs/>
                <w:color w:val="auto"/>
                <w:szCs w:val="17"/>
                <w:lang w:eastAsia="en-US"/>
              </w:rPr>
            </w:pPr>
            <w:r w:rsidRPr="008243CD">
              <w:rPr>
                <w:rFonts w:asciiTheme="minorHAnsi" w:eastAsia="Times New Roman" w:hAnsiTheme="minorHAnsi"/>
                <w:iCs/>
                <w:color w:val="auto"/>
                <w:szCs w:val="17"/>
                <w:lang w:eastAsia="en-US"/>
              </w:rPr>
              <w:t>- DFAT led with the support of LADLF</w:t>
            </w:r>
          </w:p>
        </w:tc>
      </w:tr>
      <w:tr w:rsidR="006A2E43" w:rsidRPr="00521BEE" w14:paraId="4964BA54" w14:textId="77777777" w:rsidTr="00E01E95">
        <w:tc>
          <w:tcPr>
            <w:tcW w:w="2444" w:type="dxa"/>
          </w:tcPr>
          <w:p w14:paraId="466F5A86" w14:textId="77777777" w:rsidR="006A2E43" w:rsidRPr="00521BEE" w:rsidRDefault="003E70B9" w:rsidP="003E70B9">
            <w:pPr>
              <w:keepLines/>
              <w:spacing w:before="40" w:after="40" w:line="200" w:lineRule="atLeast"/>
              <w:rPr>
                <w:rFonts w:asciiTheme="minorHAnsi" w:eastAsia="Times New Roman" w:hAnsiTheme="minorHAnsi"/>
                <w:iCs/>
                <w:color w:val="auto"/>
                <w:szCs w:val="17"/>
                <w:lang w:eastAsia="en-US"/>
              </w:rPr>
            </w:pPr>
            <w:r w:rsidRPr="00521BEE">
              <w:rPr>
                <w:rFonts w:asciiTheme="minorHAnsi" w:eastAsia="Times New Roman" w:hAnsiTheme="minorHAnsi"/>
                <w:iCs/>
                <w:color w:val="auto"/>
                <w:szCs w:val="17"/>
                <w:lang w:eastAsia="en-US"/>
              </w:rPr>
              <w:t>Formative Review</w:t>
            </w:r>
            <w:r>
              <w:rPr>
                <w:rFonts w:asciiTheme="minorHAnsi" w:eastAsia="Times New Roman" w:hAnsiTheme="minorHAnsi"/>
                <w:iCs/>
                <w:color w:val="auto"/>
                <w:szCs w:val="17"/>
                <w:lang w:eastAsia="en-US"/>
              </w:rPr>
              <w:t xml:space="preserve"> of the</w:t>
            </w:r>
            <w:r w:rsidRPr="00521BEE">
              <w:rPr>
                <w:rFonts w:asciiTheme="minorHAnsi" w:eastAsia="Times New Roman" w:hAnsiTheme="minorHAnsi"/>
                <w:iCs/>
                <w:color w:val="auto"/>
                <w:szCs w:val="17"/>
                <w:lang w:eastAsia="en-US"/>
              </w:rPr>
              <w:t xml:space="preserve"> </w:t>
            </w:r>
            <w:r w:rsidR="00521BEE" w:rsidRPr="00521BEE">
              <w:rPr>
                <w:rFonts w:asciiTheme="minorHAnsi" w:eastAsia="Times New Roman" w:hAnsiTheme="minorHAnsi"/>
                <w:iCs/>
                <w:color w:val="auto"/>
                <w:szCs w:val="17"/>
                <w:lang w:eastAsia="en-US"/>
              </w:rPr>
              <w:t>L</w:t>
            </w:r>
            <w:r w:rsidR="00521BEE">
              <w:rPr>
                <w:rFonts w:asciiTheme="minorHAnsi" w:eastAsia="Times New Roman" w:hAnsiTheme="minorHAnsi"/>
                <w:iCs/>
                <w:color w:val="auto"/>
                <w:szCs w:val="17"/>
                <w:lang w:eastAsia="en-US"/>
              </w:rPr>
              <w:t xml:space="preserve">aos </w:t>
            </w:r>
            <w:r w:rsidR="00521BEE" w:rsidRPr="00521BEE">
              <w:rPr>
                <w:rFonts w:asciiTheme="minorHAnsi" w:eastAsia="Times New Roman" w:hAnsiTheme="minorHAnsi"/>
                <w:iCs/>
                <w:color w:val="auto"/>
                <w:szCs w:val="17"/>
                <w:lang w:eastAsia="en-US"/>
              </w:rPr>
              <w:t>A</w:t>
            </w:r>
            <w:r w:rsidR="00521BEE">
              <w:rPr>
                <w:rFonts w:asciiTheme="minorHAnsi" w:eastAsia="Times New Roman" w:hAnsiTheme="minorHAnsi"/>
                <w:iCs/>
                <w:color w:val="auto"/>
                <w:szCs w:val="17"/>
                <w:lang w:eastAsia="en-US"/>
              </w:rPr>
              <w:t>ustralia Institute</w:t>
            </w:r>
            <w:r w:rsidR="00521BEE" w:rsidRPr="00521BEE">
              <w:rPr>
                <w:rFonts w:asciiTheme="minorHAnsi" w:eastAsia="Times New Roman" w:hAnsiTheme="minorHAnsi"/>
                <w:iCs/>
                <w:color w:val="auto"/>
                <w:szCs w:val="17"/>
                <w:lang w:eastAsia="en-US"/>
              </w:rPr>
              <w:t xml:space="preserve"> </w:t>
            </w:r>
          </w:p>
        </w:tc>
        <w:tc>
          <w:tcPr>
            <w:tcW w:w="2356" w:type="dxa"/>
          </w:tcPr>
          <w:p w14:paraId="38F09CEC" w14:textId="77777777" w:rsidR="006A2E43" w:rsidRPr="00521BEE" w:rsidRDefault="00521BEE" w:rsidP="00D15A00">
            <w:pPr>
              <w:keepLines/>
              <w:spacing w:before="40" w:after="40" w:line="200" w:lineRule="atLeast"/>
              <w:rPr>
                <w:rFonts w:asciiTheme="minorHAnsi" w:eastAsia="Times New Roman" w:hAnsiTheme="minorHAnsi"/>
                <w:iCs/>
                <w:color w:val="auto"/>
                <w:szCs w:val="17"/>
                <w:lang w:eastAsia="en-US"/>
              </w:rPr>
            </w:pPr>
            <w:r w:rsidRPr="00521BEE">
              <w:rPr>
                <w:rFonts w:asciiTheme="minorHAnsi" w:eastAsia="Times New Roman" w:hAnsiTheme="minorHAnsi"/>
                <w:iCs/>
                <w:color w:val="auto"/>
                <w:szCs w:val="17"/>
                <w:lang w:eastAsia="en-US"/>
              </w:rPr>
              <w:t>INK562</w:t>
            </w:r>
            <w:r>
              <w:rPr>
                <w:rFonts w:asciiTheme="minorHAnsi" w:eastAsia="Times New Roman" w:hAnsiTheme="minorHAnsi"/>
                <w:iCs/>
                <w:color w:val="auto"/>
                <w:szCs w:val="17"/>
                <w:lang w:eastAsia="en-US"/>
              </w:rPr>
              <w:t xml:space="preserve"> Laos Australia Institute</w:t>
            </w:r>
          </w:p>
        </w:tc>
        <w:tc>
          <w:tcPr>
            <w:tcW w:w="2042" w:type="dxa"/>
          </w:tcPr>
          <w:p w14:paraId="01C0E633" w14:textId="77777777" w:rsidR="006A2E43" w:rsidRPr="00521BEE" w:rsidRDefault="00521BEE" w:rsidP="00D15A00">
            <w:pPr>
              <w:keepLines/>
              <w:spacing w:before="40" w:after="40" w:line="200" w:lineRule="atLeast"/>
              <w:rPr>
                <w:rFonts w:asciiTheme="minorHAnsi" w:eastAsia="Times New Roman" w:hAnsiTheme="minorHAnsi"/>
                <w:iCs/>
                <w:color w:val="auto"/>
                <w:szCs w:val="17"/>
                <w:lang w:eastAsia="en-US"/>
              </w:rPr>
            </w:pPr>
            <w:r w:rsidRPr="00521BEE">
              <w:rPr>
                <w:rFonts w:asciiTheme="minorHAnsi" w:eastAsia="Times New Roman" w:hAnsiTheme="minorHAnsi"/>
                <w:iCs/>
                <w:color w:val="auto"/>
                <w:szCs w:val="17"/>
                <w:lang w:eastAsia="en-US"/>
              </w:rPr>
              <w:t>October 2019</w:t>
            </w:r>
          </w:p>
        </w:tc>
        <w:tc>
          <w:tcPr>
            <w:tcW w:w="2208" w:type="dxa"/>
          </w:tcPr>
          <w:p w14:paraId="604BEB8C" w14:textId="77777777" w:rsidR="006A2E43" w:rsidRPr="00521BEE" w:rsidRDefault="002C103E" w:rsidP="00D15A00">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December 2019</w:t>
            </w:r>
          </w:p>
        </w:tc>
        <w:tc>
          <w:tcPr>
            <w:tcW w:w="2325" w:type="dxa"/>
          </w:tcPr>
          <w:p w14:paraId="5B983C77" w14:textId="77777777" w:rsidR="002C103E" w:rsidRPr="002C103E" w:rsidRDefault="00A672E5" w:rsidP="00A672E5">
            <w:pPr>
              <w:keepLines/>
              <w:spacing w:before="40" w:after="40" w:line="200" w:lineRule="atLeast"/>
              <w:rPr>
                <w:rFonts w:asciiTheme="minorHAnsi" w:eastAsia="Times New Roman" w:hAnsiTheme="minorHAnsi"/>
                <w:iCs/>
                <w:color w:val="auto"/>
                <w:szCs w:val="17"/>
                <w:lang w:eastAsia="en-US"/>
              </w:rPr>
            </w:pPr>
            <w:r w:rsidRPr="002C103E">
              <w:rPr>
                <w:rFonts w:asciiTheme="minorHAnsi" w:eastAsia="Times New Roman" w:hAnsiTheme="minorHAnsi"/>
                <w:iCs/>
                <w:color w:val="auto"/>
                <w:szCs w:val="17"/>
                <w:lang w:eastAsia="en-US"/>
              </w:rPr>
              <w:t xml:space="preserve">- </w:t>
            </w:r>
            <w:r w:rsidR="00A40718">
              <w:rPr>
                <w:rFonts w:asciiTheme="minorHAnsi" w:eastAsia="Times New Roman" w:hAnsiTheme="minorHAnsi"/>
                <w:iCs/>
                <w:color w:val="auto"/>
                <w:szCs w:val="17"/>
                <w:lang w:eastAsia="en-US"/>
              </w:rPr>
              <w:t>D</w:t>
            </w:r>
            <w:r w:rsidR="002C103E" w:rsidRPr="002C103E">
              <w:rPr>
                <w:rFonts w:asciiTheme="minorHAnsi" w:eastAsia="Times New Roman" w:hAnsiTheme="minorHAnsi"/>
                <w:iCs/>
                <w:color w:val="auto"/>
                <w:szCs w:val="17"/>
                <w:lang w:eastAsia="en-US"/>
              </w:rPr>
              <w:t xml:space="preserve">emonstrate results </w:t>
            </w:r>
            <w:r w:rsidR="00A40718">
              <w:rPr>
                <w:rFonts w:asciiTheme="minorHAnsi" w:eastAsia="Times New Roman" w:hAnsiTheme="minorHAnsi"/>
                <w:iCs/>
                <w:color w:val="auto"/>
                <w:szCs w:val="17"/>
                <w:lang w:eastAsia="en-US"/>
              </w:rPr>
              <w:t>of LAI II</w:t>
            </w:r>
          </w:p>
          <w:p w14:paraId="7A549391" w14:textId="77777777" w:rsidR="00F86459" w:rsidRPr="002C103E" w:rsidRDefault="00F86459" w:rsidP="00A672E5">
            <w:pPr>
              <w:keepLines/>
              <w:spacing w:before="40" w:after="40" w:line="200" w:lineRule="atLeast"/>
              <w:rPr>
                <w:rFonts w:asciiTheme="minorHAnsi" w:eastAsia="Times New Roman" w:hAnsiTheme="minorHAnsi"/>
                <w:iCs/>
                <w:color w:val="auto"/>
                <w:szCs w:val="17"/>
                <w:lang w:eastAsia="en-US"/>
              </w:rPr>
            </w:pPr>
            <w:r w:rsidRPr="002C103E">
              <w:rPr>
                <w:rFonts w:asciiTheme="minorHAnsi" w:eastAsia="Times New Roman" w:hAnsiTheme="minorHAnsi"/>
                <w:iCs/>
                <w:color w:val="auto"/>
                <w:szCs w:val="17"/>
                <w:lang w:eastAsia="en-US"/>
              </w:rPr>
              <w:t xml:space="preserve">- </w:t>
            </w:r>
            <w:r w:rsidR="002C103E" w:rsidRPr="002C103E">
              <w:rPr>
                <w:rFonts w:asciiTheme="minorHAnsi" w:eastAsia="Times New Roman" w:hAnsiTheme="minorHAnsi"/>
                <w:iCs/>
                <w:color w:val="auto"/>
                <w:szCs w:val="17"/>
                <w:lang w:eastAsia="en-US"/>
              </w:rPr>
              <w:t>Inform design</w:t>
            </w:r>
            <w:r w:rsidR="00A40718">
              <w:rPr>
                <w:rFonts w:asciiTheme="minorHAnsi" w:eastAsia="Times New Roman" w:hAnsiTheme="minorHAnsi"/>
                <w:iCs/>
                <w:color w:val="auto"/>
                <w:szCs w:val="17"/>
                <w:lang w:eastAsia="en-US"/>
              </w:rPr>
              <w:t xml:space="preserve"> of next phase of investment</w:t>
            </w:r>
          </w:p>
        </w:tc>
        <w:tc>
          <w:tcPr>
            <w:tcW w:w="2740" w:type="dxa"/>
          </w:tcPr>
          <w:p w14:paraId="19AE28ED" w14:textId="77777777" w:rsidR="006A2E43" w:rsidRPr="008243CD" w:rsidRDefault="009F5AFC" w:rsidP="00D15A00">
            <w:pPr>
              <w:keepLines/>
              <w:spacing w:before="40" w:after="40" w:line="200" w:lineRule="atLeast"/>
              <w:rPr>
                <w:rFonts w:asciiTheme="minorHAnsi" w:eastAsia="Times New Roman" w:hAnsiTheme="minorHAnsi"/>
                <w:iCs/>
                <w:color w:val="auto"/>
                <w:szCs w:val="17"/>
                <w:lang w:eastAsia="en-US"/>
              </w:rPr>
            </w:pPr>
            <w:r w:rsidRPr="008243CD">
              <w:rPr>
                <w:rFonts w:asciiTheme="minorHAnsi" w:eastAsia="Times New Roman" w:hAnsiTheme="minorHAnsi"/>
                <w:iCs/>
                <w:color w:val="auto"/>
                <w:szCs w:val="17"/>
                <w:lang w:eastAsia="en-US"/>
              </w:rPr>
              <w:t>- DFAT led with the support of LADLF</w:t>
            </w:r>
          </w:p>
        </w:tc>
      </w:tr>
      <w:tr w:rsidR="006A2E43" w:rsidRPr="001B3634" w14:paraId="3D52C3FD" w14:textId="77777777" w:rsidTr="00E01E95">
        <w:tc>
          <w:tcPr>
            <w:tcW w:w="2444" w:type="dxa"/>
          </w:tcPr>
          <w:p w14:paraId="384D0521" w14:textId="77777777" w:rsidR="006A2E43" w:rsidRPr="001B3634" w:rsidRDefault="003E70B9" w:rsidP="00D15A00">
            <w:pPr>
              <w:keepLines/>
              <w:spacing w:before="40" w:after="40" w:line="200" w:lineRule="atLeast"/>
              <w:rPr>
                <w:rFonts w:asciiTheme="minorHAnsi" w:eastAsia="Times New Roman" w:hAnsiTheme="minorHAnsi"/>
                <w:iCs/>
                <w:color w:val="auto"/>
                <w:szCs w:val="17"/>
                <w:lang w:eastAsia="en-US"/>
              </w:rPr>
            </w:pPr>
            <w:r w:rsidRPr="001B3634">
              <w:rPr>
                <w:rFonts w:asciiTheme="minorHAnsi" w:eastAsia="Times New Roman" w:hAnsiTheme="minorHAnsi"/>
                <w:iCs/>
                <w:color w:val="auto"/>
                <w:szCs w:val="17"/>
                <w:lang w:eastAsia="en-US"/>
              </w:rPr>
              <w:t xml:space="preserve">Formative review of </w:t>
            </w:r>
            <w:r w:rsidR="001B3634">
              <w:rPr>
                <w:rFonts w:asciiTheme="minorHAnsi" w:eastAsia="Times New Roman" w:hAnsiTheme="minorHAnsi"/>
                <w:iCs/>
                <w:color w:val="auto"/>
                <w:szCs w:val="17"/>
                <w:lang w:eastAsia="en-US"/>
              </w:rPr>
              <w:t xml:space="preserve">the </w:t>
            </w:r>
            <w:r w:rsidR="001B3634" w:rsidRPr="001B3634">
              <w:rPr>
                <w:rFonts w:asciiTheme="minorHAnsi" w:eastAsia="Times New Roman" w:hAnsiTheme="minorHAnsi"/>
                <w:iCs/>
                <w:color w:val="auto"/>
                <w:szCs w:val="17"/>
                <w:lang w:eastAsia="en-US"/>
              </w:rPr>
              <w:t>Laos Australia Development Learning Facility</w:t>
            </w:r>
          </w:p>
        </w:tc>
        <w:tc>
          <w:tcPr>
            <w:tcW w:w="2356" w:type="dxa"/>
          </w:tcPr>
          <w:p w14:paraId="7DCA89F1" w14:textId="77777777" w:rsidR="001B3634" w:rsidRPr="001B3634" w:rsidRDefault="001B3634" w:rsidP="001B3634">
            <w:pPr>
              <w:keepLines/>
              <w:spacing w:before="40" w:after="40" w:line="200" w:lineRule="atLeast"/>
              <w:rPr>
                <w:rFonts w:asciiTheme="minorHAnsi" w:eastAsia="Times New Roman" w:hAnsiTheme="minorHAnsi"/>
                <w:iCs/>
                <w:color w:val="auto"/>
                <w:szCs w:val="17"/>
                <w:lang w:eastAsia="en-US"/>
              </w:rPr>
            </w:pPr>
            <w:r w:rsidRPr="001B3634">
              <w:rPr>
                <w:rFonts w:asciiTheme="minorHAnsi" w:eastAsia="Times New Roman" w:hAnsiTheme="minorHAnsi"/>
                <w:iCs/>
                <w:color w:val="auto"/>
                <w:szCs w:val="17"/>
                <w:lang w:eastAsia="en-US"/>
              </w:rPr>
              <w:t>INL846</w:t>
            </w:r>
            <w:r>
              <w:rPr>
                <w:rFonts w:asciiTheme="minorHAnsi" w:eastAsia="Times New Roman" w:hAnsiTheme="minorHAnsi"/>
                <w:iCs/>
                <w:color w:val="auto"/>
                <w:szCs w:val="17"/>
                <w:lang w:eastAsia="en-US"/>
              </w:rPr>
              <w:t xml:space="preserve"> </w:t>
            </w:r>
            <w:r w:rsidRPr="001B3634">
              <w:rPr>
                <w:rFonts w:asciiTheme="minorHAnsi" w:eastAsia="Times New Roman" w:hAnsiTheme="minorHAnsi"/>
                <w:iCs/>
                <w:color w:val="auto"/>
                <w:szCs w:val="17"/>
                <w:lang w:eastAsia="en-US"/>
              </w:rPr>
              <w:t>Laos Australia Development Learning Facility</w:t>
            </w:r>
          </w:p>
          <w:p w14:paraId="5E1AE347" w14:textId="77777777" w:rsidR="006A2E43" w:rsidRPr="001B3634" w:rsidRDefault="006A2E43" w:rsidP="001B3634">
            <w:pPr>
              <w:keepLines/>
              <w:spacing w:before="40" w:after="40" w:line="200" w:lineRule="atLeast"/>
              <w:rPr>
                <w:rFonts w:asciiTheme="minorHAnsi" w:eastAsia="Times New Roman" w:hAnsiTheme="minorHAnsi"/>
                <w:iCs/>
                <w:color w:val="auto"/>
                <w:szCs w:val="17"/>
                <w:lang w:eastAsia="en-US"/>
              </w:rPr>
            </w:pPr>
          </w:p>
        </w:tc>
        <w:tc>
          <w:tcPr>
            <w:tcW w:w="2042" w:type="dxa"/>
          </w:tcPr>
          <w:p w14:paraId="488DF708" w14:textId="77777777" w:rsidR="006A2E43" w:rsidRPr="001B3634" w:rsidRDefault="001B3634" w:rsidP="00D15A00">
            <w:pPr>
              <w:keepLines/>
              <w:spacing w:before="40" w:after="40" w:line="200" w:lineRule="atLeast"/>
              <w:rPr>
                <w:rFonts w:asciiTheme="minorHAnsi" w:eastAsia="Times New Roman" w:hAnsiTheme="minorHAnsi"/>
                <w:iCs/>
                <w:color w:val="auto"/>
                <w:szCs w:val="17"/>
                <w:lang w:eastAsia="en-US"/>
              </w:rPr>
            </w:pPr>
            <w:r w:rsidRPr="001B3634">
              <w:rPr>
                <w:rFonts w:asciiTheme="minorHAnsi" w:eastAsia="Times New Roman" w:hAnsiTheme="minorHAnsi"/>
                <w:iCs/>
                <w:color w:val="auto"/>
                <w:szCs w:val="17"/>
                <w:lang w:eastAsia="en-US"/>
              </w:rPr>
              <w:t>May 2019</w:t>
            </w:r>
          </w:p>
        </w:tc>
        <w:tc>
          <w:tcPr>
            <w:tcW w:w="2208" w:type="dxa"/>
          </w:tcPr>
          <w:p w14:paraId="094AB863" w14:textId="77777777" w:rsidR="006A2E43" w:rsidRPr="001B3634" w:rsidRDefault="001B3634" w:rsidP="00D15A00">
            <w:pPr>
              <w:keepLines/>
              <w:spacing w:before="40" w:after="40" w:line="200" w:lineRule="atLeast"/>
              <w:rPr>
                <w:rFonts w:asciiTheme="minorHAnsi" w:eastAsia="Times New Roman" w:hAnsiTheme="minorHAnsi"/>
                <w:iCs/>
                <w:color w:val="auto"/>
                <w:szCs w:val="17"/>
                <w:lang w:eastAsia="en-US"/>
              </w:rPr>
            </w:pPr>
            <w:r w:rsidRPr="001B3634">
              <w:rPr>
                <w:rFonts w:asciiTheme="minorHAnsi" w:eastAsia="Times New Roman" w:hAnsiTheme="minorHAnsi"/>
                <w:iCs/>
                <w:color w:val="auto"/>
                <w:szCs w:val="17"/>
                <w:lang w:eastAsia="en-US"/>
              </w:rPr>
              <w:t>July 2019</w:t>
            </w:r>
          </w:p>
        </w:tc>
        <w:tc>
          <w:tcPr>
            <w:tcW w:w="2325" w:type="dxa"/>
          </w:tcPr>
          <w:p w14:paraId="12907693" w14:textId="77777777" w:rsidR="00A40718" w:rsidRDefault="001B3634" w:rsidP="007F1EBB">
            <w:pPr>
              <w:keepLines/>
              <w:spacing w:before="40" w:after="40" w:line="200" w:lineRule="atLeast"/>
              <w:rPr>
                <w:rFonts w:asciiTheme="minorHAnsi" w:eastAsia="Times New Roman" w:hAnsiTheme="minorHAnsi"/>
                <w:iCs/>
                <w:color w:val="auto"/>
                <w:szCs w:val="17"/>
                <w:lang w:eastAsia="en-US"/>
              </w:rPr>
            </w:pPr>
            <w:r w:rsidRPr="001B3634">
              <w:rPr>
                <w:rFonts w:asciiTheme="minorHAnsi" w:eastAsia="Times New Roman" w:hAnsiTheme="minorHAnsi"/>
                <w:iCs/>
                <w:color w:val="auto"/>
                <w:szCs w:val="17"/>
                <w:lang w:eastAsia="en-US"/>
              </w:rPr>
              <w:t xml:space="preserve">- </w:t>
            </w:r>
            <w:r w:rsidR="00A40718" w:rsidRPr="002C103E">
              <w:rPr>
                <w:rFonts w:asciiTheme="minorHAnsi" w:eastAsia="Times New Roman" w:hAnsiTheme="minorHAnsi"/>
                <w:iCs/>
                <w:color w:val="auto"/>
                <w:szCs w:val="17"/>
                <w:lang w:eastAsia="en-US"/>
              </w:rPr>
              <w:t>Inform</w:t>
            </w:r>
            <w:r w:rsidR="00A40718">
              <w:rPr>
                <w:rFonts w:asciiTheme="minorHAnsi" w:eastAsia="Times New Roman" w:hAnsiTheme="minorHAnsi"/>
                <w:iCs/>
                <w:color w:val="auto"/>
                <w:szCs w:val="17"/>
                <w:lang w:eastAsia="en-US"/>
              </w:rPr>
              <w:t xml:space="preserve"> remaining year of support</w:t>
            </w:r>
            <w:r w:rsidR="00241AD6">
              <w:rPr>
                <w:rFonts w:asciiTheme="minorHAnsi" w:eastAsia="Times New Roman" w:hAnsiTheme="minorHAnsi"/>
                <w:iCs/>
                <w:color w:val="auto"/>
                <w:szCs w:val="17"/>
                <w:lang w:eastAsia="en-US"/>
              </w:rPr>
              <w:t xml:space="preserve"> / </w:t>
            </w:r>
            <w:r w:rsidR="00A40718">
              <w:rPr>
                <w:rFonts w:asciiTheme="minorHAnsi" w:eastAsia="Times New Roman" w:hAnsiTheme="minorHAnsi"/>
                <w:iCs/>
                <w:color w:val="auto"/>
                <w:szCs w:val="17"/>
                <w:lang w:eastAsia="en-US"/>
              </w:rPr>
              <w:t>possible extension</w:t>
            </w:r>
            <w:r w:rsidR="00A40718" w:rsidRPr="001B3634">
              <w:rPr>
                <w:rFonts w:asciiTheme="minorHAnsi" w:eastAsia="Times New Roman" w:hAnsiTheme="minorHAnsi"/>
                <w:iCs/>
                <w:color w:val="auto"/>
                <w:szCs w:val="17"/>
                <w:lang w:eastAsia="en-US"/>
              </w:rPr>
              <w:t xml:space="preserve"> </w:t>
            </w:r>
          </w:p>
          <w:p w14:paraId="4B219941" w14:textId="77777777" w:rsidR="001B3634" w:rsidRPr="001B3634" w:rsidRDefault="00A40718" w:rsidP="007F1EBB">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 </w:t>
            </w:r>
            <w:r w:rsidRPr="002C103E">
              <w:rPr>
                <w:rFonts w:asciiTheme="minorHAnsi" w:eastAsia="Times New Roman" w:hAnsiTheme="minorHAnsi"/>
                <w:iCs/>
                <w:color w:val="auto"/>
                <w:szCs w:val="17"/>
                <w:lang w:eastAsia="en-US"/>
              </w:rPr>
              <w:t>Inform design</w:t>
            </w:r>
            <w:r>
              <w:rPr>
                <w:rFonts w:asciiTheme="minorHAnsi" w:eastAsia="Times New Roman" w:hAnsiTheme="minorHAnsi"/>
                <w:iCs/>
                <w:color w:val="auto"/>
                <w:szCs w:val="17"/>
                <w:lang w:eastAsia="en-US"/>
              </w:rPr>
              <w:t xml:space="preserve"> of next pha</w:t>
            </w:r>
            <w:r w:rsidR="00241AD6">
              <w:rPr>
                <w:rFonts w:asciiTheme="minorHAnsi" w:eastAsia="Times New Roman" w:hAnsiTheme="minorHAnsi"/>
                <w:iCs/>
                <w:color w:val="auto"/>
                <w:szCs w:val="17"/>
                <w:lang w:eastAsia="en-US"/>
              </w:rPr>
              <w:t>se</w:t>
            </w:r>
          </w:p>
        </w:tc>
        <w:tc>
          <w:tcPr>
            <w:tcW w:w="2740" w:type="dxa"/>
          </w:tcPr>
          <w:p w14:paraId="630120C3" w14:textId="77777777" w:rsidR="006A2E43" w:rsidRPr="008243CD" w:rsidRDefault="003E70B9" w:rsidP="003E70B9">
            <w:pPr>
              <w:keepLines/>
              <w:spacing w:before="40" w:after="40" w:line="200" w:lineRule="atLeast"/>
              <w:rPr>
                <w:rFonts w:asciiTheme="minorHAnsi" w:eastAsia="Times New Roman" w:hAnsiTheme="minorHAnsi"/>
                <w:iCs/>
                <w:color w:val="auto"/>
                <w:szCs w:val="17"/>
                <w:lang w:eastAsia="en-US"/>
              </w:rPr>
            </w:pPr>
            <w:r w:rsidRPr="008243CD">
              <w:rPr>
                <w:rFonts w:asciiTheme="minorHAnsi" w:eastAsia="Times New Roman" w:hAnsiTheme="minorHAnsi"/>
                <w:iCs/>
                <w:color w:val="auto"/>
                <w:szCs w:val="17"/>
                <w:lang w:eastAsia="en-US"/>
              </w:rPr>
              <w:t xml:space="preserve">- </w:t>
            </w:r>
            <w:r w:rsidR="00A40718" w:rsidRPr="008243CD">
              <w:rPr>
                <w:rFonts w:asciiTheme="minorHAnsi" w:eastAsia="Times New Roman" w:hAnsiTheme="minorHAnsi"/>
                <w:iCs/>
                <w:color w:val="auto"/>
                <w:szCs w:val="17"/>
                <w:lang w:eastAsia="en-US"/>
              </w:rPr>
              <w:t>DFAT led with the support of LADLF</w:t>
            </w:r>
            <w:r w:rsidRPr="008243CD">
              <w:rPr>
                <w:rFonts w:asciiTheme="minorHAnsi" w:eastAsia="Times New Roman" w:hAnsiTheme="minorHAnsi"/>
                <w:iCs/>
                <w:color w:val="auto"/>
                <w:szCs w:val="17"/>
                <w:lang w:eastAsia="en-US"/>
              </w:rPr>
              <w:t xml:space="preserve"> </w:t>
            </w:r>
          </w:p>
        </w:tc>
      </w:tr>
    </w:tbl>
    <w:p w14:paraId="2B359103" w14:textId="77777777" w:rsidR="0059146A" w:rsidRPr="0059146A" w:rsidRDefault="0059146A" w:rsidP="005B5769">
      <w:pPr>
        <w:pStyle w:val="ListBullet"/>
        <w:tabs>
          <w:tab w:val="clear" w:pos="284"/>
        </w:tabs>
      </w:pPr>
    </w:p>
    <w:p w14:paraId="4108DA3C" w14:textId="77777777" w:rsidR="005E606B" w:rsidRDefault="005E606B" w:rsidP="005B5769">
      <w:pPr>
        <w:pStyle w:val="ListBullet"/>
        <w:tabs>
          <w:tab w:val="clear" w:pos="284"/>
        </w:tabs>
        <w:sectPr w:rsidR="005E606B" w:rsidSect="008243CD">
          <w:headerReference w:type="default" r:id="rId28"/>
          <w:headerReference w:type="first" r:id="rId29"/>
          <w:pgSz w:w="16838" w:h="11906" w:orient="landscape" w:code="9"/>
          <w:pgMar w:top="1134" w:right="1952" w:bottom="1134" w:left="851" w:header="1107" w:footer="458" w:gutter="0"/>
          <w:cols w:space="397"/>
          <w:docGrid w:linePitch="360"/>
        </w:sectPr>
      </w:pPr>
    </w:p>
    <w:p w14:paraId="0BA907D7" w14:textId="77777777" w:rsidR="005E606B" w:rsidRPr="00EF26B5" w:rsidRDefault="005E606B" w:rsidP="00BB648A">
      <w:pPr>
        <w:pStyle w:val="Subtitle"/>
        <w:spacing w:before="360" w:after="120" w:line="300" w:lineRule="exact"/>
        <w:rPr>
          <w:rFonts w:asciiTheme="majorHAnsi" w:hAnsiTheme="majorHAnsi" w:cstheme="majorHAnsi"/>
        </w:rPr>
      </w:pPr>
      <w:r w:rsidRPr="00EF26B5">
        <w:rPr>
          <w:rFonts w:asciiTheme="majorHAnsi" w:hAnsiTheme="majorHAnsi" w:cstheme="majorHAnsi"/>
        </w:rPr>
        <w:lastRenderedPageBreak/>
        <w:t xml:space="preserve">Annex </w:t>
      </w:r>
      <w:r w:rsidR="00184F1E" w:rsidRPr="00EF26B5">
        <w:rPr>
          <w:rFonts w:asciiTheme="majorHAnsi" w:hAnsiTheme="majorHAnsi" w:cstheme="majorHAnsi"/>
        </w:rPr>
        <w:t>D</w:t>
      </w:r>
      <w:r w:rsidRPr="00EF26B5">
        <w:rPr>
          <w:rFonts w:asciiTheme="majorHAnsi" w:hAnsiTheme="majorHAnsi" w:cstheme="majorHAnsi"/>
        </w:rPr>
        <w:t xml:space="preserve"> - Aid Quality Check ratings</w:t>
      </w:r>
    </w:p>
    <w:p w14:paraId="6E9E86FD" w14:textId="77777777" w:rsidR="005E606B" w:rsidRPr="00300A85" w:rsidRDefault="00300A85" w:rsidP="00300A85">
      <w:pPr>
        <w:pStyle w:val="ListBullet"/>
        <w:tabs>
          <w:tab w:val="clear" w:pos="284"/>
        </w:tabs>
        <w:spacing w:before="400"/>
        <w:rPr>
          <w:rFonts w:asciiTheme="minorHAnsi" w:eastAsiaTheme="majorEastAsia" w:hAnsiTheme="minorHAnsi" w:cstheme="minorHAnsi"/>
          <w:caps/>
          <w:color w:val="495965" w:themeColor="text2"/>
          <w:sz w:val="36"/>
          <w:szCs w:val="36"/>
          <w:lang w:val="en-GB" w:eastAsia="en-US"/>
        </w:rPr>
      </w:pPr>
      <w:r>
        <w:rPr>
          <w:rFonts w:asciiTheme="minorHAnsi" w:eastAsiaTheme="majorEastAsia" w:hAnsiTheme="minorHAnsi" w:cstheme="minorHAnsi"/>
          <w:caps/>
          <w:color w:val="495965" w:themeColor="text2"/>
          <w:sz w:val="36"/>
          <w:szCs w:val="36"/>
          <w:lang w:val="en-GB" w:eastAsia="en-US"/>
        </w:rPr>
        <w:t>AQC ratings</w:t>
      </w:r>
    </w:p>
    <w:tbl>
      <w:tblPr>
        <w:tblStyle w:val="AP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969"/>
        <w:gridCol w:w="800"/>
        <w:gridCol w:w="618"/>
        <w:gridCol w:w="618"/>
        <w:gridCol w:w="640"/>
        <w:gridCol w:w="695"/>
        <w:gridCol w:w="618"/>
        <w:gridCol w:w="664"/>
        <w:gridCol w:w="632"/>
      </w:tblGrid>
      <w:tr w:rsidR="00D061BB" w:rsidRPr="00C61187" w14:paraId="2D0D3CE3" w14:textId="77777777" w:rsidTr="00E01E95">
        <w:trPr>
          <w:cnfStyle w:val="000000010000" w:firstRow="0" w:lastRow="0" w:firstColumn="0" w:lastColumn="0" w:oddVBand="0" w:evenVBand="0" w:oddHBand="0" w:evenHBand="1" w:firstRowFirstColumn="0" w:firstRowLastColumn="0" w:lastRowFirstColumn="0" w:lastRowLastColumn="0"/>
          <w:trHeight w:val="1413"/>
        </w:trPr>
        <w:tc>
          <w:tcPr>
            <w:tcW w:w="1641" w:type="pct"/>
          </w:tcPr>
          <w:p w14:paraId="52AD877A"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68480" behindDoc="0" locked="0" layoutInCell="1" allowOverlap="1" wp14:anchorId="097C122D" wp14:editId="77D1EEB5">
                  <wp:simplePos x="0" y="0"/>
                  <wp:positionH relativeFrom="column">
                    <wp:posOffset>0</wp:posOffset>
                  </wp:positionH>
                  <wp:positionV relativeFrom="paragraph">
                    <wp:posOffset>0</wp:posOffset>
                  </wp:positionV>
                  <wp:extent cx="1857375" cy="228600"/>
                  <wp:effectExtent l="0" t="0" r="9525" b="0"/>
                  <wp:wrapNone/>
                  <wp:docPr id="26" name="Picture 2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503" w:type="pct"/>
            <w:textDirection w:val="btLr"/>
          </w:tcPr>
          <w:p w14:paraId="66333EFE"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2" w:type="pct"/>
            <w:textDirection w:val="btLr"/>
          </w:tcPr>
          <w:p w14:paraId="570470C9"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year on year</w:t>
            </w:r>
          </w:p>
        </w:tc>
        <w:tc>
          <w:tcPr>
            <w:tcW w:w="315" w:type="pct"/>
            <w:textDirection w:val="btLr"/>
          </w:tcPr>
          <w:p w14:paraId="6067B90B"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15" w:type="pct"/>
            <w:textDirection w:val="btLr"/>
          </w:tcPr>
          <w:p w14:paraId="0632B5AA"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27" w:type="pct"/>
            <w:textDirection w:val="btLr"/>
          </w:tcPr>
          <w:p w14:paraId="626FE5FD"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56" w:type="pct"/>
            <w:textDirection w:val="btLr"/>
          </w:tcPr>
          <w:p w14:paraId="79D713B1"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15" w:type="pct"/>
            <w:textDirection w:val="btLr"/>
          </w:tcPr>
          <w:p w14:paraId="4B1B6603"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340" w:type="pct"/>
            <w:textDirection w:val="btLr"/>
          </w:tcPr>
          <w:p w14:paraId="75254C8A"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315" w:type="pct"/>
            <w:textDirection w:val="btLr"/>
          </w:tcPr>
          <w:p w14:paraId="32F646F7" w14:textId="77777777"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F84138" w:rsidRPr="00C61187" w14:paraId="65F269E7" w14:textId="77777777" w:rsidTr="00D27D6B">
        <w:trPr>
          <w:cnfStyle w:val="000000010000" w:firstRow="0" w:lastRow="0" w:firstColumn="0" w:lastColumn="0" w:oddVBand="0" w:evenVBand="0" w:oddHBand="0" w:evenHBand="1" w:firstRowFirstColumn="0" w:firstRowLastColumn="0" w:lastRowFirstColumn="0" w:lastRowLastColumn="0"/>
          <w:trHeight w:val="284"/>
        </w:trPr>
        <w:tc>
          <w:tcPr>
            <w:tcW w:w="1641" w:type="pct"/>
            <w:vMerge w:val="restart"/>
          </w:tcPr>
          <w:p w14:paraId="6FE58B0E" w14:textId="77777777" w:rsidR="005E606B" w:rsidRDefault="001F2E31"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Basic Education Quality and Access in Laos (BEQUAL)</w:t>
            </w:r>
          </w:p>
          <w:p w14:paraId="541499F0" w14:textId="77777777" w:rsidR="001F2E31" w:rsidRPr="00812509" w:rsidRDefault="001F2E31"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INL332</w:t>
            </w:r>
          </w:p>
        </w:tc>
        <w:tc>
          <w:tcPr>
            <w:tcW w:w="503" w:type="pct"/>
            <w:vMerge w:val="restart"/>
          </w:tcPr>
          <w:p w14:paraId="35625DC9" w14:textId="77777777" w:rsidR="005E606B" w:rsidRPr="00812509" w:rsidRDefault="005E606B" w:rsidP="00D15A00">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 xml:space="preserve">$21m </w:t>
            </w:r>
          </w:p>
          <w:p w14:paraId="19B4BA71" w14:textId="77777777" w:rsidR="005E606B" w:rsidRPr="00812509" w:rsidRDefault="005E606B" w:rsidP="006F4992">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6F4992">
              <w:rPr>
                <w:rFonts w:asciiTheme="minorHAnsi" w:eastAsia="Times New Roman" w:hAnsiTheme="minorHAnsi"/>
                <w:iCs/>
                <w:szCs w:val="17"/>
                <w:lang w:eastAsia="en-US"/>
              </w:rPr>
              <w:t>6-20</w:t>
            </w:r>
            <w:r w:rsidRPr="00812509">
              <w:rPr>
                <w:rFonts w:asciiTheme="minorHAnsi" w:eastAsia="Times New Roman" w:hAnsiTheme="minorHAnsi"/>
                <w:iCs/>
                <w:szCs w:val="17"/>
                <w:lang w:eastAsia="en-US"/>
              </w:rPr>
              <w:t xml:space="preserve"> </w:t>
            </w:r>
          </w:p>
        </w:tc>
        <w:tc>
          <w:tcPr>
            <w:tcW w:w="412" w:type="pct"/>
            <w:shd w:val="clear" w:color="auto" w:fill="auto"/>
          </w:tcPr>
          <w:p w14:paraId="45615366" w14:textId="77777777" w:rsidR="005E606B" w:rsidRPr="00812509" w:rsidRDefault="005E606B" w:rsidP="0042041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42041F">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shd w:val="clear" w:color="auto" w:fill="auto"/>
            <w:noWrap/>
          </w:tcPr>
          <w:p w14:paraId="41C93B6F" w14:textId="77777777" w:rsidR="005E606B" w:rsidRPr="001F2E31" w:rsidRDefault="001F2E3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15" w:type="pct"/>
            <w:shd w:val="clear" w:color="auto" w:fill="FFFF00"/>
            <w:noWrap/>
          </w:tcPr>
          <w:p w14:paraId="5FF9E0D2" w14:textId="77777777" w:rsidR="005E606B" w:rsidRPr="001F2E31" w:rsidRDefault="002A01E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7" w:type="pct"/>
            <w:shd w:val="clear" w:color="auto" w:fill="92D050"/>
            <w:noWrap/>
          </w:tcPr>
          <w:p w14:paraId="1032CDC8" w14:textId="77777777" w:rsidR="005E606B" w:rsidRPr="001F2E31" w:rsidRDefault="002A01E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56" w:type="pct"/>
            <w:shd w:val="clear" w:color="auto" w:fill="auto"/>
            <w:noWrap/>
          </w:tcPr>
          <w:p w14:paraId="080D1DF1" w14:textId="77777777" w:rsidR="005E606B" w:rsidRPr="001F2E31" w:rsidRDefault="001F2E3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15" w:type="pct"/>
            <w:shd w:val="clear" w:color="auto" w:fill="auto"/>
            <w:noWrap/>
          </w:tcPr>
          <w:p w14:paraId="7A42676F" w14:textId="77777777" w:rsidR="005E606B" w:rsidRPr="001F2E31" w:rsidRDefault="001F2E3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40" w:type="pct"/>
            <w:shd w:val="clear" w:color="auto" w:fill="FFFF00"/>
            <w:noWrap/>
          </w:tcPr>
          <w:p w14:paraId="60871910" w14:textId="77777777" w:rsidR="005E606B" w:rsidRPr="001F2E31" w:rsidRDefault="002A01E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shd w:val="clear" w:color="auto" w:fill="auto"/>
          </w:tcPr>
          <w:p w14:paraId="39D971E0" w14:textId="77777777" w:rsidR="005E606B" w:rsidRPr="001F2E31" w:rsidRDefault="009A28D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F84138" w:rsidRPr="00C61187" w14:paraId="33ABEF39" w14:textId="77777777" w:rsidTr="00D558A4">
        <w:trPr>
          <w:cnfStyle w:val="000000010000" w:firstRow="0" w:lastRow="0" w:firstColumn="0" w:lastColumn="0" w:oddVBand="0" w:evenVBand="0" w:oddHBand="0" w:evenHBand="1" w:firstRowFirstColumn="0" w:firstRowLastColumn="0" w:lastRowFirstColumn="0" w:lastRowLastColumn="0"/>
          <w:trHeight w:val="284"/>
        </w:trPr>
        <w:tc>
          <w:tcPr>
            <w:tcW w:w="1641" w:type="pct"/>
            <w:vMerge/>
          </w:tcPr>
          <w:p w14:paraId="1FD5A05B" w14:textId="77777777"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503" w:type="pct"/>
            <w:vMerge/>
          </w:tcPr>
          <w:p w14:paraId="617589F0" w14:textId="77777777"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412" w:type="pct"/>
            <w:shd w:val="clear" w:color="auto" w:fill="auto"/>
          </w:tcPr>
          <w:p w14:paraId="7539B5F1" w14:textId="77777777" w:rsidR="005E606B" w:rsidRPr="00812509" w:rsidRDefault="005E606B" w:rsidP="0042041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42041F">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shd w:val="clear" w:color="auto" w:fill="92D050"/>
            <w:noWrap/>
          </w:tcPr>
          <w:p w14:paraId="4205E51F" w14:textId="77777777" w:rsidR="005E606B" w:rsidRPr="001F2E31" w:rsidRDefault="009A28D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15" w:type="pct"/>
            <w:shd w:val="clear" w:color="auto" w:fill="FFFF00"/>
            <w:noWrap/>
          </w:tcPr>
          <w:p w14:paraId="7733B8CA" w14:textId="77777777" w:rsidR="005E606B" w:rsidRPr="001F2E31" w:rsidRDefault="009A28D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7" w:type="pct"/>
            <w:shd w:val="clear" w:color="auto" w:fill="FFFF00"/>
            <w:noWrap/>
          </w:tcPr>
          <w:p w14:paraId="1645181E" w14:textId="77777777" w:rsidR="005E606B" w:rsidRPr="001F2E31" w:rsidRDefault="009A28D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6" w:type="pct"/>
            <w:shd w:val="clear" w:color="auto" w:fill="FFFF00"/>
            <w:noWrap/>
          </w:tcPr>
          <w:p w14:paraId="73BAFEC0" w14:textId="77777777" w:rsidR="005E606B" w:rsidRPr="001F2E31" w:rsidRDefault="009A28D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shd w:val="clear" w:color="auto" w:fill="EB6921"/>
            <w:noWrap/>
          </w:tcPr>
          <w:p w14:paraId="67CC135E" w14:textId="77777777" w:rsidR="005E606B" w:rsidRPr="001F2E31" w:rsidRDefault="009A28D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40" w:type="pct"/>
            <w:shd w:val="clear" w:color="auto" w:fill="EB6921"/>
            <w:noWrap/>
          </w:tcPr>
          <w:p w14:paraId="1B0FF4A9" w14:textId="77777777" w:rsidR="005E606B" w:rsidRPr="001F2E31" w:rsidRDefault="009A28D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15" w:type="pct"/>
            <w:shd w:val="clear" w:color="auto" w:fill="auto"/>
          </w:tcPr>
          <w:p w14:paraId="4E29C65E" w14:textId="77777777" w:rsidR="005E606B" w:rsidRPr="001F2E31" w:rsidRDefault="009A28D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F84138" w:rsidRPr="00C61187" w14:paraId="7A00BB85" w14:textId="77777777" w:rsidTr="009A28D2">
        <w:trPr>
          <w:cnfStyle w:val="000000010000" w:firstRow="0" w:lastRow="0" w:firstColumn="0" w:lastColumn="0" w:oddVBand="0" w:evenVBand="0" w:oddHBand="0" w:evenHBand="1" w:firstRowFirstColumn="0" w:firstRowLastColumn="0" w:lastRowFirstColumn="0" w:lastRowLastColumn="0"/>
          <w:trHeight w:val="284"/>
        </w:trPr>
        <w:tc>
          <w:tcPr>
            <w:tcW w:w="1641" w:type="pct"/>
            <w:vMerge w:val="restart"/>
          </w:tcPr>
          <w:p w14:paraId="660526D6" w14:textId="77777777" w:rsidR="005E606B" w:rsidRDefault="00D27D6B"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Laos Australia Institute</w:t>
            </w:r>
          </w:p>
          <w:p w14:paraId="6EAFC45E" w14:textId="77777777" w:rsidR="00D27D6B" w:rsidRPr="00812509" w:rsidRDefault="00D27D6B"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INK562</w:t>
            </w:r>
          </w:p>
        </w:tc>
        <w:tc>
          <w:tcPr>
            <w:tcW w:w="503" w:type="pct"/>
            <w:vMerge w:val="restart"/>
          </w:tcPr>
          <w:p w14:paraId="680D482D" w14:textId="77777777" w:rsidR="005E606B" w:rsidRPr="00812509" w:rsidRDefault="00D27D6B" w:rsidP="00D15A00">
            <w:pPr>
              <w:autoSpaceDE w:val="0"/>
              <w:autoSpaceDN w:val="0"/>
              <w:adjustRightInd w:val="0"/>
              <w:rPr>
                <w:rFonts w:asciiTheme="minorHAnsi" w:hAnsiTheme="minorHAnsi" w:cs="Franklin Gothic Book"/>
                <w:color w:val="000000"/>
                <w:szCs w:val="17"/>
              </w:rPr>
            </w:pPr>
            <w:r>
              <w:rPr>
                <w:rFonts w:asciiTheme="minorHAnsi" w:hAnsiTheme="minorHAnsi" w:cs="Franklin Gothic Book"/>
                <w:color w:val="000000"/>
                <w:szCs w:val="17"/>
              </w:rPr>
              <w:t>$30</w:t>
            </w:r>
            <w:r w:rsidR="005E606B" w:rsidRPr="00812509">
              <w:rPr>
                <w:rFonts w:asciiTheme="minorHAnsi" w:hAnsiTheme="minorHAnsi" w:cs="Franklin Gothic Book"/>
                <w:color w:val="000000"/>
                <w:szCs w:val="17"/>
              </w:rPr>
              <w:t xml:space="preserve">m </w:t>
            </w:r>
          </w:p>
          <w:p w14:paraId="6096D444" w14:textId="77777777" w:rsidR="005E606B" w:rsidRPr="00812509" w:rsidRDefault="005E606B" w:rsidP="003E305C">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D27D6B">
              <w:rPr>
                <w:rFonts w:asciiTheme="minorHAnsi" w:eastAsia="Times New Roman" w:hAnsiTheme="minorHAnsi"/>
                <w:iCs/>
                <w:szCs w:val="17"/>
                <w:lang w:eastAsia="en-US"/>
              </w:rPr>
              <w:t>2-21</w:t>
            </w:r>
            <w:r w:rsidRPr="00812509">
              <w:rPr>
                <w:rFonts w:asciiTheme="minorHAnsi" w:eastAsia="Times New Roman" w:hAnsiTheme="minorHAnsi"/>
                <w:iCs/>
                <w:szCs w:val="17"/>
                <w:lang w:eastAsia="en-US"/>
              </w:rPr>
              <w:t xml:space="preserve"> </w:t>
            </w:r>
          </w:p>
        </w:tc>
        <w:tc>
          <w:tcPr>
            <w:tcW w:w="412" w:type="pct"/>
            <w:shd w:val="clear" w:color="auto" w:fill="auto"/>
          </w:tcPr>
          <w:p w14:paraId="155A2074" w14:textId="77777777" w:rsidR="005E606B" w:rsidRPr="00812509" w:rsidRDefault="005E606B" w:rsidP="0042041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42041F">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shd w:val="clear" w:color="auto" w:fill="auto"/>
            <w:noWrap/>
          </w:tcPr>
          <w:p w14:paraId="3D9BBD42" w14:textId="77777777" w:rsidR="005E606B" w:rsidRPr="001F2E31" w:rsidRDefault="001F2E3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15" w:type="pct"/>
            <w:shd w:val="clear" w:color="auto" w:fill="FFFF00"/>
            <w:noWrap/>
          </w:tcPr>
          <w:p w14:paraId="1AB872E2" w14:textId="77777777" w:rsidR="005E606B" w:rsidRPr="001F2E31" w:rsidRDefault="00D27D6B"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7" w:type="pct"/>
            <w:shd w:val="clear" w:color="auto" w:fill="FFFF00"/>
            <w:noWrap/>
          </w:tcPr>
          <w:p w14:paraId="311BFCC7" w14:textId="77777777" w:rsidR="005E606B" w:rsidRPr="001F2E31" w:rsidRDefault="00D27D6B"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6" w:type="pct"/>
            <w:shd w:val="clear" w:color="auto" w:fill="auto"/>
            <w:noWrap/>
          </w:tcPr>
          <w:p w14:paraId="19BD2C5F" w14:textId="77777777" w:rsidR="005E606B" w:rsidRPr="001F2E31" w:rsidRDefault="001F2E3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15" w:type="pct"/>
            <w:shd w:val="clear" w:color="auto" w:fill="auto"/>
            <w:noWrap/>
          </w:tcPr>
          <w:p w14:paraId="095BF655" w14:textId="77777777" w:rsidR="005E606B" w:rsidRPr="001F2E31" w:rsidRDefault="001F2E3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40" w:type="pct"/>
            <w:shd w:val="clear" w:color="auto" w:fill="92D050"/>
            <w:noWrap/>
          </w:tcPr>
          <w:p w14:paraId="2805C8BD" w14:textId="77777777" w:rsidR="005E606B" w:rsidRPr="001F2E31" w:rsidRDefault="00D27D6B"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15" w:type="pct"/>
            <w:shd w:val="clear" w:color="auto" w:fill="auto"/>
          </w:tcPr>
          <w:p w14:paraId="00F2B46F" w14:textId="77777777" w:rsidR="005E606B" w:rsidRPr="001F2E31" w:rsidRDefault="009A28D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F84138" w:rsidRPr="00C61187" w14:paraId="1049F0F8" w14:textId="77777777" w:rsidTr="00D558A4">
        <w:trPr>
          <w:cnfStyle w:val="000000010000" w:firstRow="0" w:lastRow="0" w:firstColumn="0" w:lastColumn="0" w:oddVBand="0" w:evenVBand="0" w:oddHBand="0" w:evenHBand="1" w:firstRowFirstColumn="0" w:firstRowLastColumn="0" w:lastRowFirstColumn="0" w:lastRowLastColumn="0"/>
          <w:trHeight w:val="284"/>
        </w:trPr>
        <w:tc>
          <w:tcPr>
            <w:tcW w:w="1641" w:type="pct"/>
            <w:vMerge/>
          </w:tcPr>
          <w:p w14:paraId="0926DC2D" w14:textId="77777777"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503" w:type="pct"/>
            <w:vMerge/>
          </w:tcPr>
          <w:p w14:paraId="32D956EE" w14:textId="77777777"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412" w:type="pct"/>
            <w:shd w:val="clear" w:color="auto" w:fill="auto"/>
          </w:tcPr>
          <w:p w14:paraId="56E8C539" w14:textId="77777777" w:rsidR="005E606B" w:rsidRPr="00812509" w:rsidRDefault="005E606B" w:rsidP="0042041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42041F">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shd w:val="clear" w:color="auto" w:fill="92D050"/>
            <w:noWrap/>
          </w:tcPr>
          <w:p w14:paraId="3AE2F09A" w14:textId="77777777" w:rsidR="005E606B" w:rsidRPr="001F2E31" w:rsidRDefault="009A28D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15" w:type="pct"/>
            <w:shd w:val="clear" w:color="auto" w:fill="FFFF00"/>
            <w:noWrap/>
          </w:tcPr>
          <w:p w14:paraId="2F351611" w14:textId="77777777" w:rsidR="005E606B" w:rsidRPr="001F2E31" w:rsidRDefault="009A28D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7" w:type="pct"/>
            <w:shd w:val="clear" w:color="auto" w:fill="EB6921"/>
            <w:noWrap/>
          </w:tcPr>
          <w:p w14:paraId="229C6704" w14:textId="77777777" w:rsidR="005E606B" w:rsidRPr="001F2E31" w:rsidRDefault="009A28D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56" w:type="pct"/>
            <w:shd w:val="clear" w:color="auto" w:fill="EB6921"/>
            <w:noWrap/>
          </w:tcPr>
          <w:p w14:paraId="6528B9F3" w14:textId="77777777" w:rsidR="005E606B" w:rsidRPr="001F2E31" w:rsidRDefault="009A28D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15" w:type="pct"/>
            <w:shd w:val="clear" w:color="auto" w:fill="FFFF00"/>
            <w:noWrap/>
          </w:tcPr>
          <w:p w14:paraId="667293A4" w14:textId="77777777" w:rsidR="005E606B" w:rsidRPr="001F2E31" w:rsidRDefault="009A28D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40" w:type="pct"/>
            <w:shd w:val="clear" w:color="auto" w:fill="FFFF00"/>
            <w:noWrap/>
          </w:tcPr>
          <w:p w14:paraId="5496D7CA" w14:textId="77777777" w:rsidR="005E606B" w:rsidRPr="001F2E31" w:rsidRDefault="009A28D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shd w:val="clear" w:color="auto" w:fill="auto"/>
          </w:tcPr>
          <w:p w14:paraId="39E138B9" w14:textId="77777777" w:rsidR="005E606B" w:rsidRPr="001F2E31" w:rsidRDefault="009A28D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F84138" w:rsidRPr="00C61187" w14:paraId="2694E7AF" w14:textId="77777777" w:rsidTr="00D558A4">
        <w:trPr>
          <w:cnfStyle w:val="000000010000" w:firstRow="0" w:lastRow="0" w:firstColumn="0" w:lastColumn="0" w:oddVBand="0" w:evenVBand="0" w:oddHBand="0" w:evenHBand="1" w:firstRowFirstColumn="0" w:firstRowLastColumn="0" w:lastRowFirstColumn="0" w:lastRowLastColumn="0"/>
          <w:trHeight w:val="284"/>
        </w:trPr>
        <w:tc>
          <w:tcPr>
            <w:tcW w:w="1641" w:type="pct"/>
            <w:vMerge w:val="restart"/>
          </w:tcPr>
          <w:p w14:paraId="7FAE12D0" w14:textId="77777777" w:rsidR="005E606B" w:rsidRDefault="00D558A4"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Laos Australia Development Learning Facility</w:t>
            </w:r>
          </w:p>
          <w:p w14:paraId="5414A2A8" w14:textId="77777777" w:rsidR="00D558A4" w:rsidRPr="00812509" w:rsidRDefault="00D558A4"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INL846</w:t>
            </w:r>
          </w:p>
        </w:tc>
        <w:tc>
          <w:tcPr>
            <w:tcW w:w="503" w:type="pct"/>
            <w:vMerge w:val="restart"/>
          </w:tcPr>
          <w:p w14:paraId="36B0F2DB" w14:textId="77777777" w:rsidR="005E606B" w:rsidRPr="000636F6" w:rsidRDefault="000636F6" w:rsidP="000636F6">
            <w:pPr>
              <w:autoSpaceDE w:val="0"/>
              <w:autoSpaceDN w:val="0"/>
              <w:adjustRightInd w:val="0"/>
              <w:rPr>
                <w:rFonts w:asciiTheme="minorHAnsi" w:hAnsiTheme="minorHAnsi" w:cs="Franklin Gothic Book"/>
                <w:color w:val="000000"/>
                <w:szCs w:val="17"/>
              </w:rPr>
            </w:pPr>
            <w:r w:rsidRPr="000636F6">
              <w:rPr>
                <w:rFonts w:asciiTheme="minorHAnsi" w:hAnsiTheme="minorHAnsi" w:cs="Franklin Gothic Book"/>
                <w:color w:val="000000"/>
                <w:szCs w:val="17"/>
              </w:rPr>
              <w:t>$7.3</w:t>
            </w:r>
            <w:r>
              <w:rPr>
                <w:rFonts w:asciiTheme="minorHAnsi" w:hAnsiTheme="minorHAnsi" w:cs="Franklin Gothic Book"/>
                <w:color w:val="000000"/>
                <w:szCs w:val="17"/>
              </w:rPr>
              <w:t>m</w:t>
            </w:r>
          </w:p>
          <w:p w14:paraId="3D617DA5" w14:textId="77777777" w:rsidR="000636F6" w:rsidRPr="00812509" w:rsidRDefault="000636F6"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2015-20</w:t>
            </w:r>
          </w:p>
        </w:tc>
        <w:tc>
          <w:tcPr>
            <w:tcW w:w="412" w:type="pct"/>
            <w:shd w:val="clear" w:color="auto" w:fill="auto"/>
          </w:tcPr>
          <w:p w14:paraId="601E04B9" w14:textId="77777777" w:rsidR="005E606B" w:rsidRPr="00812509" w:rsidRDefault="005E606B" w:rsidP="0042041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42041F">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shd w:val="clear" w:color="auto" w:fill="auto"/>
            <w:noWrap/>
          </w:tcPr>
          <w:p w14:paraId="7AA8089E" w14:textId="77777777" w:rsidR="005E606B" w:rsidRPr="00812509" w:rsidRDefault="00D558A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15" w:type="pct"/>
            <w:shd w:val="clear" w:color="auto" w:fill="FFFF00"/>
            <w:noWrap/>
          </w:tcPr>
          <w:p w14:paraId="1B5F8651" w14:textId="77777777" w:rsidR="005E606B" w:rsidRPr="00812509" w:rsidRDefault="00D558A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7" w:type="pct"/>
            <w:shd w:val="clear" w:color="auto" w:fill="EB6921"/>
            <w:noWrap/>
          </w:tcPr>
          <w:p w14:paraId="3AB0A113" w14:textId="77777777" w:rsidR="005E606B" w:rsidRPr="00812509" w:rsidRDefault="00D558A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56" w:type="pct"/>
            <w:shd w:val="clear" w:color="auto" w:fill="auto"/>
            <w:noWrap/>
          </w:tcPr>
          <w:p w14:paraId="252032F7" w14:textId="77777777" w:rsidR="005E606B" w:rsidRPr="00812509" w:rsidRDefault="00D558A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15" w:type="pct"/>
            <w:shd w:val="clear" w:color="auto" w:fill="auto"/>
            <w:noWrap/>
          </w:tcPr>
          <w:p w14:paraId="5F4FF822" w14:textId="77777777" w:rsidR="005E606B" w:rsidRPr="00812509" w:rsidRDefault="00D558A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40" w:type="pct"/>
            <w:shd w:val="clear" w:color="auto" w:fill="92D050"/>
            <w:noWrap/>
          </w:tcPr>
          <w:p w14:paraId="19EF185B" w14:textId="77777777" w:rsidR="005E606B" w:rsidRPr="00812509" w:rsidRDefault="00D558A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15" w:type="pct"/>
            <w:shd w:val="clear" w:color="auto" w:fill="auto"/>
          </w:tcPr>
          <w:p w14:paraId="04861309" w14:textId="77777777" w:rsidR="005E606B" w:rsidRPr="00812509" w:rsidRDefault="009A28D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F84138" w:rsidRPr="00C61187" w14:paraId="7F55C6BE" w14:textId="77777777" w:rsidTr="00D558A4">
        <w:trPr>
          <w:cnfStyle w:val="000000010000" w:firstRow="0" w:lastRow="0" w:firstColumn="0" w:lastColumn="0" w:oddVBand="0" w:evenVBand="0" w:oddHBand="0" w:evenHBand="1" w:firstRowFirstColumn="0" w:firstRowLastColumn="0" w:lastRowFirstColumn="0" w:lastRowLastColumn="0"/>
          <w:trHeight w:val="284"/>
        </w:trPr>
        <w:tc>
          <w:tcPr>
            <w:tcW w:w="1641" w:type="pct"/>
            <w:vMerge/>
          </w:tcPr>
          <w:p w14:paraId="3988ECE1" w14:textId="77777777"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503" w:type="pct"/>
            <w:vMerge/>
          </w:tcPr>
          <w:p w14:paraId="54F45871" w14:textId="77777777"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412" w:type="pct"/>
            <w:shd w:val="clear" w:color="auto" w:fill="auto"/>
          </w:tcPr>
          <w:p w14:paraId="3CF1C5B0" w14:textId="77777777" w:rsidR="005E606B" w:rsidRPr="00812509" w:rsidRDefault="005E606B" w:rsidP="0042041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42041F">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shd w:val="clear" w:color="auto" w:fill="92D050"/>
            <w:noWrap/>
          </w:tcPr>
          <w:p w14:paraId="2239B43A" w14:textId="77777777" w:rsidR="005E606B" w:rsidRPr="00812509" w:rsidRDefault="00D558A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15" w:type="pct"/>
            <w:shd w:val="clear" w:color="auto" w:fill="FFFF00"/>
            <w:noWrap/>
          </w:tcPr>
          <w:p w14:paraId="1AC3CCE5" w14:textId="77777777" w:rsidR="005E606B" w:rsidRPr="00812509" w:rsidRDefault="00D558A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7" w:type="pct"/>
            <w:shd w:val="clear" w:color="auto" w:fill="FFFF00"/>
            <w:noWrap/>
          </w:tcPr>
          <w:p w14:paraId="64982D07" w14:textId="77777777" w:rsidR="005E606B" w:rsidRPr="00812509" w:rsidRDefault="00D558A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6" w:type="pct"/>
            <w:shd w:val="clear" w:color="auto" w:fill="FFFF00"/>
            <w:noWrap/>
          </w:tcPr>
          <w:p w14:paraId="3D045C74" w14:textId="77777777" w:rsidR="005E606B" w:rsidRPr="00812509" w:rsidRDefault="00D558A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shd w:val="clear" w:color="auto" w:fill="FFFF00"/>
            <w:noWrap/>
          </w:tcPr>
          <w:p w14:paraId="6B5BB218" w14:textId="77777777" w:rsidR="005E606B" w:rsidRPr="00812509" w:rsidRDefault="00D558A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40" w:type="pct"/>
            <w:shd w:val="clear" w:color="auto" w:fill="FFFF00"/>
            <w:noWrap/>
          </w:tcPr>
          <w:p w14:paraId="37CC2866" w14:textId="77777777" w:rsidR="005E606B" w:rsidRPr="00812509" w:rsidRDefault="00D558A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shd w:val="clear" w:color="auto" w:fill="auto"/>
          </w:tcPr>
          <w:p w14:paraId="2E369744" w14:textId="77777777" w:rsidR="005E606B" w:rsidRPr="00812509" w:rsidRDefault="009A28D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bl>
    <w:p w14:paraId="18B66C53" w14:textId="77777777" w:rsidR="0059146A" w:rsidRDefault="0059146A" w:rsidP="005B5769">
      <w:pPr>
        <w:pStyle w:val="ListBullet"/>
        <w:tabs>
          <w:tab w:val="clear" w:pos="284"/>
        </w:tabs>
      </w:pPr>
    </w:p>
    <w:p w14:paraId="29666506" w14:textId="77777777" w:rsidR="00A8197B" w:rsidRPr="00300A85" w:rsidRDefault="00A8197B" w:rsidP="00300A85">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EF26B5">
        <w:rPr>
          <w:rFonts w:asciiTheme="minorHAnsi" w:eastAsiaTheme="majorEastAsia" w:hAnsiTheme="minorHAnsi" w:cstheme="minorHAnsi"/>
          <w:caps/>
          <w:color w:val="495965" w:themeColor="text2"/>
          <w:sz w:val="36"/>
          <w:szCs w:val="36"/>
          <w:lang w:val="en-GB" w:eastAsia="en-US"/>
        </w:rPr>
        <w:t>FAQC ratings</w:t>
      </w:r>
      <w:r w:rsidRPr="00A8197B">
        <w:rPr>
          <w:rFonts w:asciiTheme="majorHAnsi" w:eastAsiaTheme="majorEastAsia" w:hAnsiTheme="majorHAnsi" w:cstheme="majorBidi"/>
          <w:caps/>
          <w:color w:val="495965" w:themeColor="text2"/>
          <w:sz w:val="38"/>
          <w:szCs w:val="26"/>
          <w:lang w:val="en-GB" w:eastAsia="en-US"/>
        </w:rPr>
        <w:t xml:space="preserve"> </w:t>
      </w:r>
    </w:p>
    <w:tbl>
      <w:tblPr>
        <w:tblStyle w:val="AP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3"/>
        <w:gridCol w:w="1099"/>
        <w:gridCol w:w="619"/>
        <w:gridCol w:w="639"/>
        <w:gridCol w:w="628"/>
        <w:gridCol w:w="657"/>
        <w:gridCol w:w="716"/>
        <w:gridCol w:w="655"/>
        <w:gridCol w:w="710"/>
        <w:gridCol w:w="706"/>
      </w:tblGrid>
      <w:tr w:rsidR="00D061BB" w:rsidRPr="00812509" w14:paraId="5D52C1A8" w14:textId="77777777" w:rsidTr="003C3FC7">
        <w:trPr>
          <w:cnfStyle w:val="000000010000" w:firstRow="0" w:lastRow="0" w:firstColumn="0" w:lastColumn="0" w:oddVBand="0" w:evenVBand="0" w:oddHBand="0" w:evenHBand="1" w:firstRowFirstColumn="0" w:firstRowLastColumn="0" w:lastRowFirstColumn="0" w:lastRowLastColumn="0"/>
          <w:trHeight w:val="1505"/>
        </w:trPr>
        <w:tc>
          <w:tcPr>
            <w:tcW w:w="1508" w:type="pct"/>
          </w:tcPr>
          <w:p w14:paraId="583E6BD9"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72576" behindDoc="0" locked="0" layoutInCell="1" allowOverlap="1" wp14:anchorId="4BBF95F5" wp14:editId="0FE8A9C1">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579" w:type="pct"/>
            <w:textDirection w:val="btLr"/>
          </w:tcPr>
          <w:p w14:paraId="6DBC4769"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319" w:type="pct"/>
            <w:noWrap/>
            <w:textDirection w:val="btLr"/>
          </w:tcPr>
          <w:p w14:paraId="6B0C7057"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330" w:type="pct"/>
            <w:noWrap/>
            <w:textDirection w:val="btLr"/>
          </w:tcPr>
          <w:p w14:paraId="573EBAB5"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24" w:type="pct"/>
            <w:noWrap/>
            <w:textDirection w:val="btLr"/>
          </w:tcPr>
          <w:p w14:paraId="1C8D8A66"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40" w:type="pct"/>
            <w:noWrap/>
            <w:textDirection w:val="btLr"/>
          </w:tcPr>
          <w:p w14:paraId="7D0319F5"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72" w:type="pct"/>
            <w:noWrap/>
            <w:textDirection w:val="btLr"/>
          </w:tcPr>
          <w:p w14:paraId="7B07C0F7"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39" w:type="pct"/>
            <w:noWrap/>
            <w:textDirection w:val="btLr"/>
          </w:tcPr>
          <w:p w14:paraId="7382B266"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369" w:type="pct"/>
            <w:textDirection w:val="btLr"/>
          </w:tcPr>
          <w:p w14:paraId="7802D7D5"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359" w:type="pct"/>
            <w:textDirection w:val="btLr"/>
          </w:tcPr>
          <w:p w14:paraId="201EEC0F"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F84138" w:rsidRPr="00812509" w14:paraId="16801364" w14:textId="77777777" w:rsidTr="00D558A4">
        <w:trPr>
          <w:cnfStyle w:val="000000010000" w:firstRow="0" w:lastRow="0" w:firstColumn="0" w:lastColumn="0" w:oddVBand="0" w:evenVBand="0" w:oddHBand="0" w:evenHBand="1" w:firstRowFirstColumn="0" w:firstRowLastColumn="0" w:lastRowFirstColumn="0" w:lastRowLastColumn="0"/>
          <w:trHeight w:val="284"/>
        </w:trPr>
        <w:tc>
          <w:tcPr>
            <w:tcW w:w="1508" w:type="pct"/>
          </w:tcPr>
          <w:p w14:paraId="4ADC2B70" w14:textId="77777777" w:rsidR="00A8197B" w:rsidRDefault="002A01E4"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Trade Development Facility</w:t>
            </w:r>
          </w:p>
          <w:p w14:paraId="7B7B469E" w14:textId="77777777" w:rsidR="002A01E4" w:rsidRPr="00812509" w:rsidRDefault="002A01E4"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INH726</w:t>
            </w:r>
          </w:p>
        </w:tc>
        <w:tc>
          <w:tcPr>
            <w:tcW w:w="579" w:type="pct"/>
          </w:tcPr>
          <w:p w14:paraId="435120EC" w14:textId="77777777" w:rsidR="00A8197B" w:rsidRPr="00812509" w:rsidRDefault="002A01E4" w:rsidP="00D15A00">
            <w:pPr>
              <w:autoSpaceDE w:val="0"/>
              <w:autoSpaceDN w:val="0"/>
              <w:adjustRightInd w:val="0"/>
              <w:rPr>
                <w:rFonts w:asciiTheme="minorHAnsi" w:hAnsiTheme="minorHAnsi" w:cs="Franklin Gothic Book"/>
                <w:color w:val="000000"/>
                <w:szCs w:val="17"/>
              </w:rPr>
            </w:pPr>
            <w:r>
              <w:rPr>
                <w:rFonts w:asciiTheme="minorHAnsi" w:hAnsiTheme="minorHAnsi" w:cs="Franklin Gothic Book"/>
                <w:color w:val="000000"/>
                <w:szCs w:val="17"/>
              </w:rPr>
              <w:t>$12.2</w:t>
            </w:r>
            <w:r w:rsidR="00A8197B" w:rsidRPr="00812509">
              <w:rPr>
                <w:rFonts w:asciiTheme="minorHAnsi" w:hAnsiTheme="minorHAnsi" w:cs="Franklin Gothic Book"/>
                <w:color w:val="000000"/>
                <w:szCs w:val="17"/>
              </w:rPr>
              <w:t xml:space="preserve">m </w:t>
            </w:r>
          </w:p>
          <w:p w14:paraId="1A68CB96" w14:textId="77777777" w:rsidR="00A8197B" w:rsidRPr="00812509" w:rsidRDefault="002A01E4" w:rsidP="003E305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2007</w:t>
            </w:r>
            <w:r w:rsidR="00A8197B" w:rsidRPr="00812509">
              <w:rPr>
                <w:rFonts w:asciiTheme="minorHAnsi" w:eastAsia="Times New Roman" w:hAnsiTheme="minorHAnsi"/>
                <w:iCs/>
                <w:szCs w:val="17"/>
                <w:lang w:eastAsia="en-US"/>
              </w:rPr>
              <w:t>-1</w:t>
            </w:r>
            <w:r>
              <w:rPr>
                <w:rFonts w:asciiTheme="minorHAnsi" w:eastAsia="Times New Roman" w:hAnsiTheme="minorHAnsi"/>
                <w:iCs/>
                <w:szCs w:val="17"/>
                <w:lang w:eastAsia="en-US"/>
              </w:rPr>
              <w:t>9</w:t>
            </w:r>
            <w:r w:rsidR="00A8197B" w:rsidRPr="00812509">
              <w:rPr>
                <w:rFonts w:asciiTheme="minorHAnsi" w:eastAsia="Times New Roman" w:hAnsiTheme="minorHAnsi"/>
                <w:iCs/>
                <w:szCs w:val="17"/>
                <w:lang w:eastAsia="en-US"/>
              </w:rPr>
              <w:t xml:space="preserve"> </w:t>
            </w:r>
          </w:p>
        </w:tc>
        <w:tc>
          <w:tcPr>
            <w:tcW w:w="319" w:type="pct"/>
            <w:shd w:val="clear" w:color="auto" w:fill="FFFF00"/>
            <w:noWrap/>
          </w:tcPr>
          <w:p w14:paraId="415708C4" w14:textId="77777777" w:rsidR="00A8197B" w:rsidRPr="00812509" w:rsidRDefault="002A01E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30" w:type="pct"/>
            <w:shd w:val="clear" w:color="auto" w:fill="92D050"/>
            <w:noWrap/>
          </w:tcPr>
          <w:p w14:paraId="42F827C9" w14:textId="77777777" w:rsidR="00A8197B" w:rsidRPr="00812509" w:rsidRDefault="002A01E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4" w:type="pct"/>
            <w:shd w:val="clear" w:color="auto" w:fill="FFFF00"/>
            <w:noWrap/>
          </w:tcPr>
          <w:p w14:paraId="451B2907" w14:textId="77777777" w:rsidR="00A8197B" w:rsidRPr="00812509" w:rsidRDefault="002A01E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40" w:type="pct"/>
            <w:shd w:val="clear" w:color="auto" w:fill="92D050"/>
            <w:noWrap/>
          </w:tcPr>
          <w:p w14:paraId="3E01D7AC" w14:textId="77777777" w:rsidR="00A8197B" w:rsidRPr="00812509" w:rsidRDefault="002A01E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72" w:type="pct"/>
            <w:shd w:val="clear" w:color="auto" w:fill="FFFF00"/>
            <w:noWrap/>
          </w:tcPr>
          <w:p w14:paraId="67BBAB10" w14:textId="77777777" w:rsidR="00A8197B" w:rsidRPr="00812509" w:rsidRDefault="002A01E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39" w:type="pct"/>
            <w:shd w:val="clear" w:color="auto" w:fill="FFFF00"/>
            <w:noWrap/>
          </w:tcPr>
          <w:p w14:paraId="259E6CE4" w14:textId="77777777" w:rsidR="00A8197B" w:rsidRPr="00812509" w:rsidRDefault="002A01E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69" w:type="pct"/>
            <w:shd w:val="clear" w:color="auto" w:fill="EB6921"/>
          </w:tcPr>
          <w:p w14:paraId="49C425C5" w14:textId="77777777" w:rsidR="00A8197B" w:rsidRPr="00812509" w:rsidRDefault="002A01E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59" w:type="pct"/>
            <w:shd w:val="clear" w:color="auto" w:fill="auto"/>
          </w:tcPr>
          <w:p w14:paraId="04E9C03A" w14:textId="77777777" w:rsidR="00A8197B" w:rsidRPr="00812509" w:rsidRDefault="002A01E4"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F84138" w:rsidRPr="00812509" w14:paraId="315055C2" w14:textId="77777777" w:rsidTr="00D558A4">
        <w:trPr>
          <w:cnfStyle w:val="000000010000" w:firstRow="0" w:lastRow="0" w:firstColumn="0" w:lastColumn="0" w:oddVBand="0" w:evenVBand="0" w:oddHBand="0" w:evenHBand="1" w:firstRowFirstColumn="0" w:firstRowLastColumn="0" w:lastRowFirstColumn="0" w:lastRowLastColumn="0"/>
          <w:trHeight w:val="284"/>
        </w:trPr>
        <w:tc>
          <w:tcPr>
            <w:tcW w:w="1508" w:type="pct"/>
          </w:tcPr>
          <w:p w14:paraId="4A749E26" w14:textId="77777777" w:rsidR="00D558A4" w:rsidRDefault="00D558A4" w:rsidP="00D15A00">
            <w:pPr>
              <w:keepLines/>
              <w:spacing w:before="40" w:after="40" w:line="200" w:lineRule="atLeast"/>
              <w:rPr>
                <w:rFonts w:asciiTheme="minorHAnsi" w:eastAsia="Times New Roman" w:hAnsiTheme="minorHAnsi"/>
                <w:iCs/>
                <w:szCs w:val="17"/>
                <w:lang w:eastAsia="en-US"/>
              </w:rPr>
            </w:pPr>
            <w:r w:rsidRPr="00D558A4">
              <w:rPr>
                <w:rFonts w:asciiTheme="minorHAnsi" w:eastAsia="Times New Roman" w:hAnsiTheme="minorHAnsi"/>
                <w:iCs/>
                <w:szCs w:val="17"/>
                <w:lang w:eastAsia="en-US"/>
              </w:rPr>
              <w:t xml:space="preserve">Laos Australia Rural Livelihoods Program </w:t>
            </w:r>
          </w:p>
          <w:p w14:paraId="76E3E1D5" w14:textId="77777777" w:rsidR="00EF0B31" w:rsidRPr="00812509" w:rsidRDefault="00D558A4" w:rsidP="00D15A00">
            <w:pPr>
              <w:keepLines/>
              <w:spacing w:before="40" w:after="40" w:line="200" w:lineRule="atLeast"/>
              <w:rPr>
                <w:rFonts w:eastAsia="Times New Roman"/>
                <w:iCs/>
                <w:szCs w:val="17"/>
              </w:rPr>
            </w:pPr>
            <w:r>
              <w:rPr>
                <w:rFonts w:asciiTheme="minorHAnsi" w:eastAsia="Times New Roman" w:hAnsiTheme="minorHAnsi"/>
                <w:iCs/>
                <w:szCs w:val="17"/>
                <w:lang w:eastAsia="en-US"/>
              </w:rPr>
              <w:t>INK391</w:t>
            </w:r>
          </w:p>
        </w:tc>
        <w:tc>
          <w:tcPr>
            <w:tcW w:w="579" w:type="pct"/>
          </w:tcPr>
          <w:p w14:paraId="1F5B93E7" w14:textId="77777777" w:rsidR="00EF0B31" w:rsidRPr="00D558A4" w:rsidRDefault="00D558A4" w:rsidP="00D558A4">
            <w:pPr>
              <w:autoSpaceDE w:val="0"/>
              <w:autoSpaceDN w:val="0"/>
              <w:adjustRightInd w:val="0"/>
              <w:spacing w:after="0"/>
              <w:rPr>
                <w:rFonts w:asciiTheme="minorHAnsi" w:hAnsiTheme="minorHAnsi" w:cs="Franklin Gothic Book"/>
                <w:color w:val="000000"/>
                <w:szCs w:val="17"/>
              </w:rPr>
            </w:pPr>
            <w:r>
              <w:rPr>
                <w:rFonts w:asciiTheme="minorHAnsi" w:hAnsiTheme="minorHAnsi" w:cs="Franklin Gothic Book"/>
                <w:color w:val="000000"/>
                <w:szCs w:val="17"/>
              </w:rPr>
              <w:t>$</w:t>
            </w:r>
            <w:r w:rsidRPr="00D558A4">
              <w:rPr>
                <w:rFonts w:asciiTheme="minorHAnsi" w:hAnsiTheme="minorHAnsi" w:cs="Franklin Gothic Book"/>
                <w:color w:val="000000"/>
                <w:szCs w:val="17"/>
              </w:rPr>
              <w:t>34.7m</w:t>
            </w:r>
          </w:p>
          <w:p w14:paraId="1745D193" w14:textId="77777777" w:rsidR="00D558A4" w:rsidRPr="00812509" w:rsidRDefault="00D558A4" w:rsidP="00D558A4">
            <w:pPr>
              <w:autoSpaceDE w:val="0"/>
              <w:autoSpaceDN w:val="0"/>
              <w:adjustRightInd w:val="0"/>
              <w:spacing w:before="0"/>
              <w:rPr>
                <w:rFonts w:cs="Franklin Gothic Book"/>
                <w:color w:val="000000"/>
                <w:szCs w:val="17"/>
              </w:rPr>
            </w:pPr>
            <w:r w:rsidRPr="00D558A4">
              <w:rPr>
                <w:rFonts w:asciiTheme="minorHAnsi" w:eastAsia="Times New Roman" w:hAnsiTheme="minorHAnsi"/>
                <w:iCs/>
                <w:szCs w:val="17"/>
                <w:lang w:eastAsia="en-US"/>
              </w:rPr>
              <w:t>2012-19</w:t>
            </w:r>
          </w:p>
        </w:tc>
        <w:tc>
          <w:tcPr>
            <w:tcW w:w="319" w:type="pct"/>
            <w:shd w:val="clear" w:color="auto" w:fill="FFFF00"/>
            <w:noWrap/>
          </w:tcPr>
          <w:p w14:paraId="6C85A0E8" w14:textId="77777777" w:rsidR="00EF0B31" w:rsidRPr="00812509" w:rsidRDefault="00D558A4" w:rsidP="00D15A00">
            <w:pPr>
              <w:keepLines/>
              <w:spacing w:before="40" w:after="40" w:line="200" w:lineRule="atLeast"/>
              <w:jc w:val="center"/>
              <w:rPr>
                <w:rFonts w:eastAsia="Times New Roman"/>
                <w:iCs/>
                <w:szCs w:val="17"/>
              </w:rPr>
            </w:pPr>
            <w:r>
              <w:rPr>
                <w:rFonts w:eastAsia="Times New Roman"/>
                <w:iCs/>
                <w:szCs w:val="17"/>
              </w:rPr>
              <w:t>4</w:t>
            </w:r>
          </w:p>
        </w:tc>
        <w:tc>
          <w:tcPr>
            <w:tcW w:w="330" w:type="pct"/>
            <w:shd w:val="clear" w:color="auto" w:fill="EB6921"/>
            <w:noWrap/>
          </w:tcPr>
          <w:p w14:paraId="5D7AE070" w14:textId="77777777" w:rsidR="00EF0B31" w:rsidRPr="00812509" w:rsidRDefault="00D558A4" w:rsidP="00D15A00">
            <w:pPr>
              <w:keepLines/>
              <w:spacing w:before="40" w:after="40" w:line="200" w:lineRule="atLeast"/>
              <w:jc w:val="center"/>
              <w:rPr>
                <w:rFonts w:eastAsia="Times New Roman"/>
                <w:iCs/>
                <w:szCs w:val="17"/>
              </w:rPr>
            </w:pPr>
            <w:r>
              <w:rPr>
                <w:rFonts w:eastAsia="Times New Roman"/>
                <w:iCs/>
                <w:szCs w:val="17"/>
              </w:rPr>
              <w:t>3</w:t>
            </w:r>
          </w:p>
        </w:tc>
        <w:tc>
          <w:tcPr>
            <w:tcW w:w="324" w:type="pct"/>
            <w:shd w:val="clear" w:color="auto" w:fill="FFFF00"/>
            <w:noWrap/>
          </w:tcPr>
          <w:p w14:paraId="4E0101C7" w14:textId="77777777" w:rsidR="00EF0B31" w:rsidRPr="00812509" w:rsidRDefault="00D558A4" w:rsidP="00D15A00">
            <w:pPr>
              <w:keepLines/>
              <w:spacing w:before="40" w:after="40" w:line="200" w:lineRule="atLeast"/>
              <w:jc w:val="center"/>
              <w:rPr>
                <w:rFonts w:eastAsia="Times New Roman"/>
                <w:iCs/>
                <w:szCs w:val="17"/>
              </w:rPr>
            </w:pPr>
            <w:r>
              <w:rPr>
                <w:rFonts w:eastAsia="Times New Roman"/>
                <w:iCs/>
                <w:szCs w:val="17"/>
              </w:rPr>
              <w:t>4</w:t>
            </w:r>
          </w:p>
        </w:tc>
        <w:tc>
          <w:tcPr>
            <w:tcW w:w="340" w:type="pct"/>
            <w:shd w:val="clear" w:color="auto" w:fill="FFFF00"/>
            <w:noWrap/>
          </w:tcPr>
          <w:p w14:paraId="17AE0803" w14:textId="77777777" w:rsidR="00EF0B31" w:rsidRPr="00812509" w:rsidRDefault="00D558A4" w:rsidP="00D15A00">
            <w:pPr>
              <w:keepLines/>
              <w:spacing w:before="40" w:after="40" w:line="200" w:lineRule="atLeast"/>
              <w:jc w:val="center"/>
              <w:rPr>
                <w:rFonts w:eastAsia="Times New Roman"/>
                <w:iCs/>
                <w:szCs w:val="17"/>
              </w:rPr>
            </w:pPr>
            <w:r>
              <w:rPr>
                <w:rFonts w:eastAsia="Times New Roman"/>
                <w:iCs/>
                <w:szCs w:val="17"/>
              </w:rPr>
              <w:t>4</w:t>
            </w:r>
          </w:p>
        </w:tc>
        <w:tc>
          <w:tcPr>
            <w:tcW w:w="372" w:type="pct"/>
            <w:shd w:val="clear" w:color="auto" w:fill="FFFF00"/>
            <w:noWrap/>
          </w:tcPr>
          <w:p w14:paraId="0A7610F8" w14:textId="77777777" w:rsidR="00EF0B31" w:rsidRPr="00812509" w:rsidRDefault="00D558A4" w:rsidP="00D15A00">
            <w:pPr>
              <w:keepLines/>
              <w:spacing w:before="40" w:after="40" w:line="200" w:lineRule="atLeast"/>
              <w:jc w:val="center"/>
              <w:rPr>
                <w:rFonts w:eastAsia="Times New Roman"/>
                <w:iCs/>
                <w:szCs w:val="17"/>
              </w:rPr>
            </w:pPr>
            <w:r>
              <w:rPr>
                <w:rFonts w:eastAsia="Times New Roman"/>
                <w:iCs/>
                <w:szCs w:val="17"/>
              </w:rPr>
              <w:t>4</w:t>
            </w:r>
          </w:p>
        </w:tc>
        <w:tc>
          <w:tcPr>
            <w:tcW w:w="339" w:type="pct"/>
            <w:shd w:val="clear" w:color="auto" w:fill="FFFF00"/>
            <w:noWrap/>
          </w:tcPr>
          <w:p w14:paraId="6E759E35" w14:textId="77777777" w:rsidR="00EF0B31" w:rsidRPr="00812509" w:rsidRDefault="00D558A4" w:rsidP="00D15A00">
            <w:pPr>
              <w:keepLines/>
              <w:spacing w:before="40" w:after="40" w:line="200" w:lineRule="atLeast"/>
              <w:jc w:val="center"/>
              <w:rPr>
                <w:rFonts w:eastAsia="Times New Roman"/>
                <w:iCs/>
                <w:szCs w:val="17"/>
              </w:rPr>
            </w:pPr>
            <w:r>
              <w:rPr>
                <w:rFonts w:eastAsia="Times New Roman"/>
                <w:iCs/>
                <w:szCs w:val="17"/>
              </w:rPr>
              <w:t>4</w:t>
            </w:r>
          </w:p>
        </w:tc>
        <w:tc>
          <w:tcPr>
            <w:tcW w:w="369" w:type="pct"/>
            <w:shd w:val="clear" w:color="auto" w:fill="FFFF00"/>
          </w:tcPr>
          <w:p w14:paraId="31434639" w14:textId="77777777" w:rsidR="00EF0B31" w:rsidRPr="00812509" w:rsidRDefault="00D558A4" w:rsidP="00D15A00">
            <w:pPr>
              <w:keepLines/>
              <w:spacing w:before="40" w:after="40" w:line="200" w:lineRule="atLeast"/>
              <w:jc w:val="center"/>
              <w:rPr>
                <w:rFonts w:eastAsia="Times New Roman"/>
                <w:iCs/>
                <w:szCs w:val="17"/>
              </w:rPr>
            </w:pPr>
            <w:r>
              <w:rPr>
                <w:rFonts w:eastAsia="Times New Roman"/>
                <w:iCs/>
                <w:szCs w:val="17"/>
              </w:rPr>
              <w:t>4</w:t>
            </w:r>
          </w:p>
        </w:tc>
        <w:tc>
          <w:tcPr>
            <w:tcW w:w="359" w:type="pct"/>
            <w:shd w:val="clear" w:color="auto" w:fill="auto"/>
          </w:tcPr>
          <w:p w14:paraId="7CE9D2FE" w14:textId="77777777" w:rsidR="00EF0B31" w:rsidRPr="00812509" w:rsidRDefault="00D558A4" w:rsidP="00D15A00">
            <w:pPr>
              <w:keepLines/>
              <w:spacing w:before="40" w:after="40" w:line="200" w:lineRule="atLeast"/>
              <w:jc w:val="center"/>
              <w:rPr>
                <w:rFonts w:eastAsia="Times New Roman"/>
                <w:iCs/>
                <w:szCs w:val="17"/>
              </w:rPr>
            </w:pPr>
            <w:r>
              <w:rPr>
                <w:rFonts w:eastAsia="Times New Roman"/>
                <w:iCs/>
                <w:szCs w:val="17"/>
              </w:rPr>
              <w:t>n/a</w:t>
            </w:r>
          </w:p>
        </w:tc>
      </w:tr>
    </w:tbl>
    <w:p w14:paraId="71F6B423" w14:textId="77777777" w:rsidR="00A8197B" w:rsidRPr="00812509" w:rsidRDefault="00A8197B" w:rsidP="00A8197B">
      <w:pPr>
        <w:spacing w:before="20" w:after="20" w:line="180" w:lineRule="atLeast"/>
        <w:jc w:val="both"/>
        <w:rPr>
          <w:rFonts w:eastAsia="Times New Roman"/>
          <w:b/>
          <w:sz w:val="14"/>
          <w:szCs w:val="14"/>
        </w:rPr>
      </w:pPr>
    </w:p>
    <w:p w14:paraId="2069998E" w14:textId="77777777"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0E34935D" w14:textId="77777777"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Satisfactory (4, 5 and 6)</w:t>
      </w:r>
    </w:p>
    <w:p w14:paraId="120601CC"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14:paraId="0B7FACA1"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14:paraId="3C0E54D6"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sz w:val="16"/>
          <w:szCs w:val="14"/>
        </w:rPr>
        <w:t>Less than satisfactory (1, 2 and 3)</w:t>
      </w:r>
    </w:p>
    <w:p w14:paraId="0CD96000"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0A4493B4" w14:textId="77777777" w:rsidR="00A8197B" w:rsidRPr="00812509" w:rsidRDefault="00A8197B" w:rsidP="00812509">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14:paraId="03E3209C" w14:textId="77777777" w:rsidR="00A8197B" w:rsidRDefault="00A8197B" w:rsidP="00A8197B">
      <w:pPr>
        <w:pStyle w:val="ListBullet"/>
        <w:tabs>
          <w:tab w:val="clear" w:pos="284"/>
        </w:tabs>
      </w:pPr>
    </w:p>
    <w:p w14:paraId="3B66A756" w14:textId="77777777" w:rsidR="00A8197B" w:rsidRPr="00A8197B" w:rsidRDefault="00A8197B" w:rsidP="00A8197B"/>
    <w:p w14:paraId="6C2E5D97" w14:textId="77777777" w:rsidR="00184F1E" w:rsidRDefault="00184F1E">
      <w:pPr>
        <w:suppressAutoHyphens w:val="0"/>
        <w:spacing w:before="0" w:after="120" w:line="440" w:lineRule="atLeast"/>
        <w:rPr>
          <w:rFonts w:ascii="Franklin Gothic Book" w:eastAsia="Times New Roman" w:hAnsi="Franklin Gothic Book" w:cs="Times New Roman"/>
          <w:color w:val="auto"/>
          <w:sz w:val="21"/>
          <w:szCs w:val="24"/>
          <w:lang w:val="en-AU" w:eastAsia="en-AU"/>
        </w:rPr>
      </w:pPr>
      <w:r>
        <w:br w:type="page"/>
      </w:r>
    </w:p>
    <w:p w14:paraId="49C95168" w14:textId="77777777" w:rsidR="000007B9" w:rsidRDefault="000007B9" w:rsidP="00BB648A">
      <w:pPr>
        <w:pStyle w:val="Subtitle"/>
        <w:spacing w:before="360" w:after="120" w:line="300" w:lineRule="exact"/>
        <w:rPr>
          <w:rFonts w:asciiTheme="majorHAnsi" w:hAnsiTheme="majorHAnsi" w:cstheme="majorHAnsi"/>
        </w:rPr>
        <w:sectPr w:rsidR="000007B9" w:rsidSect="004839E3">
          <w:headerReference w:type="default" r:id="rId30"/>
          <w:pgSz w:w="11906" w:h="16838" w:code="9"/>
          <w:pgMar w:top="1527" w:right="1134" w:bottom="851" w:left="1134" w:header="1418" w:footer="192" w:gutter="0"/>
          <w:cols w:space="397"/>
          <w:docGrid w:linePitch="360"/>
        </w:sectPr>
      </w:pPr>
    </w:p>
    <w:p w14:paraId="4B44DDD2" w14:textId="077EA55C" w:rsidR="00184F1E" w:rsidRPr="00EF26B5" w:rsidRDefault="00184F1E" w:rsidP="00BB648A">
      <w:pPr>
        <w:pStyle w:val="Subtitle"/>
        <w:spacing w:before="360" w:after="120" w:line="300" w:lineRule="exact"/>
        <w:rPr>
          <w:rFonts w:asciiTheme="majorHAnsi" w:hAnsiTheme="majorHAnsi" w:cstheme="majorHAnsi"/>
          <w:bCs w:val="0"/>
          <w:iCs w:val="0"/>
          <w:caps w:val="0"/>
        </w:rPr>
      </w:pPr>
      <w:r w:rsidRPr="00EF26B5">
        <w:rPr>
          <w:rFonts w:asciiTheme="majorHAnsi" w:hAnsiTheme="majorHAnsi" w:cstheme="majorHAnsi"/>
        </w:rPr>
        <w:lastRenderedPageBreak/>
        <w:t>Annex E – Performance Assessment Framework</w:t>
      </w:r>
      <w:r w:rsidR="00862984">
        <w:rPr>
          <w:rFonts w:asciiTheme="majorHAnsi" w:hAnsiTheme="majorHAnsi" w:cstheme="majorHAnsi"/>
        </w:rPr>
        <w:t xml:space="preserve"> (JUNE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4466"/>
        <w:gridCol w:w="1682"/>
        <w:gridCol w:w="827"/>
        <w:gridCol w:w="1682"/>
        <w:gridCol w:w="1130"/>
        <w:gridCol w:w="1682"/>
        <w:gridCol w:w="827"/>
        <w:gridCol w:w="1775"/>
      </w:tblGrid>
      <w:tr w:rsidR="000007B9" w:rsidRPr="00E027DF" w14:paraId="3E2BE609" w14:textId="77777777" w:rsidTr="000E4D35">
        <w:trPr>
          <w:cantSplit/>
          <w:trHeight w:val="394"/>
          <w:tblHeader/>
        </w:trPr>
        <w:tc>
          <w:tcPr>
            <w:tcW w:w="132" w:type="pct"/>
            <w:vMerge w:val="restart"/>
            <w:shd w:val="clear" w:color="auto" w:fill="002060"/>
            <w:vAlign w:val="center"/>
          </w:tcPr>
          <w:p w14:paraId="2BFE8F5E" w14:textId="77777777" w:rsidR="000007B9" w:rsidRPr="00E027DF" w:rsidRDefault="000007B9" w:rsidP="000E4D35">
            <w:pPr>
              <w:spacing w:after="120"/>
              <w:contextualSpacing/>
              <w:jc w:val="center"/>
              <w:rPr>
                <w:rFonts w:cstheme="minorHAnsi"/>
                <w:b/>
                <w:lang w:val="en-AU"/>
              </w:rPr>
            </w:pPr>
            <w:r w:rsidRPr="00E027DF">
              <w:rPr>
                <w:rFonts w:cstheme="minorHAnsi"/>
                <w:b/>
              </w:rPr>
              <w:t>#</w:t>
            </w:r>
          </w:p>
        </w:tc>
        <w:tc>
          <w:tcPr>
            <w:tcW w:w="1545" w:type="pct"/>
            <w:vMerge w:val="restart"/>
            <w:shd w:val="clear" w:color="auto" w:fill="002060"/>
            <w:vAlign w:val="center"/>
          </w:tcPr>
          <w:p w14:paraId="5FCEC6F6" w14:textId="77777777" w:rsidR="000007B9" w:rsidRPr="00E027DF" w:rsidRDefault="000007B9" w:rsidP="000E4D35">
            <w:pPr>
              <w:spacing w:after="120"/>
              <w:contextualSpacing/>
              <w:jc w:val="center"/>
              <w:rPr>
                <w:rFonts w:cstheme="minorHAnsi"/>
                <w:b/>
              </w:rPr>
            </w:pPr>
            <w:r w:rsidRPr="00E027DF">
              <w:rPr>
                <w:rFonts w:cstheme="minorHAnsi"/>
                <w:b/>
                <w:lang w:val="en-AU"/>
              </w:rPr>
              <w:t>Indicators</w:t>
            </w:r>
          </w:p>
        </w:tc>
        <w:tc>
          <w:tcPr>
            <w:tcW w:w="868" w:type="pct"/>
            <w:gridSpan w:val="2"/>
            <w:tcBorders>
              <w:bottom w:val="single" w:sz="4" w:space="0" w:color="auto"/>
            </w:tcBorders>
            <w:shd w:val="clear" w:color="auto" w:fill="002060"/>
            <w:vAlign w:val="center"/>
          </w:tcPr>
          <w:p w14:paraId="1AB3C5F4" w14:textId="77777777" w:rsidR="000007B9" w:rsidRPr="00E027DF" w:rsidRDefault="000007B9" w:rsidP="000E4D35">
            <w:pPr>
              <w:spacing w:after="120"/>
              <w:contextualSpacing/>
              <w:jc w:val="center"/>
              <w:rPr>
                <w:rFonts w:cstheme="minorHAnsi"/>
                <w:b/>
              </w:rPr>
            </w:pPr>
            <w:r w:rsidRPr="00E027DF">
              <w:rPr>
                <w:rFonts w:cstheme="minorHAnsi"/>
                <w:b/>
              </w:rPr>
              <w:t>2017-2018</w:t>
            </w:r>
          </w:p>
        </w:tc>
        <w:tc>
          <w:tcPr>
            <w:tcW w:w="973" w:type="pct"/>
            <w:gridSpan w:val="2"/>
            <w:tcBorders>
              <w:bottom w:val="single" w:sz="4" w:space="0" w:color="auto"/>
            </w:tcBorders>
            <w:shd w:val="clear" w:color="auto" w:fill="002060"/>
            <w:vAlign w:val="center"/>
          </w:tcPr>
          <w:p w14:paraId="7DBDDB68" w14:textId="77777777" w:rsidR="000007B9" w:rsidRPr="00E027DF" w:rsidRDefault="000007B9" w:rsidP="000E4D35">
            <w:pPr>
              <w:spacing w:after="120"/>
              <w:contextualSpacing/>
              <w:jc w:val="center"/>
              <w:rPr>
                <w:rFonts w:cstheme="minorHAnsi"/>
                <w:b/>
              </w:rPr>
            </w:pPr>
            <w:r w:rsidRPr="00E027DF">
              <w:rPr>
                <w:rFonts w:cstheme="minorHAnsi"/>
                <w:b/>
              </w:rPr>
              <w:t>2018-2019</w:t>
            </w:r>
          </w:p>
        </w:tc>
        <w:tc>
          <w:tcPr>
            <w:tcW w:w="868" w:type="pct"/>
            <w:gridSpan w:val="2"/>
            <w:tcBorders>
              <w:bottom w:val="single" w:sz="4" w:space="0" w:color="auto"/>
            </w:tcBorders>
            <w:shd w:val="clear" w:color="auto" w:fill="002060"/>
            <w:vAlign w:val="center"/>
          </w:tcPr>
          <w:p w14:paraId="779726B4" w14:textId="77777777" w:rsidR="000007B9" w:rsidRPr="00E027DF" w:rsidRDefault="000007B9" w:rsidP="000E4D35">
            <w:pPr>
              <w:spacing w:after="120"/>
              <w:contextualSpacing/>
              <w:jc w:val="center"/>
              <w:rPr>
                <w:rFonts w:cstheme="minorHAnsi"/>
                <w:b/>
              </w:rPr>
            </w:pPr>
            <w:r w:rsidRPr="00E027DF">
              <w:rPr>
                <w:rFonts w:cstheme="minorHAnsi"/>
                <w:b/>
              </w:rPr>
              <w:t>2019-2020</w:t>
            </w:r>
          </w:p>
        </w:tc>
        <w:tc>
          <w:tcPr>
            <w:tcW w:w="614" w:type="pct"/>
            <w:vMerge w:val="restart"/>
            <w:shd w:val="clear" w:color="auto" w:fill="002060"/>
            <w:vAlign w:val="center"/>
          </w:tcPr>
          <w:p w14:paraId="7CB4C664" w14:textId="77777777" w:rsidR="000007B9" w:rsidRPr="00E027DF" w:rsidRDefault="000007B9" w:rsidP="000E4D35">
            <w:pPr>
              <w:spacing w:after="120"/>
              <w:contextualSpacing/>
              <w:jc w:val="center"/>
              <w:rPr>
                <w:rFonts w:cstheme="minorHAnsi"/>
                <w:b/>
              </w:rPr>
            </w:pPr>
            <w:r w:rsidRPr="00E027DF">
              <w:rPr>
                <w:rFonts w:cstheme="minorHAnsi"/>
                <w:b/>
              </w:rPr>
              <w:t>Source of Information</w:t>
            </w:r>
          </w:p>
        </w:tc>
      </w:tr>
      <w:tr w:rsidR="000007B9" w:rsidRPr="00E027DF" w14:paraId="78D884B9" w14:textId="77777777" w:rsidTr="000E4D35">
        <w:trPr>
          <w:cantSplit/>
          <w:trHeight w:val="478"/>
          <w:tblHeader/>
        </w:trPr>
        <w:tc>
          <w:tcPr>
            <w:tcW w:w="132" w:type="pct"/>
            <w:vMerge/>
            <w:tcBorders>
              <w:bottom w:val="single" w:sz="4" w:space="0" w:color="auto"/>
            </w:tcBorders>
            <w:shd w:val="clear" w:color="auto" w:fill="002060"/>
          </w:tcPr>
          <w:p w14:paraId="3524BCEA" w14:textId="77777777" w:rsidR="000007B9" w:rsidRPr="00E027DF" w:rsidRDefault="000007B9" w:rsidP="000E4D35">
            <w:pPr>
              <w:spacing w:after="120"/>
              <w:contextualSpacing/>
              <w:jc w:val="center"/>
              <w:rPr>
                <w:rFonts w:cstheme="minorHAnsi"/>
                <w:b/>
              </w:rPr>
            </w:pPr>
          </w:p>
        </w:tc>
        <w:tc>
          <w:tcPr>
            <w:tcW w:w="1545" w:type="pct"/>
            <w:vMerge/>
            <w:tcBorders>
              <w:bottom w:val="single" w:sz="4" w:space="0" w:color="auto"/>
            </w:tcBorders>
            <w:shd w:val="clear" w:color="auto" w:fill="002060"/>
            <w:vAlign w:val="center"/>
          </w:tcPr>
          <w:p w14:paraId="5D702816" w14:textId="77777777" w:rsidR="000007B9" w:rsidRPr="00E027DF" w:rsidRDefault="000007B9" w:rsidP="000E4D35">
            <w:pPr>
              <w:spacing w:after="120"/>
              <w:contextualSpacing/>
              <w:jc w:val="center"/>
              <w:rPr>
                <w:rFonts w:cstheme="minorHAnsi"/>
                <w:b/>
              </w:rPr>
            </w:pPr>
          </w:p>
        </w:tc>
        <w:tc>
          <w:tcPr>
            <w:tcW w:w="582" w:type="pct"/>
            <w:tcBorders>
              <w:bottom w:val="single" w:sz="4" w:space="0" w:color="auto"/>
            </w:tcBorders>
            <w:shd w:val="clear" w:color="auto" w:fill="002060"/>
            <w:vAlign w:val="center"/>
          </w:tcPr>
          <w:p w14:paraId="32BEADFB" w14:textId="77777777" w:rsidR="000007B9" w:rsidRPr="00E027DF" w:rsidRDefault="000007B9" w:rsidP="000E4D35">
            <w:pPr>
              <w:spacing w:after="120"/>
              <w:contextualSpacing/>
              <w:jc w:val="center"/>
              <w:rPr>
                <w:rFonts w:cstheme="minorHAnsi"/>
                <w:b/>
                <w:lang w:val="en-BZ"/>
              </w:rPr>
            </w:pPr>
            <w:r w:rsidRPr="00E027DF">
              <w:rPr>
                <w:rFonts w:cstheme="minorHAnsi"/>
                <w:b/>
              </w:rPr>
              <w:t>Target</w:t>
            </w:r>
          </w:p>
        </w:tc>
        <w:tc>
          <w:tcPr>
            <w:tcW w:w="286" w:type="pct"/>
            <w:tcBorders>
              <w:bottom w:val="single" w:sz="4" w:space="0" w:color="auto"/>
            </w:tcBorders>
            <w:shd w:val="clear" w:color="auto" w:fill="002060"/>
            <w:vAlign w:val="center"/>
          </w:tcPr>
          <w:p w14:paraId="582555CA" w14:textId="77777777" w:rsidR="000007B9" w:rsidRPr="00E027DF" w:rsidRDefault="000007B9" w:rsidP="000E4D35">
            <w:pPr>
              <w:spacing w:after="120"/>
              <w:contextualSpacing/>
              <w:jc w:val="center"/>
              <w:rPr>
                <w:rFonts w:cstheme="minorHAnsi"/>
                <w:b/>
              </w:rPr>
            </w:pPr>
            <w:r w:rsidRPr="00E027DF">
              <w:rPr>
                <w:rFonts w:cstheme="minorHAnsi"/>
                <w:b/>
                <w:lang w:val="en-BZ"/>
              </w:rPr>
              <w:t>Actual</w:t>
            </w:r>
          </w:p>
        </w:tc>
        <w:tc>
          <w:tcPr>
            <w:tcW w:w="582" w:type="pct"/>
            <w:tcBorders>
              <w:bottom w:val="single" w:sz="4" w:space="0" w:color="auto"/>
            </w:tcBorders>
            <w:shd w:val="clear" w:color="auto" w:fill="002060"/>
            <w:vAlign w:val="center"/>
          </w:tcPr>
          <w:p w14:paraId="2B591DE5" w14:textId="77777777" w:rsidR="000007B9" w:rsidRPr="00E027DF" w:rsidRDefault="000007B9" w:rsidP="000E4D35">
            <w:pPr>
              <w:spacing w:after="120"/>
              <w:contextualSpacing/>
              <w:jc w:val="center"/>
              <w:rPr>
                <w:rFonts w:cstheme="minorHAnsi"/>
                <w:b/>
                <w:lang w:val="en-AU"/>
              </w:rPr>
            </w:pPr>
            <w:r w:rsidRPr="00E027DF">
              <w:rPr>
                <w:rFonts w:cstheme="minorHAnsi"/>
                <w:b/>
              </w:rPr>
              <w:t>Target</w:t>
            </w:r>
          </w:p>
        </w:tc>
        <w:tc>
          <w:tcPr>
            <w:tcW w:w="391" w:type="pct"/>
            <w:tcBorders>
              <w:bottom w:val="single" w:sz="4" w:space="0" w:color="auto"/>
            </w:tcBorders>
            <w:shd w:val="clear" w:color="auto" w:fill="002060"/>
            <w:vAlign w:val="center"/>
          </w:tcPr>
          <w:p w14:paraId="14DCA92B" w14:textId="77777777" w:rsidR="000007B9" w:rsidRPr="00E027DF" w:rsidRDefault="000007B9" w:rsidP="000E4D35">
            <w:pPr>
              <w:spacing w:after="120"/>
              <w:contextualSpacing/>
              <w:jc w:val="center"/>
              <w:rPr>
                <w:rFonts w:cstheme="minorHAnsi"/>
                <w:b/>
              </w:rPr>
            </w:pPr>
            <w:r w:rsidRPr="00E027DF">
              <w:rPr>
                <w:rFonts w:cstheme="minorHAnsi"/>
                <w:b/>
                <w:lang w:val="en-AU"/>
              </w:rPr>
              <w:t>Actual</w:t>
            </w:r>
          </w:p>
        </w:tc>
        <w:tc>
          <w:tcPr>
            <w:tcW w:w="582" w:type="pct"/>
            <w:tcBorders>
              <w:bottom w:val="single" w:sz="4" w:space="0" w:color="auto"/>
            </w:tcBorders>
            <w:shd w:val="clear" w:color="auto" w:fill="002060"/>
            <w:vAlign w:val="center"/>
          </w:tcPr>
          <w:p w14:paraId="70529B54" w14:textId="77777777" w:rsidR="000007B9" w:rsidRPr="00E027DF" w:rsidRDefault="000007B9" w:rsidP="000E4D35">
            <w:pPr>
              <w:spacing w:after="120"/>
              <w:contextualSpacing/>
              <w:jc w:val="center"/>
              <w:rPr>
                <w:rFonts w:cstheme="minorHAnsi"/>
                <w:b/>
              </w:rPr>
            </w:pPr>
            <w:r w:rsidRPr="00E027DF">
              <w:rPr>
                <w:rFonts w:cstheme="minorHAnsi"/>
                <w:b/>
              </w:rPr>
              <w:t>Target</w:t>
            </w:r>
          </w:p>
        </w:tc>
        <w:tc>
          <w:tcPr>
            <w:tcW w:w="286" w:type="pct"/>
            <w:tcBorders>
              <w:bottom w:val="single" w:sz="4" w:space="0" w:color="auto"/>
            </w:tcBorders>
            <w:shd w:val="clear" w:color="auto" w:fill="002060"/>
            <w:vAlign w:val="center"/>
          </w:tcPr>
          <w:p w14:paraId="2C1DD503" w14:textId="77777777" w:rsidR="000007B9" w:rsidRPr="00E027DF" w:rsidRDefault="000007B9" w:rsidP="000E4D35">
            <w:pPr>
              <w:spacing w:after="120"/>
              <w:contextualSpacing/>
              <w:jc w:val="center"/>
              <w:rPr>
                <w:rFonts w:cstheme="minorHAnsi"/>
                <w:b/>
              </w:rPr>
            </w:pPr>
            <w:r w:rsidRPr="00E027DF">
              <w:rPr>
                <w:rFonts w:cstheme="minorHAnsi"/>
                <w:b/>
              </w:rPr>
              <w:t>Actual</w:t>
            </w:r>
          </w:p>
        </w:tc>
        <w:tc>
          <w:tcPr>
            <w:tcW w:w="614" w:type="pct"/>
            <w:vMerge/>
            <w:tcBorders>
              <w:bottom w:val="single" w:sz="4" w:space="0" w:color="auto"/>
            </w:tcBorders>
            <w:shd w:val="clear" w:color="auto" w:fill="002060"/>
            <w:vAlign w:val="center"/>
          </w:tcPr>
          <w:p w14:paraId="0F81925C" w14:textId="77777777" w:rsidR="000007B9" w:rsidRPr="00E027DF" w:rsidRDefault="000007B9" w:rsidP="000E4D35">
            <w:pPr>
              <w:spacing w:after="120"/>
              <w:contextualSpacing/>
              <w:jc w:val="center"/>
              <w:rPr>
                <w:rFonts w:cstheme="minorHAnsi"/>
                <w:b/>
              </w:rPr>
            </w:pPr>
          </w:p>
        </w:tc>
      </w:tr>
      <w:tr w:rsidR="000007B9" w:rsidRPr="00E027DF" w14:paraId="390E46B5" w14:textId="77777777" w:rsidTr="000E4D35">
        <w:trPr>
          <w:cantSplit/>
          <w:trHeight w:val="567"/>
        </w:trPr>
        <w:tc>
          <w:tcPr>
            <w:tcW w:w="5000" w:type="pct"/>
            <w:gridSpan w:val="9"/>
            <w:shd w:val="clear" w:color="auto" w:fill="D7DEE2" w:themeFill="text2" w:themeFillTint="33"/>
            <w:vAlign w:val="center"/>
          </w:tcPr>
          <w:p w14:paraId="25689AFB" w14:textId="77777777" w:rsidR="000007B9" w:rsidRPr="00E027DF" w:rsidRDefault="000007B9" w:rsidP="000E4D35">
            <w:pPr>
              <w:spacing w:after="120"/>
              <w:contextualSpacing/>
              <w:rPr>
                <w:rFonts w:cstheme="minorHAnsi"/>
                <w:b/>
              </w:rPr>
            </w:pPr>
            <w:r w:rsidRPr="00E027DF">
              <w:rPr>
                <w:rFonts w:cstheme="minorHAnsi"/>
                <w:b/>
              </w:rPr>
              <w:t>Education</w:t>
            </w:r>
          </w:p>
        </w:tc>
      </w:tr>
      <w:tr w:rsidR="000007B9" w:rsidRPr="00B7274D" w14:paraId="051499B4" w14:textId="77777777" w:rsidTr="000E4D35">
        <w:trPr>
          <w:cantSplit/>
          <w:trHeight w:val="1391"/>
        </w:trPr>
        <w:tc>
          <w:tcPr>
            <w:tcW w:w="132" w:type="pct"/>
            <w:vAlign w:val="center"/>
          </w:tcPr>
          <w:p w14:paraId="73BB5814" w14:textId="77777777" w:rsidR="000007B9" w:rsidRPr="00E027DF" w:rsidRDefault="000007B9" w:rsidP="000E4D35">
            <w:pPr>
              <w:spacing w:after="120"/>
              <w:contextualSpacing/>
              <w:rPr>
                <w:rFonts w:cstheme="minorHAnsi"/>
                <w:color w:val="000000"/>
                <w:lang w:val="en-AU"/>
              </w:rPr>
            </w:pPr>
            <w:r w:rsidRPr="00E027DF">
              <w:rPr>
                <w:rFonts w:cstheme="minorHAnsi"/>
                <w:color w:val="000000"/>
                <w:lang w:val="en-US"/>
              </w:rPr>
              <w:t>1</w:t>
            </w:r>
          </w:p>
        </w:tc>
        <w:tc>
          <w:tcPr>
            <w:tcW w:w="1545" w:type="pct"/>
            <w:shd w:val="clear" w:color="auto" w:fill="auto"/>
            <w:vAlign w:val="center"/>
          </w:tcPr>
          <w:p w14:paraId="752EFEA8" w14:textId="77777777" w:rsidR="000007B9" w:rsidRPr="000007B9" w:rsidRDefault="000007B9" w:rsidP="000E4D35">
            <w:pPr>
              <w:spacing w:after="120"/>
              <w:contextualSpacing/>
              <w:rPr>
                <w:rFonts w:cstheme="minorHAnsi"/>
                <w:color w:val="000000" w:themeColor="text1"/>
                <w:lang w:val="en-AU"/>
              </w:rPr>
            </w:pPr>
            <w:r w:rsidRPr="000007B9">
              <w:rPr>
                <w:rFonts w:cstheme="minorHAnsi"/>
                <w:color w:val="000000" w:themeColor="text1"/>
                <w:lang w:val="en-AU"/>
              </w:rPr>
              <w:t>Percentage of staff within MoES assigned to curriculum writing and development who can operate with minimal specialist technical support (BEQUAL KPI #2)</w:t>
            </w:r>
          </w:p>
        </w:tc>
        <w:tc>
          <w:tcPr>
            <w:tcW w:w="582" w:type="pct"/>
            <w:vAlign w:val="center"/>
          </w:tcPr>
          <w:p w14:paraId="26EC7BED" w14:textId="77777777" w:rsidR="000007B9" w:rsidRPr="000007B9" w:rsidRDefault="000007B9" w:rsidP="000E4D35">
            <w:pPr>
              <w:spacing w:after="120"/>
              <w:contextualSpacing/>
              <w:rPr>
                <w:rFonts w:cstheme="minorHAnsi"/>
                <w:color w:val="000000" w:themeColor="text1"/>
              </w:rPr>
            </w:pPr>
            <w:r w:rsidRPr="000007B9">
              <w:rPr>
                <w:rFonts w:cstheme="minorHAnsi"/>
                <w:color w:val="000000" w:themeColor="text1"/>
              </w:rPr>
              <w:t>NA</w:t>
            </w:r>
          </w:p>
        </w:tc>
        <w:tc>
          <w:tcPr>
            <w:tcW w:w="286" w:type="pct"/>
            <w:vAlign w:val="center"/>
          </w:tcPr>
          <w:p w14:paraId="595B078A" w14:textId="77777777" w:rsidR="000007B9" w:rsidRPr="000007B9" w:rsidRDefault="000007B9" w:rsidP="000E4D35">
            <w:pPr>
              <w:spacing w:after="120"/>
              <w:contextualSpacing/>
              <w:rPr>
                <w:rFonts w:cstheme="minorHAnsi"/>
                <w:color w:val="000000" w:themeColor="text1"/>
              </w:rPr>
            </w:pPr>
          </w:p>
        </w:tc>
        <w:tc>
          <w:tcPr>
            <w:tcW w:w="582" w:type="pct"/>
            <w:vAlign w:val="center"/>
          </w:tcPr>
          <w:p w14:paraId="143D2E2C" w14:textId="77777777" w:rsidR="000007B9" w:rsidRPr="000007B9" w:rsidRDefault="000007B9" w:rsidP="000E4D35">
            <w:pPr>
              <w:spacing w:after="120"/>
              <w:contextualSpacing/>
              <w:rPr>
                <w:rFonts w:cstheme="minorHAnsi"/>
                <w:color w:val="000000" w:themeColor="text1"/>
              </w:rPr>
            </w:pPr>
            <w:r w:rsidRPr="000007B9">
              <w:rPr>
                <w:rFonts w:cstheme="minorHAnsi"/>
                <w:color w:val="000000" w:themeColor="text1"/>
              </w:rPr>
              <w:t xml:space="preserve">20% </w:t>
            </w:r>
          </w:p>
        </w:tc>
        <w:tc>
          <w:tcPr>
            <w:tcW w:w="391" w:type="pct"/>
            <w:vAlign w:val="center"/>
          </w:tcPr>
          <w:p w14:paraId="0A211D30" w14:textId="77777777" w:rsidR="000007B9" w:rsidRPr="000007B9" w:rsidRDefault="000007B9" w:rsidP="000E4D35">
            <w:pPr>
              <w:spacing w:after="120"/>
              <w:contextualSpacing/>
              <w:rPr>
                <w:rFonts w:cstheme="minorHAnsi"/>
                <w:color w:val="000000" w:themeColor="text1"/>
              </w:rPr>
            </w:pPr>
          </w:p>
        </w:tc>
        <w:tc>
          <w:tcPr>
            <w:tcW w:w="582" w:type="pct"/>
            <w:vAlign w:val="center"/>
          </w:tcPr>
          <w:p w14:paraId="33696DB1" w14:textId="77777777" w:rsidR="000007B9" w:rsidRPr="000007B9" w:rsidRDefault="000007B9" w:rsidP="000E4D35">
            <w:pPr>
              <w:spacing w:after="120"/>
              <w:contextualSpacing/>
              <w:rPr>
                <w:rFonts w:cstheme="minorHAnsi"/>
                <w:color w:val="000000" w:themeColor="text1"/>
              </w:rPr>
            </w:pPr>
            <w:r w:rsidRPr="000007B9">
              <w:rPr>
                <w:rFonts w:cstheme="minorHAnsi"/>
                <w:color w:val="000000" w:themeColor="text1"/>
              </w:rPr>
              <w:t>40%</w:t>
            </w:r>
          </w:p>
        </w:tc>
        <w:tc>
          <w:tcPr>
            <w:tcW w:w="286" w:type="pct"/>
            <w:vAlign w:val="center"/>
          </w:tcPr>
          <w:p w14:paraId="6EA1DC11" w14:textId="77777777" w:rsidR="000007B9" w:rsidRPr="000007B9" w:rsidRDefault="000007B9" w:rsidP="000E4D35">
            <w:pPr>
              <w:spacing w:after="120"/>
              <w:contextualSpacing/>
              <w:rPr>
                <w:rFonts w:cstheme="minorHAnsi"/>
                <w:color w:val="000000" w:themeColor="text1"/>
              </w:rPr>
            </w:pPr>
          </w:p>
        </w:tc>
        <w:tc>
          <w:tcPr>
            <w:tcW w:w="614" w:type="pct"/>
            <w:vAlign w:val="center"/>
          </w:tcPr>
          <w:p w14:paraId="52845DED" w14:textId="77777777" w:rsidR="000007B9" w:rsidRPr="000007B9" w:rsidRDefault="000007B9" w:rsidP="000E4D35">
            <w:pPr>
              <w:spacing w:after="120"/>
              <w:contextualSpacing/>
              <w:rPr>
                <w:rFonts w:cstheme="minorHAnsi"/>
                <w:color w:val="000000" w:themeColor="text1"/>
                <w:lang w:val="en-AU"/>
              </w:rPr>
            </w:pPr>
            <w:r w:rsidRPr="000007B9">
              <w:rPr>
                <w:rFonts w:cstheme="minorHAnsi"/>
                <w:color w:val="000000" w:themeColor="text1"/>
                <w:lang w:val="en-AU"/>
              </w:rPr>
              <w:t>BEQUAL Annual Progress Reports</w:t>
            </w:r>
          </w:p>
          <w:p w14:paraId="3B1440B6" w14:textId="77777777" w:rsidR="000007B9" w:rsidRPr="000007B9" w:rsidRDefault="000007B9" w:rsidP="000E4D35">
            <w:pPr>
              <w:spacing w:after="120"/>
              <w:contextualSpacing/>
              <w:rPr>
                <w:rFonts w:cstheme="minorHAnsi"/>
                <w:color w:val="000000" w:themeColor="text1"/>
                <w:lang w:val="en-AU"/>
              </w:rPr>
            </w:pPr>
          </w:p>
          <w:p w14:paraId="13036A60" w14:textId="77777777" w:rsidR="000007B9" w:rsidRPr="000007B9" w:rsidRDefault="000007B9" w:rsidP="000E4D35">
            <w:pPr>
              <w:spacing w:after="120"/>
              <w:contextualSpacing/>
              <w:rPr>
                <w:rFonts w:cstheme="minorHAnsi"/>
                <w:color w:val="000000" w:themeColor="text1"/>
                <w:lang w:val="en-AU"/>
              </w:rPr>
            </w:pPr>
            <w:r w:rsidRPr="000007B9">
              <w:rPr>
                <w:rFonts w:cstheme="minorHAnsi"/>
                <w:color w:val="000000" w:themeColor="text1"/>
                <w:lang w:val="en-AU"/>
              </w:rPr>
              <w:t>Six Monthly Progress Report</w:t>
            </w:r>
          </w:p>
        </w:tc>
      </w:tr>
      <w:tr w:rsidR="000007B9" w:rsidRPr="00B7274D" w14:paraId="5F03FC92" w14:textId="77777777" w:rsidTr="000E4D35">
        <w:trPr>
          <w:cantSplit/>
          <w:trHeight w:val="1732"/>
        </w:trPr>
        <w:tc>
          <w:tcPr>
            <w:tcW w:w="132" w:type="pct"/>
            <w:vAlign w:val="center"/>
          </w:tcPr>
          <w:p w14:paraId="0259440B" w14:textId="77777777" w:rsidR="000007B9" w:rsidRPr="00E027DF" w:rsidRDefault="000007B9" w:rsidP="000E4D35">
            <w:pPr>
              <w:spacing w:after="120"/>
              <w:contextualSpacing/>
              <w:rPr>
                <w:rFonts w:cstheme="minorHAnsi"/>
                <w:color w:val="000000"/>
                <w:lang w:val="en-US"/>
              </w:rPr>
            </w:pPr>
            <w:r w:rsidRPr="00E027DF">
              <w:rPr>
                <w:rFonts w:cstheme="minorHAnsi"/>
                <w:color w:val="000000"/>
                <w:lang w:val="en-US"/>
              </w:rPr>
              <w:t>2</w:t>
            </w:r>
          </w:p>
        </w:tc>
        <w:tc>
          <w:tcPr>
            <w:tcW w:w="1545" w:type="pct"/>
            <w:shd w:val="clear" w:color="auto" w:fill="auto"/>
            <w:vAlign w:val="center"/>
          </w:tcPr>
          <w:p w14:paraId="35940F92" w14:textId="77777777" w:rsidR="000007B9" w:rsidRPr="000007B9" w:rsidRDefault="000007B9" w:rsidP="000E4D35">
            <w:pPr>
              <w:spacing w:after="120"/>
              <w:contextualSpacing/>
              <w:rPr>
                <w:rFonts w:cstheme="minorHAnsi"/>
                <w:color w:val="000000" w:themeColor="text1"/>
              </w:rPr>
            </w:pPr>
            <w:r w:rsidRPr="000007B9">
              <w:rPr>
                <w:rFonts w:cstheme="minorHAnsi"/>
                <w:color w:val="000000" w:themeColor="text1"/>
                <w:lang w:val="en-AU"/>
              </w:rPr>
              <w:t xml:space="preserve">Percentage of Grade 1 teachers demonstrating knowledge of the new grade 1 curriculum in classroom practice and Grade 2 teachers demonstrating knowledge of the new grade 2 curriculum in classroom practice. </w:t>
            </w:r>
            <w:r w:rsidRPr="000007B9">
              <w:rPr>
                <w:rFonts w:cstheme="minorHAnsi"/>
                <w:color w:val="000000" w:themeColor="text1"/>
              </w:rPr>
              <w:t>(BEQUAL KPI #7)</w:t>
            </w:r>
          </w:p>
        </w:tc>
        <w:tc>
          <w:tcPr>
            <w:tcW w:w="582" w:type="pct"/>
            <w:vAlign w:val="center"/>
          </w:tcPr>
          <w:p w14:paraId="0C262903" w14:textId="77777777" w:rsidR="000007B9" w:rsidRPr="000007B9" w:rsidRDefault="000007B9" w:rsidP="000E4D35">
            <w:pPr>
              <w:spacing w:after="120"/>
              <w:contextualSpacing/>
              <w:rPr>
                <w:rFonts w:cstheme="minorHAnsi"/>
                <w:color w:val="000000" w:themeColor="text1"/>
              </w:rPr>
            </w:pPr>
            <w:r w:rsidRPr="000007B9">
              <w:rPr>
                <w:rFonts w:cstheme="minorHAnsi"/>
                <w:color w:val="000000" w:themeColor="text1"/>
              </w:rPr>
              <w:t>NA</w:t>
            </w:r>
          </w:p>
        </w:tc>
        <w:tc>
          <w:tcPr>
            <w:tcW w:w="286" w:type="pct"/>
            <w:vAlign w:val="center"/>
          </w:tcPr>
          <w:p w14:paraId="2F0021D2" w14:textId="77777777" w:rsidR="000007B9" w:rsidRPr="000007B9" w:rsidRDefault="000007B9" w:rsidP="000E4D35">
            <w:pPr>
              <w:spacing w:after="120"/>
              <w:contextualSpacing/>
              <w:rPr>
                <w:rFonts w:cstheme="minorHAnsi"/>
                <w:color w:val="000000" w:themeColor="text1"/>
              </w:rPr>
            </w:pPr>
          </w:p>
        </w:tc>
        <w:tc>
          <w:tcPr>
            <w:tcW w:w="582" w:type="pct"/>
            <w:vAlign w:val="center"/>
          </w:tcPr>
          <w:p w14:paraId="331E44F0" w14:textId="77777777" w:rsidR="000007B9" w:rsidRPr="000007B9" w:rsidRDefault="000007B9" w:rsidP="000E4D35">
            <w:pPr>
              <w:spacing w:after="120"/>
              <w:contextualSpacing/>
              <w:rPr>
                <w:rFonts w:cstheme="minorHAnsi"/>
                <w:color w:val="000000" w:themeColor="text1"/>
                <w:lang w:val="en-AU"/>
              </w:rPr>
            </w:pPr>
            <w:r w:rsidRPr="000007B9">
              <w:rPr>
                <w:rFonts w:cstheme="minorHAnsi"/>
                <w:color w:val="000000" w:themeColor="text1"/>
                <w:lang w:val="en-AU"/>
              </w:rPr>
              <w:t>NA</w:t>
            </w:r>
          </w:p>
        </w:tc>
        <w:tc>
          <w:tcPr>
            <w:tcW w:w="391" w:type="pct"/>
            <w:vAlign w:val="center"/>
          </w:tcPr>
          <w:p w14:paraId="2B478840" w14:textId="77777777" w:rsidR="000007B9" w:rsidRPr="000007B9" w:rsidRDefault="000007B9" w:rsidP="000E4D35">
            <w:pPr>
              <w:spacing w:after="120"/>
              <w:contextualSpacing/>
              <w:rPr>
                <w:rFonts w:cstheme="minorHAnsi"/>
                <w:color w:val="000000" w:themeColor="text1"/>
                <w:lang w:val="en-AU"/>
              </w:rPr>
            </w:pPr>
          </w:p>
        </w:tc>
        <w:tc>
          <w:tcPr>
            <w:tcW w:w="582" w:type="pct"/>
            <w:vAlign w:val="center"/>
          </w:tcPr>
          <w:p w14:paraId="7242C9A7" w14:textId="77777777" w:rsidR="000007B9" w:rsidRPr="000007B9" w:rsidRDefault="000007B9" w:rsidP="000E4D35">
            <w:pPr>
              <w:spacing w:after="120"/>
              <w:contextualSpacing/>
              <w:rPr>
                <w:rFonts w:cstheme="minorHAnsi"/>
                <w:color w:val="000000" w:themeColor="text1"/>
                <w:lang w:val="en-AU"/>
              </w:rPr>
            </w:pPr>
            <w:r w:rsidRPr="000007B9">
              <w:rPr>
                <w:rFonts w:cstheme="minorHAnsi"/>
                <w:color w:val="000000" w:themeColor="text1"/>
                <w:lang w:val="en-AU"/>
              </w:rPr>
              <w:t>At least 60% of Grade 1 teachers by June 2020</w:t>
            </w:r>
          </w:p>
        </w:tc>
        <w:tc>
          <w:tcPr>
            <w:tcW w:w="286" w:type="pct"/>
            <w:vAlign w:val="center"/>
          </w:tcPr>
          <w:p w14:paraId="073EF3AC" w14:textId="77777777" w:rsidR="000007B9" w:rsidRPr="000007B9" w:rsidRDefault="000007B9" w:rsidP="000E4D35">
            <w:pPr>
              <w:spacing w:after="120"/>
              <w:contextualSpacing/>
              <w:rPr>
                <w:rFonts w:cstheme="minorHAnsi"/>
                <w:color w:val="000000" w:themeColor="text1"/>
                <w:lang w:val="en-AU"/>
              </w:rPr>
            </w:pPr>
          </w:p>
        </w:tc>
        <w:tc>
          <w:tcPr>
            <w:tcW w:w="614" w:type="pct"/>
            <w:vAlign w:val="center"/>
          </w:tcPr>
          <w:p w14:paraId="1516C575" w14:textId="77777777" w:rsidR="000007B9" w:rsidRPr="000007B9" w:rsidRDefault="000007B9" w:rsidP="000E4D35">
            <w:pPr>
              <w:spacing w:after="120"/>
              <w:contextualSpacing/>
              <w:rPr>
                <w:rFonts w:cstheme="minorHAnsi"/>
                <w:color w:val="000000" w:themeColor="text1"/>
                <w:lang w:val="en-AU"/>
              </w:rPr>
            </w:pPr>
            <w:r w:rsidRPr="000007B9">
              <w:rPr>
                <w:rFonts w:cstheme="minorHAnsi"/>
                <w:color w:val="000000" w:themeColor="text1"/>
                <w:lang w:val="en-AU"/>
              </w:rPr>
              <w:t>BEQUAL Annual Progress Reports</w:t>
            </w:r>
          </w:p>
          <w:p w14:paraId="25A1E748" w14:textId="77777777" w:rsidR="000007B9" w:rsidRPr="000007B9" w:rsidRDefault="000007B9" w:rsidP="000E4D35">
            <w:pPr>
              <w:spacing w:after="120"/>
              <w:contextualSpacing/>
              <w:rPr>
                <w:rFonts w:cstheme="minorHAnsi"/>
                <w:color w:val="000000" w:themeColor="text1"/>
                <w:lang w:val="en-AU"/>
              </w:rPr>
            </w:pPr>
          </w:p>
          <w:p w14:paraId="4F327D76" w14:textId="77777777" w:rsidR="000007B9" w:rsidRPr="000007B9" w:rsidRDefault="000007B9" w:rsidP="000E4D35">
            <w:pPr>
              <w:spacing w:after="120"/>
              <w:contextualSpacing/>
              <w:rPr>
                <w:rFonts w:cstheme="minorHAnsi"/>
                <w:color w:val="000000" w:themeColor="text1"/>
                <w:lang w:val="en-AU"/>
              </w:rPr>
            </w:pPr>
            <w:r w:rsidRPr="000007B9">
              <w:rPr>
                <w:rFonts w:cstheme="minorHAnsi"/>
                <w:color w:val="000000" w:themeColor="text1"/>
                <w:lang w:val="en-AU"/>
              </w:rPr>
              <w:t>Six Monthly Progress Report</w:t>
            </w:r>
          </w:p>
        </w:tc>
      </w:tr>
      <w:tr w:rsidR="000007B9" w:rsidRPr="00B7274D" w14:paraId="71B35999" w14:textId="77777777" w:rsidTr="000E4D35">
        <w:trPr>
          <w:cantSplit/>
          <w:trHeight w:val="506"/>
        </w:trPr>
        <w:tc>
          <w:tcPr>
            <w:tcW w:w="132" w:type="pct"/>
            <w:vAlign w:val="center"/>
          </w:tcPr>
          <w:p w14:paraId="36FD4BAD" w14:textId="77777777" w:rsidR="000007B9" w:rsidRPr="00E027DF" w:rsidRDefault="000007B9" w:rsidP="000E4D35">
            <w:pPr>
              <w:spacing w:after="120"/>
              <w:contextualSpacing/>
              <w:rPr>
                <w:rFonts w:cstheme="minorHAnsi"/>
                <w:color w:val="000000"/>
                <w:lang w:val="en-US"/>
              </w:rPr>
            </w:pPr>
            <w:r w:rsidRPr="00E027DF">
              <w:rPr>
                <w:rFonts w:cstheme="minorHAnsi"/>
                <w:color w:val="000000"/>
                <w:lang w:val="en-US"/>
              </w:rPr>
              <w:t>3</w:t>
            </w:r>
          </w:p>
        </w:tc>
        <w:tc>
          <w:tcPr>
            <w:tcW w:w="1545" w:type="pct"/>
            <w:shd w:val="clear" w:color="auto" w:fill="auto"/>
            <w:vAlign w:val="center"/>
          </w:tcPr>
          <w:p w14:paraId="2E4CEF22" w14:textId="77777777" w:rsidR="000007B9" w:rsidRPr="000007B9" w:rsidRDefault="000007B9" w:rsidP="000E4D35">
            <w:pPr>
              <w:spacing w:after="120"/>
              <w:contextualSpacing/>
              <w:rPr>
                <w:rFonts w:cstheme="minorHAnsi"/>
                <w:color w:val="000000" w:themeColor="text1"/>
                <w:lang w:val="en-AU"/>
              </w:rPr>
            </w:pPr>
            <w:r w:rsidRPr="000007B9">
              <w:rPr>
                <w:rFonts w:cstheme="minorHAnsi"/>
                <w:color w:val="000000" w:themeColor="text1"/>
                <w:lang w:val="en-AU"/>
              </w:rPr>
              <w:t>Percentage of PESS and DESB successfully using ESGs for the purpose intended and reporting according to grant agreements.</w:t>
            </w:r>
          </w:p>
          <w:p w14:paraId="587EC989" w14:textId="77777777" w:rsidR="000007B9" w:rsidRPr="000007B9" w:rsidRDefault="000007B9" w:rsidP="000E4D35">
            <w:pPr>
              <w:spacing w:after="120"/>
              <w:contextualSpacing/>
              <w:rPr>
                <w:rFonts w:cstheme="minorHAnsi"/>
                <w:color w:val="000000" w:themeColor="text1"/>
                <w:lang w:val="en-AU"/>
              </w:rPr>
            </w:pPr>
          </w:p>
        </w:tc>
        <w:tc>
          <w:tcPr>
            <w:tcW w:w="582" w:type="pct"/>
            <w:vAlign w:val="center"/>
          </w:tcPr>
          <w:p w14:paraId="130672FA" w14:textId="77777777" w:rsidR="000007B9" w:rsidRPr="000007B9" w:rsidRDefault="000007B9" w:rsidP="000E4D35">
            <w:pPr>
              <w:spacing w:after="120"/>
              <w:contextualSpacing/>
              <w:rPr>
                <w:rFonts w:cstheme="minorHAnsi"/>
                <w:color w:val="000000" w:themeColor="text1"/>
              </w:rPr>
            </w:pPr>
            <w:r w:rsidRPr="000007B9">
              <w:rPr>
                <w:rFonts w:cstheme="minorHAnsi"/>
                <w:color w:val="000000" w:themeColor="text1"/>
              </w:rPr>
              <w:t>NA</w:t>
            </w:r>
          </w:p>
        </w:tc>
        <w:tc>
          <w:tcPr>
            <w:tcW w:w="286" w:type="pct"/>
            <w:vAlign w:val="center"/>
          </w:tcPr>
          <w:p w14:paraId="79758B00" w14:textId="77777777" w:rsidR="000007B9" w:rsidRPr="000007B9" w:rsidRDefault="000007B9" w:rsidP="000E4D35">
            <w:pPr>
              <w:spacing w:after="120"/>
              <w:contextualSpacing/>
              <w:rPr>
                <w:rFonts w:cstheme="minorHAnsi"/>
                <w:color w:val="000000" w:themeColor="text1"/>
              </w:rPr>
            </w:pPr>
          </w:p>
        </w:tc>
        <w:tc>
          <w:tcPr>
            <w:tcW w:w="582" w:type="pct"/>
            <w:vAlign w:val="center"/>
          </w:tcPr>
          <w:p w14:paraId="2D628952" w14:textId="77777777" w:rsidR="000007B9" w:rsidRPr="000007B9" w:rsidRDefault="000007B9" w:rsidP="000E4D35">
            <w:pPr>
              <w:spacing w:after="120"/>
              <w:contextualSpacing/>
              <w:rPr>
                <w:rFonts w:cstheme="minorHAnsi"/>
                <w:color w:val="000000" w:themeColor="text1"/>
                <w:lang w:val="en-AU"/>
              </w:rPr>
            </w:pPr>
            <w:r w:rsidRPr="000007B9">
              <w:rPr>
                <w:rFonts w:cstheme="minorHAnsi"/>
                <w:color w:val="000000" w:themeColor="text1"/>
                <w:lang w:val="en-AU"/>
              </w:rPr>
              <w:t>18 PESS and 32 DESB staff trained in financial management and accounting for ESG by May 2019</w:t>
            </w:r>
          </w:p>
        </w:tc>
        <w:tc>
          <w:tcPr>
            <w:tcW w:w="391" w:type="pct"/>
            <w:vAlign w:val="center"/>
          </w:tcPr>
          <w:p w14:paraId="383ACE41" w14:textId="77777777" w:rsidR="000007B9" w:rsidRPr="000007B9" w:rsidRDefault="000007B9" w:rsidP="000E4D35">
            <w:pPr>
              <w:spacing w:after="120"/>
              <w:contextualSpacing/>
              <w:rPr>
                <w:rFonts w:cstheme="minorHAnsi"/>
                <w:color w:val="000000" w:themeColor="text1"/>
                <w:lang w:val="en-AU"/>
              </w:rPr>
            </w:pPr>
          </w:p>
        </w:tc>
        <w:tc>
          <w:tcPr>
            <w:tcW w:w="582" w:type="pct"/>
            <w:vAlign w:val="center"/>
          </w:tcPr>
          <w:p w14:paraId="430767AF" w14:textId="77777777" w:rsidR="000007B9" w:rsidRPr="000007B9" w:rsidRDefault="000007B9" w:rsidP="000E4D35">
            <w:pPr>
              <w:spacing w:after="120"/>
              <w:contextualSpacing/>
              <w:rPr>
                <w:rFonts w:cstheme="minorHAnsi"/>
                <w:color w:val="000000" w:themeColor="text1"/>
                <w:lang w:val="en-AU"/>
              </w:rPr>
            </w:pPr>
            <w:r w:rsidRPr="000007B9">
              <w:rPr>
                <w:rFonts w:cstheme="minorHAnsi"/>
                <w:color w:val="000000" w:themeColor="text1"/>
                <w:lang w:val="en-AU"/>
              </w:rPr>
              <w:t>100% of PESS and DESB successfully managing ESGs by Dec 2019</w:t>
            </w:r>
          </w:p>
        </w:tc>
        <w:tc>
          <w:tcPr>
            <w:tcW w:w="286" w:type="pct"/>
            <w:vAlign w:val="center"/>
          </w:tcPr>
          <w:p w14:paraId="0E2176C6" w14:textId="77777777" w:rsidR="000007B9" w:rsidRPr="000007B9" w:rsidRDefault="000007B9" w:rsidP="000E4D35">
            <w:pPr>
              <w:spacing w:after="120"/>
              <w:contextualSpacing/>
              <w:rPr>
                <w:rFonts w:cstheme="minorHAnsi"/>
                <w:color w:val="000000" w:themeColor="text1"/>
                <w:lang w:val="en-AU"/>
              </w:rPr>
            </w:pPr>
          </w:p>
        </w:tc>
        <w:tc>
          <w:tcPr>
            <w:tcW w:w="614" w:type="pct"/>
            <w:vAlign w:val="center"/>
          </w:tcPr>
          <w:p w14:paraId="34D6475F" w14:textId="77777777" w:rsidR="000007B9" w:rsidRPr="000007B9" w:rsidRDefault="000007B9" w:rsidP="000E4D35">
            <w:pPr>
              <w:spacing w:after="120"/>
              <w:contextualSpacing/>
              <w:rPr>
                <w:rFonts w:cstheme="minorHAnsi"/>
                <w:color w:val="000000" w:themeColor="text1"/>
                <w:lang w:val="en-AU"/>
              </w:rPr>
            </w:pPr>
            <w:r w:rsidRPr="000007B9">
              <w:rPr>
                <w:rFonts w:cstheme="minorHAnsi"/>
                <w:color w:val="000000" w:themeColor="text1"/>
                <w:lang w:val="en-AU"/>
              </w:rPr>
              <w:t>BEQUAL Annual Progress Reports</w:t>
            </w:r>
          </w:p>
          <w:p w14:paraId="1B7CDF41" w14:textId="77777777" w:rsidR="000007B9" w:rsidRPr="000007B9" w:rsidRDefault="000007B9" w:rsidP="000E4D35">
            <w:pPr>
              <w:spacing w:after="120"/>
              <w:contextualSpacing/>
              <w:rPr>
                <w:rFonts w:cstheme="minorHAnsi"/>
                <w:color w:val="000000" w:themeColor="text1"/>
                <w:lang w:val="en-AU"/>
              </w:rPr>
            </w:pPr>
          </w:p>
          <w:p w14:paraId="208D8EFE" w14:textId="77777777" w:rsidR="000007B9" w:rsidRPr="000007B9" w:rsidRDefault="000007B9" w:rsidP="000E4D35">
            <w:pPr>
              <w:spacing w:after="120"/>
              <w:contextualSpacing/>
              <w:rPr>
                <w:rFonts w:cstheme="minorHAnsi"/>
                <w:color w:val="000000" w:themeColor="text1"/>
                <w:lang w:val="en-AU"/>
              </w:rPr>
            </w:pPr>
            <w:r w:rsidRPr="000007B9">
              <w:rPr>
                <w:rFonts w:cstheme="minorHAnsi"/>
                <w:color w:val="000000" w:themeColor="text1"/>
                <w:lang w:val="en-AU"/>
              </w:rPr>
              <w:t>Six Monthly Progress Report</w:t>
            </w:r>
          </w:p>
        </w:tc>
      </w:tr>
      <w:tr w:rsidR="000007B9" w:rsidRPr="00B7274D" w14:paraId="3638E978" w14:textId="77777777" w:rsidTr="000E4D35">
        <w:trPr>
          <w:cantSplit/>
          <w:trHeight w:val="567"/>
        </w:trPr>
        <w:tc>
          <w:tcPr>
            <w:tcW w:w="132" w:type="pct"/>
            <w:vAlign w:val="center"/>
          </w:tcPr>
          <w:p w14:paraId="08812CAF" w14:textId="77777777" w:rsidR="000007B9" w:rsidRPr="00E027DF" w:rsidRDefault="000007B9" w:rsidP="000E4D35">
            <w:pPr>
              <w:spacing w:after="120"/>
              <w:contextualSpacing/>
              <w:rPr>
                <w:rFonts w:cstheme="minorHAnsi"/>
                <w:color w:val="000000"/>
                <w:lang w:val="en-US"/>
              </w:rPr>
            </w:pPr>
            <w:r w:rsidRPr="00E027DF">
              <w:rPr>
                <w:rFonts w:cstheme="minorHAnsi"/>
                <w:color w:val="000000"/>
                <w:lang w:val="en-US"/>
              </w:rPr>
              <w:t>4</w:t>
            </w:r>
          </w:p>
        </w:tc>
        <w:tc>
          <w:tcPr>
            <w:tcW w:w="1545" w:type="pct"/>
            <w:shd w:val="clear" w:color="auto" w:fill="auto"/>
            <w:vAlign w:val="center"/>
          </w:tcPr>
          <w:p w14:paraId="5E9BF0D7" w14:textId="77777777" w:rsidR="000007B9" w:rsidRPr="000007B9" w:rsidRDefault="000007B9" w:rsidP="000E4D35">
            <w:pPr>
              <w:spacing w:after="120"/>
              <w:contextualSpacing/>
              <w:rPr>
                <w:rFonts w:cstheme="minorHAnsi"/>
                <w:color w:val="000000" w:themeColor="text1"/>
                <w:lang w:val="en-AU"/>
              </w:rPr>
            </w:pPr>
            <w:r w:rsidRPr="000007B9">
              <w:rPr>
                <w:rFonts w:cstheme="minorHAnsi"/>
                <w:color w:val="000000" w:themeColor="text1"/>
                <w:lang w:val="en-AU"/>
              </w:rPr>
              <w:t xml:space="preserve">Percentage of graduated ethnic teachers – 70% female – are deployed and teaching effectively in targeted schools. (BEQUAL KPI #9)  </w:t>
            </w:r>
          </w:p>
        </w:tc>
        <w:tc>
          <w:tcPr>
            <w:tcW w:w="582" w:type="pct"/>
            <w:vAlign w:val="center"/>
          </w:tcPr>
          <w:p w14:paraId="1F735BF2" w14:textId="77777777" w:rsidR="000007B9" w:rsidRPr="000007B9" w:rsidRDefault="000007B9" w:rsidP="000E4D35">
            <w:pPr>
              <w:spacing w:after="120"/>
              <w:contextualSpacing/>
              <w:rPr>
                <w:rFonts w:cstheme="minorHAnsi"/>
                <w:color w:val="000000" w:themeColor="text1"/>
                <w:lang w:val="en-AU"/>
              </w:rPr>
            </w:pPr>
            <w:r w:rsidRPr="000007B9">
              <w:rPr>
                <w:rFonts w:cstheme="minorHAnsi"/>
                <w:color w:val="000000" w:themeColor="text1"/>
                <w:lang w:val="en-AU"/>
              </w:rPr>
              <w:t>NA</w:t>
            </w:r>
          </w:p>
        </w:tc>
        <w:tc>
          <w:tcPr>
            <w:tcW w:w="286" w:type="pct"/>
            <w:vAlign w:val="center"/>
          </w:tcPr>
          <w:p w14:paraId="279B25B6" w14:textId="77777777" w:rsidR="000007B9" w:rsidRPr="000007B9" w:rsidRDefault="000007B9" w:rsidP="000E4D35">
            <w:pPr>
              <w:spacing w:after="120"/>
              <w:contextualSpacing/>
              <w:rPr>
                <w:rFonts w:cstheme="minorHAnsi"/>
                <w:color w:val="000000" w:themeColor="text1"/>
                <w:lang w:val="en-AU"/>
              </w:rPr>
            </w:pPr>
          </w:p>
        </w:tc>
        <w:tc>
          <w:tcPr>
            <w:tcW w:w="582" w:type="pct"/>
            <w:vAlign w:val="center"/>
          </w:tcPr>
          <w:p w14:paraId="060285F2" w14:textId="77777777" w:rsidR="000007B9" w:rsidRPr="000007B9" w:rsidRDefault="000007B9" w:rsidP="000E4D35">
            <w:pPr>
              <w:spacing w:after="120"/>
              <w:contextualSpacing/>
              <w:rPr>
                <w:rFonts w:cstheme="minorHAnsi"/>
                <w:color w:val="000000" w:themeColor="text1"/>
                <w:lang w:val="en-AU"/>
              </w:rPr>
            </w:pPr>
            <w:r w:rsidRPr="000007B9">
              <w:rPr>
                <w:rFonts w:cstheme="minorHAnsi"/>
                <w:color w:val="000000" w:themeColor="text1"/>
                <w:lang w:val="en-AU"/>
              </w:rPr>
              <w:t>90% (212) of Cohort 1 Ethnic teacher graduates ( by August 2018)</w:t>
            </w:r>
          </w:p>
        </w:tc>
        <w:tc>
          <w:tcPr>
            <w:tcW w:w="391" w:type="pct"/>
            <w:vAlign w:val="center"/>
          </w:tcPr>
          <w:p w14:paraId="29D94BB0" w14:textId="77777777" w:rsidR="000007B9" w:rsidRPr="000007B9" w:rsidRDefault="000007B9" w:rsidP="000E4D35">
            <w:pPr>
              <w:spacing w:after="120"/>
              <w:contextualSpacing/>
              <w:rPr>
                <w:rFonts w:cstheme="minorHAnsi"/>
                <w:color w:val="000000" w:themeColor="text1"/>
                <w:lang w:val="en-AU"/>
              </w:rPr>
            </w:pPr>
          </w:p>
        </w:tc>
        <w:tc>
          <w:tcPr>
            <w:tcW w:w="582" w:type="pct"/>
            <w:vAlign w:val="center"/>
          </w:tcPr>
          <w:p w14:paraId="10397050" w14:textId="77777777" w:rsidR="000007B9" w:rsidRPr="000007B9" w:rsidRDefault="000007B9" w:rsidP="000E4D35">
            <w:pPr>
              <w:spacing w:after="120"/>
              <w:contextualSpacing/>
              <w:rPr>
                <w:rFonts w:cstheme="minorHAnsi"/>
                <w:color w:val="000000" w:themeColor="text1"/>
                <w:lang w:val="en-AU"/>
              </w:rPr>
            </w:pPr>
            <w:r w:rsidRPr="000007B9">
              <w:rPr>
                <w:rFonts w:cstheme="minorHAnsi"/>
                <w:color w:val="000000" w:themeColor="text1"/>
                <w:lang w:val="en-AU"/>
              </w:rPr>
              <w:t>90% (124) of Cohort 2 Ethnic teacher graduates ( by August 2019)</w:t>
            </w:r>
          </w:p>
        </w:tc>
        <w:tc>
          <w:tcPr>
            <w:tcW w:w="286" w:type="pct"/>
            <w:vAlign w:val="center"/>
          </w:tcPr>
          <w:p w14:paraId="06966A95" w14:textId="77777777" w:rsidR="000007B9" w:rsidRPr="000007B9" w:rsidRDefault="000007B9" w:rsidP="000E4D35">
            <w:pPr>
              <w:spacing w:after="120"/>
              <w:contextualSpacing/>
              <w:rPr>
                <w:rFonts w:cstheme="minorHAnsi"/>
                <w:color w:val="000000" w:themeColor="text1"/>
                <w:lang w:val="en-AU"/>
              </w:rPr>
            </w:pPr>
          </w:p>
        </w:tc>
        <w:tc>
          <w:tcPr>
            <w:tcW w:w="614" w:type="pct"/>
            <w:vAlign w:val="center"/>
          </w:tcPr>
          <w:p w14:paraId="53838E79" w14:textId="77777777" w:rsidR="000007B9" w:rsidRPr="000007B9" w:rsidRDefault="000007B9" w:rsidP="000E4D35">
            <w:pPr>
              <w:spacing w:after="120"/>
              <w:contextualSpacing/>
              <w:rPr>
                <w:rFonts w:cstheme="minorHAnsi"/>
                <w:color w:val="000000" w:themeColor="text1"/>
                <w:lang w:val="en-AU"/>
              </w:rPr>
            </w:pPr>
            <w:r w:rsidRPr="000007B9">
              <w:rPr>
                <w:rFonts w:cstheme="minorHAnsi"/>
                <w:color w:val="000000" w:themeColor="text1"/>
                <w:lang w:val="en-AU"/>
              </w:rPr>
              <w:t>BEQUAL Annual Progress Reports</w:t>
            </w:r>
          </w:p>
          <w:p w14:paraId="78FDA892" w14:textId="77777777" w:rsidR="000007B9" w:rsidRPr="000007B9" w:rsidRDefault="000007B9" w:rsidP="000E4D35">
            <w:pPr>
              <w:spacing w:after="120"/>
              <w:contextualSpacing/>
              <w:rPr>
                <w:rFonts w:cstheme="minorHAnsi"/>
                <w:color w:val="000000" w:themeColor="text1"/>
                <w:lang w:val="en-AU"/>
              </w:rPr>
            </w:pPr>
            <w:r w:rsidRPr="000007B9">
              <w:rPr>
                <w:rFonts w:cstheme="minorHAnsi"/>
                <w:color w:val="000000" w:themeColor="text1"/>
                <w:lang w:val="en-AU"/>
              </w:rPr>
              <w:t>Six Monthly Progress Report</w:t>
            </w:r>
          </w:p>
        </w:tc>
      </w:tr>
      <w:tr w:rsidR="000007B9" w:rsidRPr="00E027DF" w14:paraId="72D171F7" w14:textId="77777777" w:rsidTr="000E4D35">
        <w:trPr>
          <w:cantSplit/>
          <w:trHeight w:val="567"/>
        </w:trPr>
        <w:tc>
          <w:tcPr>
            <w:tcW w:w="5000" w:type="pct"/>
            <w:gridSpan w:val="9"/>
            <w:shd w:val="clear" w:color="auto" w:fill="D7DEE2" w:themeFill="text2" w:themeFillTint="33"/>
            <w:vAlign w:val="center"/>
          </w:tcPr>
          <w:p w14:paraId="406160F5" w14:textId="77777777" w:rsidR="000007B9" w:rsidRPr="00E027DF" w:rsidRDefault="000007B9" w:rsidP="000E4D35">
            <w:pPr>
              <w:spacing w:after="120"/>
              <w:contextualSpacing/>
              <w:rPr>
                <w:rFonts w:cstheme="minorHAnsi"/>
                <w:b/>
              </w:rPr>
            </w:pPr>
            <w:r w:rsidRPr="00E027DF">
              <w:rPr>
                <w:rFonts w:cstheme="minorHAnsi"/>
                <w:b/>
                <w:color w:val="000000"/>
              </w:rPr>
              <w:lastRenderedPageBreak/>
              <w:t>Human Resource Development</w:t>
            </w:r>
          </w:p>
        </w:tc>
      </w:tr>
      <w:tr w:rsidR="000007B9" w:rsidRPr="000007B9" w14:paraId="5D196E7C" w14:textId="77777777" w:rsidTr="000E4D35">
        <w:trPr>
          <w:cantSplit/>
          <w:trHeight w:val="567"/>
        </w:trPr>
        <w:tc>
          <w:tcPr>
            <w:tcW w:w="132" w:type="pct"/>
            <w:vAlign w:val="center"/>
          </w:tcPr>
          <w:p w14:paraId="680DFE33" w14:textId="77777777" w:rsidR="000007B9" w:rsidRPr="000007B9" w:rsidRDefault="000007B9" w:rsidP="000E4D35">
            <w:pPr>
              <w:spacing w:after="120"/>
              <w:contextualSpacing/>
              <w:jc w:val="center"/>
              <w:rPr>
                <w:rFonts w:cstheme="minorHAnsi"/>
                <w:color w:val="000000" w:themeColor="text1"/>
                <w:lang w:val="en-US"/>
              </w:rPr>
            </w:pPr>
            <w:r w:rsidRPr="000007B9">
              <w:rPr>
                <w:rFonts w:ascii="Calibri" w:hAnsi="Calibri" w:cs="Calibri"/>
                <w:color w:val="000000" w:themeColor="text1"/>
              </w:rPr>
              <w:t>1</w:t>
            </w:r>
          </w:p>
        </w:tc>
        <w:tc>
          <w:tcPr>
            <w:tcW w:w="1545" w:type="pct"/>
            <w:shd w:val="clear" w:color="auto" w:fill="auto"/>
            <w:vAlign w:val="center"/>
          </w:tcPr>
          <w:p w14:paraId="7BDDD2E6" w14:textId="77777777" w:rsidR="000007B9" w:rsidRPr="000007B9" w:rsidRDefault="000007B9" w:rsidP="000E4D35">
            <w:pPr>
              <w:spacing w:after="120"/>
              <w:contextualSpacing/>
              <w:rPr>
                <w:rFonts w:cstheme="minorHAnsi"/>
                <w:color w:val="000000" w:themeColor="text1"/>
                <w:lang w:val="en-AU"/>
              </w:rPr>
            </w:pPr>
            <w:r w:rsidRPr="000007B9">
              <w:rPr>
                <w:rFonts w:ascii="Calibri" w:hAnsi="Calibri" w:cs="Calibri"/>
                <w:color w:val="000000" w:themeColor="text1"/>
                <w:lang w:val="en-AU"/>
              </w:rPr>
              <w:t>% of Long Term Scholarship awardees successfully completing studies</w:t>
            </w:r>
            <w:r w:rsidRPr="000007B9">
              <w:rPr>
                <w:rStyle w:val="FootnoteReference"/>
                <w:rFonts w:ascii="Calibri" w:hAnsi="Calibri" w:cs="Calibri"/>
                <w:color w:val="000000" w:themeColor="text1"/>
                <w:lang w:val="en-AU"/>
              </w:rPr>
              <w:footnoteReference w:id="4"/>
            </w:r>
          </w:p>
        </w:tc>
        <w:tc>
          <w:tcPr>
            <w:tcW w:w="582" w:type="pct"/>
            <w:vAlign w:val="center"/>
          </w:tcPr>
          <w:p w14:paraId="07F0C2BC" w14:textId="77777777" w:rsidR="000007B9" w:rsidRPr="000007B9" w:rsidRDefault="000007B9" w:rsidP="000E4D35">
            <w:pPr>
              <w:spacing w:after="120"/>
              <w:contextualSpacing/>
              <w:rPr>
                <w:rFonts w:cstheme="minorHAnsi"/>
                <w:color w:val="000000" w:themeColor="text1"/>
              </w:rPr>
            </w:pPr>
            <w:r w:rsidRPr="000007B9">
              <w:rPr>
                <w:rFonts w:ascii="Calibri" w:hAnsi="Calibri" w:cs="Calibri"/>
                <w:color w:val="000000" w:themeColor="text1"/>
              </w:rPr>
              <w:t>N/A</w:t>
            </w:r>
          </w:p>
        </w:tc>
        <w:tc>
          <w:tcPr>
            <w:tcW w:w="286" w:type="pct"/>
            <w:vAlign w:val="center"/>
          </w:tcPr>
          <w:p w14:paraId="3A6B5F78" w14:textId="77777777" w:rsidR="000007B9" w:rsidRPr="000007B9" w:rsidRDefault="000007B9" w:rsidP="000E4D35">
            <w:pPr>
              <w:spacing w:after="120"/>
              <w:contextualSpacing/>
              <w:rPr>
                <w:rFonts w:cstheme="minorHAnsi"/>
                <w:color w:val="000000" w:themeColor="text1"/>
              </w:rPr>
            </w:pPr>
            <w:r w:rsidRPr="000007B9">
              <w:rPr>
                <w:rFonts w:ascii="Calibri" w:hAnsi="Calibri" w:cs="Calibri"/>
                <w:color w:val="000000" w:themeColor="text1"/>
              </w:rPr>
              <w:t>N/A</w:t>
            </w:r>
          </w:p>
        </w:tc>
        <w:tc>
          <w:tcPr>
            <w:tcW w:w="582" w:type="pct"/>
            <w:vAlign w:val="center"/>
          </w:tcPr>
          <w:p w14:paraId="443A48C6" w14:textId="77777777" w:rsidR="000007B9" w:rsidRPr="000007B9" w:rsidRDefault="000007B9" w:rsidP="000E4D35">
            <w:pPr>
              <w:rPr>
                <w:rFonts w:ascii="Calibri" w:hAnsi="Calibri" w:cs="Calibri"/>
                <w:color w:val="000000" w:themeColor="text1"/>
              </w:rPr>
            </w:pPr>
            <w:r w:rsidRPr="000007B9">
              <w:rPr>
                <w:rFonts w:ascii="Calibri" w:hAnsi="Calibri" w:cs="Calibri"/>
                <w:color w:val="000000" w:themeColor="text1"/>
              </w:rPr>
              <w:t>90% AAS</w:t>
            </w:r>
          </w:p>
          <w:p w14:paraId="0B06A707" w14:textId="77777777" w:rsidR="000007B9" w:rsidRPr="000007B9" w:rsidRDefault="000007B9" w:rsidP="000E4D35">
            <w:pPr>
              <w:spacing w:after="120"/>
              <w:contextualSpacing/>
              <w:rPr>
                <w:rFonts w:cstheme="minorHAnsi"/>
                <w:color w:val="000000" w:themeColor="text1"/>
              </w:rPr>
            </w:pPr>
            <w:r w:rsidRPr="000007B9">
              <w:rPr>
                <w:rFonts w:ascii="Calibri" w:hAnsi="Calibri" w:cs="Calibri"/>
                <w:color w:val="000000" w:themeColor="text1"/>
              </w:rPr>
              <w:t>95 % LANS</w:t>
            </w:r>
          </w:p>
        </w:tc>
        <w:tc>
          <w:tcPr>
            <w:tcW w:w="391" w:type="pct"/>
            <w:vAlign w:val="center"/>
          </w:tcPr>
          <w:p w14:paraId="19427BE1" w14:textId="77777777" w:rsidR="000007B9" w:rsidRPr="000007B9" w:rsidRDefault="000007B9" w:rsidP="000E4D35">
            <w:pPr>
              <w:rPr>
                <w:rFonts w:ascii="Calibri" w:hAnsi="Calibri" w:cs="Calibri"/>
                <w:color w:val="000000" w:themeColor="text1"/>
              </w:rPr>
            </w:pPr>
            <w:r w:rsidRPr="000007B9">
              <w:rPr>
                <w:rFonts w:ascii="Calibri" w:hAnsi="Calibri" w:cs="Calibri"/>
                <w:color w:val="000000" w:themeColor="text1"/>
              </w:rPr>
              <w:t>92% AAS</w:t>
            </w:r>
          </w:p>
          <w:p w14:paraId="26973364" w14:textId="77777777" w:rsidR="000007B9" w:rsidRPr="000007B9" w:rsidRDefault="000007B9" w:rsidP="000E4D35">
            <w:pPr>
              <w:spacing w:after="120"/>
              <w:contextualSpacing/>
              <w:rPr>
                <w:rFonts w:cstheme="minorHAnsi"/>
                <w:color w:val="000000" w:themeColor="text1"/>
              </w:rPr>
            </w:pPr>
            <w:r w:rsidRPr="000007B9">
              <w:rPr>
                <w:rFonts w:ascii="Calibri" w:hAnsi="Calibri" w:cs="Calibri"/>
                <w:color w:val="000000" w:themeColor="text1"/>
              </w:rPr>
              <w:t>99% LANS</w:t>
            </w:r>
          </w:p>
        </w:tc>
        <w:tc>
          <w:tcPr>
            <w:tcW w:w="582" w:type="pct"/>
            <w:vAlign w:val="center"/>
          </w:tcPr>
          <w:p w14:paraId="119B5634" w14:textId="77777777" w:rsidR="000007B9" w:rsidRPr="000007B9" w:rsidRDefault="000007B9" w:rsidP="000E4D35">
            <w:pPr>
              <w:rPr>
                <w:rFonts w:ascii="Calibri" w:hAnsi="Calibri" w:cs="Calibri"/>
                <w:color w:val="000000" w:themeColor="text1"/>
              </w:rPr>
            </w:pPr>
            <w:r w:rsidRPr="000007B9">
              <w:rPr>
                <w:rFonts w:ascii="Calibri" w:hAnsi="Calibri" w:cs="Calibri"/>
                <w:color w:val="000000" w:themeColor="text1"/>
              </w:rPr>
              <w:t>90% AAS</w:t>
            </w:r>
          </w:p>
          <w:p w14:paraId="0F46B853" w14:textId="77777777" w:rsidR="000007B9" w:rsidRPr="000007B9" w:rsidRDefault="000007B9" w:rsidP="000E4D35">
            <w:pPr>
              <w:spacing w:after="120"/>
              <w:contextualSpacing/>
              <w:rPr>
                <w:rFonts w:cstheme="minorHAnsi"/>
                <w:color w:val="000000" w:themeColor="text1"/>
              </w:rPr>
            </w:pPr>
            <w:r w:rsidRPr="000007B9">
              <w:rPr>
                <w:rFonts w:ascii="Calibri" w:hAnsi="Calibri" w:cs="Calibri"/>
                <w:color w:val="000000" w:themeColor="text1"/>
              </w:rPr>
              <w:t>95% LANS</w:t>
            </w:r>
          </w:p>
        </w:tc>
        <w:tc>
          <w:tcPr>
            <w:tcW w:w="286" w:type="pct"/>
            <w:vAlign w:val="center"/>
          </w:tcPr>
          <w:p w14:paraId="2719FACE" w14:textId="77777777" w:rsidR="000007B9" w:rsidRPr="000007B9" w:rsidRDefault="000007B9" w:rsidP="000E4D35">
            <w:pPr>
              <w:spacing w:after="120"/>
              <w:contextualSpacing/>
              <w:rPr>
                <w:rFonts w:cstheme="minorHAnsi"/>
                <w:color w:val="000000" w:themeColor="text1"/>
              </w:rPr>
            </w:pPr>
            <w:r w:rsidRPr="000007B9">
              <w:rPr>
                <w:rFonts w:ascii="Calibri" w:hAnsi="Calibri" w:cs="Calibri"/>
                <w:color w:val="000000" w:themeColor="text1"/>
              </w:rPr>
              <w:t> </w:t>
            </w:r>
          </w:p>
        </w:tc>
        <w:tc>
          <w:tcPr>
            <w:tcW w:w="614" w:type="pct"/>
            <w:vAlign w:val="center"/>
          </w:tcPr>
          <w:p w14:paraId="2AB78296" w14:textId="77777777" w:rsidR="000007B9" w:rsidRPr="000007B9" w:rsidRDefault="000007B9" w:rsidP="000E4D35">
            <w:pPr>
              <w:spacing w:after="120"/>
              <w:contextualSpacing/>
              <w:rPr>
                <w:rFonts w:cstheme="minorHAnsi"/>
                <w:color w:val="000000" w:themeColor="text1"/>
              </w:rPr>
            </w:pPr>
            <w:r w:rsidRPr="000007B9">
              <w:rPr>
                <w:rFonts w:ascii="Calibri" w:hAnsi="Calibri" w:cs="Calibri"/>
                <w:color w:val="000000" w:themeColor="text1"/>
              </w:rPr>
              <w:t>LAI</w:t>
            </w:r>
          </w:p>
        </w:tc>
      </w:tr>
      <w:tr w:rsidR="000007B9" w:rsidRPr="000007B9" w14:paraId="3CA4CBE3" w14:textId="77777777" w:rsidTr="000E4D35">
        <w:trPr>
          <w:cantSplit/>
          <w:trHeight w:val="567"/>
        </w:trPr>
        <w:tc>
          <w:tcPr>
            <w:tcW w:w="132" w:type="pct"/>
            <w:vAlign w:val="center"/>
          </w:tcPr>
          <w:p w14:paraId="33B07B84" w14:textId="77777777" w:rsidR="000007B9" w:rsidRPr="000007B9" w:rsidRDefault="000007B9" w:rsidP="000E4D35">
            <w:pPr>
              <w:spacing w:after="120"/>
              <w:contextualSpacing/>
              <w:jc w:val="center"/>
              <w:rPr>
                <w:rFonts w:cstheme="minorHAnsi"/>
                <w:color w:val="000000" w:themeColor="text1"/>
                <w:lang w:val="en-US"/>
              </w:rPr>
            </w:pPr>
            <w:r w:rsidRPr="000007B9">
              <w:rPr>
                <w:rFonts w:ascii="Calibri" w:hAnsi="Calibri" w:cs="Calibri"/>
                <w:color w:val="000000" w:themeColor="text1"/>
              </w:rPr>
              <w:t>2</w:t>
            </w:r>
          </w:p>
        </w:tc>
        <w:tc>
          <w:tcPr>
            <w:tcW w:w="1545" w:type="pct"/>
            <w:shd w:val="clear" w:color="auto" w:fill="auto"/>
            <w:vAlign w:val="center"/>
          </w:tcPr>
          <w:p w14:paraId="147F4315" w14:textId="77777777" w:rsidR="000007B9" w:rsidRPr="000007B9" w:rsidRDefault="000007B9" w:rsidP="000E4D35">
            <w:pPr>
              <w:spacing w:after="120"/>
              <w:contextualSpacing/>
              <w:rPr>
                <w:rFonts w:cstheme="minorHAnsi"/>
                <w:color w:val="000000" w:themeColor="text1"/>
                <w:lang w:val="en-AU"/>
              </w:rPr>
            </w:pPr>
            <w:r w:rsidRPr="000007B9">
              <w:rPr>
                <w:rFonts w:ascii="Calibri" w:hAnsi="Calibri" w:cs="Calibri"/>
                <w:color w:val="000000" w:themeColor="text1"/>
                <w:lang w:val="en-AU"/>
              </w:rPr>
              <w:t>% of alumni able to provide examples of relevant contributions to development in Laos at selected periods after receiving support (i.e. post Short Course, or Long Term Scholarships completion)</w:t>
            </w:r>
            <w:r w:rsidRPr="000007B9">
              <w:rPr>
                <w:rStyle w:val="FootnoteReference"/>
                <w:rFonts w:ascii="Calibri" w:hAnsi="Calibri" w:cs="Calibri"/>
                <w:color w:val="000000" w:themeColor="text1"/>
                <w:lang w:val="en-AU"/>
              </w:rPr>
              <w:footnoteReference w:id="5"/>
            </w:r>
            <w:r w:rsidRPr="000007B9">
              <w:rPr>
                <w:rFonts w:cstheme="minorHAnsi"/>
                <w:color w:val="000000" w:themeColor="text1"/>
                <w:lang w:val="en-AU"/>
              </w:rPr>
              <w:t xml:space="preserve"> </w:t>
            </w:r>
          </w:p>
        </w:tc>
        <w:tc>
          <w:tcPr>
            <w:tcW w:w="582" w:type="pct"/>
            <w:vAlign w:val="center"/>
          </w:tcPr>
          <w:p w14:paraId="713D4515" w14:textId="77777777" w:rsidR="000007B9" w:rsidRPr="000007B9" w:rsidRDefault="000007B9" w:rsidP="000E4D35">
            <w:pPr>
              <w:spacing w:after="120"/>
              <w:contextualSpacing/>
              <w:rPr>
                <w:rFonts w:cstheme="minorHAnsi"/>
                <w:color w:val="000000" w:themeColor="text1"/>
              </w:rPr>
            </w:pPr>
            <w:r w:rsidRPr="000007B9">
              <w:rPr>
                <w:rFonts w:ascii="Calibri" w:hAnsi="Calibri" w:cs="Calibri"/>
                <w:color w:val="000000" w:themeColor="text1"/>
              </w:rPr>
              <w:t>N/A</w:t>
            </w:r>
          </w:p>
        </w:tc>
        <w:tc>
          <w:tcPr>
            <w:tcW w:w="286" w:type="pct"/>
            <w:vAlign w:val="center"/>
          </w:tcPr>
          <w:p w14:paraId="56902945" w14:textId="77777777" w:rsidR="000007B9" w:rsidRPr="000007B9" w:rsidRDefault="000007B9" w:rsidP="000E4D35">
            <w:pPr>
              <w:spacing w:after="120"/>
              <w:contextualSpacing/>
              <w:rPr>
                <w:rFonts w:cstheme="minorHAnsi"/>
                <w:color w:val="000000" w:themeColor="text1"/>
              </w:rPr>
            </w:pPr>
            <w:r w:rsidRPr="000007B9">
              <w:rPr>
                <w:rFonts w:ascii="Calibri" w:hAnsi="Calibri" w:cs="Calibri"/>
                <w:color w:val="000000" w:themeColor="text1"/>
              </w:rPr>
              <w:t>N/A</w:t>
            </w:r>
          </w:p>
        </w:tc>
        <w:tc>
          <w:tcPr>
            <w:tcW w:w="582" w:type="pct"/>
            <w:vAlign w:val="center"/>
          </w:tcPr>
          <w:p w14:paraId="738C129B" w14:textId="77777777" w:rsidR="000007B9" w:rsidRPr="000007B9" w:rsidRDefault="000007B9" w:rsidP="000E4D35">
            <w:pPr>
              <w:rPr>
                <w:rFonts w:ascii="Calibri" w:hAnsi="Calibri" w:cs="Calibri"/>
                <w:color w:val="000000" w:themeColor="text1"/>
              </w:rPr>
            </w:pPr>
            <w:r w:rsidRPr="000007B9">
              <w:rPr>
                <w:rFonts w:ascii="Calibri" w:hAnsi="Calibri" w:cs="Calibri"/>
                <w:color w:val="000000" w:themeColor="text1"/>
              </w:rPr>
              <w:t>95% AAS </w:t>
            </w:r>
          </w:p>
          <w:p w14:paraId="5FB2BCA4" w14:textId="77777777" w:rsidR="000007B9" w:rsidRPr="000007B9" w:rsidRDefault="000007B9" w:rsidP="000E4D35">
            <w:pPr>
              <w:rPr>
                <w:rFonts w:ascii="Calibri" w:hAnsi="Calibri" w:cs="Calibri"/>
                <w:color w:val="000000" w:themeColor="text1"/>
              </w:rPr>
            </w:pPr>
            <w:r w:rsidRPr="000007B9">
              <w:rPr>
                <w:rFonts w:ascii="Calibri" w:hAnsi="Calibri" w:cs="Calibri"/>
                <w:color w:val="000000" w:themeColor="text1"/>
              </w:rPr>
              <w:t>75% LANS</w:t>
            </w:r>
          </w:p>
          <w:p w14:paraId="66FBD4FD" w14:textId="77777777" w:rsidR="000007B9" w:rsidRPr="000007B9" w:rsidRDefault="000007B9" w:rsidP="000E4D35">
            <w:pPr>
              <w:rPr>
                <w:rFonts w:ascii="Calibri" w:hAnsi="Calibri" w:cs="Calibri"/>
                <w:color w:val="000000" w:themeColor="text1"/>
              </w:rPr>
            </w:pPr>
            <w:r w:rsidRPr="000007B9">
              <w:rPr>
                <w:rFonts w:ascii="Calibri" w:hAnsi="Calibri" w:cs="Calibri"/>
                <w:color w:val="000000" w:themeColor="text1"/>
              </w:rPr>
              <w:t>90% Short Courses</w:t>
            </w:r>
          </w:p>
          <w:p w14:paraId="6626DFF3" w14:textId="77777777" w:rsidR="000007B9" w:rsidRPr="000007B9" w:rsidRDefault="000007B9" w:rsidP="000E4D35">
            <w:pPr>
              <w:rPr>
                <w:rFonts w:ascii="Calibri" w:hAnsi="Calibri" w:cs="Calibri"/>
                <w:color w:val="000000" w:themeColor="text1"/>
              </w:rPr>
            </w:pPr>
            <w:r w:rsidRPr="000007B9">
              <w:rPr>
                <w:rFonts w:ascii="Calibri" w:hAnsi="Calibri" w:cs="Calibri"/>
                <w:color w:val="000000" w:themeColor="text1"/>
              </w:rPr>
              <w:t> </w:t>
            </w:r>
          </w:p>
          <w:p w14:paraId="7C6A58A5" w14:textId="77777777" w:rsidR="000007B9" w:rsidRPr="000007B9" w:rsidRDefault="000007B9" w:rsidP="000E4D35">
            <w:pPr>
              <w:rPr>
                <w:rFonts w:ascii="Calibri" w:hAnsi="Calibri" w:cs="Calibri"/>
                <w:color w:val="000000" w:themeColor="text1"/>
              </w:rPr>
            </w:pPr>
            <w:r w:rsidRPr="000007B9">
              <w:rPr>
                <w:rFonts w:ascii="Calibri" w:hAnsi="Calibri" w:cs="Calibri"/>
                <w:color w:val="000000" w:themeColor="text1"/>
              </w:rPr>
              <w:t> </w:t>
            </w:r>
          </w:p>
          <w:p w14:paraId="16D7BD50" w14:textId="77777777" w:rsidR="000007B9" w:rsidRPr="000007B9" w:rsidRDefault="000007B9" w:rsidP="000E4D35">
            <w:pPr>
              <w:spacing w:after="120"/>
              <w:contextualSpacing/>
              <w:rPr>
                <w:rFonts w:cstheme="minorHAnsi"/>
                <w:color w:val="000000" w:themeColor="text1"/>
              </w:rPr>
            </w:pPr>
            <w:r w:rsidRPr="000007B9">
              <w:rPr>
                <w:rFonts w:ascii="Calibri" w:hAnsi="Calibri" w:cs="Calibri"/>
                <w:color w:val="000000" w:themeColor="text1"/>
              </w:rPr>
              <w:t> </w:t>
            </w:r>
          </w:p>
        </w:tc>
        <w:tc>
          <w:tcPr>
            <w:tcW w:w="391" w:type="pct"/>
            <w:vAlign w:val="center"/>
          </w:tcPr>
          <w:p w14:paraId="6D8653D7" w14:textId="77777777" w:rsidR="000007B9" w:rsidRPr="000007B9" w:rsidRDefault="000007B9" w:rsidP="000E4D35">
            <w:pPr>
              <w:rPr>
                <w:rFonts w:ascii="Calibri" w:hAnsi="Calibri" w:cs="Calibri"/>
                <w:color w:val="000000" w:themeColor="text1"/>
              </w:rPr>
            </w:pPr>
            <w:r w:rsidRPr="000007B9">
              <w:rPr>
                <w:rFonts w:ascii="Calibri" w:hAnsi="Calibri" w:cs="Calibri"/>
                <w:color w:val="000000" w:themeColor="text1"/>
              </w:rPr>
              <w:t>98% AAS</w:t>
            </w:r>
          </w:p>
          <w:p w14:paraId="554B5EA2" w14:textId="77777777" w:rsidR="000007B9" w:rsidRPr="000007B9" w:rsidRDefault="000007B9" w:rsidP="000E4D35">
            <w:pPr>
              <w:rPr>
                <w:rFonts w:ascii="Calibri" w:hAnsi="Calibri" w:cs="Calibri"/>
                <w:color w:val="000000" w:themeColor="text1"/>
              </w:rPr>
            </w:pPr>
            <w:r w:rsidRPr="000007B9">
              <w:rPr>
                <w:rFonts w:ascii="Calibri" w:hAnsi="Calibri" w:cs="Calibri"/>
                <w:color w:val="000000" w:themeColor="text1"/>
              </w:rPr>
              <w:t>76% LANS</w:t>
            </w:r>
          </w:p>
          <w:p w14:paraId="477A4CAF" w14:textId="77777777" w:rsidR="000007B9" w:rsidRPr="000007B9" w:rsidRDefault="000007B9" w:rsidP="000E4D35">
            <w:pPr>
              <w:rPr>
                <w:rFonts w:ascii="Calibri" w:hAnsi="Calibri" w:cs="Calibri"/>
                <w:color w:val="000000" w:themeColor="text1"/>
              </w:rPr>
            </w:pPr>
            <w:r w:rsidRPr="000007B9">
              <w:rPr>
                <w:rFonts w:ascii="Calibri" w:hAnsi="Calibri" w:cs="Calibri"/>
                <w:color w:val="000000" w:themeColor="text1"/>
              </w:rPr>
              <w:t>89% Short Courses</w:t>
            </w:r>
          </w:p>
        </w:tc>
        <w:tc>
          <w:tcPr>
            <w:tcW w:w="582" w:type="pct"/>
            <w:vAlign w:val="center"/>
          </w:tcPr>
          <w:p w14:paraId="39DCBBA1" w14:textId="77777777" w:rsidR="000007B9" w:rsidRPr="000007B9" w:rsidRDefault="000007B9" w:rsidP="000E4D35">
            <w:pPr>
              <w:rPr>
                <w:rFonts w:ascii="Calibri" w:hAnsi="Calibri" w:cs="Calibri"/>
                <w:color w:val="000000" w:themeColor="text1"/>
              </w:rPr>
            </w:pPr>
            <w:r w:rsidRPr="000007B9">
              <w:rPr>
                <w:rFonts w:ascii="Calibri" w:hAnsi="Calibri" w:cs="Calibri"/>
                <w:color w:val="000000" w:themeColor="text1"/>
              </w:rPr>
              <w:t>95% AAS </w:t>
            </w:r>
          </w:p>
          <w:p w14:paraId="6416D219" w14:textId="77777777" w:rsidR="000007B9" w:rsidRPr="000007B9" w:rsidRDefault="000007B9" w:rsidP="000E4D35">
            <w:pPr>
              <w:rPr>
                <w:rFonts w:ascii="Calibri" w:hAnsi="Calibri" w:cs="Calibri"/>
                <w:color w:val="000000" w:themeColor="text1"/>
              </w:rPr>
            </w:pPr>
            <w:r w:rsidRPr="000007B9">
              <w:rPr>
                <w:rFonts w:ascii="Calibri" w:hAnsi="Calibri" w:cs="Calibri"/>
                <w:color w:val="000000" w:themeColor="text1"/>
              </w:rPr>
              <w:t>75%LANS</w:t>
            </w:r>
          </w:p>
          <w:p w14:paraId="5A86F547" w14:textId="77777777" w:rsidR="000007B9" w:rsidRPr="000007B9" w:rsidRDefault="000007B9" w:rsidP="000E4D35">
            <w:pPr>
              <w:spacing w:after="120"/>
              <w:contextualSpacing/>
              <w:rPr>
                <w:rFonts w:cstheme="minorHAnsi"/>
                <w:color w:val="000000" w:themeColor="text1"/>
              </w:rPr>
            </w:pPr>
            <w:r w:rsidRPr="000007B9">
              <w:rPr>
                <w:rFonts w:ascii="Calibri" w:hAnsi="Calibri" w:cs="Calibri"/>
                <w:color w:val="000000" w:themeColor="text1"/>
              </w:rPr>
              <w:t>90% Short Courses</w:t>
            </w:r>
          </w:p>
        </w:tc>
        <w:tc>
          <w:tcPr>
            <w:tcW w:w="286" w:type="pct"/>
            <w:vAlign w:val="center"/>
          </w:tcPr>
          <w:p w14:paraId="067C89BA" w14:textId="77777777" w:rsidR="000007B9" w:rsidRPr="000007B9" w:rsidRDefault="000007B9" w:rsidP="000E4D35">
            <w:pPr>
              <w:spacing w:after="120"/>
              <w:contextualSpacing/>
              <w:rPr>
                <w:rFonts w:cstheme="minorHAnsi"/>
                <w:color w:val="000000" w:themeColor="text1"/>
              </w:rPr>
            </w:pPr>
            <w:r w:rsidRPr="000007B9">
              <w:rPr>
                <w:rFonts w:ascii="Calibri" w:hAnsi="Calibri" w:cs="Calibri"/>
                <w:color w:val="000000" w:themeColor="text1"/>
              </w:rPr>
              <w:t> </w:t>
            </w:r>
          </w:p>
        </w:tc>
        <w:tc>
          <w:tcPr>
            <w:tcW w:w="614" w:type="pct"/>
            <w:vAlign w:val="center"/>
          </w:tcPr>
          <w:p w14:paraId="72BC4B61" w14:textId="77777777" w:rsidR="000007B9" w:rsidRPr="000007B9" w:rsidRDefault="000007B9" w:rsidP="000E4D35">
            <w:pPr>
              <w:spacing w:after="120"/>
              <w:contextualSpacing/>
              <w:rPr>
                <w:rFonts w:cstheme="minorHAnsi"/>
                <w:color w:val="000000" w:themeColor="text1"/>
              </w:rPr>
            </w:pPr>
            <w:r w:rsidRPr="000007B9">
              <w:rPr>
                <w:rFonts w:ascii="Calibri" w:hAnsi="Calibri" w:cs="Calibri"/>
                <w:color w:val="000000" w:themeColor="text1"/>
              </w:rPr>
              <w:t>LAI</w:t>
            </w:r>
          </w:p>
        </w:tc>
      </w:tr>
      <w:tr w:rsidR="000007B9" w:rsidRPr="000007B9" w14:paraId="1CFE5A6F" w14:textId="77777777" w:rsidTr="000E4D35">
        <w:trPr>
          <w:cantSplit/>
          <w:trHeight w:val="567"/>
        </w:trPr>
        <w:tc>
          <w:tcPr>
            <w:tcW w:w="132" w:type="pct"/>
            <w:vAlign w:val="center"/>
          </w:tcPr>
          <w:p w14:paraId="192EA2DA" w14:textId="77777777" w:rsidR="000007B9" w:rsidRPr="000007B9" w:rsidRDefault="000007B9" w:rsidP="000E4D35">
            <w:pPr>
              <w:spacing w:after="120"/>
              <w:contextualSpacing/>
              <w:jc w:val="center"/>
              <w:rPr>
                <w:rFonts w:cstheme="minorHAnsi"/>
                <w:color w:val="000000" w:themeColor="text1"/>
                <w:lang w:val="en-US"/>
              </w:rPr>
            </w:pPr>
            <w:r w:rsidRPr="000007B9">
              <w:rPr>
                <w:rFonts w:ascii="Calibri" w:hAnsi="Calibri" w:cs="Calibri"/>
                <w:color w:val="000000" w:themeColor="text1"/>
              </w:rPr>
              <w:t>3</w:t>
            </w:r>
          </w:p>
        </w:tc>
        <w:tc>
          <w:tcPr>
            <w:tcW w:w="1545" w:type="pct"/>
            <w:shd w:val="clear" w:color="auto" w:fill="auto"/>
            <w:vAlign w:val="center"/>
          </w:tcPr>
          <w:p w14:paraId="2D2A4170" w14:textId="77777777" w:rsidR="000007B9" w:rsidRPr="000007B9" w:rsidRDefault="000007B9" w:rsidP="000E4D35">
            <w:pPr>
              <w:rPr>
                <w:rFonts w:cstheme="minorHAnsi"/>
                <w:color w:val="000000" w:themeColor="text1"/>
                <w:lang w:val="en-US"/>
              </w:rPr>
            </w:pPr>
            <w:r w:rsidRPr="000007B9">
              <w:rPr>
                <w:rFonts w:ascii="Calibri" w:hAnsi="Calibri" w:cs="Calibri"/>
                <w:color w:val="000000" w:themeColor="text1"/>
                <w:lang w:val="en-AU"/>
              </w:rPr>
              <w:t>% of female Long Term Scholarship awardees successfully completing studies</w:t>
            </w:r>
          </w:p>
        </w:tc>
        <w:tc>
          <w:tcPr>
            <w:tcW w:w="582" w:type="pct"/>
            <w:vAlign w:val="center"/>
          </w:tcPr>
          <w:p w14:paraId="491D4106" w14:textId="77777777" w:rsidR="000007B9" w:rsidRPr="000007B9" w:rsidRDefault="000007B9" w:rsidP="000E4D35">
            <w:pPr>
              <w:spacing w:after="120"/>
              <w:contextualSpacing/>
              <w:rPr>
                <w:rFonts w:cstheme="minorHAnsi"/>
                <w:color w:val="000000" w:themeColor="text1"/>
              </w:rPr>
            </w:pPr>
            <w:r w:rsidRPr="000007B9">
              <w:rPr>
                <w:rFonts w:ascii="Calibri" w:hAnsi="Calibri" w:cs="Calibri"/>
                <w:color w:val="000000" w:themeColor="text1"/>
              </w:rPr>
              <w:t>N/A</w:t>
            </w:r>
          </w:p>
        </w:tc>
        <w:tc>
          <w:tcPr>
            <w:tcW w:w="286" w:type="pct"/>
            <w:vAlign w:val="center"/>
          </w:tcPr>
          <w:p w14:paraId="02546D22" w14:textId="77777777" w:rsidR="000007B9" w:rsidRPr="000007B9" w:rsidRDefault="000007B9" w:rsidP="000E4D35">
            <w:pPr>
              <w:spacing w:after="120"/>
              <w:contextualSpacing/>
              <w:rPr>
                <w:rFonts w:cstheme="minorHAnsi"/>
                <w:color w:val="000000" w:themeColor="text1"/>
              </w:rPr>
            </w:pPr>
            <w:r w:rsidRPr="000007B9">
              <w:rPr>
                <w:rFonts w:ascii="Calibri" w:hAnsi="Calibri" w:cs="Calibri"/>
                <w:color w:val="000000" w:themeColor="text1"/>
              </w:rPr>
              <w:t>N/A</w:t>
            </w:r>
          </w:p>
        </w:tc>
        <w:tc>
          <w:tcPr>
            <w:tcW w:w="582" w:type="pct"/>
            <w:vAlign w:val="center"/>
          </w:tcPr>
          <w:p w14:paraId="7BEB5EAE" w14:textId="77777777" w:rsidR="000007B9" w:rsidRPr="000007B9" w:rsidRDefault="000007B9" w:rsidP="000E4D35">
            <w:pPr>
              <w:rPr>
                <w:rFonts w:ascii="Calibri" w:hAnsi="Calibri" w:cs="Calibri"/>
                <w:color w:val="000000" w:themeColor="text1"/>
              </w:rPr>
            </w:pPr>
            <w:r w:rsidRPr="000007B9">
              <w:rPr>
                <w:rFonts w:ascii="Calibri" w:hAnsi="Calibri" w:cs="Calibri"/>
                <w:color w:val="000000" w:themeColor="text1"/>
              </w:rPr>
              <w:t>95% AAS</w:t>
            </w:r>
          </w:p>
          <w:p w14:paraId="0F9C354C" w14:textId="77777777" w:rsidR="000007B9" w:rsidRPr="000007B9" w:rsidRDefault="000007B9" w:rsidP="000E4D35">
            <w:pPr>
              <w:spacing w:after="120"/>
              <w:contextualSpacing/>
              <w:rPr>
                <w:rFonts w:cstheme="minorHAnsi"/>
                <w:color w:val="000000" w:themeColor="text1"/>
              </w:rPr>
            </w:pPr>
            <w:r w:rsidRPr="000007B9">
              <w:rPr>
                <w:rFonts w:ascii="Calibri" w:hAnsi="Calibri" w:cs="Calibri"/>
                <w:color w:val="000000" w:themeColor="text1"/>
              </w:rPr>
              <w:t>95 % LANS</w:t>
            </w:r>
          </w:p>
        </w:tc>
        <w:tc>
          <w:tcPr>
            <w:tcW w:w="391" w:type="pct"/>
            <w:vAlign w:val="center"/>
          </w:tcPr>
          <w:p w14:paraId="76B5675E" w14:textId="77777777" w:rsidR="000007B9" w:rsidRPr="000007B9" w:rsidRDefault="000007B9" w:rsidP="000E4D35">
            <w:pPr>
              <w:spacing w:after="120"/>
              <w:contextualSpacing/>
              <w:rPr>
                <w:rFonts w:cstheme="minorHAnsi"/>
                <w:color w:val="000000" w:themeColor="text1"/>
              </w:rPr>
            </w:pPr>
            <w:r w:rsidRPr="000007B9">
              <w:rPr>
                <w:rFonts w:ascii="Calibri" w:hAnsi="Calibri" w:cs="Calibri"/>
                <w:color w:val="000000" w:themeColor="text1"/>
              </w:rPr>
              <w:t> </w:t>
            </w:r>
          </w:p>
        </w:tc>
        <w:tc>
          <w:tcPr>
            <w:tcW w:w="582" w:type="pct"/>
            <w:vAlign w:val="center"/>
          </w:tcPr>
          <w:p w14:paraId="284B7B49" w14:textId="77777777" w:rsidR="000007B9" w:rsidRPr="000007B9" w:rsidRDefault="000007B9" w:rsidP="000E4D35">
            <w:pPr>
              <w:rPr>
                <w:rFonts w:ascii="Calibri" w:hAnsi="Calibri" w:cs="Calibri"/>
                <w:color w:val="000000" w:themeColor="text1"/>
              </w:rPr>
            </w:pPr>
            <w:r w:rsidRPr="000007B9">
              <w:rPr>
                <w:rFonts w:ascii="Calibri" w:hAnsi="Calibri" w:cs="Calibri"/>
                <w:color w:val="000000" w:themeColor="text1"/>
              </w:rPr>
              <w:t>95% AAS</w:t>
            </w:r>
          </w:p>
          <w:p w14:paraId="72C555FD" w14:textId="77777777" w:rsidR="000007B9" w:rsidRPr="000007B9" w:rsidRDefault="000007B9" w:rsidP="000E4D35">
            <w:pPr>
              <w:spacing w:after="120"/>
              <w:contextualSpacing/>
              <w:rPr>
                <w:rFonts w:cstheme="minorHAnsi"/>
                <w:color w:val="000000" w:themeColor="text1"/>
              </w:rPr>
            </w:pPr>
            <w:r w:rsidRPr="000007B9">
              <w:rPr>
                <w:rFonts w:ascii="Calibri" w:hAnsi="Calibri" w:cs="Calibri"/>
                <w:color w:val="000000" w:themeColor="text1"/>
              </w:rPr>
              <w:t>95 % LANS</w:t>
            </w:r>
          </w:p>
        </w:tc>
        <w:tc>
          <w:tcPr>
            <w:tcW w:w="286" w:type="pct"/>
            <w:vAlign w:val="center"/>
          </w:tcPr>
          <w:p w14:paraId="1780CD23" w14:textId="77777777" w:rsidR="000007B9" w:rsidRPr="000007B9" w:rsidRDefault="000007B9" w:rsidP="000E4D35">
            <w:pPr>
              <w:spacing w:after="120"/>
              <w:contextualSpacing/>
              <w:rPr>
                <w:rFonts w:cstheme="minorHAnsi"/>
                <w:color w:val="000000" w:themeColor="text1"/>
              </w:rPr>
            </w:pPr>
            <w:r w:rsidRPr="000007B9">
              <w:rPr>
                <w:rFonts w:ascii="Calibri" w:hAnsi="Calibri" w:cs="Calibri"/>
                <w:color w:val="000000" w:themeColor="text1"/>
              </w:rPr>
              <w:t> </w:t>
            </w:r>
          </w:p>
        </w:tc>
        <w:tc>
          <w:tcPr>
            <w:tcW w:w="614" w:type="pct"/>
            <w:vAlign w:val="center"/>
          </w:tcPr>
          <w:p w14:paraId="434A85DD" w14:textId="77777777" w:rsidR="000007B9" w:rsidRPr="000007B9" w:rsidRDefault="000007B9" w:rsidP="000E4D35">
            <w:pPr>
              <w:spacing w:after="120"/>
              <w:contextualSpacing/>
              <w:rPr>
                <w:rFonts w:cstheme="minorHAnsi"/>
                <w:color w:val="000000" w:themeColor="text1"/>
              </w:rPr>
            </w:pPr>
            <w:r w:rsidRPr="000007B9">
              <w:rPr>
                <w:rFonts w:ascii="Calibri" w:hAnsi="Calibri" w:cs="Calibri"/>
                <w:color w:val="000000" w:themeColor="text1"/>
              </w:rPr>
              <w:t>LAI</w:t>
            </w:r>
          </w:p>
        </w:tc>
      </w:tr>
    </w:tbl>
    <w:p w14:paraId="64E0246C" w14:textId="77777777" w:rsidR="000007B9" w:rsidRPr="000007B9" w:rsidRDefault="000007B9" w:rsidP="000007B9">
      <w:pPr>
        <w:rPr>
          <w:color w:val="000000" w:themeColor="text1"/>
        </w:rPr>
      </w:pPr>
      <w:r w:rsidRPr="000007B9">
        <w:rPr>
          <w:color w:val="000000" w:themeColor="text1"/>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4466"/>
        <w:gridCol w:w="1682"/>
        <w:gridCol w:w="827"/>
        <w:gridCol w:w="1682"/>
        <w:gridCol w:w="1130"/>
        <w:gridCol w:w="1682"/>
        <w:gridCol w:w="827"/>
        <w:gridCol w:w="1775"/>
      </w:tblGrid>
      <w:tr w:rsidR="000007B9" w:rsidRPr="00B7274D" w14:paraId="4F820810" w14:textId="77777777" w:rsidTr="000E4D35">
        <w:trPr>
          <w:cantSplit/>
          <w:trHeight w:val="567"/>
        </w:trPr>
        <w:tc>
          <w:tcPr>
            <w:tcW w:w="5000" w:type="pct"/>
            <w:gridSpan w:val="9"/>
            <w:shd w:val="clear" w:color="auto" w:fill="D7DEE2" w:themeFill="text2" w:themeFillTint="33"/>
            <w:vAlign w:val="center"/>
          </w:tcPr>
          <w:p w14:paraId="05E223BF" w14:textId="77777777" w:rsidR="000007B9" w:rsidRPr="00E027DF" w:rsidRDefault="000007B9" w:rsidP="000E4D35">
            <w:pPr>
              <w:spacing w:after="120"/>
              <w:contextualSpacing/>
              <w:rPr>
                <w:rFonts w:cstheme="minorHAnsi"/>
                <w:b/>
                <w:lang w:val="en-US"/>
              </w:rPr>
            </w:pPr>
            <w:r w:rsidRPr="00E027DF">
              <w:rPr>
                <w:rFonts w:cstheme="minorHAnsi"/>
                <w:b/>
                <w:lang w:val="en-US"/>
              </w:rPr>
              <w:lastRenderedPageBreak/>
              <w:t xml:space="preserve">Trade and Private Sector Development </w:t>
            </w:r>
          </w:p>
        </w:tc>
      </w:tr>
      <w:tr w:rsidR="000007B9" w:rsidRPr="00B7274D" w14:paraId="3EE90F0C" w14:textId="77777777" w:rsidTr="000E4D35">
        <w:trPr>
          <w:cantSplit/>
          <w:trHeight w:val="567"/>
        </w:trPr>
        <w:tc>
          <w:tcPr>
            <w:tcW w:w="132" w:type="pct"/>
            <w:shd w:val="clear" w:color="auto" w:fill="auto"/>
            <w:vAlign w:val="center"/>
          </w:tcPr>
          <w:p w14:paraId="4A7C380F" w14:textId="77777777" w:rsidR="000007B9" w:rsidRPr="007F4FE8" w:rsidRDefault="000007B9" w:rsidP="000E4D35">
            <w:pPr>
              <w:spacing w:after="120"/>
              <w:contextualSpacing/>
              <w:jc w:val="center"/>
              <w:rPr>
                <w:rFonts w:cstheme="minorHAnsi"/>
                <w:color w:val="000000" w:themeColor="text1"/>
                <w:lang w:val="en-US"/>
              </w:rPr>
            </w:pPr>
            <w:r w:rsidRPr="007F4FE8">
              <w:rPr>
                <w:rFonts w:cstheme="minorHAnsi"/>
                <w:color w:val="000000" w:themeColor="text1"/>
                <w:lang w:val="en-US"/>
              </w:rPr>
              <w:t>1</w:t>
            </w:r>
          </w:p>
        </w:tc>
        <w:tc>
          <w:tcPr>
            <w:tcW w:w="1545" w:type="pct"/>
            <w:shd w:val="clear" w:color="auto" w:fill="auto"/>
            <w:vAlign w:val="center"/>
          </w:tcPr>
          <w:p w14:paraId="1A7F8705" w14:textId="77777777" w:rsidR="000007B9" w:rsidRPr="000007B9" w:rsidRDefault="000007B9" w:rsidP="000E4D35">
            <w:pPr>
              <w:spacing w:after="120"/>
              <w:contextualSpacing/>
              <w:rPr>
                <w:rFonts w:cstheme="minorHAnsi"/>
                <w:color w:val="000000" w:themeColor="text1"/>
                <w:lang w:val="en-US"/>
              </w:rPr>
            </w:pPr>
            <w:r w:rsidRPr="000007B9">
              <w:rPr>
                <w:rFonts w:cstheme="minorHAnsi"/>
                <w:color w:val="000000" w:themeColor="text1"/>
                <w:lang w:val="en-AU"/>
              </w:rPr>
              <w:t>Time to obtain Entreprise Registration certificate (ERC) from DERM (Days) disaggregated by women-led entreprises versus men-led entreprises</w:t>
            </w:r>
          </w:p>
        </w:tc>
        <w:tc>
          <w:tcPr>
            <w:tcW w:w="582" w:type="pct"/>
            <w:vAlign w:val="center"/>
          </w:tcPr>
          <w:p w14:paraId="296B900D" w14:textId="77777777" w:rsidR="000007B9" w:rsidRPr="000007B9" w:rsidRDefault="000007B9" w:rsidP="000E4D35">
            <w:pPr>
              <w:spacing w:after="120"/>
              <w:contextualSpacing/>
              <w:rPr>
                <w:rFonts w:cstheme="minorHAnsi"/>
                <w:color w:val="000000" w:themeColor="text1"/>
                <w:lang w:val="en-US"/>
              </w:rPr>
            </w:pPr>
            <w:r w:rsidRPr="000007B9">
              <w:rPr>
                <w:rFonts w:cstheme="minorHAnsi"/>
                <w:color w:val="000000" w:themeColor="text1"/>
                <w:lang w:val="en-US"/>
              </w:rPr>
              <w:t>NA</w:t>
            </w:r>
          </w:p>
        </w:tc>
        <w:tc>
          <w:tcPr>
            <w:tcW w:w="286" w:type="pct"/>
            <w:vAlign w:val="center"/>
          </w:tcPr>
          <w:p w14:paraId="1E821645" w14:textId="77777777" w:rsidR="000007B9" w:rsidRPr="000007B9" w:rsidRDefault="000007B9" w:rsidP="000E4D35">
            <w:pPr>
              <w:spacing w:after="120"/>
              <w:contextualSpacing/>
              <w:rPr>
                <w:rFonts w:cstheme="minorHAnsi"/>
                <w:color w:val="000000" w:themeColor="text1"/>
                <w:lang w:val="en-US"/>
              </w:rPr>
            </w:pPr>
          </w:p>
        </w:tc>
        <w:tc>
          <w:tcPr>
            <w:tcW w:w="582" w:type="pct"/>
            <w:vAlign w:val="center"/>
          </w:tcPr>
          <w:p w14:paraId="7F9D1CD8" w14:textId="77777777" w:rsidR="000007B9" w:rsidRPr="000007B9" w:rsidRDefault="000007B9" w:rsidP="000E4D35">
            <w:pPr>
              <w:spacing w:after="120"/>
              <w:contextualSpacing/>
              <w:rPr>
                <w:rFonts w:cstheme="minorHAnsi"/>
                <w:color w:val="000000" w:themeColor="text1"/>
                <w:lang w:val="en-US"/>
              </w:rPr>
            </w:pPr>
            <w:r w:rsidRPr="000007B9">
              <w:rPr>
                <w:rFonts w:cstheme="minorHAnsi"/>
                <w:color w:val="000000" w:themeColor="text1"/>
                <w:lang w:val="en-US"/>
              </w:rPr>
              <w:t>NA</w:t>
            </w:r>
          </w:p>
        </w:tc>
        <w:tc>
          <w:tcPr>
            <w:tcW w:w="391" w:type="pct"/>
            <w:vAlign w:val="center"/>
          </w:tcPr>
          <w:p w14:paraId="49688B1F" w14:textId="77777777" w:rsidR="000007B9" w:rsidRPr="000007B9" w:rsidRDefault="000007B9" w:rsidP="000E4D35">
            <w:pPr>
              <w:spacing w:after="120"/>
              <w:contextualSpacing/>
              <w:rPr>
                <w:rFonts w:cstheme="minorHAnsi"/>
                <w:color w:val="000000" w:themeColor="text1"/>
                <w:lang w:val="en-US"/>
              </w:rPr>
            </w:pPr>
            <w:r w:rsidRPr="000007B9">
              <w:rPr>
                <w:rFonts w:cstheme="minorHAnsi"/>
                <w:color w:val="000000" w:themeColor="text1"/>
                <w:lang w:val="en-US"/>
              </w:rPr>
              <w:t>14 days (baseline)</w:t>
            </w:r>
          </w:p>
          <w:p w14:paraId="4AADF974" w14:textId="77777777" w:rsidR="000007B9" w:rsidRPr="000007B9" w:rsidRDefault="000007B9" w:rsidP="000E4D35">
            <w:pPr>
              <w:spacing w:after="120"/>
              <w:contextualSpacing/>
              <w:rPr>
                <w:rFonts w:cstheme="minorHAnsi"/>
                <w:color w:val="000000" w:themeColor="text1"/>
                <w:lang w:val="en-US"/>
              </w:rPr>
            </w:pPr>
            <w:r w:rsidRPr="000007B9">
              <w:rPr>
                <w:rFonts w:cstheme="minorHAnsi"/>
                <w:color w:val="000000" w:themeColor="text1"/>
                <w:lang w:val="en-US"/>
              </w:rPr>
              <w:t>equal time for women and men</w:t>
            </w:r>
          </w:p>
        </w:tc>
        <w:tc>
          <w:tcPr>
            <w:tcW w:w="582" w:type="pct"/>
            <w:vAlign w:val="center"/>
          </w:tcPr>
          <w:p w14:paraId="0F47C523" w14:textId="77777777" w:rsidR="000007B9" w:rsidRPr="000007B9" w:rsidRDefault="000007B9" w:rsidP="000E4D35">
            <w:pPr>
              <w:spacing w:after="120"/>
              <w:contextualSpacing/>
              <w:rPr>
                <w:rFonts w:cstheme="minorHAnsi"/>
                <w:color w:val="000000" w:themeColor="text1"/>
                <w:lang w:val="en-US"/>
              </w:rPr>
            </w:pPr>
            <w:r w:rsidRPr="000007B9">
              <w:rPr>
                <w:rFonts w:cstheme="minorHAnsi"/>
                <w:color w:val="000000" w:themeColor="text1"/>
                <w:lang w:val="en-US"/>
              </w:rPr>
              <w:t>10 days</w:t>
            </w:r>
          </w:p>
        </w:tc>
        <w:tc>
          <w:tcPr>
            <w:tcW w:w="286" w:type="pct"/>
            <w:vAlign w:val="center"/>
          </w:tcPr>
          <w:p w14:paraId="4F629C11" w14:textId="77777777" w:rsidR="000007B9" w:rsidRPr="000007B9" w:rsidRDefault="000007B9" w:rsidP="000E4D35">
            <w:pPr>
              <w:spacing w:after="120"/>
              <w:contextualSpacing/>
              <w:rPr>
                <w:rFonts w:cstheme="minorHAnsi"/>
                <w:color w:val="000000" w:themeColor="text1"/>
                <w:lang w:val="en-US"/>
              </w:rPr>
            </w:pPr>
          </w:p>
        </w:tc>
        <w:tc>
          <w:tcPr>
            <w:tcW w:w="614" w:type="pct"/>
            <w:vAlign w:val="center"/>
          </w:tcPr>
          <w:p w14:paraId="150A158A" w14:textId="77777777" w:rsidR="000007B9" w:rsidRPr="000007B9" w:rsidRDefault="000007B9" w:rsidP="000E4D35">
            <w:pPr>
              <w:spacing w:after="120"/>
              <w:contextualSpacing/>
              <w:rPr>
                <w:rFonts w:cstheme="minorHAnsi"/>
                <w:color w:val="000000" w:themeColor="text1"/>
                <w:lang w:val="en-US"/>
              </w:rPr>
            </w:pPr>
            <w:r w:rsidRPr="000007B9">
              <w:rPr>
                <w:rFonts w:cstheme="minorHAnsi"/>
                <w:color w:val="000000" w:themeColor="text1"/>
                <w:lang w:val="en-US"/>
              </w:rPr>
              <w:t xml:space="preserve">Lao PDR Competitiveness and Trade project (LCTP) progress reports </w:t>
            </w:r>
          </w:p>
        </w:tc>
      </w:tr>
      <w:tr w:rsidR="000007B9" w:rsidRPr="00E027DF" w14:paraId="539B27D7" w14:textId="77777777" w:rsidTr="000E4D35">
        <w:trPr>
          <w:cantSplit/>
          <w:trHeight w:val="567"/>
        </w:trPr>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0DF316E1" w14:textId="77777777" w:rsidR="000007B9" w:rsidRPr="007F4FE8" w:rsidRDefault="000007B9" w:rsidP="000E4D35">
            <w:pPr>
              <w:spacing w:after="120"/>
              <w:contextualSpacing/>
              <w:jc w:val="center"/>
              <w:rPr>
                <w:rFonts w:cstheme="minorHAnsi"/>
                <w:color w:val="000000" w:themeColor="text1"/>
                <w:lang w:val="en-US"/>
              </w:rPr>
            </w:pPr>
            <w:r w:rsidRPr="007F4FE8">
              <w:rPr>
                <w:rFonts w:cstheme="minorHAnsi"/>
                <w:color w:val="000000" w:themeColor="text1"/>
                <w:lang w:val="en-US"/>
              </w:rPr>
              <w:t>2</w:t>
            </w:r>
          </w:p>
        </w:tc>
        <w:tc>
          <w:tcPr>
            <w:tcW w:w="1545" w:type="pct"/>
            <w:tcBorders>
              <w:top w:val="single" w:sz="4" w:space="0" w:color="auto"/>
              <w:left w:val="single" w:sz="4" w:space="0" w:color="auto"/>
              <w:bottom w:val="single" w:sz="4" w:space="0" w:color="auto"/>
              <w:right w:val="single" w:sz="4" w:space="0" w:color="auto"/>
            </w:tcBorders>
            <w:shd w:val="clear" w:color="auto" w:fill="auto"/>
            <w:vAlign w:val="center"/>
          </w:tcPr>
          <w:p w14:paraId="41C16F35" w14:textId="77777777" w:rsidR="000007B9" w:rsidRPr="000007B9" w:rsidRDefault="000007B9" w:rsidP="000E4D35">
            <w:pPr>
              <w:spacing w:after="120"/>
              <w:contextualSpacing/>
              <w:rPr>
                <w:rFonts w:cstheme="minorHAnsi"/>
                <w:color w:val="000000" w:themeColor="text1"/>
                <w:lang w:val="en-AU"/>
              </w:rPr>
            </w:pPr>
            <w:r w:rsidRPr="000007B9">
              <w:rPr>
                <w:rFonts w:cstheme="minorHAnsi"/>
                <w:color w:val="000000" w:themeColor="text1"/>
                <w:lang w:val="en-AU"/>
              </w:rPr>
              <w:t>Number of women-led enterprises who access matching grants from the Business Assistance Facility</w:t>
            </w:r>
          </w:p>
        </w:tc>
        <w:tc>
          <w:tcPr>
            <w:tcW w:w="582" w:type="pct"/>
            <w:tcBorders>
              <w:top w:val="single" w:sz="4" w:space="0" w:color="auto"/>
              <w:left w:val="single" w:sz="4" w:space="0" w:color="auto"/>
              <w:bottom w:val="single" w:sz="4" w:space="0" w:color="auto"/>
              <w:right w:val="single" w:sz="4" w:space="0" w:color="auto"/>
            </w:tcBorders>
            <w:vAlign w:val="center"/>
          </w:tcPr>
          <w:p w14:paraId="34D42A4F" w14:textId="77777777" w:rsidR="000007B9" w:rsidRPr="000007B9" w:rsidRDefault="000007B9" w:rsidP="000E4D35">
            <w:pPr>
              <w:spacing w:after="120"/>
              <w:contextualSpacing/>
              <w:rPr>
                <w:rFonts w:cstheme="minorHAnsi"/>
                <w:color w:val="000000" w:themeColor="text1"/>
                <w:lang w:val="en-US"/>
              </w:rPr>
            </w:pPr>
            <w:r w:rsidRPr="000007B9">
              <w:rPr>
                <w:rFonts w:cstheme="minorHAnsi"/>
                <w:color w:val="000000" w:themeColor="text1"/>
                <w:lang w:val="en-US"/>
              </w:rPr>
              <w:t>N/A</w:t>
            </w:r>
          </w:p>
        </w:tc>
        <w:tc>
          <w:tcPr>
            <w:tcW w:w="286" w:type="pct"/>
            <w:tcBorders>
              <w:top w:val="single" w:sz="4" w:space="0" w:color="auto"/>
              <w:left w:val="single" w:sz="4" w:space="0" w:color="auto"/>
              <w:bottom w:val="single" w:sz="4" w:space="0" w:color="auto"/>
              <w:right w:val="single" w:sz="4" w:space="0" w:color="auto"/>
            </w:tcBorders>
            <w:vAlign w:val="center"/>
          </w:tcPr>
          <w:p w14:paraId="4A67DB4F" w14:textId="77777777" w:rsidR="000007B9" w:rsidRPr="000007B9" w:rsidRDefault="000007B9" w:rsidP="000E4D35">
            <w:pPr>
              <w:spacing w:after="120"/>
              <w:contextualSpacing/>
              <w:rPr>
                <w:rFonts w:cstheme="minorHAnsi"/>
                <w:color w:val="000000" w:themeColor="text1"/>
                <w:lang w:val="en-US"/>
              </w:rPr>
            </w:pPr>
          </w:p>
        </w:tc>
        <w:tc>
          <w:tcPr>
            <w:tcW w:w="582" w:type="pct"/>
            <w:tcBorders>
              <w:top w:val="single" w:sz="4" w:space="0" w:color="auto"/>
              <w:left w:val="single" w:sz="4" w:space="0" w:color="auto"/>
              <w:bottom w:val="single" w:sz="4" w:space="0" w:color="auto"/>
              <w:right w:val="single" w:sz="4" w:space="0" w:color="auto"/>
            </w:tcBorders>
            <w:vAlign w:val="center"/>
          </w:tcPr>
          <w:p w14:paraId="0D5551E6" w14:textId="77777777" w:rsidR="000007B9" w:rsidRPr="000007B9" w:rsidRDefault="000007B9" w:rsidP="000E4D35">
            <w:pPr>
              <w:spacing w:after="120"/>
              <w:contextualSpacing/>
              <w:rPr>
                <w:rFonts w:cstheme="minorHAnsi"/>
                <w:color w:val="000000" w:themeColor="text1"/>
                <w:lang w:val="en-US"/>
              </w:rPr>
            </w:pPr>
            <w:r w:rsidRPr="000007B9">
              <w:rPr>
                <w:rFonts w:cstheme="minorHAnsi"/>
                <w:color w:val="000000" w:themeColor="text1"/>
                <w:lang w:val="en-US"/>
              </w:rPr>
              <w:t>N/A</w:t>
            </w:r>
          </w:p>
        </w:tc>
        <w:tc>
          <w:tcPr>
            <w:tcW w:w="391" w:type="pct"/>
            <w:tcBorders>
              <w:top w:val="single" w:sz="4" w:space="0" w:color="auto"/>
              <w:left w:val="single" w:sz="4" w:space="0" w:color="auto"/>
              <w:bottom w:val="single" w:sz="4" w:space="0" w:color="auto"/>
              <w:right w:val="single" w:sz="4" w:space="0" w:color="auto"/>
            </w:tcBorders>
            <w:vAlign w:val="center"/>
          </w:tcPr>
          <w:p w14:paraId="1D33A31F" w14:textId="77777777" w:rsidR="000007B9" w:rsidRPr="000007B9" w:rsidRDefault="000007B9" w:rsidP="000E4D35">
            <w:pPr>
              <w:spacing w:after="120"/>
              <w:contextualSpacing/>
              <w:rPr>
                <w:rFonts w:cstheme="minorHAnsi"/>
                <w:color w:val="000000" w:themeColor="text1"/>
                <w:lang w:val="en-US"/>
              </w:rPr>
            </w:pPr>
          </w:p>
        </w:tc>
        <w:tc>
          <w:tcPr>
            <w:tcW w:w="582" w:type="pct"/>
            <w:tcBorders>
              <w:top w:val="single" w:sz="4" w:space="0" w:color="auto"/>
              <w:left w:val="single" w:sz="4" w:space="0" w:color="auto"/>
              <w:bottom w:val="single" w:sz="4" w:space="0" w:color="auto"/>
              <w:right w:val="single" w:sz="4" w:space="0" w:color="auto"/>
            </w:tcBorders>
            <w:vAlign w:val="center"/>
          </w:tcPr>
          <w:p w14:paraId="6105A970" w14:textId="77777777" w:rsidR="000007B9" w:rsidRPr="000007B9" w:rsidRDefault="000007B9" w:rsidP="000E4D35">
            <w:pPr>
              <w:spacing w:after="120"/>
              <w:contextualSpacing/>
              <w:rPr>
                <w:rFonts w:cstheme="minorHAnsi"/>
                <w:color w:val="000000" w:themeColor="text1"/>
                <w:lang w:val="en-US"/>
              </w:rPr>
            </w:pPr>
            <w:r w:rsidRPr="000007B9">
              <w:rPr>
                <w:rFonts w:cstheme="minorHAnsi"/>
                <w:color w:val="000000" w:themeColor="text1"/>
                <w:lang w:val="en-US"/>
              </w:rPr>
              <w:t>40% of all grants</w:t>
            </w:r>
          </w:p>
        </w:tc>
        <w:tc>
          <w:tcPr>
            <w:tcW w:w="286" w:type="pct"/>
            <w:tcBorders>
              <w:top w:val="single" w:sz="4" w:space="0" w:color="auto"/>
              <w:left w:val="single" w:sz="4" w:space="0" w:color="auto"/>
              <w:bottom w:val="single" w:sz="4" w:space="0" w:color="auto"/>
              <w:right w:val="single" w:sz="4" w:space="0" w:color="auto"/>
            </w:tcBorders>
            <w:vAlign w:val="center"/>
          </w:tcPr>
          <w:p w14:paraId="31420AF9" w14:textId="77777777" w:rsidR="000007B9" w:rsidRPr="000007B9" w:rsidRDefault="000007B9" w:rsidP="000E4D35">
            <w:pPr>
              <w:spacing w:after="120"/>
              <w:contextualSpacing/>
              <w:rPr>
                <w:rFonts w:cstheme="minorHAnsi"/>
                <w:color w:val="000000" w:themeColor="text1"/>
                <w:lang w:val="en-US"/>
              </w:rPr>
            </w:pPr>
          </w:p>
        </w:tc>
        <w:tc>
          <w:tcPr>
            <w:tcW w:w="614" w:type="pct"/>
            <w:tcBorders>
              <w:top w:val="single" w:sz="4" w:space="0" w:color="auto"/>
              <w:left w:val="single" w:sz="4" w:space="0" w:color="auto"/>
              <w:bottom w:val="single" w:sz="4" w:space="0" w:color="auto"/>
              <w:right w:val="single" w:sz="4" w:space="0" w:color="auto"/>
            </w:tcBorders>
            <w:vAlign w:val="center"/>
          </w:tcPr>
          <w:p w14:paraId="4DABD1C4" w14:textId="77777777" w:rsidR="000007B9" w:rsidRPr="000007B9" w:rsidRDefault="000007B9" w:rsidP="000E4D35">
            <w:pPr>
              <w:spacing w:after="120"/>
              <w:contextualSpacing/>
              <w:rPr>
                <w:rFonts w:cstheme="minorHAnsi"/>
                <w:color w:val="000000" w:themeColor="text1"/>
                <w:lang w:val="en-US"/>
              </w:rPr>
            </w:pPr>
            <w:r w:rsidRPr="000007B9">
              <w:rPr>
                <w:rFonts w:cstheme="minorHAnsi"/>
                <w:color w:val="000000" w:themeColor="text1"/>
                <w:lang w:val="en-US"/>
              </w:rPr>
              <w:t>LCTP</w:t>
            </w:r>
          </w:p>
        </w:tc>
      </w:tr>
      <w:tr w:rsidR="000007B9" w:rsidRPr="00E027DF" w14:paraId="21B1DE12" w14:textId="77777777" w:rsidTr="000E4D35">
        <w:trPr>
          <w:cantSplit/>
          <w:trHeight w:val="567"/>
        </w:trPr>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02544291" w14:textId="77777777" w:rsidR="000007B9" w:rsidRPr="007F4FE8" w:rsidRDefault="000007B9" w:rsidP="000E4D35">
            <w:pPr>
              <w:spacing w:after="120"/>
              <w:contextualSpacing/>
              <w:jc w:val="center"/>
              <w:rPr>
                <w:rFonts w:cstheme="minorHAnsi"/>
                <w:color w:val="000000" w:themeColor="text1"/>
                <w:lang w:val="en-US"/>
              </w:rPr>
            </w:pPr>
            <w:r w:rsidRPr="007F4FE8">
              <w:rPr>
                <w:rFonts w:cstheme="minorHAnsi"/>
                <w:color w:val="000000" w:themeColor="text1"/>
                <w:lang w:val="en-US"/>
              </w:rPr>
              <w:t>3</w:t>
            </w:r>
          </w:p>
        </w:tc>
        <w:tc>
          <w:tcPr>
            <w:tcW w:w="1545" w:type="pct"/>
            <w:tcBorders>
              <w:top w:val="single" w:sz="4" w:space="0" w:color="auto"/>
              <w:left w:val="single" w:sz="4" w:space="0" w:color="auto"/>
              <w:bottom w:val="single" w:sz="4" w:space="0" w:color="auto"/>
              <w:right w:val="single" w:sz="4" w:space="0" w:color="auto"/>
            </w:tcBorders>
            <w:shd w:val="clear" w:color="auto" w:fill="auto"/>
            <w:vAlign w:val="center"/>
          </w:tcPr>
          <w:p w14:paraId="758A77E2" w14:textId="77777777" w:rsidR="000007B9" w:rsidRPr="000007B9" w:rsidRDefault="000007B9" w:rsidP="000E4D35">
            <w:pPr>
              <w:rPr>
                <w:rFonts w:cstheme="minorHAnsi"/>
                <w:color w:val="000000" w:themeColor="text1"/>
                <w:lang w:val="en-US"/>
              </w:rPr>
            </w:pPr>
            <w:r w:rsidRPr="000007B9">
              <w:rPr>
                <w:rFonts w:cstheme="minorHAnsi"/>
                <w:color w:val="000000" w:themeColor="text1"/>
                <w:lang w:val="en-US"/>
              </w:rPr>
              <w:t>Percentage of  supported village banks working sustainably, even after booking of loan loss provision</w:t>
            </w:r>
          </w:p>
        </w:tc>
        <w:tc>
          <w:tcPr>
            <w:tcW w:w="582" w:type="pct"/>
            <w:tcBorders>
              <w:top w:val="single" w:sz="4" w:space="0" w:color="auto"/>
              <w:left w:val="single" w:sz="4" w:space="0" w:color="auto"/>
              <w:bottom w:val="single" w:sz="4" w:space="0" w:color="auto"/>
              <w:right w:val="single" w:sz="4" w:space="0" w:color="auto"/>
            </w:tcBorders>
            <w:vAlign w:val="center"/>
          </w:tcPr>
          <w:p w14:paraId="5C2616AF" w14:textId="77777777" w:rsidR="000007B9" w:rsidRPr="000007B9" w:rsidRDefault="000007B9" w:rsidP="000E4D35">
            <w:pPr>
              <w:spacing w:after="120"/>
              <w:contextualSpacing/>
              <w:rPr>
                <w:rFonts w:cstheme="minorHAnsi"/>
                <w:color w:val="000000" w:themeColor="text1"/>
                <w:lang w:val="en-US"/>
              </w:rPr>
            </w:pPr>
            <w:r w:rsidRPr="000007B9">
              <w:rPr>
                <w:rFonts w:cstheme="minorHAnsi"/>
                <w:color w:val="000000" w:themeColor="text1"/>
                <w:lang w:val="en-US"/>
              </w:rPr>
              <w:t>N/A</w:t>
            </w:r>
          </w:p>
        </w:tc>
        <w:tc>
          <w:tcPr>
            <w:tcW w:w="286" w:type="pct"/>
            <w:tcBorders>
              <w:top w:val="single" w:sz="4" w:space="0" w:color="auto"/>
              <w:left w:val="single" w:sz="4" w:space="0" w:color="auto"/>
              <w:bottom w:val="single" w:sz="4" w:space="0" w:color="auto"/>
              <w:right w:val="single" w:sz="4" w:space="0" w:color="auto"/>
            </w:tcBorders>
            <w:vAlign w:val="center"/>
          </w:tcPr>
          <w:p w14:paraId="3C41129D" w14:textId="77777777" w:rsidR="000007B9" w:rsidRPr="000007B9" w:rsidRDefault="000007B9" w:rsidP="000E4D35">
            <w:pPr>
              <w:spacing w:after="120"/>
              <w:contextualSpacing/>
              <w:rPr>
                <w:rFonts w:cstheme="minorHAnsi"/>
                <w:color w:val="000000" w:themeColor="text1"/>
                <w:lang w:val="en-US"/>
              </w:rPr>
            </w:pPr>
          </w:p>
        </w:tc>
        <w:tc>
          <w:tcPr>
            <w:tcW w:w="582" w:type="pct"/>
            <w:tcBorders>
              <w:top w:val="single" w:sz="4" w:space="0" w:color="auto"/>
              <w:left w:val="single" w:sz="4" w:space="0" w:color="auto"/>
              <w:bottom w:val="single" w:sz="4" w:space="0" w:color="auto"/>
              <w:right w:val="single" w:sz="4" w:space="0" w:color="auto"/>
            </w:tcBorders>
            <w:vAlign w:val="center"/>
          </w:tcPr>
          <w:p w14:paraId="2773DF1D" w14:textId="77777777" w:rsidR="000007B9" w:rsidRPr="000007B9" w:rsidRDefault="000007B9" w:rsidP="000E4D35">
            <w:pPr>
              <w:spacing w:after="120"/>
              <w:contextualSpacing/>
              <w:rPr>
                <w:rFonts w:cstheme="minorHAnsi"/>
                <w:color w:val="000000" w:themeColor="text1"/>
                <w:lang w:val="en-US"/>
              </w:rPr>
            </w:pPr>
            <w:r w:rsidRPr="000007B9">
              <w:rPr>
                <w:rFonts w:cstheme="minorHAnsi"/>
                <w:color w:val="000000" w:themeColor="text1"/>
                <w:lang w:val="en-US"/>
              </w:rPr>
              <w:t>N/A</w:t>
            </w:r>
          </w:p>
        </w:tc>
        <w:tc>
          <w:tcPr>
            <w:tcW w:w="391" w:type="pct"/>
            <w:tcBorders>
              <w:top w:val="single" w:sz="4" w:space="0" w:color="auto"/>
              <w:left w:val="single" w:sz="4" w:space="0" w:color="auto"/>
              <w:bottom w:val="single" w:sz="4" w:space="0" w:color="auto"/>
              <w:right w:val="single" w:sz="4" w:space="0" w:color="auto"/>
            </w:tcBorders>
            <w:vAlign w:val="center"/>
          </w:tcPr>
          <w:p w14:paraId="2343195A" w14:textId="77777777" w:rsidR="000007B9" w:rsidRPr="000007B9" w:rsidRDefault="000007B9" w:rsidP="000E4D35">
            <w:pPr>
              <w:spacing w:after="120"/>
              <w:contextualSpacing/>
              <w:rPr>
                <w:rFonts w:cstheme="minorHAnsi"/>
                <w:color w:val="000000" w:themeColor="text1"/>
                <w:lang w:val="en-US"/>
              </w:rPr>
            </w:pPr>
            <w:r w:rsidRPr="000007B9">
              <w:rPr>
                <w:rFonts w:cstheme="minorHAnsi"/>
                <w:color w:val="000000" w:themeColor="text1"/>
                <w:lang w:val="en-US"/>
              </w:rPr>
              <w:t>96% (baseline value)</w:t>
            </w:r>
          </w:p>
        </w:tc>
        <w:tc>
          <w:tcPr>
            <w:tcW w:w="582" w:type="pct"/>
            <w:tcBorders>
              <w:top w:val="single" w:sz="4" w:space="0" w:color="auto"/>
              <w:left w:val="single" w:sz="4" w:space="0" w:color="auto"/>
              <w:bottom w:val="single" w:sz="4" w:space="0" w:color="auto"/>
              <w:right w:val="single" w:sz="4" w:space="0" w:color="auto"/>
            </w:tcBorders>
            <w:vAlign w:val="center"/>
          </w:tcPr>
          <w:p w14:paraId="603065EA" w14:textId="77777777" w:rsidR="000007B9" w:rsidRPr="000007B9" w:rsidRDefault="000007B9" w:rsidP="000E4D35">
            <w:pPr>
              <w:spacing w:after="120"/>
              <w:contextualSpacing/>
              <w:rPr>
                <w:rFonts w:cstheme="minorHAnsi"/>
                <w:color w:val="000000" w:themeColor="text1"/>
                <w:lang w:val="en-US"/>
              </w:rPr>
            </w:pPr>
            <w:r w:rsidRPr="000007B9">
              <w:rPr>
                <w:rFonts w:cstheme="minorHAnsi"/>
                <w:color w:val="000000" w:themeColor="text1"/>
                <w:lang w:val="en-US"/>
              </w:rPr>
              <w:t>97% (final target 98%)</w:t>
            </w:r>
          </w:p>
        </w:tc>
        <w:tc>
          <w:tcPr>
            <w:tcW w:w="286" w:type="pct"/>
            <w:tcBorders>
              <w:top w:val="single" w:sz="4" w:space="0" w:color="auto"/>
              <w:left w:val="single" w:sz="4" w:space="0" w:color="auto"/>
              <w:bottom w:val="single" w:sz="4" w:space="0" w:color="auto"/>
              <w:right w:val="single" w:sz="4" w:space="0" w:color="auto"/>
            </w:tcBorders>
            <w:vAlign w:val="center"/>
          </w:tcPr>
          <w:p w14:paraId="3BC2A224" w14:textId="77777777" w:rsidR="000007B9" w:rsidRPr="000007B9" w:rsidRDefault="000007B9" w:rsidP="000E4D35">
            <w:pPr>
              <w:spacing w:after="120"/>
              <w:contextualSpacing/>
              <w:rPr>
                <w:rFonts w:cstheme="minorHAnsi"/>
                <w:color w:val="000000" w:themeColor="text1"/>
                <w:lang w:val="en-US"/>
              </w:rPr>
            </w:pPr>
          </w:p>
        </w:tc>
        <w:tc>
          <w:tcPr>
            <w:tcW w:w="614" w:type="pct"/>
            <w:tcBorders>
              <w:top w:val="single" w:sz="4" w:space="0" w:color="auto"/>
              <w:left w:val="single" w:sz="4" w:space="0" w:color="auto"/>
              <w:bottom w:val="single" w:sz="4" w:space="0" w:color="auto"/>
              <w:right w:val="single" w:sz="4" w:space="0" w:color="auto"/>
            </w:tcBorders>
            <w:vAlign w:val="center"/>
          </w:tcPr>
          <w:p w14:paraId="34D31AA4" w14:textId="77777777" w:rsidR="000007B9" w:rsidRPr="000007B9" w:rsidRDefault="000007B9" w:rsidP="000E4D35">
            <w:pPr>
              <w:spacing w:after="120"/>
              <w:contextualSpacing/>
              <w:rPr>
                <w:rFonts w:cstheme="minorHAnsi"/>
                <w:color w:val="000000" w:themeColor="text1"/>
                <w:lang w:val="en-US"/>
              </w:rPr>
            </w:pPr>
            <w:r w:rsidRPr="000007B9">
              <w:rPr>
                <w:rFonts w:cstheme="minorHAnsi"/>
                <w:color w:val="000000" w:themeColor="text1"/>
                <w:lang w:val="en-US"/>
              </w:rPr>
              <w:t>AFP V</w:t>
            </w:r>
          </w:p>
        </w:tc>
      </w:tr>
      <w:tr w:rsidR="000007B9" w:rsidRPr="00E027DF" w14:paraId="66A0271A" w14:textId="77777777" w:rsidTr="000E4D35">
        <w:trPr>
          <w:cantSplit/>
          <w:trHeight w:val="567"/>
        </w:trPr>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14:paraId="3FA11FDF" w14:textId="77777777" w:rsidR="000007B9" w:rsidRPr="007F4FE8" w:rsidRDefault="000007B9" w:rsidP="000E4D35">
            <w:pPr>
              <w:spacing w:after="120"/>
              <w:contextualSpacing/>
              <w:jc w:val="center"/>
              <w:rPr>
                <w:rFonts w:cstheme="minorHAnsi"/>
                <w:color w:val="000000" w:themeColor="text1"/>
                <w:lang w:val="en-US"/>
              </w:rPr>
            </w:pPr>
            <w:r w:rsidRPr="007F4FE8">
              <w:rPr>
                <w:rFonts w:cstheme="minorHAnsi"/>
                <w:color w:val="000000" w:themeColor="text1"/>
                <w:lang w:val="en-US"/>
              </w:rPr>
              <w:t>4</w:t>
            </w:r>
          </w:p>
        </w:tc>
        <w:tc>
          <w:tcPr>
            <w:tcW w:w="1545" w:type="pct"/>
            <w:tcBorders>
              <w:top w:val="single" w:sz="4" w:space="0" w:color="auto"/>
              <w:left w:val="single" w:sz="4" w:space="0" w:color="auto"/>
              <w:bottom w:val="single" w:sz="4" w:space="0" w:color="auto"/>
              <w:right w:val="single" w:sz="4" w:space="0" w:color="auto"/>
            </w:tcBorders>
            <w:shd w:val="clear" w:color="auto" w:fill="auto"/>
            <w:vAlign w:val="center"/>
          </w:tcPr>
          <w:p w14:paraId="235084DB" w14:textId="77777777" w:rsidR="000007B9" w:rsidRPr="000007B9" w:rsidRDefault="000007B9" w:rsidP="000E4D35">
            <w:pPr>
              <w:rPr>
                <w:rFonts w:cstheme="minorHAnsi"/>
                <w:color w:val="000000" w:themeColor="text1"/>
                <w:lang w:val="en-US"/>
              </w:rPr>
            </w:pPr>
            <w:r w:rsidRPr="000007B9">
              <w:rPr>
                <w:rFonts w:cstheme="minorHAnsi"/>
                <w:color w:val="000000" w:themeColor="text1"/>
                <w:lang w:val="en-US"/>
              </w:rPr>
              <w:t>Number of women holding single accounts in village banks (AFP V)</w:t>
            </w:r>
          </w:p>
          <w:p w14:paraId="63058D0A" w14:textId="77777777" w:rsidR="000007B9" w:rsidRPr="000007B9" w:rsidRDefault="000007B9" w:rsidP="000E4D35">
            <w:pPr>
              <w:pStyle w:val="ListParagraph"/>
              <w:rPr>
                <w:rFonts w:cstheme="minorHAnsi"/>
                <w:color w:val="000000" w:themeColor="text1"/>
                <w:lang w:val="en-US"/>
              </w:rPr>
            </w:pPr>
          </w:p>
        </w:tc>
        <w:tc>
          <w:tcPr>
            <w:tcW w:w="582" w:type="pct"/>
            <w:tcBorders>
              <w:top w:val="single" w:sz="4" w:space="0" w:color="auto"/>
              <w:left w:val="single" w:sz="4" w:space="0" w:color="auto"/>
              <w:bottom w:val="single" w:sz="4" w:space="0" w:color="auto"/>
              <w:right w:val="single" w:sz="4" w:space="0" w:color="auto"/>
            </w:tcBorders>
            <w:vAlign w:val="center"/>
          </w:tcPr>
          <w:p w14:paraId="67009D69" w14:textId="77777777" w:rsidR="000007B9" w:rsidRPr="000007B9" w:rsidRDefault="000007B9" w:rsidP="000E4D35">
            <w:pPr>
              <w:spacing w:after="120"/>
              <w:contextualSpacing/>
              <w:rPr>
                <w:rFonts w:cstheme="minorHAnsi"/>
                <w:color w:val="000000" w:themeColor="text1"/>
                <w:lang w:val="en-US"/>
              </w:rPr>
            </w:pPr>
            <w:r w:rsidRPr="000007B9">
              <w:rPr>
                <w:rFonts w:cstheme="minorHAnsi"/>
                <w:color w:val="000000" w:themeColor="text1"/>
                <w:lang w:val="en-US"/>
              </w:rPr>
              <w:t>N/A</w:t>
            </w:r>
          </w:p>
        </w:tc>
        <w:tc>
          <w:tcPr>
            <w:tcW w:w="286" w:type="pct"/>
            <w:tcBorders>
              <w:top w:val="single" w:sz="4" w:space="0" w:color="auto"/>
              <w:left w:val="single" w:sz="4" w:space="0" w:color="auto"/>
              <w:bottom w:val="single" w:sz="4" w:space="0" w:color="auto"/>
              <w:right w:val="single" w:sz="4" w:space="0" w:color="auto"/>
            </w:tcBorders>
            <w:vAlign w:val="center"/>
          </w:tcPr>
          <w:p w14:paraId="1DA3AAC0" w14:textId="77777777" w:rsidR="000007B9" w:rsidRPr="000007B9" w:rsidRDefault="000007B9" w:rsidP="000E4D35">
            <w:pPr>
              <w:spacing w:after="120"/>
              <w:contextualSpacing/>
              <w:rPr>
                <w:rFonts w:cstheme="minorHAnsi"/>
                <w:color w:val="000000" w:themeColor="text1"/>
                <w:lang w:val="en-US"/>
              </w:rPr>
            </w:pPr>
          </w:p>
        </w:tc>
        <w:tc>
          <w:tcPr>
            <w:tcW w:w="582" w:type="pct"/>
            <w:tcBorders>
              <w:top w:val="single" w:sz="4" w:space="0" w:color="auto"/>
              <w:left w:val="single" w:sz="4" w:space="0" w:color="auto"/>
              <w:bottom w:val="single" w:sz="4" w:space="0" w:color="auto"/>
              <w:right w:val="single" w:sz="4" w:space="0" w:color="auto"/>
            </w:tcBorders>
            <w:vAlign w:val="center"/>
          </w:tcPr>
          <w:p w14:paraId="2ADA46EB" w14:textId="77777777" w:rsidR="000007B9" w:rsidRPr="000007B9" w:rsidRDefault="000007B9" w:rsidP="000E4D35">
            <w:pPr>
              <w:spacing w:after="120"/>
              <w:contextualSpacing/>
              <w:rPr>
                <w:rFonts w:cstheme="minorHAnsi"/>
                <w:color w:val="000000" w:themeColor="text1"/>
                <w:lang w:val="en-US"/>
              </w:rPr>
            </w:pPr>
            <w:r w:rsidRPr="000007B9">
              <w:rPr>
                <w:rFonts w:cstheme="minorHAnsi"/>
                <w:color w:val="000000" w:themeColor="text1"/>
                <w:lang w:val="en-US"/>
              </w:rPr>
              <w:t>N/A</w:t>
            </w:r>
          </w:p>
        </w:tc>
        <w:tc>
          <w:tcPr>
            <w:tcW w:w="391" w:type="pct"/>
            <w:tcBorders>
              <w:top w:val="single" w:sz="4" w:space="0" w:color="auto"/>
              <w:left w:val="single" w:sz="4" w:space="0" w:color="auto"/>
              <w:bottom w:val="single" w:sz="4" w:space="0" w:color="auto"/>
              <w:right w:val="single" w:sz="4" w:space="0" w:color="auto"/>
            </w:tcBorders>
            <w:vAlign w:val="center"/>
          </w:tcPr>
          <w:p w14:paraId="12DF5D92" w14:textId="77777777" w:rsidR="000007B9" w:rsidRPr="000007B9" w:rsidRDefault="000007B9" w:rsidP="000E4D35">
            <w:pPr>
              <w:spacing w:after="120"/>
              <w:contextualSpacing/>
              <w:rPr>
                <w:rFonts w:cstheme="minorHAnsi"/>
                <w:color w:val="000000" w:themeColor="text1"/>
                <w:lang w:val="en-US"/>
              </w:rPr>
            </w:pPr>
            <w:r w:rsidRPr="000007B9">
              <w:rPr>
                <w:rFonts w:cstheme="minorHAnsi"/>
                <w:color w:val="000000" w:themeColor="text1"/>
                <w:lang w:val="en-US"/>
              </w:rPr>
              <w:t>24,229 (baseline value)</w:t>
            </w:r>
          </w:p>
        </w:tc>
        <w:tc>
          <w:tcPr>
            <w:tcW w:w="582" w:type="pct"/>
            <w:tcBorders>
              <w:top w:val="single" w:sz="4" w:space="0" w:color="auto"/>
              <w:left w:val="single" w:sz="4" w:space="0" w:color="auto"/>
              <w:bottom w:val="single" w:sz="4" w:space="0" w:color="auto"/>
              <w:right w:val="single" w:sz="4" w:space="0" w:color="auto"/>
            </w:tcBorders>
            <w:vAlign w:val="center"/>
          </w:tcPr>
          <w:p w14:paraId="1E15665C" w14:textId="77777777" w:rsidR="000007B9" w:rsidRPr="000007B9" w:rsidRDefault="000007B9" w:rsidP="000E4D35">
            <w:pPr>
              <w:spacing w:after="120"/>
              <w:contextualSpacing/>
              <w:rPr>
                <w:rFonts w:cstheme="minorHAnsi"/>
                <w:color w:val="000000" w:themeColor="text1"/>
                <w:lang w:val="en-US"/>
              </w:rPr>
            </w:pPr>
            <w:r w:rsidRPr="000007B9">
              <w:rPr>
                <w:rFonts w:cstheme="minorHAnsi"/>
                <w:color w:val="000000" w:themeColor="text1"/>
                <w:lang w:val="en-US"/>
              </w:rPr>
              <w:t xml:space="preserve">27,863 (final target 36,344) </w:t>
            </w:r>
          </w:p>
        </w:tc>
        <w:tc>
          <w:tcPr>
            <w:tcW w:w="286" w:type="pct"/>
            <w:tcBorders>
              <w:top w:val="single" w:sz="4" w:space="0" w:color="auto"/>
              <w:left w:val="single" w:sz="4" w:space="0" w:color="auto"/>
              <w:bottom w:val="single" w:sz="4" w:space="0" w:color="auto"/>
              <w:right w:val="single" w:sz="4" w:space="0" w:color="auto"/>
            </w:tcBorders>
            <w:vAlign w:val="center"/>
          </w:tcPr>
          <w:p w14:paraId="3604935E" w14:textId="77777777" w:rsidR="000007B9" w:rsidRPr="000007B9" w:rsidRDefault="000007B9" w:rsidP="000E4D35">
            <w:pPr>
              <w:spacing w:after="120"/>
              <w:contextualSpacing/>
              <w:rPr>
                <w:rFonts w:cstheme="minorHAnsi"/>
                <w:color w:val="000000" w:themeColor="text1"/>
                <w:lang w:val="en-US"/>
              </w:rPr>
            </w:pPr>
          </w:p>
        </w:tc>
        <w:tc>
          <w:tcPr>
            <w:tcW w:w="614" w:type="pct"/>
            <w:tcBorders>
              <w:top w:val="single" w:sz="4" w:space="0" w:color="auto"/>
              <w:left w:val="single" w:sz="4" w:space="0" w:color="auto"/>
              <w:bottom w:val="single" w:sz="4" w:space="0" w:color="auto"/>
              <w:right w:val="single" w:sz="4" w:space="0" w:color="auto"/>
            </w:tcBorders>
            <w:vAlign w:val="center"/>
          </w:tcPr>
          <w:p w14:paraId="68963C9C" w14:textId="77777777" w:rsidR="000007B9" w:rsidRPr="000007B9" w:rsidRDefault="000007B9" w:rsidP="000E4D35">
            <w:pPr>
              <w:spacing w:after="120"/>
              <w:contextualSpacing/>
              <w:rPr>
                <w:rFonts w:cstheme="minorHAnsi"/>
                <w:color w:val="000000" w:themeColor="text1"/>
                <w:lang w:val="en-US"/>
              </w:rPr>
            </w:pPr>
            <w:r w:rsidRPr="000007B9">
              <w:rPr>
                <w:rFonts w:cstheme="minorHAnsi"/>
                <w:color w:val="000000" w:themeColor="text1"/>
                <w:lang w:val="en-US"/>
              </w:rPr>
              <w:t>AFP V</w:t>
            </w:r>
          </w:p>
        </w:tc>
      </w:tr>
    </w:tbl>
    <w:p w14:paraId="29090902" w14:textId="77777777" w:rsidR="000007B9" w:rsidRPr="0093454F" w:rsidRDefault="000007B9" w:rsidP="000007B9">
      <w:pPr>
        <w:rPr>
          <w:sz w:val="32"/>
          <w:vertAlign w:val="superscript"/>
          <w:lang w:val="en-US"/>
        </w:rPr>
      </w:pPr>
    </w:p>
    <w:p w14:paraId="5AAB4F2B" w14:textId="77777777" w:rsidR="00A92CF2" w:rsidRDefault="00A92CF2" w:rsidP="005B5769">
      <w:pPr>
        <w:pStyle w:val="ListBullet"/>
        <w:tabs>
          <w:tab w:val="clear" w:pos="284"/>
        </w:tabs>
      </w:pPr>
    </w:p>
    <w:sectPr w:rsidR="00A92CF2" w:rsidSect="000007B9">
      <w:pgSz w:w="16838" w:h="11906" w:orient="landscape" w:code="9"/>
      <w:pgMar w:top="1134" w:right="1525" w:bottom="1134" w:left="851" w:header="1418" w:footer="19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CB80B" w14:textId="77777777" w:rsidR="00862984" w:rsidRDefault="00862984" w:rsidP="00EF4574">
      <w:pPr>
        <w:spacing w:before="0" w:after="0" w:line="240" w:lineRule="auto"/>
      </w:pPr>
      <w:r>
        <w:separator/>
      </w:r>
    </w:p>
  </w:endnote>
  <w:endnote w:type="continuationSeparator" w:id="0">
    <w:p w14:paraId="757F9D9E" w14:textId="77777777" w:rsidR="00862984" w:rsidRDefault="00862984" w:rsidP="00EF4574">
      <w:pPr>
        <w:spacing w:before="0" w:after="0" w:line="240" w:lineRule="auto"/>
      </w:pPr>
      <w:r>
        <w:continuationSeparator/>
      </w:r>
    </w:p>
  </w:endnote>
  <w:endnote w:type="continuationNotice" w:id="1">
    <w:p w14:paraId="053CF851" w14:textId="77777777" w:rsidR="00862984" w:rsidRDefault="008629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AC3F4" w14:textId="77777777" w:rsidR="00DE1F8D" w:rsidRDefault="00DE1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7F0B6" w14:textId="77777777" w:rsidR="00862984" w:rsidRDefault="00862984" w:rsidP="004839E3">
    <w:pPr>
      <w:pStyle w:val="Footer"/>
      <w:rPr>
        <w:lang w:val="en-AU"/>
      </w:rPr>
    </w:pPr>
  </w:p>
  <w:p w14:paraId="24EA4DDC" w14:textId="77777777" w:rsidR="00862984" w:rsidRDefault="00862984" w:rsidP="004839E3">
    <w:pPr>
      <w:pStyle w:val="Footer"/>
    </w:pPr>
  </w:p>
  <w:p w14:paraId="4BB9BF4C" w14:textId="77777777" w:rsidR="00862984" w:rsidRPr="00CD0E4B" w:rsidRDefault="00862984" w:rsidP="004839E3">
    <w:pPr>
      <w:pStyle w:val="Footer"/>
    </w:pPr>
    <w:r w:rsidRPr="00CD0E4B">
      <w:rPr>
        <w:noProof/>
        <w:lang w:val="en-AU" w:eastAsia="en-AU"/>
      </w:rPr>
      <w:drawing>
        <wp:inline distT="0" distB="0" distL="0" distR="0" wp14:anchorId="6F979E0C" wp14:editId="26972DB1">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2FECA04D" w14:textId="77777777" w:rsidR="00862984" w:rsidRPr="00CD0E4B" w:rsidRDefault="00862984" w:rsidP="004839E3">
    <w:pPr>
      <w:pStyle w:val="Footer"/>
      <w:rPr>
        <w:color w:val="ACD08C" w:themeColor="accent3"/>
      </w:rPr>
    </w:pPr>
    <w:r w:rsidRPr="00CD0E4B">
      <w:rPr>
        <w:color w:val="ACD08C" w:themeColor="accent3"/>
      </w:rPr>
      <w:t>DFAT.GOV.AU</w:t>
    </w:r>
  </w:p>
  <w:p w14:paraId="23CE6DB6" w14:textId="77777777" w:rsidR="00862984" w:rsidRPr="004839E3" w:rsidRDefault="00862984"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E6DA8" w14:textId="77777777" w:rsidR="00862984" w:rsidRPr="004839E3" w:rsidRDefault="00862984"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297E2F04" wp14:editId="68DE77AE">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14:paraId="25E1A32B" w14:textId="77777777" w:rsidR="00862984" w:rsidRDefault="00862984" w:rsidP="004839E3">
    <w:pPr>
      <w:spacing w:before="0" w:after="0" w:line="240" w:lineRule="exact"/>
      <w:ind w:right="284"/>
      <w:jc w:val="right"/>
    </w:pPr>
    <w:r w:rsidRPr="004839E3">
      <w:rPr>
        <w:color w:val="ACD08C" w:themeColor="accent3"/>
      </w:rPr>
      <w:t>DFAT.GOV.AU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F90FE" w14:textId="77777777" w:rsidR="00862984" w:rsidRDefault="00862984" w:rsidP="004839E3">
    <w:pPr>
      <w:pStyle w:val="Footer"/>
      <w:rPr>
        <w:lang w:val="en-AU"/>
      </w:rPr>
    </w:pPr>
  </w:p>
  <w:p w14:paraId="5ACA3A56" w14:textId="77777777" w:rsidR="00862984" w:rsidRDefault="00862984" w:rsidP="004839E3">
    <w:pPr>
      <w:pStyle w:val="Footer"/>
    </w:pPr>
  </w:p>
  <w:p w14:paraId="1B2CDBD2" w14:textId="77777777" w:rsidR="00862984" w:rsidRPr="00CD0E4B" w:rsidRDefault="00862984" w:rsidP="004839E3">
    <w:pPr>
      <w:pStyle w:val="Footer"/>
    </w:pPr>
    <w:r w:rsidRPr="00CD0E4B">
      <w:rPr>
        <w:noProof/>
        <w:lang w:val="en-AU" w:eastAsia="en-AU"/>
      </w:rPr>
      <w:drawing>
        <wp:inline distT="0" distB="0" distL="0" distR="0" wp14:anchorId="6C205B86" wp14:editId="306411FA">
          <wp:extent cx="90000" cy="74520"/>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22F9D451" w14:textId="77777777" w:rsidR="00862984" w:rsidRPr="00CD0E4B" w:rsidRDefault="00862984" w:rsidP="004839E3">
    <w:pPr>
      <w:pStyle w:val="Footer"/>
      <w:rPr>
        <w:color w:val="ACD08C" w:themeColor="accent3"/>
      </w:rPr>
    </w:pPr>
    <w:r w:rsidRPr="00CD0E4B">
      <w:rPr>
        <w:color w:val="ACD08C" w:themeColor="accent3"/>
      </w:rPr>
      <w:t>DFAT.GOV.AU</w:t>
    </w:r>
  </w:p>
  <w:p w14:paraId="6552F6C6" w14:textId="77777777" w:rsidR="00862984" w:rsidRPr="004839E3" w:rsidRDefault="00862984" w:rsidP="004839E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6CA7D" w14:textId="77777777" w:rsidR="00862984" w:rsidRPr="008C5A0E" w:rsidRDefault="00862984" w:rsidP="001D663E">
      <w:pPr>
        <w:pStyle w:val="Footer"/>
        <w:pBdr>
          <w:top w:val="single" w:sz="4" w:space="1" w:color="495965" w:themeColor="text2"/>
        </w:pBdr>
      </w:pPr>
    </w:p>
  </w:footnote>
  <w:footnote w:type="continuationSeparator" w:id="0">
    <w:p w14:paraId="737091C2" w14:textId="77777777" w:rsidR="00862984" w:rsidRDefault="00862984" w:rsidP="00EF4574">
      <w:pPr>
        <w:spacing w:before="0" w:after="0" w:line="240" w:lineRule="auto"/>
      </w:pPr>
      <w:r>
        <w:continuationSeparator/>
      </w:r>
    </w:p>
  </w:footnote>
  <w:footnote w:type="continuationNotice" w:id="1">
    <w:p w14:paraId="22908A4E" w14:textId="77777777" w:rsidR="00862984" w:rsidRDefault="00862984">
      <w:pPr>
        <w:spacing w:before="0" w:after="0" w:line="240" w:lineRule="auto"/>
      </w:pPr>
    </w:p>
  </w:footnote>
  <w:footnote w:id="2">
    <w:p w14:paraId="58BA674F" w14:textId="77777777" w:rsidR="00862984" w:rsidRPr="00641D71" w:rsidRDefault="00862984" w:rsidP="001E0260">
      <w:pPr>
        <w:pStyle w:val="FootnoteText"/>
        <w:rPr>
          <w:lang w:val="en-AU"/>
        </w:rPr>
      </w:pPr>
      <w:r>
        <w:rPr>
          <w:rStyle w:val="FootnoteReference"/>
        </w:rPr>
        <w:footnoteRef/>
      </w:r>
      <w:r w:rsidRPr="00641D71">
        <w:rPr>
          <w:lang w:val="en-AU"/>
        </w:rPr>
        <w:t xml:space="preserve"> An Awardee who successfully completes their studies is defined as an Awardee who obtains their original or a lesser related qualification when due and within the reporting period. An Awardee who does not successfully complete their studies is defined as an Awardee who was due to obtain their original or a lesser related qualification within the reporting period but failed to do so as a result of poor academic performance.</w:t>
      </w:r>
    </w:p>
    <w:p w14:paraId="021A3039" w14:textId="77777777" w:rsidR="00862984" w:rsidRPr="00641D71" w:rsidRDefault="00862984" w:rsidP="001E0260">
      <w:pPr>
        <w:pStyle w:val="FootnoteText"/>
        <w:rPr>
          <w:lang w:val="en-AU"/>
        </w:rPr>
      </w:pPr>
    </w:p>
  </w:footnote>
  <w:footnote w:id="3">
    <w:p w14:paraId="41B8AB1C" w14:textId="77777777" w:rsidR="00862984" w:rsidRPr="00641D71" w:rsidRDefault="00862984" w:rsidP="001E0260">
      <w:pPr>
        <w:pStyle w:val="FootnoteText"/>
        <w:rPr>
          <w:lang w:val="en-AU"/>
        </w:rPr>
      </w:pPr>
      <w:r>
        <w:rPr>
          <w:rStyle w:val="FootnoteReference"/>
        </w:rPr>
        <w:footnoteRef/>
      </w:r>
      <w:r w:rsidRPr="00641D71">
        <w:rPr>
          <w:lang w:val="en-AU"/>
        </w:rPr>
        <w:t xml:space="preserve"> Examples of relevant contributions to development are contextual examples of alumni using their scholarship-acquired skills and knowledge in a productive manner which are consistent with the national interests of both Laos and Australia collated through the ADIS process.</w:t>
      </w:r>
    </w:p>
  </w:footnote>
  <w:footnote w:id="4">
    <w:p w14:paraId="6489380D" w14:textId="77777777" w:rsidR="00862984" w:rsidRPr="00641D71" w:rsidRDefault="00862984" w:rsidP="000007B9">
      <w:pPr>
        <w:pStyle w:val="FootnoteText"/>
        <w:rPr>
          <w:lang w:val="en-AU"/>
        </w:rPr>
      </w:pPr>
      <w:r>
        <w:rPr>
          <w:rStyle w:val="FootnoteReference"/>
        </w:rPr>
        <w:footnoteRef/>
      </w:r>
      <w:r w:rsidRPr="00641D71">
        <w:rPr>
          <w:lang w:val="en-AU"/>
        </w:rPr>
        <w:t xml:space="preserve"> An Awardee who successfully completes their studies is defined as an Awardee who obtains their original or a lesser related qualification when due and within the reporting period. An Awardee who does not successfully complete their studies is defined as an Awardee who was due to obtain their original or a lesser related qualification within the reporting period but failed to do so as a result of poor academic performance.</w:t>
      </w:r>
    </w:p>
    <w:p w14:paraId="7F382442" w14:textId="77777777" w:rsidR="00862984" w:rsidRPr="00641D71" w:rsidRDefault="00862984" w:rsidP="000007B9">
      <w:pPr>
        <w:pStyle w:val="FootnoteText"/>
        <w:rPr>
          <w:lang w:val="en-AU"/>
        </w:rPr>
      </w:pPr>
    </w:p>
  </w:footnote>
  <w:footnote w:id="5">
    <w:p w14:paraId="27D3FA81" w14:textId="77777777" w:rsidR="00862984" w:rsidRPr="00641D71" w:rsidRDefault="00862984" w:rsidP="000007B9">
      <w:pPr>
        <w:pStyle w:val="FootnoteText"/>
        <w:rPr>
          <w:lang w:val="en-AU"/>
        </w:rPr>
      </w:pPr>
      <w:r>
        <w:rPr>
          <w:rStyle w:val="FootnoteReference"/>
        </w:rPr>
        <w:footnoteRef/>
      </w:r>
      <w:r w:rsidRPr="00641D71">
        <w:rPr>
          <w:lang w:val="en-AU"/>
        </w:rPr>
        <w:t xml:space="preserve"> Examples of relevant contributions to development are contextual examples of alumni using their scholarship-acquired skills and knowledge in a productive manner which are consistent with the national interests of both Laos and Australia collated through the ADIS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F9107" w14:textId="77777777" w:rsidR="00DE1F8D" w:rsidRDefault="00DE1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F1858" w14:textId="77777777" w:rsidR="00862984" w:rsidRPr="00333501" w:rsidRDefault="00862984" w:rsidP="008F56A8">
    <w:pPr>
      <w:pStyle w:val="Header"/>
      <w:jc w:val="left"/>
    </w:pPr>
    <w:r>
      <w:rPr>
        <w:noProof/>
        <w:lang w:val="en-AU" w:eastAsia="en-AU"/>
      </w:rPr>
      <w:drawing>
        <wp:anchor distT="0" distB="0" distL="114300" distR="114300" simplePos="0" relativeHeight="251671552" behindDoc="1" locked="1" layoutInCell="1" allowOverlap="1" wp14:anchorId="4D9A55D6" wp14:editId="34DBCEC1">
          <wp:simplePos x="0" y="0"/>
          <wp:positionH relativeFrom="page">
            <wp:posOffset>1378585</wp:posOffset>
          </wp:positionH>
          <wp:positionV relativeFrom="page">
            <wp:posOffset>272415</wp:posOffset>
          </wp:positionV>
          <wp:extent cx="10248900" cy="10235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9571" w14:textId="77777777" w:rsidR="00862984" w:rsidRPr="003D352D" w:rsidRDefault="00862984" w:rsidP="003D352D">
    <w:pPr>
      <w:pStyle w:val="Header"/>
      <w:jc w:val="left"/>
    </w:pPr>
    <w:r>
      <w:rPr>
        <w:noProof/>
        <w:lang w:val="en-AU" w:eastAsia="en-AU"/>
      </w:rPr>
      <w:drawing>
        <wp:anchor distT="0" distB="0" distL="114300" distR="114300" simplePos="0" relativeHeight="251669504" behindDoc="1" locked="1" layoutInCell="1" allowOverlap="1" wp14:anchorId="10C0B88B" wp14:editId="4C746CC9">
          <wp:simplePos x="0" y="0"/>
          <wp:positionH relativeFrom="page">
            <wp:posOffset>-23495</wp:posOffset>
          </wp:positionH>
          <wp:positionV relativeFrom="page">
            <wp:posOffset>15875</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DE927" w14:textId="77777777" w:rsidR="00862984" w:rsidRPr="00333501" w:rsidRDefault="00862984" w:rsidP="008F56A8">
    <w:pPr>
      <w:pStyle w:val="Header"/>
      <w:jc w:val="left"/>
    </w:pPr>
    <w:r>
      <w:rPr>
        <w:noProof/>
        <w:lang w:val="en-AU" w:eastAsia="en-AU"/>
      </w:rPr>
      <w:drawing>
        <wp:anchor distT="0" distB="0" distL="114300" distR="114300" simplePos="0" relativeHeight="251685888" behindDoc="1" locked="1" layoutInCell="1" allowOverlap="1" wp14:anchorId="39A23623" wp14:editId="1F03B415">
          <wp:simplePos x="0" y="0"/>
          <wp:positionH relativeFrom="margin">
            <wp:posOffset>-652145</wp:posOffset>
          </wp:positionH>
          <wp:positionV relativeFrom="page">
            <wp:posOffset>122555</wp:posOffset>
          </wp:positionV>
          <wp:extent cx="7409815" cy="10589895"/>
          <wp:effectExtent l="0" t="0" r="63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9D693" w14:textId="77777777" w:rsidR="00862984" w:rsidRPr="003D352D" w:rsidRDefault="00862984" w:rsidP="003D352D">
    <w:pPr>
      <w:pStyle w:val="Header"/>
      <w:jc w:val="left"/>
    </w:pPr>
    <w:r>
      <w:rPr>
        <w:noProof/>
        <w:lang w:val="en-AU" w:eastAsia="en-AU"/>
      </w:rPr>
      <w:drawing>
        <wp:anchor distT="0" distB="0" distL="114300" distR="114300" simplePos="0" relativeHeight="251673600" behindDoc="1" locked="1" layoutInCell="1" allowOverlap="1" wp14:anchorId="0A1265B0" wp14:editId="7ED3B772">
          <wp:simplePos x="0" y="0"/>
          <wp:positionH relativeFrom="page">
            <wp:posOffset>0</wp:posOffset>
          </wp:positionH>
          <wp:positionV relativeFrom="page">
            <wp:posOffset>0</wp:posOffset>
          </wp:positionV>
          <wp:extent cx="10694035" cy="7465695"/>
          <wp:effectExtent l="0" t="0" r="0" b="1905"/>
          <wp:wrapNone/>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4EB8E" w14:textId="77777777" w:rsidR="00862984" w:rsidRPr="00333501" w:rsidRDefault="00862984" w:rsidP="008F56A8">
    <w:pPr>
      <w:pStyle w:val="Header"/>
      <w:jc w:val="left"/>
    </w:pPr>
    <w:r>
      <w:rPr>
        <w:noProof/>
        <w:lang w:val="en-AU" w:eastAsia="en-AU"/>
      </w:rPr>
      <w:drawing>
        <wp:anchor distT="0" distB="0" distL="114300" distR="114300" simplePos="0" relativeHeight="251687936" behindDoc="1" locked="1" layoutInCell="1" allowOverlap="1" wp14:anchorId="1B319E8E" wp14:editId="599C7717">
          <wp:simplePos x="0" y="0"/>
          <wp:positionH relativeFrom="page">
            <wp:posOffset>40640</wp:posOffset>
          </wp:positionH>
          <wp:positionV relativeFrom="margin">
            <wp:posOffset>-721995</wp:posOffset>
          </wp:positionV>
          <wp:extent cx="10754360" cy="7082790"/>
          <wp:effectExtent l="0" t="0" r="8890" b="381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05244" w14:textId="77777777" w:rsidR="00862984" w:rsidRPr="003D352D" w:rsidRDefault="00862984" w:rsidP="003D352D">
    <w:pPr>
      <w:pStyle w:val="Header"/>
      <w:jc w:val="left"/>
    </w:pPr>
    <w:r>
      <w:rPr>
        <w:noProof/>
        <w:lang w:val="en-AU" w:eastAsia="en-AU"/>
      </w:rPr>
      <w:drawing>
        <wp:anchor distT="0" distB="0" distL="114300" distR="114300" simplePos="0" relativeHeight="251675648" behindDoc="1" locked="1" layoutInCell="1" allowOverlap="1" wp14:anchorId="62918E76" wp14:editId="05132E4C">
          <wp:simplePos x="0" y="0"/>
          <wp:positionH relativeFrom="page">
            <wp:posOffset>-15875</wp:posOffset>
          </wp:positionH>
          <wp:positionV relativeFrom="page">
            <wp:posOffset>0</wp:posOffset>
          </wp:positionV>
          <wp:extent cx="10702290" cy="7458075"/>
          <wp:effectExtent l="0" t="0" r="3810" b="9525"/>
          <wp:wrapNone/>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6447F" w14:textId="77777777" w:rsidR="00862984" w:rsidRPr="00333501" w:rsidRDefault="00862984" w:rsidP="008F56A8">
    <w:pPr>
      <w:pStyle w:val="Header"/>
      <w:jc w:val="left"/>
    </w:pPr>
    <w:r>
      <w:rPr>
        <w:noProof/>
        <w:lang w:val="en-AU" w:eastAsia="en-AU"/>
      </w:rPr>
      <w:drawing>
        <wp:anchor distT="0" distB="0" distL="114300" distR="114300" simplePos="0" relativeHeight="251683840" behindDoc="1" locked="1" layoutInCell="1" allowOverlap="1" wp14:anchorId="4BE3BC87" wp14:editId="7AC4533E">
          <wp:simplePos x="0" y="0"/>
          <wp:positionH relativeFrom="page">
            <wp:posOffset>47625</wp:posOffset>
          </wp:positionH>
          <wp:positionV relativeFrom="page">
            <wp:posOffset>95250</wp:posOffset>
          </wp:positionV>
          <wp:extent cx="10471785" cy="10757535"/>
          <wp:effectExtent l="0" t="0" r="5715" b="5715"/>
          <wp:wrapNone/>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471785"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A202F"/>
    <w:multiLevelType w:val="hybridMultilevel"/>
    <w:tmpl w:val="B6044016"/>
    <w:lvl w:ilvl="0" w:tplc="F50458AA">
      <w:numFmt w:val="bullet"/>
      <w:lvlText w:val="-"/>
      <w:lvlJc w:val="left"/>
      <w:pPr>
        <w:ind w:left="720" w:hanging="360"/>
      </w:pPr>
      <w:rPr>
        <w:rFonts w:ascii="Franklin Gothic Book" w:eastAsia="Times New Roman"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87445D"/>
    <w:multiLevelType w:val="hybridMultilevel"/>
    <w:tmpl w:val="BA641A76"/>
    <w:lvl w:ilvl="0" w:tplc="D2129D0E">
      <w:start w:val="2012"/>
      <w:numFmt w:val="bullet"/>
      <w:lvlText w:val="-"/>
      <w:lvlJc w:val="left"/>
      <w:pPr>
        <w:ind w:left="720" w:hanging="360"/>
      </w:pPr>
      <w:rPr>
        <w:rFonts w:ascii="Calibri Light" w:eastAsia="Times New Roman"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FC7298"/>
    <w:multiLevelType w:val="hybridMultilevel"/>
    <w:tmpl w:val="00063556"/>
    <w:lvl w:ilvl="0" w:tplc="2A3CCBCC">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0C435C"/>
    <w:multiLevelType w:val="hybridMultilevel"/>
    <w:tmpl w:val="BFD83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1EA4565"/>
    <w:multiLevelType w:val="hybridMultilevel"/>
    <w:tmpl w:val="05249C1A"/>
    <w:lvl w:ilvl="0" w:tplc="FCC25BF4">
      <w:numFmt w:val="bullet"/>
      <w:lvlText w:val="-"/>
      <w:lvlJc w:val="left"/>
      <w:pPr>
        <w:ind w:left="720" w:hanging="360"/>
      </w:pPr>
      <w:rPr>
        <w:rFonts w:ascii="Calibri Light" w:eastAsia="Times New Roman"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C82B5C"/>
    <w:multiLevelType w:val="hybridMultilevel"/>
    <w:tmpl w:val="6D5E421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3B5900"/>
    <w:multiLevelType w:val="hybridMultilevel"/>
    <w:tmpl w:val="1EF8602C"/>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0250C3"/>
    <w:multiLevelType w:val="hybridMultilevel"/>
    <w:tmpl w:val="0F58F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EE1679"/>
    <w:multiLevelType w:val="hybridMultilevel"/>
    <w:tmpl w:val="32A0A9C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E526A2"/>
    <w:multiLevelType w:val="hybridMultilevel"/>
    <w:tmpl w:val="0884348A"/>
    <w:lvl w:ilvl="0" w:tplc="F50458AA">
      <w:numFmt w:val="bullet"/>
      <w:lvlText w:val="-"/>
      <w:lvlJc w:val="left"/>
      <w:pPr>
        <w:ind w:left="720" w:hanging="360"/>
      </w:pPr>
      <w:rPr>
        <w:rFonts w:ascii="Franklin Gothic Book" w:eastAsia="Times New Roman"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1D68A7"/>
    <w:multiLevelType w:val="hybridMultilevel"/>
    <w:tmpl w:val="75F80972"/>
    <w:lvl w:ilvl="0" w:tplc="B2423EAC">
      <w:start w:val="1"/>
      <w:numFmt w:val="decimal"/>
      <w:lvlText w:val="%1."/>
      <w:lvlJc w:val="left"/>
      <w:pPr>
        <w:ind w:left="360" w:hanging="360"/>
      </w:pPr>
      <w:rPr>
        <w:b w:val="0"/>
        <w:bCs w:val="0"/>
      </w:rPr>
    </w:lvl>
    <w:lvl w:ilvl="1" w:tplc="962EFB32">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5B3A06FB"/>
    <w:multiLevelType w:val="hybridMultilevel"/>
    <w:tmpl w:val="E66A30FC"/>
    <w:lvl w:ilvl="0" w:tplc="7D7469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3C1EA7"/>
    <w:multiLevelType w:val="multilevel"/>
    <w:tmpl w:val="43428892"/>
    <w:numStyleLink w:val="BulletsList"/>
  </w:abstractNum>
  <w:abstractNum w:abstractNumId="3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65A233A2"/>
    <w:multiLevelType w:val="hybridMultilevel"/>
    <w:tmpl w:val="4E0CB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961C70"/>
    <w:multiLevelType w:val="hybridMultilevel"/>
    <w:tmpl w:val="6846A76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8"/>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19"/>
  </w:num>
  <w:num w:numId="23">
    <w:abstractNumId w:val="19"/>
  </w:num>
  <w:num w:numId="24">
    <w:abstractNumId w:val="30"/>
  </w:num>
  <w:num w:numId="25">
    <w:abstractNumId w:val="30"/>
  </w:num>
  <w:num w:numId="26">
    <w:abstractNumId w:val="30"/>
  </w:num>
  <w:num w:numId="27">
    <w:abstractNumId w:val="28"/>
  </w:num>
  <w:num w:numId="28">
    <w:abstractNumId w:val="12"/>
  </w:num>
  <w:num w:numId="29">
    <w:abstractNumId w:val="12"/>
  </w:num>
  <w:num w:numId="30">
    <w:abstractNumId w:val="12"/>
  </w:num>
  <w:num w:numId="31">
    <w:abstractNumId w:val="20"/>
  </w:num>
  <w:num w:numId="32">
    <w:abstractNumId w:val="25"/>
  </w:num>
  <w:num w:numId="33">
    <w:abstractNumId w:val="35"/>
  </w:num>
  <w:num w:numId="34">
    <w:abstractNumId w:val="23"/>
  </w:num>
  <w:num w:numId="35">
    <w:abstractNumId w:val="16"/>
  </w:num>
  <w:num w:numId="36">
    <w:abstractNumId w:val="21"/>
  </w:num>
  <w:num w:numId="37">
    <w:abstractNumId w:val="33"/>
  </w:num>
  <w:num w:numId="38">
    <w:abstractNumId w:val="24"/>
  </w:num>
  <w:num w:numId="39">
    <w:abstractNumId w:val="15"/>
  </w:num>
  <w:num w:numId="40">
    <w:abstractNumId w:val="22"/>
  </w:num>
  <w:num w:numId="41">
    <w:abstractNumId w:val="11"/>
  </w:num>
  <w:num w:numId="42">
    <w:abstractNumId w:val="17"/>
  </w:num>
  <w:num w:numId="43">
    <w:abstractNumId w:val="26"/>
  </w:num>
  <w:num w:numId="44">
    <w:abstractNumId w:val="10"/>
  </w:num>
  <w:num w:numId="45">
    <w:abstractNumId w:val="18"/>
  </w:num>
  <w:num w:numId="46">
    <w:abstractNumId w:val="14"/>
  </w:num>
  <w:num w:numId="47">
    <w:abstractNumId w:val="27"/>
  </w:num>
  <w:num w:numId="48">
    <w:abstractNumId w:val="32"/>
  </w:num>
  <w:num w:numId="49">
    <w:abstractNumId w:val="3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en-BZ"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7B9"/>
    <w:rsid w:val="00000A70"/>
    <w:rsid w:val="00001DA8"/>
    <w:rsid w:val="00004AC7"/>
    <w:rsid w:val="000106A0"/>
    <w:rsid w:val="00015316"/>
    <w:rsid w:val="000203E8"/>
    <w:rsid w:val="0002080A"/>
    <w:rsid w:val="0002108D"/>
    <w:rsid w:val="0002161D"/>
    <w:rsid w:val="0002782F"/>
    <w:rsid w:val="00030689"/>
    <w:rsid w:val="00031512"/>
    <w:rsid w:val="00034089"/>
    <w:rsid w:val="00035648"/>
    <w:rsid w:val="00036319"/>
    <w:rsid w:val="0003791D"/>
    <w:rsid w:val="000410F6"/>
    <w:rsid w:val="00044ACE"/>
    <w:rsid w:val="0004517C"/>
    <w:rsid w:val="0004757B"/>
    <w:rsid w:val="000501CC"/>
    <w:rsid w:val="00050955"/>
    <w:rsid w:val="00054E4D"/>
    <w:rsid w:val="00056CC2"/>
    <w:rsid w:val="00056DBD"/>
    <w:rsid w:val="00057C0D"/>
    <w:rsid w:val="00057C66"/>
    <w:rsid w:val="00060073"/>
    <w:rsid w:val="00060268"/>
    <w:rsid w:val="000636F6"/>
    <w:rsid w:val="0006419F"/>
    <w:rsid w:val="00075B90"/>
    <w:rsid w:val="00076806"/>
    <w:rsid w:val="000777EA"/>
    <w:rsid w:val="000814B7"/>
    <w:rsid w:val="00082F84"/>
    <w:rsid w:val="00083E6D"/>
    <w:rsid w:val="00084483"/>
    <w:rsid w:val="000847AD"/>
    <w:rsid w:val="00085E5F"/>
    <w:rsid w:val="00091909"/>
    <w:rsid w:val="0009201C"/>
    <w:rsid w:val="00092360"/>
    <w:rsid w:val="00093786"/>
    <w:rsid w:val="00095F82"/>
    <w:rsid w:val="000975A2"/>
    <w:rsid w:val="000978D1"/>
    <w:rsid w:val="000B076D"/>
    <w:rsid w:val="000B40C5"/>
    <w:rsid w:val="000B576B"/>
    <w:rsid w:val="000B6538"/>
    <w:rsid w:val="000C584C"/>
    <w:rsid w:val="000C65C0"/>
    <w:rsid w:val="000D3A7F"/>
    <w:rsid w:val="000D66D6"/>
    <w:rsid w:val="000E1E2C"/>
    <w:rsid w:val="000E25BC"/>
    <w:rsid w:val="000E314A"/>
    <w:rsid w:val="000E43FE"/>
    <w:rsid w:val="000E4D35"/>
    <w:rsid w:val="000E6013"/>
    <w:rsid w:val="000E647F"/>
    <w:rsid w:val="000E6BED"/>
    <w:rsid w:val="000F2049"/>
    <w:rsid w:val="00102ED1"/>
    <w:rsid w:val="00103A78"/>
    <w:rsid w:val="00107C37"/>
    <w:rsid w:val="0011139C"/>
    <w:rsid w:val="001140E7"/>
    <w:rsid w:val="0011709D"/>
    <w:rsid w:val="00117A18"/>
    <w:rsid w:val="0012185B"/>
    <w:rsid w:val="00130091"/>
    <w:rsid w:val="00133C6B"/>
    <w:rsid w:val="00134676"/>
    <w:rsid w:val="00141AA1"/>
    <w:rsid w:val="001446E7"/>
    <w:rsid w:val="0014486F"/>
    <w:rsid w:val="001530D7"/>
    <w:rsid w:val="001541EA"/>
    <w:rsid w:val="0016011F"/>
    <w:rsid w:val="00162279"/>
    <w:rsid w:val="00162519"/>
    <w:rsid w:val="00162DE2"/>
    <w:rsid w:val="001633ED"/>
    <w:rsid w:val="00166DDA"/>
    <w:rsid w:val="00171230"/>
    <w:rsid w:val="00174B19"/>
    <w:rsid w:val="00176DA7"/>
    <w:rsid w:val="0018076B"/>
    <w:rsid w:val="001827E8"/>
    <w:rsid w:val="001839F4"/>
    <w:rsid w:val="00184F1E"/>
    <w:rsid w:val="00191AF7"/>
    <w:rsid w:val="001A2318"/>
    <w:rsid w:val="001A4728"/>
    <w:rsid w:val="001B3634"/>
    <w:rsid w:val="001C0B08"/>
    <w:rsid w:val="001C45FF"/>
    <w:rsid w:val="001C5442"/>
    <w:rsid w:val="001C5E8B"/>
    <w:rsid w:val="001C67FF"/>
    <w:rsid w:val="001C6F77"/>
    <w:rsid w:val="001D0ECB"/>
    <w:rsid w:val="001D38B7"/>
    <w:rsid w:val="001D5FDA"/>
    <w:rsid w:val="001D653F"/>
    <w:rsid w:val="001D663E"/>
    <w:rsid w:val="001D6D6C"/>
    <w:rsid w:val="001E0260"/>
    <w:rsid w:val="001E12E3"/>
    <w:rsid w:val="001E1DC0"/>
    <w:rsid w:val="001E57FC"/>
    <w:rsid w:val="001F00DE"/>
    <w:rsid w:val="001F0730"/>
    <w:rsid w:val="001F2E31"/>
    <w:rsid w:val="001F3335"/>
    <w:rsid w:val="001F5C34"/>
    <w:rsid w:val="001F7600"/>
    <w:rsid w:val="0020187B"/>
    <w:rsid w:val="00212FB7"/>
    <w:rsid w:val="00216F6E"/>
    <w:rsid w:val="00220F2A"/>
    <w:rsid w:val="0022610A"/>
    <w:rsid w:val="00227324"/>
    <w:rsid w:val="00231FF0"/>
    <w:rsid w:val="00236A53"/>
    <w:rsid w:val="00241AD6"/>
    <w:rsid w:val="00242160"/>
    <w:rsid w:val="00243844"/>
    <w:rsid w:val="00243DCC"/>
    <w:rsid w:val="00244917"/>
    <w:rsid w:val="0025324F"/>
    <w:rsid w:val="00254054"/>
    <w:rsid w:val="00262313"/>
    <w:rsid w:val="00263F98"/>
    <w:rsid w:val="0026491B"/>
    <w:rsid w:val="0026771D"/>
    <w:rsid w:val="00272B5F"/>
    <w:rsid w:val="00274A6B"/>
    <w:rsid w:val="00275DB7"/>
    <w:rsid w:val="00281A10"/>
    <w:rsid w:val="00284957"/>
    <w:rsid w:val="0028602A"/>
    <w:rsid w:val="0029261D"/>
    <w:rsid w:val="002943AC"/>
    <w:rsid w:val="002A01E4"/>
    <w:rsid w:val="002A460C"/>
    <w:rsid w:val="002A4A0E"/>
    <w:rsid w:val="002A51CA"/>
    <w:rsid w:val="002A62C8"/>
    <w:rsid w:val="002B0239"/>
    <w:rsid w:val="002B388F"/>
    <w:rsid w:val="002B3E95"/>
    <w:rsid w:val="002B5E10"/>
    <w:rsid w:val="002C08B4"/>
    <w:rsid w:val="002C103E"/>
    <w:rsid w:val="002C2BDB"/>
    <w:rsid w:val="002C449C"/>
    <w:rsid w:val="002C6A1B"/>
    <w:rsid w:val="002C70B8"/>
    <w:rsid w:val="002D111C"/>
    <w:rsid w:val="002D4F15"/>
    <w:rsid w:val="002D5136"/>
    <w:rsid w:val="002E0826"/>
    <w:rsid w:val="002E144F"/>
    <w:rsid w:val="002E1C10"/>
    <w:rsid w:val="002E7421"/>
    <w:rsid w:val="002F6E3C"/>
    <w:rsid w:val="003002C0"/>
    <w:rsid w:val="00300A85"/>
    <w:rsid w:val="00301144"/>
    <w:rsid w:val="00301537"/>
    <w:rsid w:val="003065B1"/>
    <w:rsid w:val="00311BEF"/>
    <w:rsid w:val="003148B7"/>
    <w:rsid w:val="00315656"/>
    <w:rsid w:val="003158C3"/>
    <w:rsid w:val="00320141"/>
    <w:rsid w:val="0032031A"/>
    <w:rsid w:val="0032172D"/>
    <w:rsid w:val="00323E53"/>
    <w:rsid w:val="00325061"/>
    <w:rsid w:val="003274CD"/>
    <w:rsid w:val="00333501"/>
    <w:rsid w:val="00334E29"/>
    <w:rsid w:val="00337B02"/>
    <w:rsid w:val="003457C4"/>
    <w:rsid w:val="00347EC3"/>
    <w:rsid w:val="0035088C"/>
    <w:rsid w:val="0035119D"/>
    <w:rsid w:val="00352594"/>
    <w:rsid w:val="00353365"/>
    <w:rsid w:val="00355299"/>
    <w:rsid w:val="00356231"/>
    <w:rsid w:val="00371F94"/>
    <w:rsid w:val="00373462"/>
    <w:rsid w:val="00374C0D"/>
    <w:rsid w:val="00375EB5"/>
    <w:rsid w:val="00376C17"/>
    <w:rsid w:val="00380104"/>
    <w:rsid w:val="00381239"/>
    <w:rsid w:val="003854A7"/>
    <w:rsid w:val="00390E38"/>
    <w:rsid w:val="003918DD"/>
    <w:rsid w:val="00392CFE"/>
    <w:rsid w:val="003A204E"/>
    <w:rsid w:val="003A6212"/>
    <w:rsid w:val="003A760D"/>
    <w:rsid w:val="003B4F12"/>
    <w:rsid w:val="003B74A9"/>
    <w:rsid w:val="003C14B0"/>
    <w:rsid w:val="003C2735"/>
    <w:rsid w:val="003C3FC7"/>
    <w:rsid w:val="003C5B9F"/>
    <w:rsid w:val="003D0276"/>
    <w:rsid w:val="003D2207"/>
    <w:rsid w:val="003D352D"/>
    <w:rsid w:val="003D65FD"/>
    <w:rsid w:val="003E305C"/>
    <w:rsid w:val="003E70B9"/>
    <w:rsid w:val="003E77A7"/>
    <w:rsid w:val="003F0156"/>
    <w:rsid w:val="003F01BD"/>
    <w:rsid w:val="003F04FC"/>
    <w:rsid w:val="0040026C"/>
    <w:rsid w:val="00400B0F"/>
    <w:rsid w:val="00401155"/>
    <w:rsid w:val="00402ACC"/>
    <w:rsid w:val="00404BC6"/>
    <w:rsid w:val="00405337"/>
    <w:rsid w:val="00405485"/>
    <w:rsid w:val="004112AD"/>
    <w:rsid w:val="004120EC"/>
    <w:rsid w:val="00412977"/>
    <w:rsid w:val="0042041F"/>
    <w:rsid w:val="00420895"/>
    <w:rsid w:val="00423F31"/>
    <w:rsid w:val="00430C68"/>
    <w:rsid w:val="00431899"/>
    <w:rsid w:val="00432D26"/>
    <w:rsid w:val="00433A3D"/>
    <w:rsid w:val="00435869"/>
    <w:rsid w:val="00436526"/>
    <w:rsid w:val="00436B6A"/>
    <w:rsid w:val="00441C16"/>
    <w:rsid w:val="00447B75"/>
    <w:rsid w:val="004527D9"/>
    <w:rsid w:val="004559BF"/>
    <w:rsid w:val="00465572"/>
    <w:rsid w:val="00466605"/>
    <w:rsid w:val="0047113D"/>
    <w:rsid w:val="004749AF"/>
    <w:rsid w:val="00480422"/>
    <w:rsid w:val="00480CF2"/>
    <w:rsid w:val="00482C52"/>
    <w:rsid w:val="004839E3"/>
    <w:rsid w:val="00486804"/>
    <w:rsid w:val="00487C34"/>
    <w:rsid w:val="00487CA8"/>
    <w:rsid w:val="0049206E"/>
    <w:rsid w:val="004977A1"/>
    <w:rsid w:val="004A028C"/>
    <w:rsid w:val="004A16CE"/>
    <w:rsid w:val="004A36DD"/>
    <w:rsid w:val="004B0F61"/>
    <w:rsid w:val="004B3529"/>
    <w:rsid w:val="004B3775"/>
    <w:rsid w:val="004B4483"/>
    <w:rsid w:val="004B5307"/>
    <w:rsid w:val="004B6911"/>
    <w:rsid w:val="004C2101"/>
    <w:rsid w:val="004C58E0"/>
    <w:rsid w:val="004C6EC6"/>
    <w:rsid w:val="004D0BA0"/>
    <w:rsid w:val="004D1F1B"/>
    <w:rsid w:val="004D2947"/>
    <w:rsid w:val="004D675C"/>
    <w:rsid w:val="004D7E6E"/>
    <w:rsid w:val="004E0264"/>
    <w:rsid w:val="004E058F"/>
    <w:rsid w:val="004E168B"/>
    <w:rsid w:val="004E3B87"/>
    <w:rsid w:val="004F24D2"/>
    <w:rsid w:val="004F427F"/>
    <w:rsid w:val="004F6B1D"/>
    <w:rsid w:val="005015D7"/>
    <w:rsid w:val="00506C80"/>
    <w:rsid w:val="00507FBE"/>
    <w:rsid w:val="00510921"/>
    <w:rsid w:val="00510AD3"/>
    <w:rsid w:val="00511AC0"/>
    <w:rsid w:val="00513348"/>
    <w:rsid w:val="00521BEE"/>
    <w:rsid w:val="0052461A"/>
    <w:rsid w:val="005266EA"/>
    <w:rsid w:val="00533B5D"/>
    <w:rsid w:val="00542179"/>
    <w:rsid w:val="00542558"/>
    <w:rsid w:val="00543F7D"/>
    <w:rsid w:val="00544A69"/>
    <w:rsid w:val="0054629F"/>
    <w:rsid w:val="00550108"/>
    <w:rsid w:val="00550890"/>
    <w:rsid w:val="005511BF"/>
    <w:rsid w:val="00553123"/>
    <w:rsid w:val="0056004C"/>
    <w:rsid w:val="005652DB"/>
    <w:rsid w:val="00571C02"/>
    <w:rsid w:val="00571C7C"/>
    <w:rsid w:val="00574D68"/>
    <w:rsid w:val="00575278"/>
    <w:rsid w:val="00580A64"/>
    <w:rsid w:val="00580B2F"/>
    <w:rsid w:val="00586323"/>
    <w:rsid w:val="0059146A"/>
    <w:rsid w:val="00592F39"/>
    <w:rsid w:val="00595ED8"/>
    <w:rsid w:val="005968F5"/>
    <w:rsid w:val="005A06C8"/>
    <w:rsid w:val="005A0EF9"/>
    <w:rsid w:val="005A3C12"/>
    <w:rsid w:val="005B027B"/>
    <w:rsid w:val="005B1F70"/>
    <w:rsid w:val="005B4D6F"/>
    <w:rsid w:val="005B5769"/>
    <w:rsid w:val="005B5CB3"/>
    <w:rsid w:val="005B6CF8"/>
    <w:rsid w:val="005C1819"/>
    <w:rsid w:val="005C1EBA"/>
    <w:rsid w:val="005C2718"/>
    <w:rsid w:val="005C5034"/>
    <w:rsid w:val="005C78DB"/>
    <w:rsid w:val="005D3655"/>
    <w:rsid w:val="005D5723"/>
    <w:rsid w:val="005D5F66"/>
    <w:rsid w:val="005E0412"/>
    <w:rsid w:val="005E287D"/>
    <w:rsid w:val="005E36F3"/>
    <w:rsid w:val="005E606B"/>
    <w:rsid w:val="005F1841"/>
    <w:rsid w:val="00601881"/>
    <w:rsid w:val="006040A2"/>
    <w:rsid w:val="00606375"/>
    <w:rsid w:val="00607AE0"/>
    <w:rsid w:val="00607E45"/>
    <w:rsid w:val="00616701"/>
    <w:rsid w:val="0062224D"/>
    <w:rsid w:val="00623BA1"/>
    <w:rsid w:val="00624810"/>
    <w:rsid w:val="00624F0E"/>
    <w:rsid w:val="0062665C"/>
    <w:rsid w:val="006307FF"/>
    <w:rsid w:val="006346BC"/>
    <w:rsid w:val="00635620"/>
    <w:rsid w:val="00643264"/>
    <w:rsid w:val="00643321"/>
    <w:rsid w:val="00644202"/>
    <w:rsid w:val="0064438D"/>
    <w:rsid w:val="0065248C"/>
    <w:rsid w:val="006545B9"/>
    <w:rsid w:val="00654AFF"/>
    <w:rsid w:val="00656CBD"/>
    <w:rsid w:val="00661F1C"/>
    <w:rsid w:val="00664EAF"/>
    <w:rsid w:val="0066652A"/>
    <w:rsid w:val="00670028"/>
    <w:rsid w:val="0067221E"/>
    <w:rsid w:val="0067287F"/>
    <w:rsid w:val="00672D72"/>
    <w:rsid w:val="0067469D"/>
    <w:rsid w:val="0067471D"/>
    <w:rsid w:val="006754A2"/>
    <w:rsid w:val="006766F1"/>
    <w:rsid w:val="00680522"/>
    <w:rsid w:val="00681F08"/>
    <w:rsid w:val="00682167"/>
    <w:rsid w:val="006863F9"/>
    <w:rsid w:val="0069015B"/>
    <w:rsid w:val="00695730"/>
    <w:rsid w:val="006A0F30"/>
    <w:rsid w:val="006A16CE"/>
    <w:rsid w:val="006A2E43"/>
    <w:rsid w:val="006A2FFF"/>
    <w:rsid w:val="006A64AB"/>
    <w:rsid w:val="006B2180"/>
    <w:rsid w:val="006B6B39"/>
    <w:rsid w:val="006C0672"/>
    <w:rsid w:val="006C249A"/>
    <w:rsid w:val="006C42AF"/>
    <w:rsid w:val="006C5A44"/>
    <w:rsid w:val="006C7641"/>
    <w:rsid w:val="006D0556"/>
    <w:rsid w:val="006D0BC4"/>
    <w:rsid w:val="006D1BD8"/>
    <w:rsid w:val="006D55C0"/>
    <w:rsid w:val="006E0BEB"/>
    <w:rsid w:val="006E65EE"/>
    <w:rsid w:val="006E774C"/>
    <w:rsid w:val="006F0787"/>
    <w:rsid w:val="006F12FD"/>
    <w:rsid w:val="006F27B1"/>
    <w:rsid w:val="006F4992"/>
    <w:rsid w:val="006F54CA"/>
    <w:rsid w:val="006F674D"/>
    <w:rsid w:val="006F792F"/>
    <w:rsid w:val="006F7C20"/>
    <w:rsid w:val="006F7CDB"/>
    <w:rsid w:val="00702135"/>
    <w:rsid w:val="00711D8E"/>
    <w:rsid w:val="00712672"/>
    <w:rsid w:val="00716916"/>
    <w:rsid w:val="007205CC"/>
    <w:rsid w:val="00723C49"/>
    <w:rsid w:val="00724406"/>
    <w:rsid w:val="0073386F"/>
    <w:rsid w:val="00734E3F"/>
    <w:rsid w:val="007367F9"/>
    <w:rsid w:val="00736985"/>
    <w:rsid w:val="007412ED"/>
    <w:rsid w:val="00745018"/>
    <w:rsid w:val="00745DDE"/>
    <w:rsid w:val="00745DF5"/>
    <w:rsid w:val="00752B9F"/>
    <w:rsid w:val="0076250F"/>
    <w:rsid w:val="00762D05"/>
    <w:rsid w:val="00764684"/>
    <w:rsid w:val="00771B53"/>
    <w:rsid w:val="00784031"/>
    <w:rsid w:val="00784B5F"/>
    <w:rsid w:val="007957FC"/>
    <w:rsid w:val="00795B0E"/>
    <w:rsid w:val="007A13AE"/>
    <w:rsid w:val="007A6119"/>
    <w:rsid w:val="007A61AD"/>
    <w:rsid w:val="007A7A57"/>
    <w:rsid w:val="007B4777"/>
    <w:rsid w:val="007B6200"/>
    <w:rsid w:val="007C1516"/>
    <w:rsid w:val="007C317A"/>
    <w:rsid w:val="007C4761"/>
    <w:rsid w:val="007C626A"/>
    <w:rsid w:val="007D079A"/>
    <w:rsid w:val="007D079B"/>
    <w:rsid w:val="007D18F9"/>
    <w:rsid w:val="007E428A"/>
    <w:rsid w:val="007E5BCE"/>
    <w:rsid w:val="007E6475"/>
    <w:rsid w:val="007F1EBB"/>
    <w:rsid w:val="007F3395"/>
    <w:rsid w:val="007F40D3"/>
    <w:rsid w:val="007F4F57"/>
    <w:rsid w:val="007F725C"/>
    <w:rsid w:val="008000F7"/>
    <w:rsid w:val="00801B9F"/>
    <w:rsid w:val="008027BF"/>
    <w:rsid w:val="008057FD"/>
    <w:rsid w:val="0080604B"/>
    <w:rsid w:val="00806DA9"/>
    <w:rsid w:val="0081014E"/>
    <w:rsid w:val="00812509"/>
    <w:rsid w:val="00812D4D"/>
    <w:rsid w:val="00813A0E"/>
    <w:rsid w:val="008243CD"/>
    <w:rsid w:val="00840C94"/>
    <w:rsid w:val="008433E9"/>
    <w:rsid w:val="00843686"/>
    <w:rsid w:val="00845C96"/>
    <w:rsid w:val="008475F0"/>
    <w:rsid w:val="0085140A"/>
    <w:rsid w:val="00856474"/>
    <w:rsid w:val="00862984"/>
    <w:rsid w:val="00864210"/>
    <w:rsid w:val="00876981"/>
    <w:rsid w:val="00877148"/>
    <w:rsid w:val="00877420"/>
    <w:rsid w:val="00877607"/>
    <w:rsid w:val="00880E27"/>
    <w:rsid w:val="008812AE"/>
    <w:rsid w:val="0088536F"/>
    <w:rsid w:val="008954E1"/>
    <w:rsid w:val="00896D4C"/>
    <w:rsid w:val="008A4751"/>
    <w:rsid w:val="008A4FE7"/>
    <w:rsid w:val="008A5AC9"/>
    <w:rsid w:val="008A5AFE"/>
    <w:rsid w:val="008B14E3"/>
    <w:rsid w:val="008B574F"/>
    <w:rsid w:val="008B5C05"/>
    <w:rsid w:val="008B68D7"/>
    <w:rsid w:val="008B69ED"/>
    <w:rsid w:val="008C1C60"/>
    <w:rsid w:val="008C2F58"/>
    <w:rsid w:val="008C4874"/>
    <w:rsid w:val="008C5A0E"/>
    <w:rsid w:val="008C79BA"/>
    <w:rsid w:val="008D1285"/>
    <w:rsid w:val="008D2C56"/>
    <w:rsid w:val="008D4779"/>
    <w:rsid w:val="008D5BE1"/>
    <w:rsid w:val="008D6ABB"/>
    <w:rsid w:val="008E5A09"/>
    <w:rsid w:val="008E7C62"/>
    <w:rsid w:val="008F56A8"/>
    <w:rsid w:val="0090021E"/>
    <w:rsid w:val="0090074C"/>
    <w:rsid w:val="00902236"/>
    <w:rsid w:val="00904104"/>
    <w:rsid w:val="009064A3"/>
    <w:rsid w:val="00911C31"/>
    <w:rsid w:val="00916734"/>
    <w:rsid w:val="00916FB1"/>
    <w:rsid w:val="00917714"/>
    <w:rsid w:val="00920494"/>
    <w:rsid w:val="00921585"/>
    <w:rsid w:val="009232E9"/>
    <w:rsid w:val="00942965"/>
    <w:rsid w:val="00950286"/>
    <w:rsid w:val="00950A75"/>
    <w:rsid w:val="00951727"/>
    <w:rsid w:val="00951D09"/>
    <w:rsid w:val="00953C47"/>
    <w:rsid w:val="0095489C"/>
    <w:rsid w:val="00955C53"/>
    <w:rsid w:val="009604A7"/>
    <w:rsid w:val="00961F20"/>
    <w:rsid w:val="00962E1B"/>
    <w:rsid w:val="00983FC5"/>
    <w:rsid w:val="009903F3"/>
    <w:rsid w:val="00992437"/>
    <w:rsid w:val="00992C76"/>
    <w:rsid w:val="009A1AF3"/>
    <w:rsid w:val="009A28D2"/>
    <w:rsid w:val="009A5A65"/>
    <w:rsid w:val="009A5F11"/>
    <w:rsid w:val="009B4D3B"/>
    <w:rsid w:val="009B53AA"/>
    <w:rsid w:val="009B7633"/>
    <w:rsid w:val="009C0E3C"/>
    <w:rsid w:val="009C1DE7"/>
    <w:rsid w:val="009C4727"/>
    <w:rsid w:val="009C4FF4"/>
    <w:rsid w:val="009D32A8"/>
    <w:rsid w:val="009D7407"/>
    <w:rsid w:val="009E0866"/>
    <w:rsid w:val="009E438E"/>
    <w:rsid w:val="009F0A71"/>
    <w:rsid w:val="009F5488"/>
    <w:rsid w:val="009F5AFC"/>
    <w:rsid w:val="009F6423"/>
    <w:rsid w:val="00A05495"/>
    <w:rsid w:val="00A061B1"/>
    <w:rsid w:val="00A066DA"/>
    <w:rsid w:val="00A10CE8"/>
    <w:rsid w:val="00A14BCC"/>
    <w:rsid w:val="00A15B4A"/>
    <w:rsid w:val="00A20182"/>
    <w:rsid w:val="00A2364B"/>
    <w:rsid w:val="00A23CAE"/>
    <w:rsid w:val="00A24306"/>
    <w:rsid w:val="00A24A62"/>
    <w:rsid w:val="00A24DEB"/>
    <w:rsid w:val="00A31C9F"/>
    <w:rsid w:val="00A3312F"/>
    <w:rsid w:val="00A35F78"/>
    <w:rsid w:val="00A40718"/>
    <w:rsid w:val="00A4144F"/>
    <w:rsid w:val="00A42A5B"/>
    <w:rsid w:val="00A433BB"/>
    <w:rsid w:val="00A470C9"/>
    <w:rsid w:val="00A47BC6"/>
    <w:rsid w:val="00A520B6"/>
    <w:rsid w:val="00A56F14"/>
    <w:rsid w:val="00A56FC0"/>
    <w:rsid w:val="00A672E5"/>
    <w:rsid w:val="00A70265"/>
    <w:rsid w:val="00A721AC"/>
    <w:rsid w:val="00A75E1E"/>
    <w:rsid w:val="00A80F95"/>
    <w:rsid w:val="00A8197B"/>
    <w:rsid w:val="00A81CF6"/>
    <w:rsid w:val="00A84162"/>
    <w:rsid w:val="00A84C3C"/>
    <w:rsid w:val="00A92CF2"/>
    <w:rsid w:val="00A938DA"/>
    <w:rsid w:val="00A94E8A"/>
    <w:rsid w:val="00AA0B1C"/>
    <w:rsid w:val="00AA3465"/>
    <w:rsid w:val="00AA3F38"/>
    <w:rsid w:val="00AA7BE3"/>
    <w:rsid w:val="00AB2874"/>
    <w:rsid w:val="00AB4A31"/>
    <w:rsid w:val="00AB5E7F"/>
    <w:rsid w:val="00AB640E"/>
    <w:rsid w:val="00AB660C"/>
    <w:rsid w:val="00AC164A"/>
    <w:rsid w:val="00AC3F03"/>
    <w:rsid w:val="00AC4A04"/>
    <w:rsid w:val="00AC5277"/>
    <w:rsid w:val="00AC6AB3"/>
    <w:rsid w:val="00AD06C5"/>
    <w:rsid w:val="00AD27EB"/>
    <w:rsid w:val="00AE0FC7"/>
    <w:rsid w:val="00AE21EC"/>
    <w:rsid w:val="00AE2B01"/>
    <w:rsid w:val="00AE7480"/>
    <w:rsid w:val="00AF0F3F"/>
    <w:rsid w:val="00AF1B85"/>
    <w:rsid w:val="00AF2050"/>
    <w:rsid w:val="00B03CA8"/>
    <w:rsid w:val="00B072B1"/>
    <w:rsid w:val="00B11194"/>
    <w:rsid w:val="00B12980"/>
    <w:rsid w:val="00B12CD4"/>
    <w:rsid w:val="00B17B06"/>
    <w:rsid w:val="00B2259C"/>
    <w:rsid w:val="00B264C4"/>
    <w:rsid w:val="00B32EBD"/>
    <w:rsid w:val="00B331DC"/>
    <w:rsid w:val="00B35FE2"/>
    <w:rsid w:val="00B35FFB"/>
    <w:rsid w:val="00B37BDC"/>
    <w:rsid w:val="00B438D3"/>
    <w:rsid w:val="00B44A41"/>
    <w:rsid w:val="00B46B98"/>
    <w:rsid w:val="00B5159D"/>
    <w:rsid w:val="00B537AD"/>
    <w:rsid w:val="00B55E19"/>
    <w:rsid w:val="00B645C5"/>
    <w:rsid w:val="00B65209"/>
    <w:rsid w:val="00B653C2"/>
    <w:rsid w:val="00B700AD"/>
    <w:rsid w:val="00B717A8"/>
    <w:rsid w:val="00B72965"/>
    <w:rsid w:val="00B744CD"/>
    <w:rsid w:val="00B754C8"/>
    <w:rsid w:val="00B77A4E"/>
    <w:rsid w:val="00B82D6A"/>
    <w:rsid w:val="00B8475C"/>
    <w:rsid w:val="00B907C7"/>
    <w:rsid w:val="00B91BC7"/>
    <w:rsid w:val="00B93CA8"/>
    <w:rsid w:val="00BA2254"/>
    <w:rsid w:val="00BA4B6D"/>
    <w:rsid w:val="00BA59BA"/>
    <w:rsid w:val="00BA65F4"/>
    <w:rsid w:val="00BB26C5"/>
    <w:rsid w:val="00BB2C8D"/>
    <w:rsid w:val="00BB648A"/>
    <w:rsid w:val="00BC276C"/>
    <w:rsid w:val="00BD007E"/>
    <w:rsid w:val="00BD172C"/>
    <w:rsid w:val="00BD207C"/>
    <w:rsid w:val="00BD29CD"/>
    <w:rsid w:val="00BD61F4"/>
    <w:rsid w:val="00BE1BEB"/>
    <w:rsid w:val="00BE3698"/>
    <w:rsid w:val="00BE37FE"/>
    <w:rsid w:val="00BE676D"/>
    <w:rsid w:val="00BF3260"/>
    <w:rsid w:val="00BF4DE6"/>
    <w:rsid w:val="00C00D5D"/>
    <w:rsid w:val="00C00DFF"/>
    <w:rsid w:val="00C0388E"/>
    <w:rsid w:val="00C06BAC"/>
    <w:rsid w:val="00C1321A"/>
    <w:rsid w:val="00C141B9"/>
    <w:rsid w:val="00C156F0"/>
    <w:rsid w:val="00C167CB"/>
    <w:rsid w:val="00C252EE"/>
    <w:rsid w:val="00C26176"/>
    <w:rsid w:val="00C2617F"/>
    <w:rsid w:val="00C30150"/>
    <w:rsid w:val="00C30C80"/>
    <w:rsid w:val="00C32530"/>
    <w:rsid w:val="00C32C70"/>
    <w:rsid w:val="00C33BA3"/>
    <w:rsid w:val="00C35A8D"/>
    <w:rsid w:val="00C35DF2"/>
    <w:rsid w:val="00C42CDE"/>
    <w:rsid w:val="00C42F71"/>
    <w:rsid w:val="00C43749"/>
    <w:rsid w:val="00C43CBA"/>
    <w:rsid w:val="00C446D5"/>
    <w:rsid w:val="00C45B7B"/>
    <w:rsid w:val="00C505EA"/>
    <w:rsid w:val="00C5182A"/>
    <w:rsid w:val="00C523F9"/>
    <w:rsid w:val="00C52817"/>
    <w:rsid w:val="00C53CF5"/>
    <w:rsid w:val="00C56C26"/>
    <w:rsid w:val="00C56C62"/>
    <w:rsid w:val="00C6146E"/>
    <w:rsid w:val="00C6202E"/>
    <w:rsid w:val="00C6293D"/>
    <w:rsid w:val="00C6297B"/>
    <w:rsid w:val="00C639A2"/>
    <w:rsid w:val="00C63EE9"/>
    <w:rsid w:val="00C65BF4"/>
    <w:rsid w:val="00C6626C"/>
    <w:rsid w:val="00C7139B"/>
    <w:rsid w:val="00C73C66"/>
    <w:rsid w:val="00C7496C"/>
    <w:rsid w:val="00C81A25"/>
    <w:rsid w:val="00C81B49"/>
    <w:rsid w:val="00C82A4D"/>
    <w:rsid w:val="00C960B6"/>
    <w:rsid w:val="00C97CBD"/>
    <w:rsid w:val="00CA37B1"/>
    <w:rsid w:val="00CA4C1A"/>
    <w:rsid w:val="00CA7371"/>
    <w:rsid w:val="00CA784B"/>
    <w:rsid w:val="00CB1959"/>
    <w:rsid w:val="00CB3D2A"/>
    <w:rsid w:val="00CC26F6"/>
    <w:rsid w:val="00CC2CF1"/>
    <w:rsid w:val="00CC409D"/>
    <w:rsid w:val="00CC4767"/>
    <w:rsid w:val="00CD0354"/>
    <w:rsid w:val="00CD04C3"/>
    <w:rsid w:val="00CD0E4B"/>
    <w:rsid w:val="00CD1652"/>
    <w:rsid w:val="00CD4E9A"/>
    <w:rsid w:val="00CD5AF1"/>
    <w:rsid w:val="00CD736A"/>
    <w:rsid w:val="00CE0155"/>
    <w:rsid w:val="00CE0588"/>
    <w:rsid w:val="00CE131C"/>
    <w:rsid w:val="00CE2B3E"/>
    <w:rsid w:val="00CE399E"/>
    <w:rsid w:val="00CE3A08"/>
    <w:rsid w:val="00CF084B"/>
    <w:rsid w:val="00CF5329"/>
    <w:rsid w:val="00CF670F"/>
    <w:rsid w:val="00CF6FF5"/>
    <w:rsid w:val="00D00802"/>
    <w:rsid w:val="00D0296C"/>
    <w:rsid w:val="00D061BB"/>
    <w:rsid w:val="00D07966"/>
    <w:rsid w:val="00D143DD"/>
    <w:rsid w:val="00D146A2"/>
    <w:rsid w:val="00D15A00"/>
    <w:rsid w:val="00D15B33"/>
    <w:rsid w:val="00D2078B"/>
    <w:rsid w:val="00D2653F"/>
    <w:rsid w:val="00D26BDD"/>
    <w:rsid w:val="00D270D2"/>
    <w:rsid w:val="00D27D6B"/>
    <w:rsid w:val="00D31178"/>
    <w:rsid w:val="00D342C9"/>
    <w:rsid w:val="00D4022D"/>
    <w:rsid w:val="00D5338E"/>
    <w:rsid w:val="00D53B76"/>
    <w:rsid w:val="00D558A4"/>
    <w:rsid w:val="00D56863"/>
    <w:rsid w:val="00D64BD1"/>
    <w:rsid w:val="00D6511C"/>
    <w:rsid w:val="00D67170"/>
    <w:rsid w:val="00D72760"/>
    <w:rsid w:val="00D901BA"/>
    <w:rsid w:val="00D903D8"/>
    <w:rsid w:val="00D93C2A"/>
    <w:rsid w:val="00D94F2C"/>
    <w:rsid w:val="00D955FD"/>
    <w:rsid w:val="00D95C71"/>
    <w:rsid w:val="00D9715D"/>
    <w:rsid w:val="00DA3605"/>
    <w:rsid w:val="00DA4B22"/>
    <w:rsid w:val="00DB167C"/>
    <w:rsid w:val="00DB182A"/>
    <w:rsid w:val="00DB1F28"/>
    <w:rsid w:val="00DC1064"/>
    <w:rsid w:val="00DC19D2"/>
    <w:rsid w:val="00DD1986"/>
    <w:rsid w:val="00DD1A1F"/>
    <w:rsid w:val="00DD3362"/>
    <w:rsid w:val="00DD3FAF"/>
    <w:rsid w:val="00DD55A0"/>
    <w:rsid w:val="00DD7333"/>
    <w:rsid w:val="00DD78C7"/>
    <w:rsid w:val="00DE0092"/>
    <w:rsid w:val="00DE084C"/>
    <w:rsid w:val="00DE1F8D"/>
    <w:rsid w:val="00DE2AC3"/>
    <w:rsid w:val="00DF0C91"/>
    <w:rsid w:val="00DF3D55"/>
    <w:rsid w:val="00DF55AA"/>
    <w:rsid w:val="00E01C62"/>
    <w:rsid w:val="00E01E95"/>
    <w:rsid w:val="00E02F91"/>
    <w:rsid w:val="00E03968"/>
    <w:rsid w:val="00E048AC"/>
    <w:rsid w:val="00E079EE"/>
    <w:rsid w:val="00E10672"/>
    <w:rsid w:val="00E16155"/>
    <w:rsid w:val="00E17A9A"/>
    <w:rsid w:val="00E23A7E"/>
    <w:rsid w:val="00E245BA"/>
    <w:rsid w:val="00E24E80"/>
    <w:rsid w:val="00E273F7"/>
    <w:rsid w:val="00E342A8"/>
    <w:rsid w:val="00E3522B"/>
    <w:rsid w:val="00E352CE"/>
    <w:rsid w:val="00E357B7"/>
    <w:rsid w:val="00E4390A"/>
    <w:rsid w:val="00E439FD"/>
    <w:rsid w:val="00E44503"/>
    <w:rsid w:val="00E509C9"/>
    <w:rsid w:val="00E50FF0"/>
    <w:rsid w:val="00E53800"/>
    <w:rsid w:val="00E561E5"/>
    <w:rsid w:val="00E6081F"/>
    <w:rsid w:val="00E6119B"/>
    <w:rsid w:val="00E61570"/>
    <w:rsid w:val="00E61A60"/>
    <w:rsid w:val="00E65105"/>
    <w:rsid w:val="00E658DC"/>
    <w:rsid w:val="00E66EE1"/>
    <w:rsid w:val="00E7204C"/>
    <w:rsid w:val="00E74CBF"/>
    <w:rsid w:val="00E750D8"/>
    <w:rsid w:val="00E7724E"/>
    <w:rsid w:val="00E9577E"/>
    <w:rsid w:val="00E96406"/>
    <w:rsid w:val="00EA04B2"/>
    <w:rsid w:val="00EA0E8C"/>
    <w:rsid w:val="00EA16F9"/>
    <w:rsid w:val="00EA20F3"/>
    <w:rsid w:val="00EA5035"/>
    <w:rsid w:val="00EA6E81"/>
    <w:rsid w:val="00EB40BF"/>
    <w:rsid w:val="00EB51F9"/>
    <w:rsid w:val="00EB53A8"/>
    <w:rsid w:val="00EB58F1"/>
    <w:rsid w:val="00ED0B04"/>
    <w:rsid w:val="00ED0C4C"/>
    <w:rsid w:val="00ED10AA"/>
    <w:rsid w:val="00ED11F4"/>
    <w:rsid w:val="00ED1735"/>
    <w:rsid w:val="00ED1CD6"/>
    <w:rsid w:val="00ED1FD0"/>
    <w:rsid w:val="00ED2831"/>
    <w:rsid w:val="00ED3501"/>
    <w:rsid w:val="00ED43D1"/>
    <w:rsid w:val="00ED5F57"/>
    <w:rsid w:val="00ED65FD"/>
    <w:rsid w:val="00ED7886"/>
    <w:rsid w:val="00EE4EE1"/>
    <w:rsid w:val="00EF0B31"/>
    <w:rsid w:val="00EF1BA6"/>
    <w:rsid w:val="00EF26B5"/>
    <w:rsid w:val="00EF4574"/>
    <w:rsid w:val="00EF4AD9"/>
    <w:rsid w:val="00F05B04"/>
    <w:rsid w:val="00F06182"/>
    <w:rsid w:val="00F12CDB"/>
    <w:rsid w:val="00F14132"/>
    <w:rsid w:val="00F16E02"/>
    <w:rsid w:val="00F2335E"/>
    <w:rsid w:val="00F25147"/>
    <w:rsid w:val="00F2609A"/>
    <w:rsid w:val="00F2684E"/>
    <w:rsid w:val="00F27D08"/>
    <w:rsid w:val="00F30714"/>
    <w:rsid w:val="00F3475F"/>
    <w:rsid w:val="00F353E4"/>
    <w:rsid w:val="00F359BE"/>
    <w:rsid w:val="00F36CC2"/>
    <w:rsid w:val="00F36D54"/>
    <w:rsid w:val="00F408DD"/>
    <w:rsid w:val="00F4140A"/>
    <w:rsid w:val="00F42F22"/>
    <w:rsid w:val="00F47335"/>
    <w:rsid w:val="00F50EEF"/>
    <w:rsid w:val="00F51130"/>
    <w:rsid w:val="00F5404C"/>
    <w:rsid w:val="00F565F5"/>
    <w:rsid w:val="00F575CF"/>
    <w:rsid w:val="00F61443"/>
    <w:rsid w:val="00F729EF"/>
    <w:rsid w:val="00F7583B"/>
    <w:rsid w:val="00F77CAE"/>
    <w:rsid w:val="00F808ED"/>
    <w:rsid w:val="00F813BC"/>
    <w:rsid w:val="00F8189A"/>
    <w:rsid w:val="00F81B6E"/>
    <w:rsid w:val="00F821E0"/>
    <w:rsid w:val="00F82271"/>
    <w:rsid w:val="00F83428"/>
    <w:rsid w:val="00F83440"/>
    <w:rsid w:val="00F8366C"/>
    <w:rsid w:val="00F84138"/>
    <w:rsid w:val="00F84330"/>
    <w:rsid w:val="00F86459"/>
    <w:rsid w:val="00F93DED"/>
    <w:rsid w:val="00F96BB9"/>
    <w:rsid w:val="00F96D58"/>
    <w:rsid w:val="00FA3689"/>
    <w:rsid w:val="00FB22A9"/>
    <w:rsid w:val="00FB23FC"/>
    <w:rsid w:val="00FB3B05"/>
    <w:rsid w:val="00FB4F75"/>
    <w:rsid w:val="00FB71B5"/>
    <w:rsid w:val="00FB7539"/>
    <w:rsid w:val="00FC00C7"/>
    <w:rsid w:val="00FC3004"/>
    <w:rsid w:val="00FC48FE"/>
    <w:rsid w:val="00FD393E"/>
    <w:rsid w:val="00FE6D51"/>
    <w:rsid w:val="00FF09F3"/>
    <w:rsid w:val="00FF0C20"/>
    <w:rsid w:val="00FF4775"/>
    <w:rsid w:val="00FF60EE"/>
    <w:rsid w:val="00FF7D0F"/>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E9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8F5"/>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5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aliases w:val="Char Char,Char,ft,single space,footnote text,fn,Footnote Text Char Char Char Char,FOOTNOTES"/>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Char Char Char,Char Char1,ft Char,single space Char,footnote text Char,fn Char,Footnote Text Char Char Char Char Char,FOOTNOTES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Bahnschrift SemiLight" w:hAnsi="Bahnschrift SemiLight"/>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Normal 2,Main numbered paragraph"/>
    <w:basedOn w:val="Normal"/>
    <w:link w:val="ListParagraphChar"/>
    <w:uiPriority w:val="34"/>
    <w:qFormat/>
    <w:rsid w:val="0056004C"/>
    <w:pPr>
      <w:ind w:left="720"/>
      <w:contextualSpacing/>
    </w:pPr>
  </w:style>
  <w:style w:type="character" w:customStyle="1" w:styleId="ListParagraphChar">
    <w:name w:val="List Paragraph Char"/>
    <w:aliases w:val="List Paragraph (numbered (a)) Char,Normal 2 Char,Main numbered paragraph Char"/>
    <w:basedOn w:val="DefaultParagraphFont"/>
    <w:link w:val="ListParagraph"/>
    <w:uiPriority w:val="34"/>
    <w:locked/>
    <w:rsid w:val="0056004C"/>
    <w:rPr>
      <w:color w:val="495965" w:themeColor="text2"/>
      <w:lang w:val="en-GB"/>
    </w:rPr>
  </w:style>
  <w:style w:type="paragraph" w:styleId="CommentText">
    <w:name w:val="annotation text"/>
    <w:basedOn w:val="Normal"/>
    <w:link w:val="CommentTextChar"/>
    <w:uiPriority w:val="99"/>
    <w:unhideWhenUsed/>
    <w:rsid w:val="00FB23FC"/>
    <w:pPr>
      <w:suppressAutoHyphens w:val="0"/>
      <w:spacing w:before="0" w:after="0" w:line="240" w:lineRule="auto"/>
    </w:pPr>
    <w:rPr>
      <w:color w:val="auto"/>
      <w:sz w:val="20"/>
      <w:szCs w:val="20"/>
      <w:lang w:val="fr-FR"/>
    </w:rPr>
  </w:style>
  <w:style w:type="character" w:customStyle="1" w:styleId="CommentTextChar">
    <w:name w:val="Comment Text Char"/>
    <w:basedOn w:val="DefaultParagraphFont"/>
    <w:link w:val="CommentText"/>
    <w:uiPriority w:val="99"/>
    <w:rsid w:val="00FB23FC"/>
    <w:rPr>
      <w:sz w:val="20"/>
      <w:szCs w:val="20"/>
      <w:lang w:val="fr-FR"/>
    </w:rPr>
  </w:style>
  <w:style w:type="character" w:styleId="CommentReference">
    <w:name w:val="annotation reference"/>
    <w:basedOn w:val="DefaultParagraphFont"/>
    <w:uiPriority w:val="99"/>
    <w:semiHidden/>
    <w:unhideWhenUsed/>
    <w:rsid w:val="007D079A"/>
    <w:rPr>
      <w:sz w:val="16"/>
      <w:szCs w:val="16"/>
    </w:rPr>
  </w:style>
  <w:style w:type="paragraph" w:styleId="CommentSubject">
    <w:name w:val="annotation subject"/>
    <w:basedOn w:val="CommentText"/>
    <w:next w:val="CommentText"/>
    <w:link w:val="CommentSubjectChar"/>
    <w:uiPriority w:val="99"/>
    <w:semiHidden/>
    <w:unhideWhenUsed/>
    <w:rsid w:val="007D079A"/>
    <w:pPr>
      <w:suppressAutoHyphens/>
      <w:spacing w:before="120" w:after="60"/>
    </w:pPr>
    <w:rPr>
      <w:b/>
      <w:bCs/>
      <w:color w:val="495965" w:themeColor="text2"/>
      <w:lang w:val="en-GB"/>
    </w:rPr>
  </w:style>
  <w:style w:type="character" w:customStyle="1" w:styleId="CommentSubjectChar">
    <w:name w:val="Comment Subject Char"/>
    <w:basedOn w:val="CommentTextChar"/>
    <w:link w:val="CommentSubject"/>
    <w:uiPriority w:val="99"/>
    <w:semiHidden/>
    <w:rsid w:val="007D079A"/>
    <w:rPr>
      <w:b/>
      <w:bCs/>
      <w:color w:val="495965" w:themeColor="text2"/>
      <w:sz w:val="20"/>
      <w:szCs w:val="20"/>
      <w:lang w:val="en-GB"/>
    </w:rPr>
  </w:style>
  <w:style w:type="paragraph" w:styleId="Revision">
    <w:name w:val="Revision"/>
    <w:hidden/>
    <w:uiPriority w:val="99"/>
    <w:semiHidden/>
    <w:rsid w:val="00075B90"/>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7071">
      <w:bodyDiv w:val="1"/>
      <w:marLeft w:val="0"/>
      <w:marRight w:val="0"/>
      <w:marTop w:val="0"/>
      <w:marBottom w:val="0"/>
      <w:divBdr>
        <w:top w:val="none" w:sz="0" w:space="0" w:color="auto"/>
        <w:left w:val="none" w:sz="0" w:space="0" w:color="auto"/>
        <w:bottom w:val="none" w:sz="0" w:space="0" w:color="auto"/>
        <w:right w:val="none" w:sz="0" w:space="0" w:color="auto"/>
      </w:divBdr>
    </w:div>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310060000">
      <w:bodyDiv w:val="1"/>
      <w:marLeft w:val="0"/>
      <w:marRight w:val="0"/>
      <w:marTop w:val="0"/>
      <w:marBottom w:val="0"/>
      <w:divBdr>
        <w:top w:val="none" w:sz="0" w:space="0" w:color="auto"/>
        <w:left w:val="none" w:sz="0" w:space="0" w:color="auto"/>
        <w:bottom w:val="none" w:sz="0" w:space="0" w:color="auto"/>
        <w:right w:val="none" w:sz="0" w:space="0" w:color="auto"/>
      </w:divBdr>
    </w:div>
    <w:div w:id="352220589">
      <w:bodyDiv w:val="1"/>
      <w:marLeft w:val="0"/>
      <w:marRight w:val="0"/>
      <w:marTop w:val="0"/>
      <w:marBottom w:val="0"/>
      <w:divBdr>
        <w:top w:val="none" w:sz="0" w:space="0" w:color="auto"/>
        <w:left w:val="none" w:sz="0" w:space="0" w:color="auto"/>
        <w:bottom w:val="none" w:sz="0" w:space="0" w:color="auto"/>
        <w:right w:val="none" w:sz="0" w:space="0" w:color="auto"/>
      </w:divBdr>
    </w:div>
    <w:div w:id="510485537">
      <w:bodyDiv w:val="1"/>
      <w:marLeft w:val="0"/>
      <w:marRight w:val="0"/>
      <w:marTop w:val="0"/>
      <w:marBottom w:val="0"/>
      <w:divBdr>
        <w:top w:val="none" w:sz="0" w:space="0" w:color="auto"/>
        <w:left w:val="none" w:sz="0" w:space="0" w:color="auto"/>
        <w:bottom w:val="none" w:sz="0" w:space="0" w:color="auto"/>
        <w:right w:val="none" w:sz="0" w:space="0" w:color="auto"/>
      </w:divBdr>
    </w:div>
    <w:div w:id="618148170">
      <w:bodyDiv w:val="1"/>
      <w:marLeft w:val="0"/>
      <w:marRight w:val="0"/>
      <w:marTop w:val="0"/>
      <w:marBottom w:val="0"/>
      <w:divBdr>
        <w:top w:val="none" w:sz="0" w:space="0" w:color="auto"/>
        <w:left w:val="none" w:sz="0" w:space="0" w:color="auto"/>
        <w:bottom w:val="none" w:sz="0" w:space="0" w:color="auto"/>
        <w:right w:val="none" w:sz="0" w:space="0" w:color="auto"/>
      </w:divBdr>
    </w:div>
    <w:div w:id="747267618">
      <w:bodyDiv w:val="1"/>
      <w:marLeft w:val="0"/>
      <w:marRight w:val="0"/>
      <w:marTop w:val="0"/>
      <w:marBottom w:val="0"/>
      <w:divBdr>
        <w:top w:val="none" w:sz="0" w:space="0" w:color="auto"/>
        <w:left w:val="none" w:sz="0" w:space="0" w:color="auto"/>
        <w:bottom w:val="none" w:sz="0" w:space="0" w:color="auto"/>
        <w:right w:val="none" w:sz="0" w:space="0" w:color="auto"/>
      </w:divBdr>
    </w:div>
    <w:div w:id="1042439071">
      <w:bodyDiv w:val="1"/>
      <w:marLeft w:val="0"/>
      <w:marRight w:val="0"/>
      <w:marTop w:val="0"/>
      <w:marBottom w:val="0"/>
      <w:divBdr>
        <w:top w:val="none" w:sz="0" w:space="0" w:color="auto"/>
        <w:left w:val="none" w:sz="0" w:space="0" w:color="auto"/>
        <w:bottom w:val="none" w:sz="0" w:space="0" w:color="auto"/>
        <w:right w:val="none" w:sz="0" w:space="0" w:color="auto"/>
      </w:divBdr>
    </w:div>
    <w:div w:id="1418164277">
      <w:bodyDiv w:val="1"/>
      <w:marLeft w:val="0"/>
      <w:marRight w:val="0"/>
      <w:marTop w:val="0"/>
      <w:marBottom w:val="0"/>
      <w:divBdr>
        <w:top w:val="none" w:sz="0" w:space="0" w:color="auto"/>
        <w:left w:val="none" w:sz="0" w:space="0" w:color="auto"/>
        <w:bottom w:val="none" w:sz="0" w:space="0" w:color="auto"/>
        <w:right w:val="none" w:sz="0" w:space="0" w:color="auto"/>
      </w:divBdr>
    </w:div>
    <w:div w:id="1443190476">
      <w:bodyDiv w:val="1"/>
      <w:marLeft w:val="0"/>
      <w:marRight w:val="0"/>
      <w:marTop w:val="0"/>
      <w:marBottom w:val="0"/>
      <w:divBdr>
        <w:top w:val="none" w:sz="0" w:space="0" w:color="auto"/>
        <w:left w:val="none" w:sz="0" w:space="0" w:color="auto"/>
        <w:bottom w:val="none" w:sz="0" w:space="0" w:color="auto"/>
        <w:right w:val="none" w:sz="0" w:space="0" w:color="auto"/>
      </w:divBdr>
    </w:div>
    <w:div w:id="1464883246">
      <w:bodyDiv w:val="1"/>
      <w:marLeft w:val="0"/>
      <w:marRight w:val="0"/>
      <w:marTop w:val="0"/>
      <w:marBottom w:val="0"/>
      <w:divBdr>
        <w:top w:val="none" w:sz="0" w:space="0" w:color="auto"/>
        <w:left w:val="none" w:sz="0" w:space="0" w:color="auto"/>
        <w:bottom w:val="none" w:sz="0" w:space="0" w:color="auto"/>
        <w:right w:val="none" w:sz="0" w:space="0" w:color="auto"/>
      </w:divBdr>
    </w:div>
    <w:div w:id="1554197821">
      <w:bodyDiv w:val="1"/>
      <w:marLeft w:val="0"/>
      <w:marRight w:val="0"/>
      <w:marTop w:val="0"/>
      <w:marBottom w:val="0"/>
      <w:divBdr>
        <w:top w:val="none" w:sz="0" w:space="0" w:color="auto"/>
        <w:left w:val="none" w:sz="0" w:space="0" w:color="auto"/>
        <w:bottom w:val="none" w:sz="0" w:space="0" w:color="auto"/>
        <w:right w:val="none" w:sz="0" w:space="0" w:color="auto"/>
      </w:divBdr>
    </w:div>
    <w:div w:id="1673340027">
      <w:bodyDiv w:val="1"/>
      <w:marLeft w:val="0"/>
      <w:marRight w:val="0"/>
      <w:marTop w:val="0"/>
      <w:marBottom w:val="0"/>
      <w:divBdr>
        <w:top w:val="none" w:sz="0" w:space="0" w:color="auto"/>
        <w:left w:val="none" w:sz="0" w:space="0" w:color="auto"/>
        <w:bottom w:val="none" w:sz="0" w:space="0" w:color="auto"/>
        <w:right w:val="none" w:sz="0" w:space="0" w:color="auto"/>
      </w:divBdr>
    </w:div>
    <w:div w:id="1752962987">
      <w:bodyDiv w:val="1"/>
      <w:marLeft w:val="0"/>
      <w:marRight w:val="0"/>
      <w:marTop w:val="0"/>
      <w:marBottom w:val="0"/>
      <w:divBdr>
        <w:top w:val="none" w:sz="0" w:space="0" w:color="auto"/>
        <w:left w:val="none" w:sz="0" w:space="0" w:color="auto"/>
        <w:bottom w:val="none" w:sz="0" w:space="0" w:color="auto"/>
        <w:right w:val="none" w:sz="0" w:space="0" w:color="auto"/>
      </w:divBdr>
    </w:div>
    <w:div w:id="1775245128">
      <w:bodyDiv w:val="1"/>
      <w:marLeft w:val="0"/>
      <w:marRight w:val="0"/>
      <w:marTop w:val="0"/>
      <w:marBottom w:val="0"/>
      <w:divBdr>
        <w:top w:val="none" w:sz="0" w:space="0" w:color="auto"/>
        <w:left w:val="none" w:sz="0" w:space="0" w:color="auto"/>
        <w:bottom w:val="none" w:sz="0" w:space="0" w:color="auto"/>
        <w:right w:val="none" w:sz="0" w:space="0" w:color="auto"/>
      </w:divBdr>
    </w:div>
    <w:div w:id="1913195456">
      <w:bodyDiv w:val="1"/>
      <w:marLeft w:val="0"/>
      <w:marRight w:val="0"/>
      <w:marTop w:val="0"/>
      <w:marBottom w:val="0"/>
      <w:divBdr>
        <w:top w:val="none" w:sz="0" w:space="0" w:color="auto"/>
        <w:left w:val="none" w:sz="0" w:space="0" w:color="auto"/>
        <w:bottom w:val="none" w:sz="0" w:space="0" w:color="auto"/>
        <w:right w:val="none" w:sz="0" w:space="0" w:color="auto"/>
      </w:divBdr>
    </w:div>
    <w:div w:id="199579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hyperlink" Target="http://www.dfat.gov.au/" TargetMode="Externa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jpe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pn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customXml" Target="../customXml/item4.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D24EC6-F2E5-463B-B930-7897F48607B9}"/>
</file>

<file path=customXml/itemProps2.xml><?xml version="1.0" encoding="utf-8"?>
<ds:datastoreItem xmlns:ds="http://schemas.openxmlformats.org/officeDocument/2006/customXml" ds:itemID="{114A7C38-6452-4F39-B162-B699792F8E2D}"/>
</file>

<file path=customXml/itemProps3.xml><?xml version="1.0" encoding="utf-8"?>
<ds:datastoreItem xmlns:ds="http://schemas.openxmlformats.org/officeDocument/2006/customXml" ds:itemID="{B432C2D5-0FDB-4045-B5A1-B06DBB162B61}"/>
</file>

<file path=customXml/itemProps4.xml><?xml version="1.0" encoding="utf-8"?>
<ds:datastoreItem xmlns:ds="http://schemas.openxmlformats.org/officeDocument/2006/customXml" ds:itemID="{082F68F2-18DD-4B5E-8CFD-F8AC69EC70FA}"/>
</file>

<file path=docProps/app.xml><?xml version="1.0" encoding="utf-8"?>
<Properties xmlns="http://schemas.openxmlformats.org/officeDocument/2006/extended-properties" xmlns:vt="http://schemas.openxmlformats.org/officeDocument/2006/docPropsVTypes">
  <Template>Normal.dotm</Template>
  <TotalTime>0</TotalTime>
  <Pages>19</Pages>
  <Words>6520</Words>
  <Characters>37886</Characters>
  <Application>Microsoft Office Word</Application>
  <DocSecurity>0</DocSecurity>
  <Lines>971</Lines>
  <Paragraphs>467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2019-09-20T00:20:00Z</dcterms:created>
  <dcterms:modified xsi:type="dcterms:W3CDTF">2019-09-20T00:20:00Z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9994214f-7271-45c5-ac75-5b6b84acbaf0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1263000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