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C2DF3" w14:textId="6ED3099C" w:rsidR="00105BC8" w:rsidRPr="00031E7B" w:rsidRDefault="00105BC8" w:rsidP="00105BC8">
      <w:pPr>
        <w:pStyle w:val="Title"/>
        <w:spacing w:after="2000"/>
        <w:ind w:left="2693" w:right="-624"/>
      </w:pPr>
      <w:bookmarkStart w:id="0" w:name="_GoBack"/>
      <w:bookmarkEnd w:id="0"/>
      <w:r>
        <w:rPr>
          <w:lang w:val="en-AU" w:eastAsia="en-AU"/>
        </w:rPr>
        <w:drawing>
          <wp:anchor distT="0" distB="0" distL="114300" distR="114300" simplePos="0" relativeHeight="251667456" behindDoc="1" locked="0" layoutInCell="1" allowOverlap="1" wp14:anchorId="3E245E9C" wp14:editId="144E5234">
            <wp:simplePos x="0" y="0"/>
            <wp:positionH relativeFrom="column">
              <wp:posOffset>-2806065</wp:posOffset>
            </wp:positionH>
            <wp:positionV relativeFrom="paragraph">
              <wp:posOffset>-967105</wp:posOffset>
            </wp:positionV>
            <wp:extent cx="18392604" cy="1080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2-(25Feb2014)-ReportFront.wmf"/>
                    <pic:cNvPicPr/>
                  </pic:nvPicPr>
                  <pic:blipFill>
                    <a:blip r:embed="rId16">
                      <a:extLst>
                        <a:ext uri="{28A0092B-C50C-407E-A947-70E740481C1C}">
                          <a14:useLocalDpi xmlns:a14="http://schemas.microsoft.com/office/drawing/2010/main" val="0"/>
                        </a:ext>
                      </a:extLst>
                    </a:blip>
                    <a:stretch>
                      <a:fillRect/>
                    </a:stretch>
                  </pic:blipFill>
                  <pic:spPr>
                    <a:xfrm>
                      <a:off x="0" y="0"/>
                      <a:ext cx="18392604" cy="10800000"/>
                    </a:xfrm>
                    <a:prstGeom prst="rect">
                      <a:avLst/>
                    </a:prstGeom>
                  </pic:spPr>
                </pic:pic>
              </a:graphicData>
            </a:graphic>
            <wp14:sizeRelH relativeFrom="page">
              <wp14:pctWidth>0</wp14:pctWidth>
            </wp14:sizeRelH>
            <wp14:sizeRelV relativeFrom="page">
              <wp14:pctHeight>0</wp14:pctHeight>
            </wp14:sizeRelV>
          </wp:anchor>
        </w:drawing>
      </w:r>
      <w:r>
        <w:t>Learning from Australian aid operational evaluations</w:t>
      </w:r>
    </w:p>
    <w:p w14:paraId="73D16E46" w14:textId="77777777" w:rsidR="00AA271E" w:rsidRDefault="00AA271E" w:rsidP="00105BC8">
      <w:pPr>
        <w:pStyle w:val="Subtitle"/>
        <w:ind w:left="2694" w:right="-624"/>
      </w:pPr>
    </w:p>
    <w:p w14:paraId="662B8D3B" w14:textId="77777777" w:rsidR="00105BC8" w:rsidRPr="00031E7B" w:rsidRDefault="00105BC8" w:rsidP="00105BC8">
      <w:pPr>
        <w:pStyle w:val="Subtitle"/>
        <w:ind w:left="2694" w:right="-624"/>
      </w:pPr>
      <w:r>
        <w:t>Office of Development Effectiveness</w:t>
      </w:r>
    </w:p>
    <w:p w14:paraId="7B494501" w14:textId="093EB9FE" w:rsidR="00C27D79" w:rsidRDefault="000671BE" w:rsidP="00105BC8">
      <w:pPr>
        <w:pStyle w:val="Date"/>
        <w:spacing w:before="200" w:after="600" w:line="380" w:lineRule="atLeast"/>
        <w:ind w:left="2694" w:right="-624"/>
        <w:sectPr w:rsidR="00C27D79" w:rsidSect="001706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560" w:right="1440" w:bottom="1440" w:left="1440" w:header="576" w:footer="576" w:gutter="0"/>
          <w:pgNumType w:fmt="lowerRoman"/>
          <w:cols w:space="720"/>
          <w:titlePg/>
        </w:sectPr>
      </w:pPr>
      <w:r>
        <w:rPr>
          <w:rFonts w:ascii="Helvetica" w:hAnsi="Helvetica"/>
          <w:i/>
          <w:iCs/>
          <w:caps w:val="0"/>
          <w:noProof/>
          <w:color w:val="FFFFFF"/>
          <w:sz w:val="32"/>
          <w:szCs w:val="32"/>
          <w:lang w:val="en-US" w:eastAsia="en-US"/>
        </w:rPr>
        <w:t>June</w:t>
      </w:r>
      <w:r w:rsidR="003C3A2F">
        <w:rPr>
          <w:rFonts w:ascii="Helvetica" w:hAnsi="Helvetica"/>
          <w:i/>
          <w:iCs/>
          <w:caps w:val="0"/>
          <w:noProof/>
          <w:color w:val="FFFFFF"/>
          <w:sz w:val="32"/>
          <w:szCs w:val="32"/>
          <w:lang w:val="en-US" w:eastAsia="en-US"/>
        </w:rPr>
        <w:t xml:space="preserve"> </w:t>
      </w:r>
      <w:r w:rsidR="00105BC8" w:rsidRPr="00105BC8">
        <w:rPr>
          <w:rFonts w:ascii="Helvetica" w:hAnsi="Helvetica"/>
          <w:i/>
          <w:iCs/>
          <w:caps w:val="0"/>
          <w:noProof/>
          <w:color w:val="FFFFFF"/>
          <w:sz w:val="32"/>
          <w:szCs w:val="32"/>
          <w:lang w:val="en-US" w:eastAsia="en-US"/>
        </w:rPr>
        <w:t>2014</w:t>
      </w:r>
    </w:p>
    <w:p w14:paraId="720159ED" w14:textId="77777777" w:rsidR="00D92520" w:rsidRDefault="00D92520" w:rsidP="00D92520">
      <w:pPr>
        <w:pStyle w:val="ImprintText"/>
      </w:pPr>
      <w:r w:rsidRPr="002D0691">
        <w:lastRenderedPageBreak/>
        <w:t xml:space="preserve">© Commonwealth of </w:t>
      </w:r>
      <w:r w:rsidRPr="00D92520">
        <w:t>Australia 2014</w:t>
      </w:r>
    </w:p>
    <w:p w14:paraId="38E3DD46" w14:textId="179D6567" w:rsidR="00D92520" w:rsidRDefault="00D92520" w:rsidP="00D92520">
      <w:pPr>
        <w:pStyle w:val="ImprintText"/>
        <w:rPr>
          <w:noProof/>
        </w:rPr>
      </w:pPr>
      <w:r w:rsidRPr="006D46DB">
        <w:rPr>
          <w:rStyle w:val="Strong"/>
        </w:rPr>
        <w:t>ISBN</w:t>
      </w:r>
      <w:r w:rsidRPr="00D0393C">
        <w:rPr>
          <w:noProof/>
        </w:rPr>
        <w:t xml:space="preserve"> </w:t>
      </w:r>
      <w:r w:rsidR="004F2D3F" w:rsidRPr="004F2D3F">
        <w:rPr>
          <w:noProof/>
        </w:rPr>
        <w:t>978-0-9874848-3-3</w:t>
      </w:r>
      <w:r w:rsidRPr="008E7482">
        <w:rPr>
          <w:noProof/>
        </w:rPr>
        <w:t> </w:t>
      </w:r>
    </w:p>
    <w:p w14:paraId="18AC89CB" w14:textId="27B4EFBF" w:rsidR="00D92520" w:rsidRDefault="00D92520" w:rsidP="00D92520">
      <w:pPr>
        <w:pStyle w:val="ImprintText"/>
        <w:rPr>
          <w:noProof/>
        </w:rPr>
      </w:pPr>
      <w:r w:rsidRPr="0035342F">
        <w:rPr>
          <w:noProof/>
        </w:rPr>
        <w:t>With the exception of the Commonwealth Coat of Arms and where otherwise noted all material presented in this document is provided under a Creative Commons Attribution 3.0 Australia (</w:t>
      </w:r>
      <w:hyperlink r:id="rId23" w:history="1">
        <w:r w:rsidRPr="00F3023B">
          <w:rPr>
            <w:rStyle w:val="Hyperlink"/>
            <w:noProof/>
          </w:rPr>
          <w:t>http://creativecommons.org/licenses/by/3.0/au/</w:t>
        </w:r>
      </w:hyperlink>
      <w:r w:rsidRPr="0035342F">
        <w:rPr>
          <w:noProof/>
        </w:rPr>
        <w:t>) licence. The details of the relevant licence conditions are available on the Creative Commons website (accessible using the links provided) as is the full legal code for the CC BY 3.0 AU licence (</w:t>
      </w:r>
      <w:hyperlink r:id="rId24" w:history="1">
        <w:r w:rsidRPr="00F3023B">
          <w:rPr>
            <w:rStyle w:val="Hyperlink"/>
            <w:noProof/>
          </w:rPr>
          <w:t>http://creativecommons.org/licenses/by/3.0/au/legalcode</w:t>
        </w:r>
      </w:hyperlink>
      <w:r w:rsidRPr="0035342F">
        <w:rPr>
          <w:noProof/>
        </w:rPr>
        <w:t xml:space="preserve">). The document must be attributed as </w:t>
      </w:r>
      <w:r w:rsidRPr="00D92520">
        <w:rPr>
          <w:i/>
          <w:noProof/>
        </w:rPr>
        <w:t>Learning from Australian aid operational evaluations</w:t>
      </w:r>
      <w:r w:rsidRPr="0035342F">
        <w:rPr>
          <w:noProof/>
        </w:rPr>
        <w:t>.</w:t>
      </w:r>
    </w:p>
    <w:p w14:paraId="2E2EEF8A" w14:textId="77777777" w:rsidR="00D92520" w:rsidRDefault="00D92520" w:rsidP="00D92520">
      <w:pPr>
        <w:pStyle w:val="ImprintText"/>
      </w:pPr>
      <w:r>
        <w:t>Published by the Department of Foreign Affairs and Trade, Canberra</w:t>
      </w:r>
      <w:r w:rsidRPr="00D92520">
        <w:t>, 2014.</w:t>
      </w:r>
    </w:p>
    <w:p w14:paraId="59A83CD9" w14:textId="77777777" w:rsidR="00D92520" w:rsidRDefault="00D92520" w:rsidP="00D92520">
      <w:pPr>
        <w:pStyle w:val="ImprintText"/>
      </w:pPr>
      <w:r>
        <w:t xml:space="preserve">This document is online at </w:t>
      </w:r>
      <w:hyperlink r:id="rId25" w:history="1">
        <w:r w:rsidRPr="00525F64">
          <w:rPr>
            <w:rStyle w:val="Hyperlink"/>
          </w:rPr>
          <w:t>www.ode.dfat.gov.au</w:t>
        </w:r>
      </w:hyperlink>
    </w:p>
    <w:p w14:paraId="2633481F" w14:textId="77777777" w:rsidR="00D92520" w:rsidRPr="000E6E21" w:rsidRDefault="00D92520" w:rsidP="00D92520">
      <w:pPr>
        <w:pStyle w:val="ImprintText"/>
      </w:pPr>
      <w:r w:rsidRPr="004E78D0">
        <w:rPr>
          <w:rStyle w:val="Strong"/>
        </w:rPr>
        <w:t>Disclaimer</w:t>
      </w:r>
      <w:r w:rsidRPr="000E6E21">
        <w:t xml:space="preserve">: The views contained in this report do not necessarily represent those of the Australian Government. </w:t>
      </w:r>
    </w:p>
    <w:p w14:paraId="18628755" w14:textId="77777777" w:rsidR="00D92520" w:rsidRDefault="00D92520" w:rsidP="00D92520">
      <w:pPr>
        <w:pStyle w:val="ImprintText"/>
      </w:pPr>
      <w:r>
        <w:t>For further information, contact:</w:t>
      </w:r>
    </w:p>
    <w:p w14:paraId="16EE98F4" w14:textId="77777777" w:rsidR="00D92520" w:rsidRPr="002D0691" w:rsidRDefault="00D92520" w:rsidP="00D92520">
      <w:pPr>
        <w:pStyle w:val="ImprintText"/>
      </w:pPr>
      <w:r>
        <w:t>Office of Development Effectiveness</w:t>
      </w:r>
      <w:r>
        <w:br/>
        <w:t xml:space="preserve">Department of Foreign Affairs and Trade </w:t>
      </w:r>
      <w:r>
        <w:br/>
        <w:t>GPO Box 887</w:t>
      </w:r>
      <w:r>
        <w:br/>
        <w:t>Canberra ACT 2601</w:t>
      </w:r>
      <w:r>
        <w:br/>
        <w:t>Phone</w:t>
      </w:r>
      <w:r>
        <w:tab/>
      </w:r>
      <w:r>
        <w:tab/>
        <w:t>(02) 6178 4000</w:t>
      </w:r>
      <w:r>
        <w:br/>
        <w:t>Facsimile</w:t>
      </w:r>
      <w:r>
        <w:tab/>
        <w:t>(02) 6178 6076</w:t>
      </w:r>
      <w:r>
        <w:br/>
        <w:t>Internet</w:t>
      </w:r>
      <w:r>
        <w:tab/>
      </w:r>
      <w:r>
        <w:tab/>
      </w:r>
      <w:hyperlink r:id="rId26" w:history="1">
        <w:r w:rsidRPr="00F3023B">
          <w:rPr>
            <w:rStyle w:val="Hyperlink"/>
          </w:rPr>
          <w:t>www.ode.dfat.gov.au</w:t>
        </w:r>
      </w:hyperlink>
    </w:p>
    <w:p w14:paraId="30B98E8A" w14:textId="77777777" w:rsidR="00401114" w:rsidRDefault="00401114" w:rsidP="00401114">
      <w:pPr>
        <w:pStyle w:val="ImprintText"/>
      </w:pPr>
    </w:p>
    <w:p w14:paraId="599E0CBD" w14:textId="77777777" w:rsidR="00401114" w:rsidRDefault="00401114" w:rsidP="00401114">
      <w:pPr>
        <w:pStyle w:val="ImprintText"/>
      </w:pPr>
    </w:p>
    <w:p w14:paraId="1F5B88E0" w14:textId="77777777" w:rsidR="00401114" w:rsidRDefault="00401114" w:rsidP="00401114">
      <w:pPr>
        <w:pStyle w:val="ImprintText"/>
      </w:pPr>
    </w:p>
    <w:p w14:paraId="159EC787" w14:textId="77777777" w:rsidR="00401114" w:rsidRDefault="00401114" w:rsidP="00401114">
      <w:pPr>
        <w:pStyle w:val="ImprintText"/>
      </w:pPr>
    </w:p>
    <w:p w14:paraId="07594AD5" w14:textId="77777777" w:rsidR="00401114" w:rsidRDefault="00401114" w:rsidP="00401114">
      <w:pPr>
        <w:pStyle w:val="ImprintText"/>
      </w:pPr>
    </w:p>
    <w:p w14:paraId="0798771E" w14:textId="77777777" w:rsidR="00401114" w:rsidRDefault="00401114" w:rsidP="00401114">
      <w:pPr>
        <w:pStyle w:val="ImprintText"/>
      </w:pPr>
    </w:p>
    <w:p w14:paraId="60B96AF6" w14:textId="77777777" w:rsidR="00741E07" w:rsidRDefault="00741E07" w:rsidP="00401114">
      <w:pPr>
        <w:pStyle w:val="ImprintText"/>
      </w:pPr>
    </w:p>
    <w:p w14:paraId="7F1E740A" w14:textId="77777777" w:rsidR="00401114" w:rsidRDefault="00401114" w:rsidP="00401114">
      <w:pPr>
        <w:pStyle w:val="ImprintText"/>
      </w:pPr>
    </w:p>
    <w:p w14:paraId="4E56A209" w14:textId="77777777" w:rsidR="00401114" w:rsidRDefault="00401114" w:rsidP="00401114">
      <w:pPr>
        <w:pStyle w:val="ImprintText"/>
      </w:pPr>
    </w:p>
    <w:p w14:paraId="1A9E3814" w14:textId="77777777" w:rsidR="00401114" w:rsidRDefault="00401114" w:rsidP="00401114">
      <w:pPr>
        <w:pStyle w:val="ImprintText"/>
      </w:pPr>
    </w:p>
    <w:p w14:paraId="3F510599" w14:textId="77777777" w:rsidR="00401114" w:rsidRDefault="00401114" w:rsidP="00401114">
      <w:pPr>
        <w:pStyle w:val="ImprintText"/>
      </w:pPr>
    </w:p>
    <w:p w14:paraId="22509EDE" w14:textId="77777777" w:rsidR="00401114" w:rsidRPr="00BE3345" w:rsidRDefault="00401114" w:rsidP="00401114">
      <w:pPr>
        <w:pStyle w:val="BoxHeading"/>
      </w:pPr>
      <w:r w:rsidRPr="00BE3345">
        <w:t>Office of Development Effectiveness</w:t>
      </w:r>
    </w:p>
    <w:p w14:paraId="09EB6DCA" w14:textId="77777777" w:rsidR="00401114" w:rsidRPr="00BE3345" w:rsidRDefault="00401114" w:rsidP="00401114">
      <w:pPr>
        <w:pStyle w:val="BoxText"/>
      </w:pPr>
      <w:r w:rsidRPr="00BE3345">
        <w:t xml:space="preserve">The Office of Development Effectiveness (ODE) at the Department of Foreign Affairs and Trade builds stronger evidence for more effective aid. ODE monitors the performance of the Australian aid program, evaluates its impact and contributes to international evidence and debate about aid and development effectiveness. </w:t>
      </w:r>
    </w:p>
    <w:p w14:paraId="27DF8845" w14:textId="77777777" w:rsidR="00401114" w:rsidRPr="00BE3345" w:rsidRDefault="00401114" w:rsidP="00401114">
      <w:pPr>
        <w:pStyle w:val="BoxText"/>
      </w:pPr>
      <w:r w:rsidRPr="00BE3345">
        <w:t xml:space="preserve">Visit ODE at </w:t>
      </w:r>
      <w:hyperlink r:id="rId27" w:history="1">
        <w:r w:rsidRPr="00BE3345">
          <w:rPr>
            <w:rStyle w:val="Hyperlink"/>
          </w:rPr>
          <w:t>www.ode.dfat.gov.au</w:t>
        </w:r>
      </w:hyperlink>
    </w:p>
    <w:p w14:paraId="457B8726" w14:textId="77777777" w:rsidR="00401114" w:rsidRPr="00BE3345" w:rsidRDefault="00401114" w:rsidP="00401114">
      <w:pPr>
        <w:pStyle w:val="BoxHeading"/>
      </w:pPr>
      <w:r w:rsidRPr="00BE3345">
        <w:t>Independent Evaluation Committee</w:t>
      </w:r>
    </w:p>
    <w:p w14:paraId="2EFC8C9B" w14:textId="77777777" w:rsidR="00401114" w:rsidRPr="00BE3345" w:rsidRDefault="00401114" w:rsidP="00401114">
      <w:pPr>
        <w:pStyle w:val="BoxText"/>
      </w:pPr>
      <w:r w:rsidRPr="00BE3345">
        <w:t xml:space="preserve">The Independent Evaluation Committee (IEC) was established in mid-2012 to strengthen the independence and credibility of the work of the </w:t>
      </w:r>
      <w:r>
        <w:t>ODE. It provides independent expert evaluation advice to improve ODE’s work in planning, commissioning, managing and delivering a high-quality evaluation program.</w:t>
      </w:r>
    </w:p>
    <w:p w14:paraId="66D5E5EA" w14:textId="77777777" w:rsidR="00401114" w:rsidRDefault="00401114">
      <w:pPr>
        <w:spacing w:before="0" w:after="0" w:line="240" w:lineRule="auto"/>
      </w:pPr>
    </w:p>
    <w:p w14:paraId="1CE59367" w14:textId="77777777" w:rsidR="00401114" w:rsidRDefault="00401114">
      <w:pPr>
        <w:spacing w:before="0" w:after="0" w:line="240" w:lineRule="auto"/>
        <w:sectPr w:rsidR="00401114" w:rsidSect="001706F3">
          <w:headerReference w:type="first" r:id="rId28"/>
          <w:footnotePr>
            <w:numRestart w:val="eachSect"/>
          </w:footnotePr>
          <w:pgSz w:w="11906" w:h="16838" w:code="9"/>
          <w:pgMar w:top="1440" w:right="1440" w:bottom="1440" w:left="1440" w:header="576" w:footer="576" w:gutter="0"/>
          <w:pgNumType w:fmt="lowerRoman"/>
          <w:cols w:space="720"/>
          <w:titlePg/>
        </w:sectPr>
      </w:pPr>
    </w:p>
    <w:p w14:paraId="187F3941" w14:textId="77777777" w:rsidR="00453CAC" w:rsidRPr="00401114" w:rsidRDefault="00453CAC" w:rsidP="00401114">
      <w:pPr>
        <w:pStyle w:val="SectionTitle"/>
        <w:pageBreakBefore/>
        <w:rPr>
          <w:rFonts w:ascii="Arial" w:hAnsi="Arial"/>
          <w:color w:val="124486"/>
          <w:sz w:val="50"/>
        </w:rPr>
      </w:pPr>
      <w:bookmarkStart w:id="1" w:name="_Toc370827871"/>
      <w:bookmarkStart w:id="2" w:name="_Toc370827921"/>
      <w:bookmarkStart w:id="3" w:name="_Toc372723817"/>
      <w:bookmarkStart w:id="4" w:name="_Toc373304192"/>
      <w:bookmarkStart w:id="5" w:name="_Toc378059966"/>
      <w:bookmarkStart w:id="6" w:name="_Toc387394583"/>
      <w:r w:rsidRPr="00401114">
        <w:rPr>
          <w:rFonts w:ascii="Arial" w:hAnsi="Arial"/>
          <w:color w:val="124486"/>
          <w:sz w:val="50"/>
        </w:rPr>
        <w:lastRenderedPageBreak/>
        <w:t>Foreword</w:t>
      </w:r>
      <w:bookmarkEnd w:id="1"/>
      <w:bookmarkEnd w:id="2"/>
      <w:bookmarkEnd w:id="3"/>
      <w:bookmarkEnd w:id="4"/>
      <w:bookmarkEnd w:id="5"/>
      <w:bookmarkEnd w:id="6"/>
    </w:p>
    <w:p w14:paraId="4E04E1F0" w14:textId="66F0246E" w:rsidR="00714CD1" w:rsidRDefault="00714CD1" w:rsidP="00D6418B">
      <w:r>
        <w:t xml:space="preserve">After a long career in development, I am a firm believer in the importance of continuously learning from </w:t>
      </w:r>
      <w:r w:rsidR="00C25BC1">
        <w:t xml:space="preserve">experience </w:t>
      </w:r>
      <w:r>
        <w:t>and improving our development efforts.</w:t>
      </w:r>
      <w:r w:rsidR="00670092">
        <w:t xml:space="preserve"> </w:t>
      </w:r>
      <w:r>
        <w:t xml:space="preserve">As current Chair of the Independent Evaluation Committee for DFAT’s Office of Development Effectiveness, I have a direct interest in promoting </w:t>
      </w:r>
      <w:r w:rsidR="00C25BC1">
        <w:t>good quality evaluation</w:t>
      </w:r>
      <w:r>
        <w:t>.</w:t>
      </w:r>
    </w:p>
    <w:p w14:paraId="788A5424" w14:textId="2F0D6018" w:rsidR="00714CD1" w:rsidRDefault="00714CD1" w:rsidP="007D0F30">
      <w:r>
        <w:t xml:space="preserve">The challenge with all evaluations is to ensure that they are </w:t>
      </w:r>
      <w:r w:rsidR="00C25BC1">
        <w:t>used</w:t>
      </w:r>
      <w:r>
        <w:t xml:space="preserve"> to inform learning </w:t>
      </w:r>
      <w:r w:rsidR="00C9213C">
        <w:t xml:space="preserve">and </w:t>
      </w:r>
      <w:r>
        <w:t>decision-making.</w:t>
      </w:r>
      <w:r w:rsidR="00670092">
        <w:t xml:space="preserve"> </w:t>
      </w:r>
      <w:r>
        <w:t xml:space="preserve">Evaluations also </w:t>
      </w:r>
      <w:r w:rsidR="00C25BC1">
        <w:t>promote</w:t>
      </w:r>
      <w:r>
        <w:t xml:space="preserve"> accountability, particularly over public spending.</w:t>
      </w:r>
      <w:r w:rsidR="00670092">
        <w:t xml:space="preserve"> </w:t>
      </w:r>
      <w:r>
        <w:t>Too many evaluations end up as little-read documents</w:t>
      </w:r>
      <w:r w:rsidR="00FE6E77">
        <w:t xml:space="preserve">, </w:t>
      </w:r>
      <w:r>
        <w:t>even though they may offer the opportunity of rich learning.</w:t>
      </w:r>
      <w:r w:rsidR="00670092">
        <w:t xml:space="preserve"> </w:t>
      </w:r>
      <w:r>
        <w:t xml:space="preserve">This report tries to remedy that risk by gathering together the </w:t>
      </w:r>
      <w:r w:rsidR="00C25BC1">
        <w:t>lessons</w:t>
      </w:r>
      <w:r>
        <w:t xml:space="preserve"> from 64 good</w:t>
      </w:r>
      <w:r w:rsidR="00FE6E77">
        <w:t>-</w:t>
      </w:r>
      <w:r>
        <w:t xml:space="preserve">quality </w:t>
      </w:r>
      <w:r w:rsidR="00C9213C">
        <w:t xml:space="preserve">operational </w:t>
      </w:r>
      <w:r>
        <w:t>evaluations of Australian aid</w:t>
      </w:r>
      <w:r w:rsidR="00FE6E77">
        <w:t xml:space="preserve"> that were</w:t>
      </w:r>
      <w:r>
        <w:t xml:space="preserve"> </w:t>
      </w:r>
      <w:r w:rsidR="00C9213C">
        <w:t>complet</w:t>
      </w:r>
      <w:r>
        <w:t>ed in 2012.</w:t>
      </w:r>
      <w:r w:rsidR="00670092">
        <w:t xml:space="preserve"> </w:t>
      </w:r>
    </w:p>
    <w:p w14:paraId="18A42C1A" w14:textId="2800F9C4" w:rsidR="00714CD1" w:rsidRDefault="00714CD1">
      <w:r>
        <w:t>These 64 evaluations cover many different approaches to delivering aid in different sectors and in different countries. There will be lessons here of relevance to aid administrators</w:t>
      </w:r>
      <w:r w:rsidR="00CC6309">
        <w:t>,</w:t>
      </w:r>
      <w:r>
        <w:t xml:space="preserve"> partners and all who are involved in designing and delivering aid programs. This report is a first for the Australian aid program and I hope it will not be the last.</w:t>
      </w:r>
    </w:p>
    <w:p w14:paraId="4874B00B" w14:textId="0AB0985E" w:rsidR="00714CD1" w:rsidRDefault="00714CD1">
      <w:r>
        <w:t xml:space="preserve">I commend </w:t>
      </w:r>
      <w:r w:rsidR="00CC6309">
        <w:t xml:space="preserve">to you </w:t>
      </w:r>
      <w:r>
        <w:t xml:space="preserve">not just this synthesis report but </w:t>
      </w:r>
      <w:r w:rsidR="00FE6E77">
        <w:t xml:space="preserve">also </w:t>
      </w:r>
      <w:r>
        <w:t xml:space="preserve">the 64 evaluations </w:t>
      </w:r>
      <w:r w:rsidR="00FE6E77">
        <w:t xml:space="preserve">that </w:t>
      </w:r>
      <w:r>
        <w:t>fed into it.</w:t>
      </w:r>
      <w:r w:rsidR="00670092">
        <w:t xml:space="preserve"> </w:t>
      </w:r>
      <w:r>
        <w:t xml:space="preserve">These evaluations deserve to be revisited and their lessons remembered. This report makes a contribution to all </w:t>
      </w:r>
      <w:r w:rsidR="00FE6E77">
        <w:t xml:space="preserve">of </w:t>
      </w:r>
      <w:r>
        <w:t xml:space="preserve">our efforts to become increasingly adept at learning and thereby continuously improving our </w:t>
      </w:r>
      <w:r w:rsidR="00C25BC1">
        <w:t>international development assistance</w:t>
      </w:r>
      <w:r>
        <w:t>.</w:t>
      </w:r>
    </w:p>
    <w:p w14:paraId="1625285F" w14:textId="77777777" w:rsidR="00280FCC" w:rsidRPr="00E728C4" w:rsidRDefault="00280FCC"/>
    <w:p w14:paraId="2A8A779D" w14:textId="16324DD3" w:rsidR="00280FCC" w:rsidRPr="00E728C4" w:rsidRDefault="009C11AC">
      <w:r>
        <w:rPr>
          <w:noProof/>
        </w:rPr>
        <w:drawing>
          <wp:inline distT="0" distB="0" distL="0" distR="0" wp14:anchorId="1AE0A993" wp14:editId="2C42D70A">
            <wp:extent cx="1333500" cy="623261"/>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8494" cy="625595"/>
                    </a:xfrm>
                    <a:prstGeom prst="rect">
                      <a:avLst/>
                    </a:prstGeom>
                    <a:noFill/>
                    <a:ln>
                      <a:noFill/>
                    </a:ln>
                  </pic:spPr>
                </pic:pic>
              </a:graphicData>
            </a:graphic>
          </wp:inline>
        </w:drawing>
      </w:r>
    </w:p>
    <w:p w14:paraId="1D1B973B" w14:textId="77777777" w:rsidR="00280FCC" w:rsidRPr="00E728C4" w:rsidRDefault="00280FCC">
      <w:r w:rsidRPr="00E728C4">
        <w:t>Jim Adams</w:t>
      </w:r>
    </w:p>
    <w:p w14:paraId="46857A11" w14:textId="77777777" w:rsidR="00280FCC" w:rsidRPr="00E728C4" w:rsidRDefault="00280FCC">
      <w:r w:rsidRPr="00E728C4">
        <w:t>Chair, Independent Evaluation Committee</w:t>
      </w:r>
    </w:p>
    <w:p w14:paraId="4C5D3A36" w14:textId="77777777" w:rsidR="003936DA" w:rsidRDefault="003936DA"/>
    <w:p w14:paraId="528F49DF" w14:textId="77777777" w:rsidR="003936DA" w:rsidRDefault="003936DA" w:rsidP="00453CAC"/>
    <w:p w14:paraId="2F05EB97" w14:textId="427A6ED7" w:rsidR="00521750" w:rsidRDefault="00521750">
      <w:pPr>
        <w:spacing w:before="0" w:after="0" w:line="240" w:lineRule="auto"/>
      </w:pPr>
    </w:p>
    <w:p w14:paraId="2532A485" w14:textId="1813CE4D" w:rsidR="00453CAC" w:rsidRPr="00401114" w:rsidRDefault="00453CAC" w:rsidP="00401114">
      <w:pPr>
        <w:pStyle w:val="SectionTitle"/>
        <w:pageBreakBefore/>
        <w:rPr>
          <w:rFonts w:ascii="Arial" w:hAnsi="Arial"/>
          <w:color w:val="124486"/>
          <w:sz w:val="50"/>
        </w:rPr>
      </w:pPr>
      <w:bookmarkStart w:id="7" w:name="_Toc370827872"/>
      <w:bookmarkStart w:id="8" w:name="_Toc370827922"/>
      <w:bookmarkStart w:id="9" w:name="_Toc372723818"/>
      <w:bookmarkStart w:id="10" w:name="_Toc373304193"/>
      <w:bookmarkStart w:id="11" w:name="_Toc378059967"/>
      <w:bookmarkStart w:id="12" w:name="_Toc387394584"/>
      <w:r w:rsidRPr="00401114">
        <w:rPr>
          <w:rFonts w:ascii="Arial" w:hAnsi="Arial"/>
          <w:color w:val="124486"/>
          <w:sz w:val="50"/>
        </w:rPr>
        <w:lastRenderedPageBreak/>
        <w:t>Abbreviations</w:t>
      </w:r>
      <w:bookmarkEnd w:id="7"/>
      <w:bookmarkEnd w:id="8"/>
      <w:bookmarkEnd w:id="9"/>
      <w:bookmarkEnd w:id="10"/>
      <w:bookmarkEnd w:id="11"/>
      <w:bookmarkEnd w:id="12"/>
    </w:p>
    <w:p w14:paraId="4B9FF50B" w14:textId="284A015B" w:rsidR="00453CAC" w:rsidRPr="00DA623A" w:rsidRDefault="00453CAC" w:rsidP="00453CAC">
      <w:r w:rsidRPr="00DA623A">
        <w:t>ADB</w:t>
      </w:r>
      <w:r w:rsidRPr="00DA623A">
        <w:tab/>
      </w:r>
      <w:r w:rsidRPr="00DA623A">
        <w:tab/>
        <w:t>Asian Development Bank</w:t>
      </w:r>
    </w:p>
    <w:p w14:paraId="52888DF2" w14:textId="77777777" w:rsidR="00453CAC" w:rsidRPr="00DA623A" w:rsidRDefault="00453CAC" w:rsidP="00453CAC">
      <w:r w:rsidRPr="00DA623A">
        <w:t>ANCP</w:t>
      </w:r>
      <w:r w:rsidRPr="00DA623A">
        <w:tab/>
      </w:r>
      <w:r w:rsidRPr="00DA623A">
        <w:tab/>
        <w:t>Australia NGO Cooperation Program</w:t>
      </w:r>
    </w:p>
    <w:p w14:paraId="41F57DDB" w14:textId="77DB2871" w:rsidR="009C375D" w:rsidRDefault="009C375D" w:rsidP="00453CAC">
      <w:r>
        <w:t>ASEAN</w:t>
      </w:r>
      <w:r w:rsidR="004D1092">
        <w:tab/>
      </w:r>
      <w:r w:rsidR="004D1092">
        <w:tab/>
        <w:t>Association of Southeast Asian Nations</w:t>
      </w:r>
    </w:p>
    <w:p w14:paraId="19EC15C4" w14:textId="639847BA" w:rsidR="00453CAC" w:rsidRPr="00DA623A" w:rsidRDefault="00453CAC" w:rsidP="00453CAC">
      <w:r w:rsidRPr="00DA623A">
        <w:t>AusAID</w:t>
      </w:r>
      <w:r w:rsidRPr="00DA623A">
        <w:tab/>
      </w:r>
      <w:r w:rsidRPr="00DA623A">
        <w:tab/>
      </w:r>
      <w:r w:rsidR="001B62FE">
        <w:t xml:space="preserve">the former </w:t>
      </w:r>
      <w:r w:rsidRPr="00DA623A">
        <w:t>Australian Agency for International Development</w:t>
      </w:r>
      <w:r w:rsidRPr="006E5EE4">
        <w:rPr>
          <w:vertAlign w:val="superscript"/>
        </w:rPr>
        <w:footnoteReference w:id="2"/>
      </w:r>
      <w:r w:rsidRPr="00DA623A">
        <w:t xml:space="preserve"> </w:t>
      </w:r>
    </w:p>
    <w:p w14:paraId="6EB6E61B" w14:textId="541B30A9" w:rsidR="005434DB" w:rsidRDefault="005434DB" w:rsidP="00453CAC">
      <w:r>
        <w:t>BESIK</w:t>
      </w:r>
      <w:r>
        <w:tab/>
      </w:r>
      <w:r>
        <w:tab/>
      </w:r>
      <w:r w:rsidR="00452418">
        <w:t xml:space="preserve">Timor-Leste </w:t>
      </w:r>
      <w:r w:rsidR="004D1092">
        <w:rPr>
          <w:noProof/>
        </w:rPr>
        <w:t xml:space="preserve">Rural Water </w:t>
      </w:r>
      <w:r w:rsidR="004D1092" w:rsidRPr="0018698F">
        <w:rPr>
          <w:noProof/>
        </w:rPr>
        <w:t xml:space="preserve">Supply </w:t>
      </w:r>
      <w:r w:rsidR="004D1092">
        <w:rPr>
          <w:noProof/>
        </w:rPr>
        <w:t>and</w:t>
      </w:r>
      <w:r w:rsidR="004D1092" w:rsidRPr="0018698F">
        <w:rPr>
          <w:noProof/>
        </w:rPr>
        <w:t xml:space="preserve"> Sanitation Program </w:t>
      </w:r>
      <w:r w:rsidR="00452418">
        <w:rPr>
          <w:noProof/>
        </w:rPr>
        <w:t>(local acronym)</w:t>
      </w:r>
    </w:p>
    <w:p w14:paraId="110BC344" w14:textId="462AEF47" w:rsidR="00453CAC" w:rsidRPr="00DA623A" w:rsidRDefault="00453CAC" w:rsidP="00453CAC">
      <w:r w:rsidRPr="00DA623A">
        <w:t>CSO</w:t>
      </w:r>
      <w:r w:rsidRPr="00DA623A">
        <w:tab/>
      </w:r>
      <w:r w:rsidRPr="00DA623A">
        <w:tab/>
      </w:r>
      <w:r w:rsidR="00FC495A">
        <w:t>c</w:t>
      </w:r>
      <w:r w:rsidRPr="00DA623A">
        <w:t xml:space="preserve">ivil </w:t>
      </w:r>
      <w:r w:rsidR="00FC495A">
        <w:t>s</w:t>
      </w:r>
      <w:r w:rsidRPr="00DA623A">
        <w:t xml:space="preserve">ociety </w:t>
      </w:r>
      <w:r w:rsidR="00FC495A">
        <w:t>o</w:t>
      </w:r>
      <w:r w:rsidRPr="00DA623A">
        <w:t>rganisation</w:t>
      </w:r>
    </w:p>
    <w:p w14:paraId="69B41FBF" w14:textId="77777777" w:rsidR="00453CAC" w:rsidRPr="00DA623A" w:rsidRDefault="00453CAC" w:rsidP="00453CAC">
      <w:r w:rsidRPr="00DA623A">
        <w:t>DFAT</w:t>
      </w:r>
      <w:r w:rsidRPr="00DA623A">
        <w:tab/>
      </w:r>
      <w:r w:rsidRPr="00DA623A">
        <w:tab/>
        <w:t>Australian Government Department of Foreign Affairs and Trade</w:t>
      </w:r>
    </w:p>
    <w:p w14:paraId="5E7F71A1" w14:textId="21D14173" w:rsidR="00453CAC" w:rsidRPr="00DA623A" w:rsidRDefault="00453CAC" w:rsidP="00453CAC">
      <w:r w:rsidRPr="00DA623A">
        <w:t>IEC</w:t>
      </w:r>
      <w:r w:rsidRPr="00DA623A">
        <w:tab/>
      </w:r>
      <w:r w:rsidRPr="00DA623A">
        <w:tab/>
        <w:t>Independent Evaluation Committee</w:t>
      </w:r>
    </w:p>
    <w:p w14:paraId="5AFA4ACD" w14:textId="20F7D54D" w:rsidR="00453CAC" w:rsidRPr="00DA623A" w:rsidRDefault="00453CAC" w:rsidP="00453CAC">
      <w:r w:rsidRPr="00DA623A">
        <w:t>M&amp;E</w:t>
      </w:r>
      <w:r w:rsidRPr="00DA623A">
        <w:tab/>
      </w:r>
      <w:r w:rsidRPr="00DA623A">
        <w:tab/>
      </w:r>
      <w:r w:rsidR="00FC495A">
        <w:t>m</w:t>
      </w:r>
      <w:r w:rsidRPr="00DA623A">
        <w:t xml:space="preserve">onitoring and </w:t>
      </w:r>
      <w:r w:rsidR="00FC495A">
        <w:t>e</w:t>
      </w:r>
      <w:r w:rsidRPr="00DA623A">
        <w:t>valuation</w:t>
      </w:r>
    </w:p>
    <w:p w14:paraId="5048E77E" w14:textId="3A4E12EF" w:rsidR="00453CAC" w:rsidRPr="00DA623A" w:rsidRDefault="00453CAC" w:rsidP="00453CAC">
      <w:r w:rsidRPr="00DA623A">
        <w:t>NGO</w:t>
      </w:r>
      <w:r w:rsidRPr="00DA623A">
        <w:tab/>
      </w:r>
      <w:r w:rsidRPr="00DA623A">
        <w:tab/>
      </w:r>
      <w:r w:rsidR="00FC495A">
        <w:t>n</w:t>
      </w:r>
      <w:r w:rsidRPr="00DA623A">
        <w:t xml:space="preserve">on-government </w:t>
      </w:r>
      <w:r w:rsidR="00FC495A">
        <w:t>o</w:t>
      </w:r>
      <w:r w:rsidRPr="00DA623A">
        <w:t>rganisation</w:t>
      </w:r>
    </w:p>
    <w:p w14:paraId="17E59A54" w14:textId="28CD3CAD" w:rsidR="00453CAC" w:rsidRPr="00DA623A" w:rsidRDefault="00453CAC" w:rsidP="00453CAC">
      <w:r w:rsidRPr="00DA623A">
        <w:t>ODE</w:t>
      </w:r>
      <w:r w:rsidRPr="00DA623A">
        <w:tab/>
      </w:r>
      <w:r w:rsidRPr="00DA623A">
        <w:tab/>
        <w:t>Office of Development Effectiveness</w:t>
      </w:r>
    </w:p>
    <w:p w14:paraId="33AAA5A7" w14:textId="4E005A28" w:rsidR="005434DB" w:rsidRDefault="005434DB" w:rsidP="00453CAC">
      <w:r>
        <w:t>PALJP</w:t>
      </w:r>
      <w:r w:rsidR="004D1092">
        <w:tab/>
      </w:r>
      <w:r w:rsidR="004D1092">
        <w:tab/>
      </w:r>
      <w:r w:rsidR="004D1092" w:rsidRPr="00355BFD">
        <w:t>PNG</w:t>
      </w:r>
      <w:r w:rsidR="004D1092" w:rsidRPr="00355BFD">
        <w:rPr>
          <w:rFonts w:ascii="Cambria" w:hAnsi="Cambria"/>
        </w:rPr>
        <w:t>–</w:t>
      </w:r>
      <w:r w:rsidR="004D1092" w:rsidRPr="00355BFD">
        <w:t>Australia Law &amp; Justice Partnership</w:t>
      </w:r>
    </w:p>
    <w:p w14:paraId="3E878788" w14:textId="3D9AD8FB" w:rsidR="005434DB" w:rsidRDefault="005434DB" w:rsidP="00453CAC">
      <w:r>
        <w:t>PEPD</w:t>
      </w:r>
      <w:r w:rsidR="004D1092">
        <w:tab/>
      </w:r>
      <w:r w:rsidR="004D1092">
        <w:tab/>
      </w:r>
      <w:r w:rsidR="004D1092">
        <w:rPr>
          <w:color w:val="000000" w:themeColor="text1"/>
        </w:rPr>
        <w:t>the former</w:t>
      </w:r>
      <w:r w:rsidR="004D1092" w:rsidRPr="00DA623A">
        <w:rPr>
          <w:color w:val="000000" w:themeColor="text1"/>
        </w:rPr>
        <w:t xml:space="preserve"> Program Effectiveness and Performance Division</w:t>
      </w:r>
      <w:r w:rsidR="004D1092">
        <w:rPr>
          <w:color w:val="000000" w:themeColor="text1"/>
        </w:rPr>
        <w:t xml:space="preserve"> </w:t>
      </w:r>
      <w:r w:rsidR="0059481D">
        <w:rPr>
          <w:color w:val="000000" w:themeColor="text1"/>
        </w:rPr>
        <w:t xml:space="preserve">of </w:t>
      </w:r>
      <w:r w:rsidR="004D1092">
        <w:rPr>
          <w:color w:val="000000" w:themeColor="text1"/>
        </w:rPr>
        <w:t>DFAT</w:t>
      </w:r>
    </w:p>
    <w:p w14:paraId="5D85A3B2" w14:textId="611F1248" w:rsidR="00453CAC" w:rsidRPr="00DA623A" w:rsidRDefault="00453CAC" w:rsidP="00453CAC">
      <w:r w:rsidRPr="00DA623A">
        <w:t>PKPR</w:t>
      </w:r>
      <w:r w:rsidRPr="00DA623A">
        <w:tab/>
      </w:r>
      <w:r w:rsidRPr="00DA623A">
        <w:tab/>
      </w:r>
      <w:r w:rsidR="00DA623A" w:rsidRPr="00DA623A">
        <w:t xml:space="preserve">Partnership for </w:t>
      </w:r>
      <w:r w:rsidRPr="00DA623A">
        <w:t xml:space="preserve">Knowledge-Based Poverty Reduction </w:t>
      </w:r>
      <w:r w:rsidR="00452418">
        <w:t>(Indonesia)</w:t>
      </w:r>
    </w:p>
    <w:p w14:paraId="6AE5C43F" w14:textId="77777777" w:rsidR="00453CAC" w:rsidRPr="00DA623A" w:rsidRDefault="00453CAC" w:rsidP="00453CAC">
      <w:r w:rsidRPr="00DA623A">
        <w:t>PLP</w:t>
      </w:r>
      <w:r w:rsidRPr="00DA623A">
        <w:tab/>
      </w:r>
      <w:r w:rsidRPr="00DA623A">
        <w:tab/>
        <w:t xml:space="preserve">Pacific Leadership Program </w:t>
      </w:r>
    </w:p>
    <w:p w14:paraId="0E1ECE52" w14:textId="77777777" w:rsidR="00453CAC" w:rsidRDefault="00453CAC" w:rsidP="00453CAC">
      <w:r>
        <w:t>PNG</w:t>
      </w:r>
      <w:r>
        <w:tab/>
      </w:r>
      <w:r>
        <w:tab/>
        <w:t>Papua New Guinea</w:t>
      </w:r>
    </w:p>
    <w:p w14:paraId="77D9867B" w14:textId="4E32C0B4" w:rsidR="005434DB" w:rsidRDefault="005434DB" w:rsidP="00453CAC">
      <w:r>
        <w:t>PSCDP</w:t>
      </w:r>
      <w:r w:rsidR="00452418">
        <w:tab/>
      </w:r>
      <w:r w:rsidR="00452418">
        <w:tab/>
      </w:r>
      <w:r w:rsidR="00452418" w:rsidRPr="00D16CD4">
        <w:t xml:space="preserve">Public Sector Capability Development </w:t>
      </w:r>
      <w:r w:rsidR="00452418">
        <w:t>Program (Timor-Leste)</w:t>
      </w:r>
    </w:p>
    <w:p w14:paraId="4B8BE7BE" w14:textId="77777777" w:rsidR="00453CAC" w:rsidRPr="00DA623A" w:rsidRDefault="00453CAC" w:rsidP="00453CAC">
      <w:r w:rsidRPr="00DA623A">
        <w:t>RRRT</w:t>
      </w:r>
      <w:r w:rsidRPr="00DA623A">
        <w:tab/>
      </w:r>
      <w:r w:rsidRPr="00DA623A">
        <w:tab/>
        <w:t xml:space="preserve">Regional Rights Resource Team </w:t>
      </w:r>
    </w:p>
    <w:p w14:paraId="4B64C24D" w14:textId="71F06E67" w:rsidR="00453CAC" w:rsidRDefault="00453CAC" w:rsidP="00453CAC">
      <w:r>
        <w:t>UN</w:t>
      </w:r>
      <w:r>
        <w:tab/>
      </w:r>
      <w:r>
        <w:tab/>
        <w:t>United Nations</w:t>
      </w:r>
    </w:p>
    <w:p w14:paraId="596F5943" w14:textId="2D55ACB4" w:rsidR="009C375D" w:rsidRDefault="009C375D" w:rsidP="00453CAC">
      <w:r>
        <w:t>UNICEF</w:t>
      </w:r>
      <w:r>
        <w:tab/>
      </w:r>
      <w:r>
        <w:tab/>
      </w:r>
      <w:r w:rsidR="00452418">
        <w:t>United Nations Children’s Fund</w:t>
      </w:r>
    </w:p>
    <w:p w14:paraId="112E252E" w14:textId="5DD8D626" w:rsidR="005434DB" w:rsidRDefault="005434DB" w:rsidP="00453CAC">
      <w:r>
        <w:t>VAPP</w:t>
      </w:r>
      <w:r w:rsidR="00452418">
        <w:tab/>
      </w:r>
      <w:r w:rsidR="00452418">
        <w:tab/>
        <w:t>Vanuatu Australia Police Project</w:t>
      </w:r>
    </w:p>
    <w:p w14:paraId="71379716" w14:textId="293593F8" w:rsidR="00453CAC" w:rsidRDefault="00453CAC" w:rsidP="001B62FE">
      <w:r>
        <w:t>WB</w:t>
      </w:r>
      <w:r>
        <w:tab/>
      </w:r>
      <w:r>
        <w:tab/>
        <w:t>World Bank</w:t>
      </w:r>
    </w:p>
    <w:p w14:paraId="351E4FC6" w14:textId="44F0E9C2" w:rsidR="005434DB" w:rsidRDefault="005434DB" w:rsidP="001D4D1F">
      <w:pPr>
        <w:pStyle w:val="ImprintText"/>
        <w:sectPr w:rsidR="005434DB" w:rsidSect="00401114">
          <w:footnotePr>
            <w:numRestart w:val="eachSect"/>
          </w:footnotePr>
          <w:type w:val="oddPage"/>
          <w:pgSz w:w="11906" w:h="16838" w:code="9"/>
          <w:pgMar w:top="1440" w:right="1440" w:bottom="1440" w:left="1440" w:header="576" w:footer="576" w:gutter="0"/>
          <w:pgNumType w:fmt="lowerRoman"/>
          <w:cols w:space="720"/>
          <w:titlePg/>
        </w:sectPr>
      </w:pPr>
      <w:r>
        <w:t>WHO</w:t>
      </w:r>
      <w:r w:rsidR="00452418">
        <w:tab/>
      </w:r>
      <w:r w:rsidR="00452418">
        <w:tab/>
        <w:t>World Health Organization</w:t>
      </w:r>
    </w:p>
    <w:p w14:paraId="71CA8D88" w14:textId="77777777" w:rsidR="00D20FD9" w:rsidRPr="00401114" w:rsidRDefault="0048295D" w:rsidP="00401114">
      <w:pPr>
        <w:pStyle w:val="SectionTitle"/>
        <w:pageBreakBefore/>
        <w:rPr>
          <w:rFonts w:ascii="Arial" w:hAnsi="Arial"/>
          <w:color w:val="124486"/>
          <w:sz w:val="50"/>
        </w:rPr>
      </w:pPr>
      <w:bookmarkStart w:id="13" w:name="_Toc387394585"/>
      <w:r w:rsidRPr="00401114">
        <w:rPr>
          <w:rFonts w:ascii="Arial" w:hAnsi="Arial"/>
          <w:color w:val="124486"/>
          <w:sz w:val="50"/>
        </w:rPr>
        <w:lastRenderedPageBreak/>
        <w:t>Contents</w:t>
      </w:r>
      <w:r w:rsidR="00104E39" w:rsidRPr="00401114">
        <w:rPr>
          <w:rFonts w:ascii="Arial" w:hAnsi="Arial"/>
          <w:color w:val="124486"/>
          <w:sz w:val="50"/>
        </w:rPr>
        <w:t xml:space="preserve"> </w:t>
      </w:r>
      <w:bookmarkEnd w:id="13"/>
    </w:p>
    <w:p w14:paraId="79039B07" w14:textId="77777777" w:rsidR="00AD6A55" w:rsidRPr="00AD6A55" w:rsidRDefault="00BA0E9A">
      <w:pPr>
        <w:pStyle w:val="TOC1"/>
        <w:rPr>
          <w:rFonts w:asciiTheme="minorHAnsi" w:eastAsiaTheme="minorEastAsia" w:hAnsiTheme="minorHAnsi" w:cstheme="minorBidi"/>
          <w:bCs w:val="0"/>
          <w:sz w:val="22"/>
          <w:szCs w:val="22"/>
        </w:rPr>
      </w:pPr>
      <w:r>
        <w:rPr>
          <w:b/>
        </w:rPr>
        <w:fldChar w:fldCharType="begin"/>
      </w:r>
      <w:r>
        <w:instrText xml:space="preserve"> TOC \o "1-2" \t "SectionTitle,1,Itad sub-section heading,3,Itad sub,3" </w:instrText>
      </w:r>
      <w:r>
        <w:rPr>
          <w:b/>
        </w:rPr>
        <w:fldChar w:fldCharType="separate"/>
      </w:r>
      <w:r w:rsidR="00AD6A55" w:rsidRPr="00AD6A55">
        <w:t>Foreword</w:t>
      </w:r>
      <w:r w:rsidR="00AD6A55" w:rsidRPr="00AD6A55">
        <w:tab/>
      </w:r>
      <w:r w:rsidR="00AD6A55" w:rsidRPr="00AD6A55">
        <w:fldChar w:fldCharType="begin"/>
      </w:r>
      <w:r w:rsidR="00AD6A55" w:rsidRPr="00AD6A55">
        <w:instrText xml:space="preserve"> PAGEREF _Toc387394583 \h </w:instrText>
      </w:r>
      <w:r w:rsidR="00AD6A55" w:rsidRPr="00AD6A55">
        <w:fldChar w:fldCharType="separate"/>
      </w:r>
      <w:r w:rsidR="00C971DC">
        <w:t>iii</w:t>
      </w:r>
      <w:r w:rsidR="00AD6A55" w:rsidRPr="00AD6A55">
        <w:fldChar w:fldCharType="end"/>
      </w:r>
    </w:p>
    <w:p w14:paraId="1A5F63EA" w14:textId="77777777" w:rsidR="00AD6A55" w:rsidRPr="00AD6A55" w:rsidRDefault="00AD6A55">
      <w:pPr>
        <w:pStyle w:val="TOC1"/>
        <w:rPr>
          <w:rFonts w:asciiTheme="minorHAnsi" w:eastAsiaTheme="minorEastAsia" w:hAnsiTheme="minorHAnsi" w:cstheme="minorBidi"/>
          <w:bCs w:val="0"/>
          <w:sz w:val="22"/>
          <w:szCs w:val="22"/>
        </w:rPr>
      </w:pPr>
      <w:r w:rsidRPr="00AD6A55">
        <w:t>Abbreviations</w:t>
      </w:r>
      <w:r w:rsidRPr="00AD6A55">
        <w:tab/>
      </w:r>
      <w:r w:rsidRPr="00AD6A55">
        <w:fldChar w:fldCharType="begin"/>
      </w:r>
      <w:r w:rsidRPr="00AD6A55">
        <w:instrText xml:space="preserve"> PAGEREF _Toc387394584 \h </w:instrText>
      </w:r>
      <w:r w:rsidRPr="00AD6A55">
        <w:fldChar w:fldCharType="separate"/>
      </w:r>
      <w:r w:rsidR="00C971DC">
        <w:t>iv</w:t>
      </w:r>
      <w:r w:rsidRPr="00AD6A55">
        <w:fldChar w:fldCharType="end"/>
      </w:r>
    </w:p>
    <w:p w14:paraId="5888D1F6" w14:textId="77777777" w:rsidR="00AD6A55" w:rsidRPr="00AD6A55" w:rsidRDefault="00AD6A55">
      <w:pPr>
        <w:pStyle w:val="TOC1"/>
        <w:rPr>
          <w:rFonts w:asciiTheme="minorHAnsi" w:eastAsiaTheme="minorEastAsia" w:hAnsiTheme="minorHAnsi" w:cstheme="minorBidi"/>
          <w:bCs w:val="0"/>
          <w:sz w:val="22"/>
          <w:szCs w:val="22"/>
        </w:rPr>
      </w:pPr>
      <w:r w:rsidRPr="00AD6A55">
        <w:t xml:space="preserve">Contents </w:t>
      </w:r>
      <w:r w:rsidRPr="00AD6A55">
        <w:tab/>
      </w:r>
      <w:r w:rsidRPr="00AD6A55">
        <w:fldChar w:fldCharType="begin"/>
      </w:r>
      <w:r w:rsidRPr="00AD6A55">
        <w:instrText xml:space="preserve"> PAGEREF _Toc387394585 \h </w:instrText>
      </w:r>
      <w:r w:rsidRPr="00AD6A55">
        <w:fldChar w:fldCharType="separate"/>
      </w:r>
      <w:r w:rsidR="00C971DC">
        <w:t>v</w:t>
      </w:r>
      <w:r w:rsidRPr="00AD6A55">
        <w:fldChar w:fldCharType="end"/>
      </w:r>
    </w:p>
    <w:p w14:paraId="13EBAEED" w14:textId="77777777" w:rsidR="00AD6A55" w:rsidRDefault="00AD6A55">
      <w:pPr>
        <w:pStyle w:val="TOC1"/>
        <w:rPr>
          <w:rFonts w:asciiTheme="minorHAnsi" w:eastAsiaTheme="minorEastAsia" w:hAnsiTheme="minorHAnsi" w:cstheme="minorBidi"/>
          <w:bCs w:val="0"/>
          <w:color w:val="auto"/>
          <w:sz w:val="22"/>
          <w:szCs w:val="22"/>
        </w:rPr>
      </w:pPr>
      <w:r w:rsidRPr="00AD6A55">
        <w:t>Acknowledgments</w:t>
      </w:r>
      <w:r>
        <w:tab/>
      </w:r>
      <w:r>
        <w:fldChar w:fldCharType="begin"/>
      </w:r>
      <w:r>
        <w:instrText xml:space="preserve"> PAGEREF _Toc387394586 \h </w:instrText>
      </w:r>
      <w:r>
        <w:fldChar w:fldCharType="separate"/>
      </w:r>
      <w:r w:rsidR="00C971DC">
        <w:t>vi</w:t>
      </w:r>
      <w:r>
        <w:fldChar w:fldCharType="end"/>
      </w:r>
    </w:p>
    <w:p w14:paraId="53A2646E" w14:textId="77777777" w:rsidR="00AD6A55" w:rsidRDefault="00AD6A55">
      <w:pPr>
        <w:pStyle w:val="TOC1"/>
        <w:rPr>
          <w:rFonts w:asciiTheme="minorHAnsi" w:eastAsiaTheme="minorEastAsia" w:hAnsiTheme="minorHAnsi" w:cstheme="minorBidi"/>
          <w:bCs w:val="0"/>
          <w:color w:val="auto"/>
          <w:sz w:val="22"/>
          <w:szCs w:val="22"/>
        </w:rPr>
      </w:pPr>
      <w:r>
        <w:t>Executive summary</w:t>
      </w:r>
      <w:r>
        <w:tab/>
      </w:r>
      <w:r>
        <w:fldChar w:fldCharType="begin"/>
      </w:r>
      <w:r>
        <w:instrText xml:space="preserve"> PAGEREF _Toc387394587 \h </w:instrText>
      </w:r>
      <w:r>
        <w:fldChar w:fldCharType="separate"/>
      </w:r>
      <w:r w:rsidR="00C971DC">
        <w:t>1</w:t>
      </w:r>
      <w:r>
        <w:fldChar w:fldCharType="end"/>
      </w:r>
    </w:p>
    <w:p w14:paraId="17F3C1DB" w14:textId="77777777" w:rsidR="00AD6A55" w:rsidRDefault="00AD6A55">
      <w:pPr>
        <w:pStyle w:val="TOC1"/>
        <w:rPr>
          <w:rFonts w:asciiTheme="minorHAnsi" w:eastAsiaTheme="minorEastAsia" w:hAnsiTheme="minorHAnsi" w:cstheme="minorBidi"/>
          <w:bCs w:val="0"/>
          <w:color w:val="auto"/>
          <w:sz w:val="22"/>
          <w:szCs w:val="22"/>
        </w:rPr>
      </w:pPr>
      <w:r>
        <w:t>1</w:t>
      </w:r>
      <w:r>
        <w:rPr>
          <w:rFonts w:asciiTheme="minorHAnsi" w:eastAsiaTheme="minorEastAsia" w:hAnsiTheme="minorHAnsi" w:cstheme="minorBidi"/>
          <w:bCs w:val="0"/>
          <w:color w:val="auto"/>
          <w:sz w:val="22"/>
          <w:szCs w:val="22"/>
        </w:rPr>
        <w:tab/>
      </w:r>
      <w:r>
        <w:t>About this review</w:t>
      </w:r>
      <w:r>
        <w:tab/>
      </w:r>
      <w:r>
        <w:fldChar w:fldCharType="begin"/>
      </w:r>
      <w:r>
        <w:instrText xml:space="preserve"> PAGEREF _Toc387394588 \h </w:instrText>
      </w:r>
      <w:r>
        <w:fldChar w:fldCharType="separate"/>
      </w:r>
      <w:r w:rsidR="00C971DC">
        <w:t>6</w:t>
      </w:r>
      <w:r>
        <w:fldChar w:fldCharType="end"/>
      </w:r>
    </w:p>
    <w:p w14:paraId="7D60A5A1" w14:textId="77777777" w:rsidR="00AD6A55" w:rsidRDefault="00AD6A55">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Operational evaluations</w:t>
      </w:r>
      <w:r>
        <w:rPr>
          <w:noProof/>
        </w:rPr>
        <w:tab/>
      </w:r>
      <w:r>
        <w:rPr>
          <w:noProof/>
        </w:rPr>
        <w:fldChar w:fldCharType="begin"/>
      </w:r>
      <w:r>
        <w:rPr>
          <w:noProof/>
        </w:rPr>
        <w:instrText xml:space="preserve"> PAGEREF _Toc387394589 \h </w:instrText>
      </w:r>
      <w:r>
        <w:rPr>
          <w:noProof/>
        </w:rPr>
      </w:r>
      <w:r>
        <w:rPr>
          <w:noProof/>
        </w:rPr>
        <w:fldChar w:fldCharType="separate"/>
      </w:r>
      <w:r w:rsidR="00C971DC">
        <w:rPr>
          <w:noProof/>
        </w:rPr>
        <w:t>6</w:t>
      </w:r>
      <w:r>
        <w:rPr>
          <w:noProof/>
        </w:rPr>
        <w:fldChar w:fldCharType="end"/>
      </w:r>
    </w:p>
    <w:p w14:paraId="7FBEFEBB" w14:textId="77777777" w:rsidR="00AD6A55" w:rsidRDefault="00AD6A55">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Objectives</w:t>
      </w:r>
      <w:r>
        <w:rPr>
          <w:noProof/>
        </w:rPr>
        <w:tab/>
      </w:r>
      <w:r>
        <w:rPr>
          <w:noProof/>
        </w:rPr>
        <w:fldChar w:fldCharType="begin"/>
      </w:r>
      <w:r>
        <w:rPr>
          <w:noProof/>
        </w:rPr>
        <w:instrText xml:space="preserve"> PAGEREF _Toc387394590 \h </w:instrText>
      </w:r>
      <w:r>
        <w:rPr>
          <w:noProof/>
        </w:rPr>
      </w:r>
      <w:r>
        <w:rPr>
          <w:noProof/>
        </w:rPr>
        <w:fldChar w:fldCharType="separate"/>
      </w:r>
      <w:r w:rsidR="00C971DC">
        <w:rPr>
          <w:noProof/>
        </w:rPr>
        <w:t>6</w:t>
      </w:r>
      <w:r>
        <w:rPr>
          <w:noProof/>
        </w:rPr>
        <w:fldChar w:fldCharType="end"/>
      </w:r>
    </w:p>
    <w:p w14:paraId="5D3F45D7" w14:textId="77777777" w:rsidR="00AD6A55" w:rsidRDefault="00AD6A55">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Approach</w:t>
      </w:r>
      <w:r>
        <w:rPr>
          <w:noProof/>
        </w:rPr>
        <w:tab/>
      </w:r>
      <w:r>
        <w:rPr>
          <w:noProof/>
        </w:rPr>
        <w:fldChar w:fldCharType="begin"/>
      </w:r>
      <w:r>
        <w:rPr>
          <w:noProof/>
        </w:rPr>
        <w:instrText xml:space="preserve"> PAGEREF _Toc387394591 \h </w:instrText>
      </w:r>
      <w:r>
        <w:rPr>
          <w:noProof/>
        </w:rPr>
      </w:r>
      <w:r>
        <w:rPr>
          <w:noProof/>
        </w:rPr>
        <w:fldChar w:fldCharType="separate"/>
      </w:r>
      <w:r w:rsidR="00C971DC">
        <w:rPr>
          <w:noProof/>
        </w:rPr>
        <w:t>7</w:t>
      </w:r>
      <w:r>
        <w:rPr>
          <w:noProof/>
        </w:rPr>
        <w:fldChar w:fldCharType="end"/>
      </w:r>
    </w:p>
    <w:p w14:paraId="5F673753" w14:textId="77777777" w:rsidR="00AD6A55" w:rsidRDefault="00AD6A55">
      <w:pPr>
        <w:pStyle w:val="TOC1"/>
        <w:rPr>
          <w:rFonts w:asciiTheme="minorHAnsi" w:eastAsiaTheme="minorEastAsia" w:hAnsiTheme="minorHAnsi" w:cstheme="minorBidi"/>
          <w:bCs w:val="0"/>
          <w:color w:val="auto"/>
          <w:sz w:val="22"/>
          <w:szCs w:val="22"/>
        </w:rPr>
      </w:pPr>
      <w:r>
        <w:t>2</w:t>
      </w:r>
      <w:r>
        <w:rPr>
          <w:rFonts w:asciiTheme="minorHAnsi" w:eastAsiaTheme="minorEastAsia" w:hAnsiTheme="minorHAnsi" w:cstheme="minorBidi"/>
          <w:bCs w:val="0"/>
          <w:color w:val="auto"/>
          <w:sz w:val="22"/>
          <w:szCs w:val="22"/>
        </w:rPr>
        <w:tab/>
      </w:r>
      <w:r>
        <w:t>Program design and management</w:t>
      </w:r>
      <w:r>
        <w:tab/>
      </w:r>
      <w:r>
        <w:fldChar w:fldCharType="begin"/>
      </w:r>
      <w:r>
        <w:instrText xml:space="preserve"> PAGEREF _Toc387394592 \h </w:instrText>
      </w:r>
      <w:r>
        <w:fldChar w:fldCharType="separate"/>
      </w:r>
      <w:r w:rsidR="00C971DC">
        <w:t>8</w:t>
      </w:r>
      <w:r>
        <w:fldChar w:fldCharType="end"/>
      </w:r>
    </w:p>
    <w:p w14:paraId="15C24C6A" w14:textId="77777777" w:rsidR="00AD6A55" w:rsidRDefault="00AD6A55">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Improving monitoring and evaluation requires attention to outcomes, better intervention logic and more accessible information</w:t>
      </w:r>
      <w:r>
        <w:rPr>
          <w:noProof/>
        </w:rPr>
        <w:tab/>
      </w:r>
      <w:r>
        <w:rPr>
          <w:noProof/>
        </w:rPr>
        <w:fldChar w:fldCharType="begin"/>
      </w:r>
      <w:r>
        <w:rPr>
          <w:noProof/>
        </w:rPr>
        <w:instrText xml:space="preserve"> PAGEREF _Toc387394593 \h </w:instrText>
      </w:r>
      <w:r>
        <w:rPr>
          <w:noProof/>
        </w:rPr>
      </w:r>
      <w:r>
        <w:rPr>
          <w:noProof/>
        </w:rPr>
        <w:fldChar w:fldCharType="separate"/>
      </w:r>
      <w:r w:rsidR="00C971DC">
        <w:rPr>
          <w:noProof/>
        </w:rPr>
        <w:t>8</w:t>
      </w:r>
      <w:r>
        <w:rPr>
          <w:noProof/>
        </w:rPr>
        <w:fldChar w:fldCharType="end"/>
      </w:r>
    </w:p>
    <w:p w14:paraId="59FA2924" w14:textId="77777777" w:rsidR="00AD6A55" w:rsidRDefault="00AD6A55">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Poor coordination adversely affects effectiveness</w:t>
      </w:r>
      <w:r>
        <w:rPr>
          <w:noProof/>
        </w:rPr>
        <w:tab/>
      </w:r>
      <w:r>
        <w:rPr>
          <w:noProof/>
        </w:rPr>
        <w:fldChar w:fldCharType="begin"/>
      </w:r>
      <w:r>
        <w:rPr>
          <w:noProof/>
        </w:rPr>
        <w:instrText xml:space="preserve"> PAGEREF _Toc387394594 \h </w:instrText>
      </w:r>
      <w:r>
        <w:rPr>
          <w:noProof/>
        </w:rPr>
      </w:r>
      <w:r>
        <w:rPr>
          <w:noProof/>
        </w:rPr>
        <w:fldChar w:fldCharType="separate"/>
      </w:r>
      <w:r w:rsidR="00C971DC">
        <w:rPr>
          <w:noProof/>
        </w:rPr>
        <w:t>12</w:t>
      </w:r>
      <w:r>
        <w:rPr>
          <w:noProof/>
        </w:rPr>
        <w:fldChar w:fldCharType="end"/>
      </w:r>
    </w:p>
    <w:p w14:paraId="6D09317A" w14:textId="77777777" w:rsidR="00AD6A55" w:rsidRDefault="00AD6A55">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Implementation is stronger where there is close engagement by DFAT staff and the role of managing contractors is clear</w:t>
      </w:r>
      <w:r>
        <w:rPr>
          <w:noProof/>
        </w:rPr>
        <w:tab/>
      </w:r>
      <w:r>
        <w:rPr>
          <w:noProof/>
        </w:rPr>
        <w:fldChar w:fldCharType="begin"/>
      </w:r>
      <w:r>
        <w:rPr>
          <w:noProof/>
        </w:rPr>
        <w:instrText xml:space="preserve"> PAGEREF _Toc387394595 \h </w:instrText>
      </w:r>
      <w:r>
        <w:rPr>
          <w:noProof/>
        </w:rPr>
      </w:r>
      <w:r>
        <w:rPr>
          <w:noProof/>
        </w:rPr>
        <w:fldChar w:fldCharType="separate"/>
      </w:r>
      <w:r w:rsidR="00C971DC">
        <w:rPr>
          <w:noProof/>
        </w:rPr>
        <w:t>13</w:t>
      </w:r>
      <w:r>
        <w:rPr>
          <w:noProof/>
        </w:rPr>
        <w:fldChar w:fldCharType="end"/>
      </w:r>
    </w:p>
    <w:p w14:paraId="14BC08A3" w14:textId="77777777" w:rsidR="00AD6A55" w:rsidRDefault="00AD6A55">
      <w:pPr>
        <w:pStyle w:val="TOC1"/>
        <w:rPr>
          <w:rFonts w:asciiTheme="minorHAnsi" w:eastAsiaTheme="minorEastAsia" w:hAnsiTheme="minorHAnsi" w:cstheme="minorBidi"/>
          <w:bCs w:val="0"/>
          <w:color w:val="auto"/>
          <w:sz w:val="22"/>
          <w:szCs w:val="22"/>
        </w:rPr>
      </w:pPr>
      <w:r>
        <w:t>3</w:t>
      </w:r>
      <w:r>
        <w:rPr>
          <w:rFonts w:asciiTheme="minorHAnsi" w:eastAsiaTheme="minorEastAsia" w:hAnsiTheme="minorHAnsi" w:cstheme="minorBidi"/>
          <w:bCs w:val="0"/>
          <w:color w:val="auto"/>
          <w:sz w:val="22"/>
          <w:szCs w:val="22"/>
        </w:rPr>
        <w:tab/>
      </w:r>
      <w:r>
        <w:t>Supporting capacity development and sustainable reforms</w:t>
      </w:r>
      <w:r>
        <w:tab/>
      </w:r>
      <w:r>
        <w:fldChar w:fldCharType="begin"/>
      </w:r>
      <w:r>
        <w:instrText xml:space="preserve"> PAGEREF _Toc387394596 \h </w:instrText>
      </w:r>
      <w:r>
        <w:fldChar w:fldCharType="separate"/>
      </w:r>
      <w:r w:rsidR="00C971DC">
        <w:t>16</w:t>
      </w:r>
      <w:r>
        <w:fldChar w:fldCharType="end"/>
      </w:r>
    </w:p>
    <w:p w14:paraId="0CA41DAD" w14:textId="77777777" w:rsidR="00AD6A55" w:rsidRDefault="00AD6A55">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Capacity development is most effective when it is driven by partners, uses a range of methods and takes the local context into account</w:t>
      </w:r>
      <w:r>
        <w:rPr>
          <w:noProof/>
        </w:rPr>
        <w:tab/>
      </w:r>
      <w:r>
        <w:rPr>
          <w:noProof/>
        </w:rPr>
        <w:fldChar w:fldCharType="begin"/>
      </w:r>
      <w:r>
        <w:rPr>
          <w:noProof/>
        </w:rPr>
        <w:instrText xml:space="preserve"> PAGEREF _Toc387394597 \h </w:instrText>
      </w:r>
      <w:r>
        <w:rPr>
          <w:noProof/>
        </w:rPr>
      </w:r>
      <w:r>
        <w:rPr>
          <w:noProof/>
        </w:rPr>
        <w:fldChar w:fldCharType="separate"/>
      </w:r>
      <w:r w:rsidR="00C971DC">
        <w:rPr>
          <w:noProof/>
        </w:rPr>
        <w:t>16</w:t>
      </w:r>
      <w:r>
        <w:rPr>
          <w:noProof/>
        </w:rPr>
        <w:fldChar w:fldCharType="end"/>
      </w:r>
    </w:p>
    <w:p w14:paraId="0F131BC4" w14:textId="77777777" w:rsidR="00AD6A55" w:rsidRDefault="00AD6A55">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Public sector reform requires better diagnosis and incremental approaches</w:t>
      </w:r>
      <w:r>
        <w:rPr>
          <w:noProof/>
        </w:rPr>
        <w:tab/>
      </w:r>
      <w:r>
        <w:rPr>
          <w:noProof/>
        </w:rPr>
        <w:fldChar w:fldCharType="begin"/>
      </w:r>
      <w:r>
        <w:rPr>
          <w:noProof/>
        </w:rPr>
        <w:instrText xml:space="preserve"> PAGEREF _Toc387394598 \h </w:instrText>
      </w:r>
      <w:r>
        <w:rPr>
          <w:noProof/>
        </w:rPr>
      </w:r>
      <w:r>
        <w:rPr>
          <w:noProof/>
        </w:rPr>
        <w:fldChar w:fldCharType="separate"/>
      </w:r>
      <w:r w:rsidR="00C971DC">
        <w:rPr>
          <w:noProof/>
        </w:rPr>
        <w:t>21</w:t>
      </w:r>
      <w:r>
        <w:rPr>
          <w:noProof/>
        </w:rPr>
        <w:fldChar w:fldCharType="end"/>
      </w:r>
    </w:p>
    <w:p w14:paraId="6B1CDE3B" w14:textId="77777777" w:rsidR="00AD6A55" w:rsidRDefault="00AD6A55">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Improving opportunities for women requires long-term support and targeted programs</w:t>
      </w:r>
      <w:r>
        <w:rPr>
          <w:noProof/>
        </w:rPr>
        <w:tab/>
      </w:r>
      <w:r>
        <w:rPr>
          <w:noProof/>
        </w:rPr>
        <w:fldChar w:fldCharType="begin"/>
      </w:r>
      <w:r>
        <w:rPr>
          <w:noProof/>
        </w:rPr>
        <w:instrText xml:space="preserve"> PAGEREF _Toc387394599 \h </w:instrText>
      </w:r>
      <w:r>
        <w:rPr>
          <w:noProof/>
        </w:rPr>
      </w:r>
      <w:r>
        <w:rPr>
          <w:noProof/>
        </w:rPr>
        <w:fldChar w:fldCharType="separate"/>
      </w:r>
      <w:r w:rsidR="00C971DC">
        <w:rPr>
          <w:noProof/>
        </w:rPr>
        <w:t>24</w:t>
      </w:r>
      <w:r>
        <w:rPr>
          <w:noProof/>
        </w:rPr>
        <w:fldChar w:fldCharType="end"/>
      </w:r>
    </w:p>
    <w:p w14:paraId="4D8667D5" w14:textId="77777777" w:rsidR="00AD6A55" w:rsidRDefault="00AD6A55">
      <w:pPr>
        <w:pStyle w:val="TOC1"/>
        <w:rPr>
          <w:rFonts w:asciiTheme="minorHAnsi" w:eastAsiaTheme="minorEastAsia" w:hAnsiTheme="minorHAnsi" w:cstheme="minorBidi"/>
          <w:bCs w:val="0"/>
          <w:color w:val="auto"/>
          <w:sz w:val="22"/>
          <w:szCs w:val="22"/>
        </w:rPr>
      </w:pPr>
      <w:r>
        <w:t>4</w:t>
      </w:r>
      <w:r>
        <w:rPr>
          <w:rFonts w:asciiTheme="minorHAnsi" w:eastAsiaTheme="minorEastAsia" w:hAnsiTheme="minorHAnsi" w:cstheme="minorBidi"/>
          <w:bCs w:val="0"/>
          <w:color w:val="auto"/>
          <w:sz w:val="22"/>
          <w:szCs w:val="22"/>
        </w:rPr>
        <w:tab/>
      </w:r>
      <w:r>
        <w:t>Engaging with partners to make Australian aid more effective</w:t>
      </w:r>
      <w:r>
        <w:tab/>
      </w:r>
      <w:r>
        <w:fldChar w:fldCharType="begin"/>
      </w:r>
      <w:r>
        <w:instrText xml:space="preserve"> PAGEREF _Toc387394600 \h </w:instrText>
      </w:r>
      <w:r>
        <w:fldChar w:fldCharType="separate"/>
      </w:r>
      <w:r w:rsidR="00C971DC">
        <w:t>28</w:t>
      </w:r>
      <w:r>
        <w:fldChar w:fldCharType="end"/>
      </w:r>
    </w:p>
    <w:p w14:paraId="384A2D85" w14:textId="77777777" w:rsidR="00AD6A55" w:rsidRDefault="00AD6A55">
      <w:pPr>
        <w:pStyle w:val="TOC2"/>
        <w:rPr>
          <w:rFonts w:asciiTheme="minorHAnsi" w:eastAsiaTheme="minorEastAsia" w:hAnsiTheme="minorHAnsi" w:cstheme="minorBidi"/>
          <w:noProof/>
          <w:sz w:val="22"/>
          <w:szCs w:val="22"/>
        </w:rPr>
      </w:pPr>
      <w:r w:rsidRPr="000D2B13">
        <w:rPr>
          <w:rFonts w:eastAsia="MS Gothic"/>
          <w:noProof/>
        </w:rPr>
        <w:t>4.1</w:t>
      </w:r>
      <w:r>
        <w:rPr>
          <w:rFonts w:asciiTheme="minorHAnsi" w:eastAsiaTheme="minorEastAsia" w:hAnsiTheme="minorHAnsi" w:cstheme="minorBidi"/>
          <w:noProof/>
          <w:sz w:val="22"/>
          <w:szCs w:val="22"/>
        </w:rPr>
        <w:tab/>
      </w:r>
      <w:r w:rsidRPr="000D2B13">
        <w:rPr>
          <w:rFonts w:eastAsia="MS Gothic"/>
          <w:noProof/>
        </w:rPr>
        <w:t>Working through multilateral organisations can promote efficiency and expand reach and policy influence but requires active DFAT engagement</w:t>
      </w:r>
      <w:r>
        <w:rPr>
          <w:noProof/>
        </w:rPr>
        <w:tab/>
      </w:r>
      <w:r>
        <w:rPr>
          <w:noProof/>
        </w:rPr>
        <w:fldChar w:fldCharType="begin"/>
      </w:r>
      <w:r>
        <w:rPr>
          <w:noProof/>
        </w:rPr>
        <w:instrText xml:space="preserve"> PAGEREF _Toc387394601 \h </w:instrText>
      </w:r>
      <w:r>
        <w:rPr>
          <w:noProof/>
        </w:rPr>
      </w:r>
      <w:r>
        <w:rPr>
          <w:noProof/>
        </w:rPr>
        <w:fldChar w:fldCharType="separate"/>
      </w:r>
      <w:r w:rsidR="00C971DC">
        <w:rPr>
          <w:noProof/>
        </w:rPr>
        <w:t>28</w:t>
      </w:r>
      <w:r>
        <w:rPr>
          <w:noProof/>
        </w:rPr>
        <w:fldChar w:fldCharType="end"/>
      </w:r>
    </w:p>
    <w:p w14:paraId="10C12AAD" w14:textId="77777777" w:rsidR="00AD6A55" w:rsidRDefault="00AD6A55">
      <w:pPr>
        <w:pStyle w:val="TOC2"/>
        <w:rPr>
          <w:rFonts w:asciiTheme="minorHAnsi" w:eastAsiaTheme="minorEastAsia" w:hAnsiTheme="minorHAnsi" w:cstheme="minorBidi"/>
          <w:noProof/>
          <w:sz w:val="22"/>
          <w:szCs w:val="22"/>
        </w:rPr>
      </w:pPr>
      <w:r w:rsidRPr="000D2B13">
        <w:rPr>
          <w:rFonts w:eastAsiaTheme="majorEastAsia"/>
          <w:noProof/>
        </w:rPr>
        <w:t>4.2</w:t>
      </w:r>
      <w:r>
        <w:rPr>
          <w:rFonts w:asciiTheme="minorHAnsi" w:eastAsiaTheme="minorEastAsia" w:hAnsiTheme="minorHAnsi" w:cstheme="minorBidi"/>
          <w:noProof/>
          <w:sz w:val="22"/>
          <w:szCs w:val="22"/>
        </w:rPr>
        <w:tab/>
      </w:r>
      <w:r w:rsidRPr="000D2B13">
        <w:rPr>
          <w:rFonts w:eastAsiaTheme="majorEastAsia"/>
          <w:noProof/>
        </w:rPr>
        <w:t>Support for civil society is most effective when underpinned by longer-term partnerships and selective use of core funding</w:t>
      </w:r>
      <w:r>
        <w:rPr>
          <w:noProof/>
        </w:rPr>
        <w:tab/>
      </w:r>
      <w:r>
        <w:rPr>
          <w:noProof/>
        </w:rPr>
        <w:fldChar w:fldCharType="begin"/>
      </w:r>
      <w:r>
        <w:rPr>
          <w:noProof/>
        </w:rPr>
        <w:instrText xml:space="preserve"> PAGEREF _Toc387394602 \h </w:instrText>
      </w:r>
      <w:r>
        <w:rPr>
          <w:noProof/>
        </w:rPr>
      </w:r>
      <w:r>
        <w:rPr>
          <w:noProof/>
        </w:rPr>
        <w:fldChar w:fldCharType="separate"/>
      </w:r>
      <w:r w:rsidR="00C971DC">
        <w:rPr>
          <w:noProof/>
        </w:rPr>
        <w:t>32</w:t>
      </w:r>
      <w:r>
        <w:rPr>
          <w:noProof/>
        </w:rPr>
        <w:fldChar w:fldCharType="end"/>
      </w:r>
    </w:p>
    <w:p w14:paraId="5D8EDCC7" w14:textId="77777777" w:rsidR="00AD6A55" w:rsidRDefault="00AD6A55">
      <w:pPr>
        <w:pStyle w:val="TOC2"/>
        <w:rPr>
          <w:rFonts w:asciiTheme="minorHAnsi" w:eastAsiaTheme="minorEastAsia" w:hAnsiTheme="minorHAnsi" w:cstheme="minorBidi"/>
          <w:noProof/>
          <w:sz w:val="22"/>
          <w:szCs w:val="22"/>
        </w:rPr>
      </w:pPr>
      <w:r w:rsidRPr="000D2B13">
        <w:rPr>
          <w:rFonts w:eastAsiaTheme="majorEastAsia"/>
          <w:noProof/>
        </w:rPr>
        <w:t>4.3</w:t>
      </w:r>
      <w:r>
        <w:rPr>
          <w:rFonts w:asciiTheme="minorHAnsi" w:eastAsiaTheme="minorEastAsia" w:hAnsiTheme="minorHAnsi" w:cstheme="minorBidi"/>
          <w:noProof/>
          <w:sz w:val="22"/>
          <w:szCs w:val="22"/>
        </w:rPr>
        <w:tab/>
      </w:r>
      <w:r w:rsidRPr="000D2B13">
        <w:rPr>
          <w:rFonts w:eastAsiaTheme="majorEastAsia"/>
          <w:noProof/>
        </w:rPr>
        <w:t>Regional initiatives require flexible funding, a strategic agenda and effective engagement of partners</w:t>
      </w:r>
      <w:r>
        <w:rPr>
          <w:noProof/>
        </w:rPr>
        <w:tab/>
      </w:r>
      <w:r>
        <w:rPr>
          <w:noProof/>
        </w:rPr>
        <w:fldChar w:fldCharType="begin"/>
      </w:r>
      <w:r>
        <w:rPr>
          <w:noProof/>
        </w:rPr>
        <w:instrText xml:space="preserve"> PAGEREF _Toc387394603 \h </w:instrText>
      </w:r>
      <w:r>
        <w:rPr>
          <w:noProof/>
        </w:rPr>
      </w:r>
      <w:r>
        <w:rPr>
          <w:noProof/>
        </w:rPr>
        <w:fldChar w:fldCharType="separate"/>
      </w:r>
      <w:r w:rsidR="00C971DC">
        <w:rPr>
          <w:noProof/>
        </w:rPr>
        <w:t>36</w:t>
      </w:r>
      <w:r>
        <w:rPr>
          <w:noProof/>
        </w:rPr>
        <w:fldChar w:fldCharType="end"/>
      </w:r>
    </w:p>
    <w:p w14:paraId="4CB8A565" w14:textId="77777777" w:rsidR="00AD6A55" w:rsidRDefault="00AD6A55">
      <w:pPr>
        <w:pStyle w:val="TOC1"/>
        <w:rPr>
          <w:rFonts w:asciiTheme="minorHAnsi" w:eastAsiaTheme="minorEastAsia" w:hAnsiTheme="minorHAnsi" w:cstheme="minorBidi"/>
          <w:bCs w:val="0"/>
          <w:color w:val="auto"/>
          <w:sz w:val="22"/>
          <w:szCs w:val="22"/>
        </w:rPr>
      </w:pPr>
      <w:r>
        <w:t>Annex 1: Terms of Reference</w:t>
      </w:r>
      <w:r>
        <w:tab/>
      </w:r>
      <w:r>
        <w:fldChar w:fldCharType="begin"/>
      </w:r>
      <w:r>
        <w:instrText xml:space="preserve"> PAGEREF _Toc387394604 \h </w:instrText>
      </w:r>
      <w:r>
        <w:fldChar w:fldCharType="separate"/>
      </w:r>
      <w:r w:rsidR="00C971DC">
        <w:t>40</w:t>
      </w:r>
      <w:r>
        <w:fldChar w:fldCharType="end"/>
      </w:r>
    </w:p>
    <w:p w14:paraId="62ADEB22" w14:textId="77777777" w:rsidR="00AD6A55" w:rsidRDefault="00AD6A55">
      <w:pPr>
        <w:pStyle w:val="TOC1"/>
        <w:rPr>
          <w:rFonts w:asciiTheme="minorHAnsi" w:eastAsiaTheme="minorEastAsia" w:hAnsiTheme="minorHAnsi" w:cstheme="minorBidi"/>
          <w:bCs w:val="0"/>
          <w:color w:val="auto"/>
          <w:sz w:val="22"/>
          <w:szCs w:val="22"/>
        </w:rPr>
      </w:pPr>
      <w:r>
        <w:t>Annex 2: Detailed methodology</w:t>
      </w:r>
      <w:r>
        <w:tab/>
      </w:r>
      <w:r>
        <w:fldChar w:fldCharType="begin"/>
      </w:r>
      <w:r>
        <w:instrText xml:space="preserve"> PAGEREF _Toc387394605 \h </w:instrText>
      </w:r>
      <w:r>
        <w:fldChar w:fldCharType="separate"/>
      </w:r>
      <w:r w:rsidR="00C971DC">
        <w:t>48</w:t>
      </w:r>
      <w:r>
        <w:fldChar w:fldCharType="end"/>
      </w:r>
    </w:p>
    <w:p w14:paraId="45225037" w14:textId="77777777" w:rsidR="00AD6A55" w:rsidRDefault="00AD6A55">
      <w:pPr>
        <w:pStyle w:val="TOC1"/>
        <w:rPr>
          <w:rFonts w:asciiTheme="minorHAnsi" w:eastAsiaTheme="minorEastAsia" w:hAnsiTheme="minorHAnsi" w:cstheme="minorBidi"/>
          <w:bCs w:val="0"/>
          <w:color w:val="auto"/>
          <w:sz w:val="22"/>
          <w:szCs w:val="22"/>
        </w:rPr>
      </w:pPr>
      <w:r>
        <w:t>Annex 3: List of evaluations included</w:t>
      </w:r>
      <w:r>
        <w:tab/>
      </w:r>
      <w:r>
        <w:fldChar w:fldCharType="begin"/>
      </w:r>
      <w:r>
        <w:instrText xml:space="preserve"> PAGEREF _Toc387394606 \h </w:instrText>
      </w:r>
      <w:r>
        <w:fldChar w:fldCharType="separate"/>
      </w:r>
      <w:r w:rsidR="00C971DC">
        <w:t>51</w:t>
      </w:r>
      <w:r>
        <w:fldChar w:fldCharType="end"/>
      </w:r>
    </w:p>
    <w:p w14:paraId="1EFC8675" w14:textId="49E07810" w:rsidR="00E37EC5" w:rsidRDefault="00AD6A55" w:rsidP="00D2198E">
      <w:pPr>
        <w:pStyle w:val="TOC1"/>
      </w:pPr>
      <w:r>
        <w:t>Annex 4: List of evaluations providing evidence for each lesson</w:t>
      </w:r>
      <w:r>
        <w:tab/>
      </w:r>
      <w:r>
        <w:fldChar w:fldCharType="begin"/>
      </w:r>
      <w:r>
        <w:instrText xml:space="preserve"> PAGEREF _Toc387394607 \h </w:instrText>
      </w:r>
      <w:r>
        <w:fldChar w:fldCharType="separate"/>
      </w:r>
      <w:r w:rsidR="00C971DC">
        <w:t>56</w:t>
      </w:r>
      <w:r>
        <w:fldChar w:fldCharType="end"/>
      </w:r>
      <w:r w:rsidR="00BA0E9A">
        <w:rPr>
          <w:sz w:val="32"/>
        </w:rPr>
        <w:fldChar w:fldCharType="end"/>
      </w:r>
      <w:r w:rsidR="00E37EC5">
        <w:br w:type="page"/>
      </w:r>
    </w:p>
    <w:p w14:paraId="01C3A18B" w14:textId="77777777" w:rsidR="00E37EC5" w:rsidRPr="00401114" w:rsidRDefault="00E37EC5" w:rsidP="00E37EC5">
      <w:pPr>
        <w:pStyle w:val="SectionTitle"/>
        <w:pageBreakBefore/>
        <w:rPr>
          <w:rFonts w:ascii="Arial" w:hAnsi="Arial"/>
          <w:color w:val="124486"/>
          <w:sz w:val="50"/>
        </w:rPr>
      </w:pPr>
      <w:bookmarkStart w:id="14" w:name="_Toc387394586"/>
      <w:r w:rsidRPr="00401114">
        <w:rPr>
          <w:rFonts w:ascii="Arial" w:hAnsi="Arial"/>
          <w:color w:val="124486"/>
          <w:sz w:val="50"/>
        </w:rPr>
        <w:lastRenderedPageBreak/>
        <w:t>Acknowledgments</w:t>
      </w:r>
      <w:bookmarkEnd w:id="14"/>
    </w:p>
    <w:p w14:paraId="491902E0" w14:textId="77777777" w:rsidR="00E37EC5" w:rsidRPr="00DA623A" w:rsidRDefault="00E37EC5" w:rsidP="00E37EC5">
      <w:pPr>
        <w:rPr>
          <w:color w:val="000000" w:themeColor="text1"/>
        </w:rPr>
      </w:pPr>
      <w:r w:rsidRPr="00DA623A">
        <w:rPr>
          <w:color w:val="000000" w:themeColor="text1"/>
        </w:rPr>
        <w:t xml:space="preserve">The Office of Development Effectiveness (ODE) would like to thank all those who contributed to this </w:t>
      </w:r>
      <w:r>
        <w:rPr>
          <w:color w:val="000000" w:themeColor="text1"/>
        </w:rPr>
        <w:t>synthesis of findings from Australian aid operational evaluations</w:t>
      </w:r>
      <w:r w:rsidRPr="00DA623A">
        <w:rPr>
          <w:color w:val="000000" w:themeColor="text1"/>
        </w:rPr>
        <w:t>.</w:t>
      </w:r>
      <w:r>
        <w:rPr>
          <w:color w:val="000000" w:themeColor="text1"/>
        </w:rPr>
        <w:t xml:space="preserve"> </w:t>
      </w:r>
    </w:p>
    <w:p w14:paraId="5F9019C0" w14:textId="77777777" w:rsidR="00E37EC5" w:rsidRPr="00DA623A" w:rsidRDefault="00E37EC5" w:rsidP="00E37EC5">
      <w:pPr>
        <w:rPr>
          <w:color w:val="000000" w:themeColor="text1"/>
        </w:rPr>
      </w:pPr>
      <w:r w:rsidRPr="00DA623A">
        <w:rPr>
          <w:color w:val="000000" w:themeColor="text1"/>
        </w:rPr>
        <w:t xml:space="preserve">The review team consisted of Nick Chapman (team leader), Hugh Goyder and Rob Lloyd from ITAD Ltd. The core DFAT management team for the review </w:t>
      </w:r>
      <w:r>
        <w:rPr>
          <w:color w:val="000000" w:themeColor="text1"/>
        </w:rPr>
        <w:t>was led by</w:t>
      </w:r>
      <w:r w:rsidRPr="00DA623A">
        <w:rPr>
          <w:color w:val="000000" w:themeColor="text1"/>
        </w:rPr>
        <w:t xml:space="preserve"> Sam Vallance and Jo Hall from ODE, </w:t>
      </w:r>
      <w:r>
        <w:rPr>
          <w:color w:val="000000" w:themeColor="text1"/>
        </w:rPr>
        <w:t>with</w:t>
      </w:r>
      <w:r w:rsidRPr="00DA623A">
        <w:rPr>
          <w:color w:val="000000" w:themeColor="text1"/>
        </w:rPr>
        <w:t xml:space="preserve"> Penny Davis and Simon Ernst from</w:t>
      </w:r>
      <w:r>
        <w:rPr>
          <w:color w:val="000000" w:themeColor="text1"/>
        </w:rPr>
        <w:t xml:space="preserve"> the former</w:t>
      </w:r>
      <w:r w:rsidRPr="00DA623A">
        <w:rPr>
          <w:color w:val="000000" w:themeColor="text1"/>
        </w:rPr>
        <w:t xml:space="preserve"> Program Effectiveness and Performance Division (PEPD). The ITAD review team collected and analysed the data from the evaluations, while a collaborative approach was taken to the design of the review, the interpretation of the findings</w:t>
      </w:r>
      <w:r>
        <w:rPr>
          <w:color w:val="000000" w:themeColor="text1"/>
        </w:rPr>
        <w:t xml:space="preserve"> and framing of </w:t>
      </w:r>
      <w:r w:rsidRPr="001E03BD">
        <w:rPr>
          <w:color w:val="000000" w:themeColor="text1"/>
        </w:rPr>
        <w:t>lessons, and</w:t>
      </w:r>
      <w:r w:rsidRPr="00DA623A">
        <w:rPr>
          <w:color w:val="000000" w:themeColor="text1"/>
        </w:rPr>
        <w:t xml:space="preserve"> the drafting of this report. </w:t>
      </w:r>
      <w:r>
        <w:rPr>
          <w:color w:val="000000" w:themeColor="text1"/>
        </w:rPr>
        <w:t>ODE’s</w:t>
      </w:r>
      <w:r w:rsidRPr="00DA623A">
        <w:rPr>
          <w:color w:val="000000" w:themeColor="text1"/>
        </w:rPr>
        <w:t xml:space="preserve"> Independent Evaluation Committee provided technical oversight.</w:t>
      </w:r>
    </w:p>
    <w:p w14:paraId="3638CB71" w14:textId="77777777" w:rsidR="00E37EC5" w:rsidRPr="00DA623A" w:rsidRDefault="00E37EC5" w:rsidP="00E37EC5">
      <w:pPr>
        <w:rPr>
          <w:color w:val="000000" w:themeColor="text1"/>
        </w:rPr>
      </w:pPr>
      <w:r w:rsidRPr="001E03BD">
        <w:rPr>
          <w:color w:val="000000" w:themeColor="text1"/>
        </w:rPr>
        <w:t xml:space="preserve">The review team would like to thank the </w:t>
      </w:r>
      <w:r>
        <w:rPr>
          <w:color w:val="000000" w:themeColor="text1"/>
        </w:rPr>
        <w:t>peer reviewers who provided feedback on the draft report.</w:t>
      </w:r>
    </w:p>
    <w:p w14:paraId="3BE18F15" w14:textId="77777777" w:rsidR="00E37EC5" w:rsidRPr="00D354B2" w:rsidRDefault="00E37EC5" w:rsidP="00E37EC5">
      <w:pPr>
        <w:pStyle w:val="BodyText"/>
      </w:pPr>
    </w:p>
    <w:p w14:paraId="573AFB15" w14:textId="77777777" w:rsidR="00E37EC5" w:rsidRPr="00D354B2" w:rsidRDefault="00E37EC5" w:rsidP="00E37EC5"/>
    <w:p w14:paraId="0A4235F2" w14:textId="10F57FCB" w:rsidR="00E92F8F" w:rsidRPr="00521750" w:rsidRDefault="00E92F8F" w:rsidP="00521750">
      <w:pPr>
        <w:spacing w:before="0" w:after="0" w:line="240" w:lineRule="auto"/>
        <w:rPr>
          <w:rFonts w:ascii="Arial" w:hAnsi="Arial"/>
          <w:noProof/>
          <w:sz w:val="32"/>
        </w:rPr>
      </w:pPr>
    </w:p>
    <w:p w14:paraId="4AA4D9E0" w14:textId="77777777" w:rsidR="00795B53" w:rsidRDefault="00795B53">
      <w:pPr>
        <w:sectPr w:rsidR="00795B53" w:rsidSect="001706F3">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oddPage"/>
          <w:pgSz w:w="11906" w:h="16838" w:code="9"/>
          <w:pgMar w:top="1440" w:right="1440" w:bottom="1440" w:left="1440" w:header="576" w:footer="576" w:gutter="0"/>
          <w:pgNumType w:fmt="lowerRoman"/>
          <w:cols w:space="720"/>
          <w:titlePg/>
        </w:sectPr>
      </w:pPr>
    </w:p>
    <w:bookmarkStart w:id="15" w:name="_Toc387394587"/>
    <w:bookmarkStart w:id="16" w:name="_Toc357065921"/>
    <w:bookmarkStart w:id="17" w:name="_Toc370827874"/>
    <w:bookmarkStart w:id="18" w:name="_Toc370827924"/>
    <w:bookmarkStart w:id="19" w:name="_Toc372723820"/>
    <w:p w14:paraId="05960A47" w14:textId="77777777" w:rsidR="00E24EDE" w:rsidRDefault="0065172E" w:rsidP="00A90BEE">
      <w:pPr>
        <w:pStyle w:val="Heading1"/>
      </w:pPr>
      <w:r w:rsidRPr="00046C29">
        <w:rPr>
          <w:noProof/>
        </w:rPr>
        <w:lastRenderedPageBreak/>
        <mc:AlternateContent>
          <mc:Choice Requires="wps">
            <w:drawing>
              <wp:anchor distT="0" distB="0" distL="114300" distR="114300" simplePos="0" relativeHeight="251646464" behindDoc="1" locked="0" layoutInCell="1" allowOverlap="1" wp14:anchorId="6EB89344" wp14:editId="4A345976">
                <wp:simplePos x="0" y="0"/>
                <wp:positionH relativeFrom="page">
                  <wp:align>left</wp:align>
                </wp:positionH>
                <wp:positionV relativeFrom="paragraph">
                  <wp:posOffset>-144145</wp:posOffset>
                </wp:positionV>
                <wp:extent cx="7610400" cy="1468800"/>
                <wp:effectExtent l="0" t="0" r="0" b="0"/>
                <wp:wrapNone/>
                <wp:docPr id="9" name="Rectangle 9"/>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11.35pt;width:599.25pt;height:115.65pt;z-index:-2516700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gIAAIY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" fillcolor="#124486" stroked="f" strokeweight="2pt">
                <w10:wrap anchorx="page"/>
              </v:rect>
            </w:pict>
          </mc:Fallback>
        </mc:AlternateContent>
      </w:r>
      <w:r w:rsidR="00E24EDE" w:rsidRPr="0065172E">
        <w:t>Executive summary</w:t>
      </w:r>
      <w:bookmarkEnd w:id="15"/>
    </w:p>
    <w:p w14:paraId="615C9F0A" w14:textId="6311A299" w:rsidR="00937A1D" w:rsidRPr="006C62E8" w:rsidRDefault="00DB0348" w:rsidP="00A4270C">
      <w:pPr>
        <w:rPr>
          <w:noProof/>
        </w:rPr>
      </w:pPr>
      <w:r w:rsidRPr="006C62E8">
        <w:rPr>
          <w:noProof/>
        </w:rPr>
        <w:t xml:space="preserve">The Office of Development Effectiveness (ODE) at the Department of Foreign Affairs and Trade (DFAT) builds stronger evidence for more effective aid. </w:t>
      </w:r>
      <w:r w:rsidR="00F0105B" w:rsidRPr="006C62E8">
        <w:rPr>
          <w:noProof/>
        </w:rPr>
        <w:t xml:space="preserve">ODE monitors the performance of the Australian aid program, evaluates its </w:t>
      </w:r>
      <w:r w:rsidR="00A16626" w:rsidRPr="006C62E8">
        <w:rPr>
          <w:noProof/>
        </w:rPr>
        <w:t>results</w:t>
      </w:r>
      <w:r w:rsidR="00F0105B" w:rsidRPr="006C62E8">
        <w:rPr>
          <w:noProof/>
        </w:rPr>
        <w:t xml:space="preserve"> and contributes to international evidence and debate about aid and development effectiveness.</w:t>
      </w:r>
      <w:r w:rsidR="00670092" w:rsidRPr="006C62E8">
        <w:rPr>
          <w:noProof/>
        </w:rPr>
        <w:t xml:space="preserve"> </w:t>
      </w:r>
    </w:p>
    <w:p w14:paraId="3022755D" w14:textId="40186165" w:rsidR="00FE6E77" w:rsidRPr="006C62E8" w:rsidRDefault="00937A1D" w:rsidP="00A4270C">
      <w:pPr>
        <w:rPr>
          <w:noProof/>
        </w:rPr>
      </w:pPr>
      <w:r w:rsidRPr="006C62E8">
        <w:rPr>
          <w:noProof/>
        </w:rPr>
        <w:t xml:space="preserve">Evaluation of the Australian aid program is undertaken at several levels and managed by different areas within DFAT. </w:t>
      </w:r>
      <w:r w:rsidR="00C9213C" w:rsidRPr="006C62E8">
        <w:rPr>
          <w:noProof/>
        </w:rPr>
        <w:t xml:space="preserve">ODE evaluations typically focus on strategic issues or cross-cutting themes and often entail cross-country comparison and analysis. ODE publishes (under the guidance of the Independent Evaluation Committee) only five or six evaluations each year. </w:t>
      </w:r>
    </w:p>
    <w:p w14:paraId="427234E6" w14:textId="2B64ECDF" w:rsidR="00C9213C" w:rsidRPr="006C62E8" w:rsidRDefault="00C9213C" w:rsidP="00A4270C">
      <w:pPr>
        <w:rPr>
          <w:noProof/>
        </w:rPr>
      </w:pPr>
      <w:r w:rsidRPr="006C62E8">
        <w:rPr>
          <w:noProof/>
        </w:rPr>
        <w:t xml:space="preserve">The vast bulk of DFAT’s independent evaluations are commissioned by the managers of discrete aid </w:t>
      </w:r>
      <w:r w:rsidR="00830681">
        <w:rPr>
          <w:noProof/>
        </w:rPr>
        <w:t>initiatives</w:t>
      </w:r>
      <w:r w:rsidRPr="006C62E8">
        <w:rPr>
          <w:noProof/>
        </w:rPr>
        <w:t xml:space="preserve">. These are termed ‘operational’ evaluations to distinguish them from ODE evaluations and </w:t>
      </w:r>
      <w:r w:rsidR="004F2D3F">
        <w:rPr>
          <w:noProof/>
        </w:rPr>
        <w:t>performance audits</w:t>
      </w:r>
      <w:r w:rsidR="004F2D3F" w:rsidRPr="006C62E8">
        <w:rPr>
          <w:noProof/>
        </w:rPr>
        <w:t xml:space="preserve"> </w:t>
      </w:r>
      <w:r w:rsidRPr="006C62E8">
        <w:rPr>
          <w:noProof/>
        </w:rPr>
        <w:t>undertaken by the Australian National Audit Office.</w:t>
      </w:r>
    </w:p>
    <w:p w14:paraId="6FACA144" w14:textId="285410B4" w:rsidR="00FE6E77" w:rsidRPr="006C62E8" w:rsidRDefault="00C96E2A" w:rsidP="00A4270C">
      <w:pPr>
        <w:rPr>
          <w:noProof/>
        </w:rPr>
      </w:pPr>
      <w:r w:rsidRPr="006C62E8">
        <w:rPr>
          <w:noProof/>
        </w:rPr>
        <w:t xml:space="preserve">This </w:t>
      </w:r>
      <w:r w:rsidR="00F0105B" w:rsidRPr="006C62E8">
        <w:rPr>
          <w:noProof/>
        </w:rPr>
        <w:t xml:space="preserve">ODE </w:t>
      </w:r>
      <w:r w:rsidRPr="006C62E8">
        <w:rPr>
          <w:noProof/>
        </w:rPr>
        <w:t xml:space="preserve">review synthesises the findings of </w:t>
      </w:r>
      <w:r w:rsidR="00F0105B" w:rsidRPr="006C62E8">
        <w:rPr>
          <w:noProof/>
        </w:rPr>
        <w:t xml:space="preserve">64 </w:t>
      </w:r>
      <w:r w:rsidRPr="006C62E8">
        <w:rPr>
          <w:noProof/>
        </w:rPr>
        <w:t xml:space="preserve">independent operational evaluations </w:t>
      </w:r>
      <w:r w:rsidR="00213B33">
        <w:rPr>
          <w:noProof/>
        </w:rPr>
        <w:t>com</w:t>
      </w:r>
      <w:r w:rsidR="001232AD">
        <w:rPr>
          <w:noProof/>
        </w:rPr>
        <w:t>m</w:t>
      </w:r>
      <w:r w:rsidR="00213B33">
        <w:rPr>
          <w:noProof/>
        </w:rPr>
        <w:t>ission</w:t>
      </w:r>
      <w:r w:rsidR="00213B33" w:rsidRPr="006C62E8">
        <w:rPr>
          <w:noProof/>
        </w:rPr>
        <w:t xml:space="preserve">ed </w:t>
      </w:r>
      <w:r w:rsidRPr="006C62E8">
        <w:rPr>
          <w:noProof/>
        </w:rPr>
        <w:t>by program areas and completed in 2012.</w:t>
      </w:r>
      <w:r w:rsidR="009046A1" w:rsidRPr="006C62E8">
        <w:rPr>
          <w:noProof/>
        </w:rPr>
        <w:t xml:space="preserve"> </w:t>
      </w:r>
      <w:r w:rsidR="00552AA3" w:rsidRPr="006C62E8">
        <w:rPr>
          <w:noProof/>
        </w:rPr>
        <w:t xml:space="preserve">Each of these evaluations is assessed as credible and offering lessons of potential value to a wider audience. </w:t>
      </w:r>
    </w:p>
    <w:p w14:paraId="37261564" w14:textId="1FA74C5C" w:rsidR="00552AA3" w:rsidRPr="006C62E8" w:rsidRDefault="00552AA3" w:rsidP="00A4270C">
      <w:pPr>
        <w:rPr>
          <w:noProof/>
        </w:rPr>
      </w:pPr>
      <w:r w:rsidRPr="006C62E8">
        <w:rPr>
          <w:noProof/>
        </w:rPr>
        <w:t>This report synthesises these lessons. Its purpose is to inform and improve program design and management and to provide learning to the broader development community. This synthesis addresses an identified gap in the dissemination of the findings of Australian aid evaluations</w:t>
      </w:r>
      <w:r w:rsidR="00F35DC7" w:rsidRPr="006C62E8">
        <w:rPr>
          <w:noProof/>
        </w:rPr>
        <w:t xml:space="preserve">, </w:t>
      </w:r>
      <w:r w:rsidRPr="006C62E8">
        <w:rPr>
          <w:noProof/>
        </w:rPr>
        <w:t>the original reports of which can sometimes be hard to locate or to readily digest.</w:t>
      </w:r>
    </w:p>
    <w:p w14:paraId="7582001A" w14:textId="6C4891AA" w:rsidR="009C020B" w:rsidRDefault="00552AA3" w:rsidP="009C020B">
      <w:pPr>
        <w:rPr>
          <w:noProof/>
        </w:rPr>
      </w:pPr>
      <w:bookmarkStart w:id="20" w:name="rvw2here"/>
      <w:bookmarkEnd w:id="20"/>
      <w:r w:rsidRPr="006C62E8">
        <w:rPr>
          <w:noProof/>
        </w:rPr>
        <w:t xml:space="preserve">In undertaking this synthesis, </w:t>
      </w:r>
      <w:r w:rsidR="00A16626" w:rsidRPr="006C62E8">
        <w:rPr>
          <w:noProof/>
        </w:rPr>
        <w:t>we</w:t>
      </w:r>
      <w:r w:rsidRPr="006C62E8">
        <w:rPr>
          <w:noProof/>
        </w:rPr>
        <w:t xml:space="preserve"> systematically reviewed</w:t>
      </w:r>
      <w:r w:rsidR="009C020B" w:rsidRPr="006C62E8">
        <w:rPr>
          <w:noProof/>
        </w:rPr>
        <w:t xml:space="preserve"> all 64 evaluation reports to </w:t>
      </w:r>
      <w:r w:rsidR="009C020B">
        <w:rPr>
          <w:noProof/>
        </w:rPr>
        <w:t xml:space="preserve">collect evidence on </w:t>
      </w:r>
      <w:r w:rsidR="00F35DC7">
        <w:rPr>
          <w:noProof/>
        </w:rPr>
        <w:t xml:space="preserve">two </w:t>
      </w:r>
      <w:r w:rsidR="00F35DC7" w:rsidRPr="004544B0">
        <w:rPr>
          <w:noProof/>
        </w:rPr>
        <w:t>questions: w</w:t>
      </w:r>
      <w:r w:rsidR="009C020B" w:rsidRPr="004544B0">
        <w:rPr>
          <w:noProof/>
        </w:rPr>
        <w:t>hat worked well and why</w:t>
      </w:r>
      <w:r w:rsidR="00F35DC7" w:rsidRPr="004544B0">
        <w:rPr>
          <w:noProof/>
        </w:rPr>
        <w:t>;</w:t>
      </w:r>
      <w:r w:rsidR="009C020B" w:rsidRPr="004544B0">
        <w:rPr>
          <w:noProof/>
        </w:rPr>
        <w:t xml:space="preserve"> and </w:t>
      </w:r>
      <w:r w:rsidR="00F35DC7" w:rsidRPr="004544B0">
        <w:rPr>
          <w:noProof/>
        </w:rPr>
        <w:t>w</w:t>
      </w:r>
      <w:r w:rsidR="009C020B" w:rsidRPr="004544B0">
        <w:rPr>
          <w:noProof/>
        </w:rPr>
        <w:t>hat didn’t work well and why</w:t>
      </w:r>
      <w:r w:rsidR="00F35DC7" w:rsidRPr="004544B0">
        <w:rPr>
          <w:noProof/>
        </w:rPr>
        <w:t>.</w:t>
      </w:r>
      <w:r w:rsidR="009C020B" w:rsidRPr="004544B0">
        <w:rPr>
          <w:noProof/>
        </w:rPr>
        <w:t xml:space="preserve"> Taking context into account, the evidence was then analysed to identify </w:t>
      </w:r>
      <w:r w:rsidR="00D95BAE" w:rsidRPr="004544B0">
        <w:rPr>
          <w:noProof/>
        </w:rPr>
        <w:t xml:space="preserve">the </w:t>
      </w:r>
      <w:r w:rsidR="009C020B" w:rsidRPr="004544B0">
        <w:rPr>
          <w:noProof/>
        </w:rPr>
        <w:t>higher</w:t>
      </w:r>
      <w:r w:rsidR="00FE6E77" w:rsidRPr="004544B0">
        <w:rPr>
          <w:noProof/>
        </w:rPr>
        <w:t>-</w:t>
      </w:r>
      <w:r w:rsidR="009C020B" w:rsidRPr="004544B0">
        <w:rPr>
          <w:noProof/>
        </w:rPr>
        <w:t>level lessons</w:t>
      </w:r>
      <w:r w:rsidR="00D95BAE" w:rsidRPr="004544B0">
        <w:rPr>
          <w:noProof/>
        </w:rPr>
        <w:t xml:space="preserve"> emerging most strongly</w:t>
      </w:r>
      <w:r w:rsidR="009C020B" w:rsidRPr="004544B0">
        <w:rPr>
          <w:noProof/>
        </w:rPr>
        <w:t>.</w:t>
      </w:r>
      <w:r w:rsidR="009C020B">
        <w:rPr>
          <w:noProof/>
        </w:rPr>
        <w:t xml:space="preserve"> </w:t>
      </w:r>
    </w:p>
    <w:p w14:paraId="455BF2F6" w14:textId="5ED895C0" w:rsidR="00D95BAE" w:rsidRDefault="00D95BAE" w:rsidP="009C020B">
      <w:pPr>
        <w:rPr>
          <w:noProof/>
        </w:rPr>
      </w:pPr>
      <w:r w:rsidRPr="006C62E8">
        <w:rPr>
          <w:noProof/>
        </w:rPr>
        <w:t>We identified nine lessons, which are summarised below</w:t>
      </w:r>
      <w:r w:rsidR="004544B0" w:rsidRPr="006C62E8">
        <w:rPr>
          <w:noProof/>
        </w:rPr>
        <w:t xml:space="preserve"> and</w:t>
      </w:r>
      <w:r w:rsidR="00BB0162" w:rsidRPr="006C62E8">
        <w:rPr>
          <w:noProof/>
        </w:rPr>
        <w:t xml:space="preserve"> grouped under three broad themes</w:t>
      </w:r>
      <w:r w:rsidRPr="006C62E8">
        <w:rPr>
          <w:noProof/>
        </w:rPr>
        <w:t>.</w:t>
      </w:r>
      <w:r w:rsidR="00552AA3" w:rsidRPr="006C62E8">
        <w:rPr>
          <w:noProof/>
        </w:rPr>
        <w:t xml:space="preserve"> While </w:t>
      </w:r>
      <w:r w:rsidR="00FE6E77" w:rsidRPr="006C62E8">
        <w:rPr>
          <w:noProof/>
        </w:rPr>
        <w:t xml:space="preserve">the lessons are </w:t>
      </w:r>
      <w:r w:rsidR="00552AA3" w:rsidRPr="006C62E8">
        <w:rPr>
          <w:noProof/>
        </w:rPr>
        <w:t xml:space="preserve">not always new, the 64 evaluations tell us that </w:t>
      </w:r>
      <w:r w:rsidR="00FE6E77" w:rsidRPr="006C62E8">
        <w:rPr>
          <w:noProof/>
        </w:rPr>
        <w:t xml:space="preserve">they </w:t>
      </w:r>
      <w:r w:rsidR="00552AA3" w:rsidRPr="006C62E8">
        <w:rPr>
          <w:noProof/>
        </w:rPr>
        <w:t xml:space="preserve">are certainly worth our collective attention. </w:t>
      </w:r>
      <w:r w:rsidR="00440F71">
        <w:rPr>
          <w:noProof/>
        </w:rPr>
        <w:t>Specific e</w:t>
      </w:r>
      <w:r w:rsidR="00A64109">
        <w:rPr>
          <w:noProof/>
        </w:rPr>
        <w:t xml:space="preserve">xamples from the evaluations are provided throughout the report. </w:t>
      </w:r>
      <w:r w:rsidR="009C020B" w:rsidRPr="006C62E8">
        <w:rPr>
          <w:noProof/>
        </w:rPr>
        <w:t>A list of the evaluations providing evidence for each lesson is at Annex 4</w:t>
      </w:r>
      <w:r w:rsidR="00552AA3" w:rsidRPr="006C62E8">
        <w:rPr>
          <w:noProof/>
        </w:rPr>
        <w:t xml:space="preserve">, together with a link to </w:t>
      </w:r>
      <w:r w:rsidR="00A64109">
        <w:rPr>
          <w:noProof/>
        </w:rPr>
        <w:t>DFAT’s</w:t>
      </w:r>
      <w:r w:rsidR="00A64109" w:rsidRPr="006C62E8">
        <w:rPr>
          <w:noProof/>
        </w:rPr>
        <w:t xml:space="preserve"> </w:t>
      </w:r>
      <w:r w:rsidR="00C23F6A" w:rsidRPr="006C62E8">
        <w:rPr>
          <w:noProof/>
        </w:rPr>
        <w:t>aid publications webpage</w:t>
      </w:r>
      <w:r w:rsidR="009C020B" w:rsidRPr="006C62E8">
        <w:rPr>
          <w:noProof/>
        </w:rPr>
        <w:t>.</w:t>
      </w:r>
      <w:r w:rsidR="00670092" w:rsidRPr="006C62E8">
        <w:rPr>
          <w:noProof/>
        </w:rPr>
        <w:t xml:space="preserve"> </w:t>
      </w:r>
    </w:p>
    <w:p w14:paraId="5FAB1895" w14:textId="35F5C875" w:rsidR="00D01DA1" w:rsidRPr="006C62E8" w:rsidDel="00BD12D9" w:rsidRDefault="00D01DA1" w:rsidP="00D01DA1">
      <w:pPr>
        <w:rPr>
          <w:noProof/>
        </w:rPr>
      </w:pPr>
      <w:r w:rsidRPr="006C62E8" w:rsidDel="00BD12D9">
        <w:rPr>
          <w:noProof/>
        </w:rPr>
        <w:t xml:space="preserve">The quality of the evaluations and lessons about improving the way we commission and conduct evaluations is reported separately in </w:t>
      </w:r>
      <w:r w:rsidRPr="0021284E" w:rsidDel="00BD12D9">
        <w:rPr>
          <w:i/>
          <w:noProof/>
        </w:rPr>
        <w:t>Quality of Australian aid operational evaluations</w:t>
      </w:r>
      <w:r w:rsidRPr="006C62E8" w:rsidDel="00BD12D9">
        <w:rPr>
          <w:noProof/>
        </w:rPr>
        <w:t>.</w:t>
      </w:r>
    </w:p>
    <w:p w14:paraId="73FA2D5C" w14:textId="77777777" w:rsidR="00D01DA1" w:rsidRPr="006C62E8" w:rsidRDefault="00D01DA1" w:rsidP="009C020B">
      <w:pPr>
        <w:rPr>
          <w:noProof/>
        </w:rPr>
      </w:pPr>
    </w:p>
    <w:p w14:paraId="37CDAAAD" w14:textId="74C0E21B" w:rsidR="00EF7A00" w:rsidRPr="0094408A" w:rsidRDefault="009046A1" w:rsidP="00213B33">
      <w:pPr>
        <w:pStyle w:val="Heading2a"/>
      </w:pPr>
      <w:r>
        <w:lastRenderedPageBreak/>
        <w:t>Lessons on p</w:t>
      </w:r>
      <w:r w:rsidR="00EF7A00" w:rsidRPr="0094408A">
        <w:t>rogram design and management</w:t>
      </w:r>
    </w:p>
    <w:p w14:paraId="68198E87" w14:textId="466DD383" w:rsidR="00EF7A00" w:rsidRPr="006C7EB6" w:rsidRDefault="00EF7A00" w:rsidP="00213B33">
      <w:pPr>
        <w:pStyle w:val="Heading3a"/>
      </w:pPr>
      <w:r w:rsidRPr="004544B0">
        <w:t>Improving monitoring and evaluation requires</w:t>
      </w:r>
      <w:r w:rsidR="00F80FAE" w:rsidRPr="004544B0">
        <w:t xml:space="preserve"> attention</w:t>
      </w:r>
      <w:r w:rsidR="00552AA3" w:rsidRPr="004544B0">
        <w:t xml:space="preserve"> </w:t>
      </w:r>
      <w:r w:rsidR="00F80FAE" w:rsidRPr="004544B0">
        <w:t xml:space="preserve">to </w:t>
      </w:r>
      <w:r w:rsidR="00552AA3" w:rsidRPr="004544B0">
        <w:t>outcomes, better intervention logic and more accessible information</w:t>
      </w:r>
      <w:r w:rsidRPr="006C7EB6">
        <w:t xml:space="preserve"> </w:t>
      </w:r>
    </w:p>
    <w:p w14:paraId="377DCF86" w14:textId="18EC75EF" w:rsidR="00EF7A00" w:rsidRPr="006C62E8" w:rsidRDefault="00EF7A00" w:rsidP="00EF7A00">
      <w:pPr>
        <w:rPr>
          <w:noProof/>
        </w:rPr>
      </w:pPr>
      <w:r w:rsidRPr="006C62E8">
        <w:rPr>
          <w:noProof/>
        </w:rPr>
        <w:t>High</w:t>
      </w:r>
      <w:r w:rsidR="00FE6E77" w:rsidRPr="006C62E8">
        <w:rPr>
          <w:noProof/>
        </w:rPr>
        <w:t>-</w:t>
      </w:r>
      <w:r w:rsidRPr="006C62E8">
        <w:rPr>
          <w:noProof/>
        </w:rPr>
        <w:t>quality monitoring and evaluation</w:t>
      </w:r>
      <w:r w:rsidR="0038258D">
        <w:rPr>
          <w:noProof/>
        </w:rPr>
        <w:t xml:space="preserve"> (M&amp;E)</w:t>
      </w:r>
      <w:r w:rsidRPr="006C62E8">
        <w:rPr>
          <w:noProof/>
        </w:rPr>
        <w:t xml:space="preserve"> systems are important because they provide access to information </w:t>
      </w:r>
      <w:r w:rsidR="00FE6E77" w:rsidRPr="006C62E8">
        <w:rPr>
          <w:noProof/>
        </w:rPr>
        <w:t xml:space="preserve">that </w:t>
      </w:r>
      <w:r w:rsidR="00552AA3" w:rsidRPr="006C62E8">
        <w:rPr>
          <w:noProof/>
        </w:rPr>
        <w:t>can be used to make programming</w:t>
      </w:r>
      <w:r w:rsidRPr="006C62E8">
        <w:rPr>
          <w:noProof/>
        </w:rPr>
        <w:t xml:space="preserve"> decisions </w:t>
      </w:r>
      <w:r w:rsidR="00552AA3" w:rsidRPr="006C62E8">
        <w:rPr>
          <w:noProof/>
        </w:rPr>
        <w:t>as well as report</w:t>
      </w:r>
      <w:r w:rsidR="00BD22AE" w:rsidRPr="006C62E8">
        <w:rPr>
          <w:noProof/>
        </w:rPr>
        <w:t>ing</w:t>
      </w:r>
      <w:r w:rsidR="00552AA3" w:rsidRPr="006C62E8">
        <w:rPr>
          <w:noProof/>
        </w:rPr>
        <w:t xml:space="preserve"> </w:t>
      </w:r>
      <w:r w:rsidRPr="006C62E8">
        <w:rPr>
          <w:noProof/>
        </w:rPr>
        <w:t>on the effectiveness of the Australian aid program. From the evidence in the evaluations, we identified three key lessons for improving the quality of initiative monitoring and evaluation:</w:t>
      </w:r>
      <w:r w:rsidR="00670092" w:rsidRPr="006C62E8">
        <w:rPr>
          <w:noProof/>
        </w:rPr>
        <w:t xml:space="preserve"> </w:t>
      </w:r>
    </w:p>
    <w:p w14:paraId="3E59BBA8" w14:textId="0182ACF5" w:rsidR="00552AA3" w:rsidRPr="0044798A" w:rsidRDefault="00552AA3" w:rsidP="00213B33">
      <w:pPr>
        <w:pStyle w:val="Bullet"/>
      </w:pPr>
      <w:r w:rsidRPr="0044798A">
        <w:t xml:space="preserve">M&amp;E systems need to </w:t>
      </w:r>
      <w:r w:rsidR="00F80FAE" w:rsidRPr="0044798A">
        <w:t xml:space="preserve">assess </w:t>
      </w:r>
      <w:r w:rsidRPr="0044798A">
        <w:t>the extent to which an initiative’s</w:t>
      </w:r>
      <w:r w:rsidR="00F80FAE" w:rsidRPr="0044798A">
        <w:t xml:space="preserve"> end-of-program</w:t>
      </w:r>
      <w:r w:rsidRPr="0044798A">
        <w:t xml:space="preserve"> outcomes are being achieved rather than only measuring outputs.</w:t>
      </w:r>
    </w:p>
    <w:p w14:paraId="708F1288" w14:textId="1880F93B" w:rsidR="00EF7A00" w:rsidRPr="0044798A" w:rsidRDefault="00BD22AE" w:rsidP="00213B33">
      <w:pPr>
        <w:pStyle w:val="Bullet"/>
      </w:pPr>
      <w:r w:rsidRPr="0044798A">
        <w:t>i</w:t>
      </w:r>
      <w:r w:rsidR="00EF7A00" w:rsidRPr="0044798A">
        <w:t>nvest in developing a realistic and logical program design that includes a clear ‘theory of change’—a model that explains how changes are expected to occur as a result of the intervention and what the expected impacts are—</w:t>
      </w:r>
      <w:r w:rsidR="00603B64" w:rsidRPr="0044798A">
        <w:t xml:space="preserve">and </w:t>
      </w:r>
      <w:r w:rsidR="00EF7A00" w:rsidRPr="0044798A">
        <w:t xml:space="preserve">then ensure that the M&amp;E system captures the extent to which the anticipated changes are actually taking place. </w:t>
      </w:r>
    </w:p>
    <w:p w14:paraId="562D552A" w14:textId="26E606A8" w:rsidR="00EF7A00" w:rsidRPr="0044798A" w:rsidRDefault="00EF7A00" w:rsidP="00213B33">
      <w:pPr>
        <w:pStyle w:val="Bullet"/>
      </w:pPr>
      <w:r w:rsidRPr="0044798A">
        <w:t>Keep M&amp;E data simple, relevant and accessible so that it can be used as the basis for decision</w:t>
      </w:r>
      <w:r w:rsidR="00E6335B" w:rsidRPr="0044798A">
        <w:t>-</w:t>
      </w:r>
      <w:r w:rsidRPr="0044798A">
        <w:t xml:space="preserve">making. </w:t>
      </w:r>
    </w:p>
    <w:p w14:paraId="242922A6" w14:textId="7740227C" w:rsidR="00EF7A00" w:rsidRPr="00CF5A3B" w:rsidRDefault="00EF7A00" w:rsidP="00213B33">
      <w:pPr>
        <w:pStyle w:val="Heading3a"/>
      </w:pPr>
      <w:r w:rsidRPr="00CF5A3B">
        <w:t xml:space="preserve">Poor coordination adversely affects effectiveness </w:t>
      </w:r>
    </w:p>
    <w:p w14:paraId="5922ED7B" w14:textId="29223061" w:rsidR="00EF7A00" w:rsidRPr="006C62E8" w:rsidRDefault="00EF7A00" w:rsidP="00EF7A00">
      <w:pPr>
        <w:rPr>
          <w:noProof/>
        </w:rPr>
      </w:pPr>
      <w:r w:rsidRPr="006C62E8">
        <w:rPr>
          <w:noProof/>
        </w:rPr>
        <w:t>Coordination between actors within a sector can be a powerful means of enhancing development effectiveness and sustainability. A coordinated and collaborative approach can help build synergies between aid initiatives and help integrate aid initiatives within the sectors in which they are being implemented. A number of evaluations highlighted instances where this was not done very well, with an adverse impact on effectiveness. The key lessons to emerge are:</w:t>
      </w:r>
    </w:p>
    <w:p w14:paraId="2BFD63D9" w14:textId="2BF4BD8B" w:rsidR="00EF7A00" w:rsidRPr="006C7EB6" w:rsidRDefault="00EF7A00" w:rsidP="00213B33">
      <w:pPr>
        <w:pStyle w:val="Bullet"/>
      </w:pPr>
      <w:r w:rsidRPr="006C7EB6">
        <w:t xml:space="preserve">Learning and coordination between Australian aid initiatives needs to be </w:t>
      </w:r>
      <w:r w:rsidR="00C9213C">
        <w:t xml:space="preserve">better </w:t>
      </w:r>
      <w:r w:rsidRPr="006C7EB6">
        <w:t>planned</w:t>
      </w:r>
      <w:r w:rsidR="004F2D3F">
        <w:t xml:space="preserve"> and more actively pursued by initiative managers</w:t>
      </w:r>
      <w:r w:rsidRPr="006C7EB6">
        <w:t xml:space="preserve">. </w:t>
      </w:r>
    </w:p>
    <w:p w14:paraId="32EC3F58" w14:textId="3F7454FD" w:rsidR="00EF7A00" w:rsidRPr="006C7EB6" w:rsidRDefault="00DC13B2" w:rsidP="00213B33">
      <w:pPr>
        <w:pStyle w:val="Bullet"/>
      </w:pPr>
      <w:r>
        <w:t>F</w:t>
      </w:r>
      <w:r w:rsidR="00EF7A00" w:rsidRPr="006C7EB6">
        <w:t>ailure to embed initiatives within the wider network of activities and institutions involved in a sector can undermine effectiveness and sustainability.</w:t>
      </w:r>
    </w:p>
    <w:p w14:paraId="2C46DFB2" w14:textId="18DC988C" w:rsidR="00EF7A00" w:rsidRPr="00CF5A3B" w:rsidRDefault="00EF7A00" w:rsidP="00213B33">
      <w:pPr>
        <w:pStyle w:val="Heading3a"/>
      </w:pPr>
      <w:r w:rsidRPr="00CF5A3B">
        <w:t xml:space="preserve">Implementation is stronger where there </w:t>
      </w:r>
      <w:r w:rsidRPr="006535EA">
        <w:t>is close engagement by DFAT staff</w:t>
      </w:r>
      <w:r w:rsidR="005E5AEF">
        <w:t xml:space="preserve"> and the role of managing contractors is clear</w:t>
      </w:r>
      <w:r w:rsidRPr="00CF5A3B">
        <w:t xml:space="preserve"> </w:t>
      </w:r>
    </w:p>
    <w:p w14:paraId="36008981" w14:textId="3F637707" w:rsidR="00EF7A00" w:rsidRPr="006C62E8" w:rsidRDefault="00EF7A00" w:rsidP="00EF7A00">
      <w:pPr>
        <w:rPr>
          <w:noProof/>
        </w:rPr>
      </w:pPr>
      <w:r w:rsidRPr="006C62E8">
        <w:rPr>
          <w:noProof/>
        </w:rPr>
        <w:t>The Australian Government often engages managing contractors</w:t>
      </w:r>
      <w:r w:rsidR="005E5AEF" w:rsidRPr="006C62E8">
        <w:rPr>
          <w:noProof/>
        </w:rPr>
        <w:t xml:space="preserve"> (as well as other partners)</w:t>
      </w:r>
      <w:r w:rsidRPr="006C62E8">
        <w:rPr>
          <w:noProof/>
        </w:rPr>
        <w:t xml:space="preserve"> to implement aid initiatives on the ground</w:t>
      </w:r>
      <w:r w:rsidR="005956F6" w:rsidRPr="006C62E8">
        <w:rPr>
          <w:noProof/>
        </w:rPr>
        <w:t>. T</w:t>
      </w:r>
      <w:r w:rsidRPr="006C62E8">
        <w:rPr>
          <w:noProof/>
        </w:rPr>
        <w:t xml:space="preserve">his can be an effective means to deliver aid, especially in situations where DFAT’s staff resources are limited. Under such a model, the role and degree of engagement by DFAT aid program managers can vary significantly. The findings of the evaluations suggested that </w:t>
      </w:r>
      <w:r w:rsidR="006A05AD" w:rsidRPr="006C62E8">
        <w:rPr>
          <w:noProof/>
        </w:rPr>
        <w:t xml:space="preserve">close </w:t>
      </w:r>
      <w:r w:rsidRPr="006C62E8">
        <w:rPr>
          <w:noProof/>
        </w:rPr>
        <w:t>engagement by DFAT staff and clarity around the role of managing contractors can help promote effective aid delivery, specifically:</w:t>
      </w:r>
    </w:p>
    <w:p w14:paraId="4DA7EB89" w14:textId="77777777" w:rsidR="00EF7A00" w:rsidRPr="006C7EB6" w:rsidRDefault="00EF7A00" w:rsidP="00D97B38">
      <w:pPr>
        <w:pStyle w:val="Bullet"/>
      </w:pPr>
      <w:r w:rsidRPr="006C7EB6">
        <w:t>Involvement of DFAT aid managers in the day-to-day delivery of an aid initiative, especially in complex and challenging environments, can improve the Australian Government’s understanding of the context and strengthen relationships with partners.</w:t>
      </w:r>
    </w:p>
    <w:p w14:paraId="3E03C029" w14:textId="1F91F6A1" w:rsidR="00EF7A00" w:rsidRPr="006C7EB6" w:rsidRDefault="00EF7A00" w:rsidP="00D97B38">
      <w:pPr>
        <w:pStyle w:val="Bullet"/>
      </w:pPr>
      <w:r w:rsidRPr="006C7EB6">
        <w:t xml:space="preserve">The process for selecting managing contractors needs to consider their suitability for </w:t>
      </w:r>
      <w:r w:rsidR="00F80FAE">
        <w:t xml:space="preserve">the complex task of </w:t>
      </w:r>
      <w:r w:rsidRPr="006C7EB6">
        <w:t xml:space="preserve">local capacity development and </w:t>
      </w:r>
      <w:r w:rsidR="00F80FAE">
        <w:t>this</w:t>
      </w:r>
      <w:r w:rsidR="00F80FAE" w:rsidRPr="006C7EB6">
        <w:t xml:space="preserve"> </w:t>
      </w:r>
      <w:r w:rsidRPr="006C7EB6">
        <w:t>role needs to be clearly defined. While a few evaluations highlighted instances where managing contractors proved effective and efficient in these areas, two evaluations drew attention to cases where the managing contractors’ presence was so strong that there was reduced scope for initiative and ownership by local partners.</w:t>
      </w:r>
    </w:p>
    <w:p w14:paraId="30EFB31F" w14:textId="3F009402" w:rsidR="00EF7A00" w:rsidRPr="00715907" w:rsidRDefault="009046A1" w:rsidP="00D97B38">
      <w:pPr>
        <w:pStyle w:val="Heading2a"/>
      </w:pPr>
      <w:r w:rsidRPr="00715907">
        <w:lastRenderedPageBreak/>
        <w:t>Lessons on s</w:t>
      </w:r>
      <w:r w:rsidR="00EF7A00" w:rsidRPr="00715907">
        <w:t>upporting capacity development and sustainable reforms</w:t>
      </w:r>
    </w:p>
    <w:p w14:paraId="76B77803" w14:textId="5BA57C6A" w:rsidR="00EF7A00" w:rsidRPr="005F607B" w:rsidRDefault="00EF7A00" w:rsidP="00D97B38">
      <w:pPr>
        <w:pStyle w:val="Heading3a"/>
      </w:pPr>
      <w:r w:rsidRPr="005F607B">
        <w:t xml:space="preserve">Capacity development is most effective when it is </w:t>
      </w:r>
      <w:r w:rsidR="00F80FAE" w:rsidRPr="005F607B">
        <w:t xml:space="preserve">driven </w:t>
      </w:r>
      <w:r w:rsidRPr="005F607B">
        <w:t xml:space="preserve">by partners, uses </w:t>
      </w:r>
      <w:r w:rsidR="005E5AEF" w:rsidRPr="005F607B">
        <w:t>a range of methods</w:t>
      </w:r>
      <w:r w:rsidRPr="005F607B">
        <w:t xml:space="preserve"> and </w:t>
      </w:r>
      <w:r w:rsidR="005F607B" w:rsidRPr="005F607B">
        <w:t>takes the local context into account</w:t>
      </w:r>
    </w:p>
    <w:p w14:paraId="7783FD6D" w14:textId="25BA6E72" w:rsidR="00EF7A00" w:rsidRPr="006C62E8" w:rsidRDefault="00EF7A00" w:rsidP="00EF7A00">
      <w:pPr>
        <w:rPr>
          <w:noProof/>
        </w:rPr>
      </w:pPr>
      <w:r w:rsidRPr="006C62E8">
        <w:rPr>
          <w:noProof/>
        </w:rPr>
        <w:t xml:space="preserve">Capacity development is a core principle guiding the design and implementation of Australian aid initiatives. Developing the capacity of partners so that progress continues once Australian support ends is </w:t>
      </w:r>
      <w:r w:rsidR="0082333A" w:rsidRPr="006C62E8">
        <w:rPr>
          <w:noProof/>
        </w:rPr>
        <w:t xml:space="preserve">critical </w:t>
      </w:r>
      <w:r w:rsidRPr="006C62E8">
        <w:rPr>
          <w:noProof/>
        </w:rPr>
        <w:t>to effective and sustainable development</w:t>
      </w:r>
      <w:r w:rsidR="00F11FDE" w:rsidRPr="006C62E8">
        <w:rPr>
          <w:noProof/>
        </w:rPr>
        <w:t xml:space="preserve"> </w:t>
      </w:r>
      <w:r w:rsidR="0082333A" w:rsidRPr="006C62E8">
        <w:rPr>
          <w:noProof/>
        </w:rPr>
        <w:t>but is also a complex process</w:t>
      </w:r>
      <w:r w:rsidRPr="006C62E8">
        <w:rPr>
          <w:noProof/>
        </w:rPr>
        <w:t>.</w:t>
      </w:r>
      <w:r w:rsidR="00670092" w:rsidRPr="006C62E8">
        <w:rPr>
          <w:noProof/>
        </w:rPr>
        <w:t xml:space="preserve"> </w:t>
      </w:r>
    </w:p>
    <w:p w14:paraId="5BEA4410" w14:textId="77777777" w:rsidR="00EF7A00" w:rsidRPr="006C62E8" w:rsidRDefault="00EF7A00" w:rsidP="00EF7A00">
      <w:pPr>
        <w:rPr>
          <w:noProof/>
        </w:rPr>
      </w:pPr>
      <w:r w:rsidRPr="006C62E8">
        <w:rPr>
          <w:noProof/>
        </w:rPr>
        <w:t>The evaluations highlighted the following lessons about developing the capacity of partners:</w:t>
      </w:r>
    </w:p>
    <w:p w14:paraId="4541F66D" w14:textId="3AB643E8" w:rsidR="00EF7A00" w:rsidRPr="005F607B" w:rsidRDefault="00EF7A00" w:rsidP="00D97B38">
      <w:pPr>
        <w:pStyle w:val="Bullet"/>
      </w:pPr>
      <w:r w:rsidRPr="005F607B">
        <w:t>Ensuring local ‘ownership’ of capacity</w:t>
      </w:r>
      <w:r w:rsidR="002261C1">
        <w:t xml:space="preserve"> </w:t>
      </w:r>
      <w:r w:rsidRPr="005F607B">
        <w:t xml:space="preserve">building is key. </w:t>
      </w:r>
      <w:r w:rsidR="00250E96">
        <w:t xml:space="preserve">Allowing </w:t>
      </w:r>
      <w:r w:rsidR="0082333A" w:rsidRPr="005F607B">
        <w:t xml:space="preserve">local development partners to shape the scope of a </w:t>
      </w:r>
      <w:r w:rsidRPr="005F607B">
        <w:t>capacity development intervention</w:t>
      </w:r>
      <w:r w:rsidR="0082333A" w:rsidRPr="005F607B">
        <w:t xml:space="preserve"> bode</w:t>
      </w:r>
      <w:r w:rsidR="00393514">
        <w:t>s</w:t>
      </w:r>
      <w:r w:rsidR="0082333A" w:rsidRPr="00393514">
        <w:t xml:space="preserve"> well</w:t>
      </w:r>
      <w:r w:rsidR="0082333A" w:rsidRPr="003910E4">
        <w:t xml:space="preserve"> for the </w:t>
      </w:r>
      <w:r w:rsidRPr="005F607B">
        <w:t xml:space="preserve">overall effectiveness of the intervention. </w:t>
      </w:r>
    </w:p>
    <w:p w14:paraId="0E977A8F" w14:textId="7D57F4F8" w:rsidR="00EF7A00" w:rsidRPr="005F607B" w:rsidRDefault="00EF7A00" w:rsidP="00D97B38">
      <w:pPr>
        <w:pStyle w:val="Bullet"/>
      </w:pPr>
      <w:r w:rsidRPr="005F607B">
        <w:t xml:space="preserve">Successful capacity development requires a range of complementary </w:t>
      </w:r>
      <w:r w:rsidR="005F607B" w:rsidRPr="005F607B">
        <w:t xml:space="preserve">methods </w:t>
      </w:r>
      <w:r w:rsidRPr="005F607B">
        <w:t>that provide support in different ways over a period of time.</w:t>
      </w:r>
      <w:r w:rsidR="00670092">
        <w:t xml:space="preserve"> </w:t>
      </w:r>
      <w:r w:rsidRPr="005F607B">
        <w:t>A number of evaluations highlighted cases of over-reliance on training</w:t>
      </w:r>
      <w:r w:rsidR="002261C1">
        <w:t>,</w:t>
      </w:r>
      <w:r w:rsidR="0082333A" w:rsidRPr="005F607B">
        <w:t xml:space="preserve"> which </w:t>
      </w:r>
      <w:r w:rsidR="00250E96">
        <w:t xml:space="preserve">on its own </w:t>
      </w:r>
      <w:r w:rsidR="0082333A" w:rsidRPr="005F607B">
        <w:t>rarely proved to be a sustainable tool for capacity development</w:t>
      </w:r>
      <w:r w:rsidRPr="005F607B">
        <w:t>.</w:t>
      </w:r>
    </w:p>
    <w:p w14:paraId="644573F3" w14:textId="691220F7" w:rsidR="00EF7A00" w:rsidRPr="005F607B" w:rsidRDefault="00EF7A00" w:rsidP="00D97B38">
      <w:pPr>
        <w:pStyle w:val="Bullet"/>
      </w:pPr>
      <w:r w:rsidRPr="006535EA">
        <w:t xml:space="preserve">Strengthening capacity requires </w:t>
      </w:r>
      <w:r w:rsidR="005F607B" w:rsidRPr="006535EA">
        <w:t>interventions</w:t>
      </w:r>
      <w:r w:rsidR="005F607B" w:rsidRPr="005F607B">
        <w:t xml:space="preserve"> </w:t>
      </w:r>
      <w:r w:rsidR="004742DB">
        <w:t>that</w:t>
      </w:r>
      <w:r w:rsidR="004742DB" w:rsidRPr="005F607B">
        <w:t xml:space="preserve"> </w:t>
      </w:r>
      <w:r w:rsidR="005F607B" w:rsidRPr="005F607B">
        <w:t>are appropriate to the local context. This includes taking into account</w:t>
      </w:r>
      <w:r w:rsidR="002D0E0F" w:rsidRPr="005F607B">
        <w:t xml:space="preserve"> </w:t>
      </w:r>
      <w:r w:rsidRPr="005F607B">
        <w:t>the broader system</w:t>
      </w:r>
      <w:r w:rsidR="005F607B" w:rsidRPr="005F607B">
        <w:t>s</w:t>
      </w:r>
      <w:r w:rsidRPr="005F607B">
        <w:t xml:space="preserve"> within which individuals and organisations function and </w:t>
      </w:r>
      <w:r w:rsidR="002261C1">
        <w:t xml:space="preserve">that </w:t>
      </w:r>
      <w:r w:rsidRPr="005F607B">
        <w:t>influence behaviour</w:t>
      </w:r>
      <w:r w:rsidR="005F607B" w:rsidRPr="005F607B">
        <w:t>al change</w:t>
      </w:r>
      <w:r w:rsidRPr="005F607B">
        <w:t xml:space="preserve">. </w:t>
      </w:r>
      <w:r w:rsidR="002261C1">
        <w:t>Where possible, a</w:t>
      </w:r>
      <w:r w:rsidRPr="005F607B">
        <w:t>id initiatives should</w:t>
      </w:r>
      <w:r w:rsidR="002261C1">
        <w:t xml:space="preserve"> </w:t>
      </w:r>
      <w:r w:rsidRPr="005F607B">
        <w:t>work to create an enabling environment.</w:t>
      </w:r>
    </w:p>
    <w:p w14:paraId="577E0D5D" w14:textId="778787D5" w:rsidR="00EF7A00" w:rsidRPr="006C7EB6" w:rsidRDefault="00EF7A00" w:rsidP="00D97B38">
      <w:pPr>
        <w:pStyle w:val="Bullet"/>
      </w:pPr>
      <w:r w:rsidRPr="006535EA">
        <w:t>Ensure</w:t>
      </w:r>
      <w:r w:rsidRPr="006C7EB6">
        <w:t xml:space="preserve"> that technical advisers</w:t>
      </w:r>
      <w:r w:rsidR="00D6418B">
        <w:t xml:space="preserve"> </w:t>
      </w:r>
      <w:r w:rsidRPr="006C7EB6">
        <w:t xml:space="preserve">have strong </w:t>
      </w:r>
      <w:r w:rsidR="00CC4224">
        <w:t>relationship</w:t>
      </w:r>
      <w:r w:rsidR="00CC4224" w:rsidRPr="006C7EB6">
        <w:t xml:space="preserve"> </w:t>
      </w:r>
      <w:r w:rsidRPr="006C7EB6">
        <w:t>and capacity</w:t>
      </w:r>
      <w:r w:rsidR="002261C1">
        <w:t>-</w:t>
      </w:r>
      <w:r w:rsidRPr="006C7EB6">
        <w:t xml:space="preserve">building skills and </w:t>
      </w:r>
      <w:r w:rsidR="00CC4224">
        <w:t xml:space="preserve">bring (or quickly develop) a sound </w:t>
      </w:r>
      <w:r w:rsidRPr="006C7EB6">
        <w:t>understand</w:t>
      </w:r>
      <w:r w:rsidR="00CC4224">
        <w:t>ing of</w:t>
      </w:r>
      <w:r w:rsidRPr="006C7EB6">
        <w:t xml:space="preserve"> the local context.</w:t>
      </w:r>
      <w:r w:rsidR="00670092">
        <w:t xml:space="preserve"> </w:t>
      </w:r>
    </w:p>
    <w:p w14:paraId="19D38BB1" w14:textId="77777777" w:rsidR="00EF7A00" w:rsidRPr="00E76748" w:rsidRDefault="00EF7A00" w:rsidP="00D97B38">
      <w:pPr>
        <w:pStyle w:val="Heading3a"/>
      </w:pPr>
      <w:r w:rsidRPr="00E76748">
        <w:t xml:space="preserve">Public sector reform requires better diagnosis and incremental approaches </w:t>
      </w:r>
    </w:p>
    <w:p w14:paraId="63A2D626" w14:textId="211C8B1B" w:rsidR="00EF7A00" w:rsidRPr="006C62E8" w:rsidRDefault="00EF7A00" w:rsidP="00EF7A00">
      <w:pPr>
        <w:rPr>
          <w:noProof/>
        </w:rPr>
      </w:pPr>
      <w:r w:rsidRPr="0094408A">
        <w:rPr>
          <w:noProof/>
        </w:rPr>
        <w:t xml:space="preserve">Public sector reform has been a central part of </w:t>
      </w:r>
      <w:r>
        <w:rPr>
          <w:noProof/>
        </w:rPr>
        <w:t>Australian Government</w:t>
      </w:r>
      <w:r w:rsidRPr="0094408A">
        <w:rPr>
          <w:noProof/>
        </w:rPr>
        <w:t xml:space="preserve"> support </w:t>
      </w:r>
      <w:r w:rsidR="006535EA">
        <w:rPr>
          <w:noProof/>
        </w:rPr>
        <w:t>for</w:t>
      </w:r>
      <w:r w:rsidR="006535EA" w:rsidRPr="006535EA">
        <w:rPr>
          <w:noProof/>
        </w:rPr>
        <w:t xml:space="preserve"> </w:t>
      </w:r>
      <w:r w:rsidR="00CC4224" w:rsidRPr="006535EA">
        <w:rPr>
          <w:noProof/>
        </w:rPr>
        <w:t xml:space="preserve">improving the institutional settings </w:t>
      </w:r>
      <w:r w:rsidR="00683F8F">
        <w:rPr>
          <w:noProof/>
        </w:rPr>
        <w:t xml:space="preserve">to encourage </w:t>
      </w:r>
      <w:r w:rsidR="00CC4224">
        <w:rPr>
          <w:noProof/>
        </w:rPr>
        <w:t>stronger social and economic development</w:t>
      </w:r>
      <w:r w:rsidRPr="0094408A">
        <w:rPr>
          <w:noProof/>
        </w:rPr>
        <w:t xml:space="preserve">. </w:t>
      </w:r>
      <w:r>
        <w:rPr>
          <w:noProof/>
        </w:rPr>
        <w:t>T</w:t>
      </w:r>
      <w:r w:rsidRPr="006C62E8">
        <w:rPr>
          <w:noProof/>
        </w:rPr>
        <w:t>he evaluations highlighted the following lessons about public sector reform:</w:t>
      </w:r>
    </w:p>
    <w:p w14:paraId="78FE4944" w14:textId="46C1A7B4" w:rsidR="00EF7A00" w:rsidRPr="006C7EB6" w:rsidRDefault="00EF7A00" w:rsidP="00D97B38">
      <w:pPr>
        <w:pStyle w:val="Bullet"/>
      </w:pPr>
      <w:r w:rsidRPr="006C7EB6">
        <w:t xml:space="preserve">Effective public sector reform needs to be underpinned by </w:t>
      </w:r>
      <w:r w:rsidR="00CC4224">
        <w:t>a</w:t>
      </w:r>
      <w:r w:rsidR="00CC4224" w:rsidRPr="006C7EB6">
        <w:t xml:space="preserve"> </w:t>
      </w:r>
      <w:r w:rsidRPr="006C7EB6">
        <w:t xml:space="preserve">robust political economy analysis </w:t>
      </w:r>
      <w:r w:rsidR="002261C1">
        <w:t xml:space="preserve">that </w:t>
      </w:r>
      <w:r w:rsidRPr="006C7EB6">
        <w:t xml:space="preserve">informs the development of a realistic program logic model and objectives. </w:t>
      </w:r>
      <w:r w:rsidR="00CC4224">
        <w:t>Helping our partners to d</w:t>
      </w:r>
      <w:r w:rsidRPr="006C7EB6">
        <w:t xml:space="preserve">eliver reforms </w:t>
      </w:r>
      <w:r w:rsidR="00CC4224">
        <w:t xml:space="preserve">is rarely </w:t>
      </w:r>
      <w:r w:rsidRPr="006C7EB6">
        <w:t>a technical matter</w:t>
      </w:r>
      <w:r w:rsidR="00CC4224">
        <w:t xml:space="preserve"> alone</w:t>
      </w:r>
      <w:r w:rsidRPr="006C7EB6">
        <w:t xml:space="preserve"> but requires a close understanding of the </w:t>
      </w:r>
      <w:r w:rsidR="00CC4224">
        <w:t>local context</w:t>
      </w:r>
      <w:r w:rsidR="002261C1">
        <w:t xml:space="preserve"> and </w:t>
      </w:r>
      <w:r w:rsidR="00CC4224">
        <w:t xml:space="preserve">the </w:t>
      </w:r>
      <w:r w:rsidRPr="006C7EB6">
        <w:t xml:space="preserve">incentives </w:t>
      </w:r>
      <w:r w:rsidR="00CC4224">
        <w:t xml:space="preserve">of all stakeholders </w:t>
      </w:r>
      <w:r w:rsidRPr="006C7EB6">
        <w:t xml:space="preserve">and </w:t>
      </w:r>
      <w:r w:rsidR="00CC4224">
        <w:t xml:space="preserve">the broader </w:t>
      </w:r>
      <w:r w:rsidRPr="006C7EB6">
        <w:t>political economy</w:t>
      </w:r>
      <w:r w:rsidR="00CC4224">
        <w:t>.</w:t>
      </w:r>
    </w:p>
    <w:p w14:paraId="4E4DB142" w14:textId="0E4B6F06" w:rsidR="00EF7A00" w:rsidRPr="006C7EB6" w:rsidRDefault="00EF7A00" w:rsidP="00D97B38">
      <w:pPr>
        <w:pStyle w:val="Bullet"/>
      </w:pPr>
      <w:r w:rsidRPr="006C7EB6">
        <w:t>Incremental approaches that build on existing good practices can be more effective than large-scale and/or top-down reforms. In some cases it may be beneficial to combine approaches.</w:t>
      </w:r>
    </w:p>
    <w:p w14:paraId="15961F0D" w14:textId="7EEEE95B" w:rsidR="00EF7A00" w:rsidRPr="0042051F" w:rsidRDefault="00EF7A00" w:rsidP="00D97B38">
      <w:pPr>
        <w:pStyle w:val="Heading3a"/>
      </w:pPr>
      <w:r w:rsidRPr="00683F8F">
        <w:t>Improving opportunities for women</w:t>
      </w:r>
      <w:r w:rsidRPr="0042051F">
        <w:t xml:space="preserve"> requires </w:t>
      </w:r>
      <w:r>
        <w:t>long</w:t>
      </w:r>
      <w:r w:rsidR="002261C1">
        <w:t>-</w:t>
      </w:r>
      <w:r>
        <w:t>term support</w:t>
      </w:r>
      <w:r w:rsidRPr="0042051F">
        <w:t xml:space="preserve"> and target</w:t>
      </w:r>
      <w:r>
        <w:t>ed programs</w:t>
      </w:r>
    </w:p>
    <w:p w14:paraId="3B31E2AE" w14:textId="571551F5" w:rsidR="00EF7A00" w:rsidRPr="006C62E8" w:rsidRDefault="00EF7A00" w:rsidP="00EF7A00">
      <w:pPr>
        <w:rPr>
          <w:noProof/>
        </w:rPr>
      </w:pPr>
      <w:r w:rsidRPr="00BA1BF7">
        <w:rPr>
          <w:noProof/>
        </w:rPr>
        <w:t xml:space="preserve">Equal opportunity for women and men </w:t>
      </w:r>
      <w:r w:rsidRPr="00683F8F">
        <w:rPr>
          <w:noProof/>
        </w:rPr>
        <w:t>supports</w:t>
      </w:r>
      <w:r w:rsidRPr="00BA1BF7">
        <w:rPr>
          <w:noProof/>
        </w:rPr>
        <w:t xml:space="preserve"> economic growth and helps reduce poverty.</w:t>
      </w:r>
      <w:r>
        <w:rPr>
          <w:noProof/>
        </w:rPr>
        <w:t xml:space="preserve"> Promoting g</w:t>
      </w:r>
      <w:r w:rsidRPr="0094408A">
        <w:rPr>
          <w:noProof/>
        </w:rPr>
        <w:t xml:space="preserve">ender equality and women’s empowerment is an overarching policy objective of the Australian aid program. </w:t>
      </w:r>
      <w:r w:rsidRPr="006C62E8">
        <w:rPr>
          <w:noProof/>
        </w:rPr>
        <w:t xml:space="preserve">The Australian aid operational evaluations with gender findings were all </w:t>
      </w:r>
      <w:r>
        <w:rPr>
          <w:noProof/>
        </w:rPr>
        <w:t>‘mainstream’ programs with a gender component. T</w:t>
      </w:r>
      <w:r w:rsidRPr="006C62E8">
        <w:rPr>
          <w:noProof/>
        </w:rPr>
        <w:t>hey highlighted the following lessons:</w:t>
      </w:r>
    </w:p>
    <w:p w14:paraId="03D20674" w14:textId="20A58D91" w:rsidR="00EF7A00" w:rsidRPr="006C7EB6" w:rsidRDefault="00EF7A00" w:rsidP="00D97B38">
      <w:pPr>
        <w:pStyle w:val="Bullet"/>
      </w:pPr>
      <w:r w:rsidRPr="00683F8F">
        <w:t>Support for gender equality through policy and institutional measures can prove effective but requires long</w:t>
      </w:r>
      <w:r w:rsidR="002261C1" w:rsidRPr="00683F8F">
        <w:t>-</w:t>
      </w:r>
      <w:r w:rsidRPr="00683F8F">
        <w:t>term support.</w:t>
      </w:r>
      <w:r w:rsidRPr="006C7EB6">
        <w:t xml:space="preserve"> Australian aid has achieved some success in promoting equal treatment of, and outcomes for, men and women by supporting improved legal and policy </w:t>
      </w:r>
      <w:r w:rsidRPr="006C7EB6">
        <w:lastRenderedPageBreak/>
        <w:t>frameworks and institutions.</w:t>
      </w:r>
      <w:r w:rsidR="00670092">
        <w:t xml:space="preserve"> </w:t>
      </w:r>
      <w:r w:rsidRPr="006C7EB6">
        <w:t xml:space="preserve">However, </w:t>
      </w:r>
      <w:r w:rsidRPr="00683F8F">
        <w:t>such</w:t>
      </w:r>
      <w:r w:rsidRPr="006C7EB6">
        <w:t xml:space="preserve"> support </w:t>
      </w:r>
      <w:r w:rsidR="00CC4224">
        <w:t>often involves complex behaviour</w:t>
      </w:r>
      <w:r w:rsidR="00E322A0">
        <w:t>al</w:t>
      </w:r>
      <w:r w:rsidR="00CC4224">
        <w:t xml:space="preserve"> or attitudinal change and </w:t>
      </w:r>
      <w:r w:rsidR="00EC08A5">
        <w:t xml:space="preserve">generates </w:t>
      </w:r>
      <w:r w:rsidR="00CC4224">
        <w:t xml:space="preserve">mixed levels </w:t>
      </w:r>
      <w:r w:rsidR="00250E96">
        <w:t>of</w:t>
      </w:r>
      <w:r w:rsidR="00250E96" w:rsidRPr="006C7EB6">
        <w:t xml:space="preserve"> political</w:t>
      </w:r>
      <w:r w:rsidRPr="006C7EB6">
        <w:t xml:space="preserve"> commitment. </w:t>
      </w:r>
    </w:p>
    <w:p w14:paraId="2B4E506E" w14:textId="0D31DBD8" w:rsidR="00EF7A00" w:rsidRPr="006C7EB6" w:rsidRDefault="00EF7A00" w:rsidP="00D97B38">
      <w:pPr>
        <w:pStyle w:val="Bullet"/>
      </w:pPr>
      <w:r w:rsidRPr="006C7EB6">
        <w:t>Capacity</w:t>
      </w:r>
      <w:r w:rsidR="00CF157E">
        <w:t>-</w:t>
      </w:r>
      <w:r w:rsidRPr="006C7EB6">
        <w:t xml:space="preserve">building programs can reach and empower women, but women need to be specifically targeted </w:t>
      </w:r>
      <w:r w:rsidRPr="00683F8F">
        <w:t xml:space="preserve">and barriers to their participation </w:t>
      </w:r>
      <w:r w:rsidR="00683F8F">
        <w:t xml:space="preserve">must be </w:t>
      </w:r>
      <w:r w:rsidRPr="00683F8F">
        <w:t>addressed.</w:t>
      </w:r>
      <w:r w:rsidRPr="006C7EB6">
        <w:t xml:space="preserve"> Generic programs for both men and women are unlikely </w:t>
      </w:r>
      <w:r w:rsidRPr="00683F8F">
        <w:t xml:space="preserve">to have </w:t>
      </w:r>
      <w:r w:rsidR="00D97B38">
        <w:t>an equal</w:t>
      </w:r>
      <w:r w:rsidRPr="00683F8F">
        <w:t xml:space="preserve"> level of participation by women or </w:t>
      </w:r>
      <w:r w:rsidR="00CC4224" w:rsidRPr="00683F8F">
        <w:t xml:space="preserve">to </w:t>
      </w:r>
      <w:r w:rsidRPr="00683F8F">
        <w:t>be as effective in addressing inequality.</w:t>
      </w:r>
    </w:p>
    <w:p w14:paraId="76705FF4" w14:textId="312646CB" w:rsidR="00EF7A00" w:rsidRPr="0094408A" w:rsidRDefault="009046A1" w:rsidP="00D97B38">
      <w:pPr>
        <w:pStyle w:val="Heading2a"/>
      </w:pPr>
      <w:r>
        <w:t>Lessons on e</w:t>
      </w:r>
      <w:r w:rsidR="00EF7A00" w:rsidRPr="0094408A">
        <w:t>ngaging with partners to make Australian aid more effective</w:t>
      </w:r>
    </w:p>
    <w:p w14:paraId="57E4D62A" w14:textId="123A1944" w:rsidR="009342F3" w:rsidRPr="009342F3" w:rsidRDefault="009342F3" w:rsidP="00D97B38">
      <w:pPr>
        <w:pStyle w:val="Heading3a"/>
      </w:pPr>
      <w:bookmarkStart w:id="21" w:name="_Toc381872817"/>
      <w:r w:rsidRPr="00683F8F">
        <w:t>Working through multilateral</w:t>
      </w:r>
      <w:r w:rsidRPr="009B30BB">
        <w:t xml:space="preserve"> organisations</w:t>
      </w:r>
      <w:bookmarkEnd w:id="21"/>
      <w:r w:rsidRPr="009B30BB">
        <w:t xml:space="preserve"> can promote efficiency and expand reach and policy influence</w:t>
      </w:r>
      <w:r w:rsidRPr="00C70EBB">
        <w:t xml:space="preserve"> but requires active DFAT engagement</w:t>
      </w:r>
    </w:p>
    <w:p w14:paraId="04080F6F" w14:textId="7C1AF2DC" w:rsidR="00640EAD" w:rsidRPr="00640EAD" w:rsidRDefault="00640EAD" w:rsidP="00640EAD">
      <w:pPr>
        <w:rPr>
          <w:noProof/>
        </w:rPr>
      </w:pPr>
      <w:r w:rsidRPr="00640EAD">
        <w:rPr>
          <w:noProof/>
        </w:rPr>
        <w:t>Australian aid is provided both directly</w:t>
      </w:r>
      <w:r w:rsidR="00EE708D" w:rsidRPr="006C62E8">
        <w:rPr>
          <w:noProof/>
        </w:rPr>
        <w:t xml:space="preserve"> </w:t>
      </w:r>
      <w:r w:rsidRPr="00640EAD">
        <w:rPr>
          <w:noProof/>
        </w:rPr>
        <w:t xml:space="preserve">to multilateral organisations in the form of core funding and </w:t>
      </w:r>
      <w:r w:rsidR="00EE708D">
        <w:rPr>
          <w:noProof/>
        </w:rPr>
        <w:t xml:space="preserve">indirectly </w:t>
      </w:r>
      <w:r w:rsidRPr="00640EAD">
        <w:rPr>
          <w:noProof/>
        </w:rPr>
        <w:t xml:space="preserve">through multilateral organisations in the </w:t>
      </w:r>
      <w:r>
        <w:rPr>
          <w:noProof/>
        </w:rPr>
        <w:t xml:space="preserve">form of non-core contributions for a </w:t>
      </w:r>
      <w:r w:rsidRPr="00640EAD">
        <w:rPr>
          <w:noProof/>
        </w:rPr>
        <w:t>specific purpose, region, country or sector. Non-core funding represent</w:t>
      </w:r>
      <w:r>
        <w:rPr>
          <w:noProof/>
        </w:rPr>
        <w:t>ed</w:t>
      </w:r>
      <w:r w:rsidRPr="00640EAD">
        <w:rPr>
          <w:noProof/>
        </w:rPr>
        <w:t xml:space="preserve"> around 60 per cent of $1.6 billion of </w:t>
      </w:r>
      <w:r w:rsidR="00CC4224">
        <w:rPr>
          <w:noProof/>
        </w:rPr>
        <w:t xml:space="preserve">Australia’s </w:t>
      </w:r>
      <w:r w:rsidRPr="00640EAD">
        <w:rPr>
          <w:noProof/>
        </w:rPr>
        <w:t xml:space="preserve">total multilateral funding in 2010–11. </w:t>
      </w:r>
      <w:r>
        <w:rPr>
          <w:noProof/>
        </w:rPr>
        <w:t>A</w:t>
      </w:r>
      <w:r w:rsidRPr="00640EAD">
        <w:rPr>
          <w:noProof/>
        </w:rPr>
        <w:t xml:space="preserve"> number of the evaluations covered Australia’s non-core contributions to multilateral organisations</w:t>
      </w:r>
      <w:r>
        <w:rPr>
          <w:noProof/>
        </w:rPr>
        <w:t xml:space="preserve"> and they highlighted the following lessons:</w:t>
      </w:r>
      <w:r w:rsidRPr="00640EAD">
        <w:rPr>
          <w:noProof/>
        </w:rPr>
        <w:t xml:space="preserve"> </w:t>
      </w:r>
    </w:p>
    <w:p w14:paraId="0DE6E330" w14:textId="30DCBD95" w:rsidR="009342F3" w:rsidRPr="009342F3" w:rsidRDefault="009342F3" w:rsidP="00D97B38">
      <w:pPr>
        <w:pStyle w:val="Bullet"/>
      </w:pPr>
      <w:r w:rsidRPr="009342F3">
        <w:t>Single</w:t>
      </w:r>
      <w:r w:rsidR="003074EB">
        <w:t>-</w:t>
      </w:r>
      <w:r w:rsidRPr="009342F3">
        <w:t>donor trust funds can provide opportunities for participating in and influencing policy dialogue, but strong engagement is required from DFAT staff for this to be realised</w:t>
      </w:r>
      <w:r>
        <w:t>.</w:t>
      </w:r>
    </w:p>
    <w:p w14:paraId="65001566" w14:textId="03A10663" w:rsidR="006D2C61" w:rsidRPr="006D2C61" w:rsidRDefault="006D2C61" w:rsidP="00D97B38">
      <w:pPr>
        <w:pStyle w:val="Bullet"/>
      </w:pPr>
      <w:r w:rsidRPr="006D2C61">
        <w:t>Multidonor trust funds can provide a flexible and efficient means of delivery at scale, particularly in fragile or conflict</w:t>
      </w:r>
      <w:r w:rsidR="00EE708D">
        <w:t>-</w:t>
      </w:r>
      <w:r w:rsidRPr="006D2C61">
        <w:t>affected settings and where government capacity is very low.</w:t>
      </w:r>
      <w:r w:rsidR="00670092">
        <w:t xml:space="preserve"> </w:t>
      </w:r>
    </w:p>
    <w:p w14:paraId="01853191" w14:textId="3AD03162" w:rsidR="009342F3" w:rsidRPr="009342F3" w:rsidRDefault="00CC4224" w:rsidP="00AD6A55">
      <w:pPr>
        <w:pStyle w:val="Bullet"/>
        <w:ind w:left="357" w:hanging="357"/>
      </w:pPr>
      <w:r>
        <w:t>Future funding to</w:t>
      </w:r>
      <w:r w:rsidR="009342F3" w:rsidRPr="009342F3">
        <w:t xml:space="preserve"> the United Nations </w:t>
      </w:r>
      <w:r>
        <w:t>in support of</w:t>
      </w:r>
      <w:r w:rsidR="009342F3" w:rsidRPr="009342F3">
        <w:t xml:space="preserve"> a more unified approach to development efforts </w:t>
      </w:r>
      <w:r>
        <w:t>should take account of the mixed results of previous Australian aid</w:t>
      </w:r>
      <w:r w:rsidR="00C23F6A">
        <w:t xml:space="preserve"> for this purpose.</w:t>
      </w:r>
    </w:p>
    <w:p w14:paraId="789DF0C9" w14:textId="1B283D7E" w:rsidR="00EF7A00" w:rsidRPr="0042051F" w:rsidRDefault="00EF7A00" w:rsidP="00D97B38">
      <w:pPr>
        <w:pStyle w:val="Heading3a"/>
      </w:pPr>
      <w:r w:rsidRPr="0042051F">
        <w:t xml:space="preserve">Support for civil society is most effective when </w:t>
      </w:r>
      <w:r w:rsidR="00521ABB">
        <w:t xml:space="preserve">underpinned by longer-term partnerships and selective use of </w:t>
      </w:r>
      <w:r w:rsidRPr="0042051F">
        <w:t>core funding</w:t>
      </w:r>
    </w:p>
    <w:p w14:paraId="5E2B4747" w14:textId="2A2D4D48" w:rsidR="00EF7A00" w:rsidRPr="0094408A" w:rsidRDefault="00EF7A00" w:rsidP="00EF7A00">
      <w:pPr>
        <w:rPr>
          <w:noProof/>
        </w:rPr>
      </w:pPr>
      <w:r w:rsidRPr="0094408A">
        <w:rPr>
          <w:noProof/>
        </w:rPr>
        <w:t>Support for civil society is an important component of the Australian aid program. In 2011</w:t>
      </w:r>
      <w:r w:rsidR="00EE708D" w:rsidRPr="006C62E8">
        <w:rPr>
          <w:noProof/>
        </w:rPr>
        <w:t>–</w:t>
      </w:r>
      <w:r w:rsidRPr="0094408A">
        <w:rPr>
          <w:noProof/>
        </w:rPr>
        <w:t xml:space="preserve">12, 360 </w:t>
      </w:r>
      <w:r w:rsidR="0018698F">
        <w:rPr>
          <w:noProof/>
        </w:rPr>
        <w:t>civil society organisations (</w:t>
      </w:r>
      <w:r w:rsidRPr="0094408A">
        <w:rPr>
          <w:noProof/>
        </w:rPr>
        <w:t>CSOs</w:t>
      </w:r>
      <w:r w:rsidR="0018698F">
        <w:rPr>
          <w:noProof/>
        </w:rPr>
        <w:t>)</w:t>
      </w:r>
      <w:r w:rsidRPr="0094408A">
        <w:rPr>
          <w:noProof/>
        </w:rPr>
        <w:t xml:space="preserve"> received $565 million (or 12 per cent) of direct funding managed by the former AusAID. Much of this </w:t>
      </w:r>
      <w:r>
        <w:rPr>
          <w:noProof/>
        </w:rPr>
        <w:t>funding is</w:t>
      </w:r>
      <w:r w:rsidRPr="0094408A">
        <w:rPr>
          <w:noProof/>
        </w:rPr>
        <w:t xml:space="preserve"> to assist them to undertake specific projects</w:t>
      </w:r>
      <w:r w:rsidR="00EE708D" w:rsidRPr="006C62E8">
        <w:rPr>
          <w:noProof/>
        </w:rPr>
        <w:t>—</w:t>
      </w:r>
      <w:r w:rsidRPr="0094408A">
        <w:rPr>
          <w:noProof/>
        </w:rPr>
        <w:t>for instance</w:t>
      </w:r>
      <w:r w:rsidR="00EE708D">
        <w:rPr>
          <w:noProof/>
        </w:rPr>
        <w:t>,</w:t>
      </w:r>
      <w:r w:rsidRPr="0094408A">
        <w:rPr>
          <w:noProof/>
        </w:rPr>
        <w:t xml:space="preserve"> in water and sanitation, education and humanitarian activities</w:t>
      </w:r>
      <w:r w:rsidR="00EE708D" w:rsidRPr="006C62E8">
        <w:rPr>
          <w:noProof/>
        </w:rPr>
        <w:t>—</w:t>
      </w:r>
      <w:r w:rsidRPr="0094408A">
        <w:rPr>
          <w:noProof/>
        </w:rPr>
        <w:t xml:space="preserve">while </w:t>
      </w:r>
      <w:r>
        <w:rPr>
          <w:noProof/>
        </w:rPr>
        <w:t>some is intended to</w:t>
      </w:r>
      <w:r w:rsidRPr="0094408A">
        <w:rPr>
          <w:noProof/>
        </w:rPr>
        <w:t xml:space="preserve"> strengthen the CSOs themselves. </w:t>
      </w:r>
      <w:r>
        <w:rPr>
          <w:noProof/>
        </w:rPr>
        <w:t>T</w:t>
      </w:r>
      <w:r w:rsidRPr="006C62E8">
        <w:rPr>
          <w:noProof/>
        </w:rPr>
        <w:t>he evaluations highlighted the following lessons about working effectively with civil society:</w:t>
      </w:r>
    </w:p>
    <w:p w14:paraId="5FC084D7" w14:textId="69D87C56" w:rsidR="00250E96" w:rsidRPr="00683F8F" w:rsidRDefault="00250E96" w:rsidP="00FA73F8">
      <w:pPr>
        <w:pStyle w:val="Bullet"/>
      </w:pPr>
      <w:r w:rsidRPr="00683F8F">
        <w:t xml:space="preserve">Rather than engaging with CSOs primarily as contractors for service delivery, </w:t>
      </w:r>
      <w:r w:rsidR="00683F8F">
        <w:t xml:space="preserve">more sustainable outcomes will result from </w:t>
      </w:r>
      <w:r w:rsidRPr="00683F8F">
        <w:t>providing long-term core funding to CSOs to allow them greater flexibility to invest over time in strengthening their own organisational capacity to be long</w:t>
      </w:r>
      <w:r w:rsidR="00EE708D" w:rsidRPr="00683F8F">
        <w:t>-</w:t>
      </w:r>
      <w:r w:rsidRPr="00683F8F">
        <w:t>term agents of change.</w:t>
      </w:r>
      <w:r w:rsidR="00670092" w:rsidRPr="00FA73F8">
        <w:t xml:space="preserve"> </w:t>
      </w:r>
    </w:p>
    <w:p w14:paraId="72C3E1F6" w14:textId="40943797" w:rsidR="00250E96" w:rsidRPr="00250E96" w:rsidRDefault="00250E96" w:rsidP="00FA73F8">
      <w:pPr>
        <w:pStyle w:val="Bullet"/>
      </w:pPr>
      <w:r>
        <w:t xml:space="preserve">Local CSOs can be important partners (as well as larger international </w:t>
      </w:r>
      <w:r w:rsidR="00CC6C1A">
        <w:t>non-government organisations (</w:t>
      </w:r>
      <w:r>
        <w:t>NGOs</w:t>
      </w:r>
      <w:r w:rsidR="00CC6C1A">
        <w:t>)</w:t>
      </w:r>
      <w:r>
        <w:t>), and more attention should be given to partnering with and strengthening local CSOs.</w:t>
      </w:r>
    </w:p>
    <w:p w14:paraId="6A7C508F" w14:textId="77777777" w:rsidR="001D33B9" w:rsidRDefault="001D33B9">
      <w:pPr>
        <w:spacing w:before="0" w:after="0" w:line="240" w:lineRule="auto"/>
        <w:rPr>
          <w:rFonts w:ascii="Arial" w:hAnsi="Arial" w:cs="Arial"/>
          <w:bCs/>
          <w:color w:val="007FAD"/>
          <w:sz w:val="24"/>
          <w:szCs w:val="26"/>
        </w:rPr>
      </w:pPr>
      <w:r>
        <w:br w:type="page"/>
      </w:r>
    </w:p>
    <w:p w14:paraId="0B92841D" w14:textId="36335623" w:rsidR="00EF7A00" w:rsidRPr="0094408A" w:rsidRDefault="00EF7A00" w:rsidP="00FA73F8">
      <w:pPr>
        <w:pStyle w:val="Heading3a"/>
      </w:pPr>
      <w:r w:rsidRPr="0094408A">
        <w:lastRenderedPageBreak/>
        <w:t xml:space="preserve">Regional initiatives require flexible funding, a strategic agenda and effective engagement of partners </w:t>
      </w:r>
    </w:p>
    <w:p w14:paraId="0EE30E53" w14:textId="3126DA9E" w:rsidR="00EF7A00" w:rsidRPr="0094408A" w:rsidRDefault="00EF7A00" w:rsidP="00EF7A00">
      <w:pPr>
        <w:rPr>
          <w:noProof/>
        </w:rPr>
      </w:pPr>
      <w:r w:rsidRPr="0094408A">
        <w:rPr>
          <w:noProof/>
        </w:rPr>
        <w:t>Support</w:t>
      </w:r>
      <w:r>
        <w:rPr>
          <w:noProof/>
        </w:rPr>
        <w:t xml:space="preserve"> for r</w:t>
      </w:r>
      <w:r w:rsidRPr="0094408A">
        <w:rPr>
          <w:noProof/>
        </w:rPr>
        <w:t xml:space="preserve">egional </w:t>
      </w:r>
      <w:r>
        <w:rPr>
          <w:noProof/>
        </w:rPr>
        <w:t>organisations</w:t>
      </w:r>
      <w:r w:rsidRPr="0094408A">
        <w:rPr>
          <w:noProof/>
        </w:rPr>
        <w:t xml:space="preserve"> can be a complex and a highly political task. This is especially so in the Pacific,</w:t>
      </w:r>
      <w:r w:rsidRPr="006C62E8">
        <w:rPr>
          <w:noProof/>
        </w:rPr>
        <w:t xml:space="preserve"> </w:t>
      </w:r>
      <w:r w:rsidRPr="0094408A">
        <w:rPr>
          <w:noProof/>
        </w:rPr>
        <w:t>where the size of the region</w:t>
      </w:r>
      <w:r w:rsidR="00415F6A">
        <w:rPr>
          <w:noProof/>
        </w:rPr>
        <w:t xml:space="preserve"> and</w:t>
      </w:r>
      <w:r w:rsidRPr="0094408A">
        <w:rPr>
          <w:noProof/>
        </w:rPr>
        <w:t xml:space="preserve"> the variation in development </w:t>
      </w:r>
      <w:r w:rsidR="00415F6A">
        <w:rPr>
          <w:noProof/>
        </w:rPr>
        <w:t>contexts</w:t>
      </w:r>
      <w:r w:rsidR="00415F6A" w:rsidRPr="0094408A">
        <w:rPr>
          <w:noProof/>
        </w:rPr>
        <w:t xml:space="preserve"> </w:t>
      </w:r>
      <w:r w:rsidRPr="0094408A">
        <w:rPr>
          <w:noProof/>
        </w:rPr>
        <w:t>make the challenge even greater.</w:t>
      </w:r>
      <w:r>
        <w:rPr>
          <w:noProof/>
        </w:rPr>
        <w:t xml:space="preserve"> The evaluations highlighted the following lessons about engagement with partners at the regional level: </w:t>
      </w:r>
    </w:p>
    <w:p w14:paraId="37A94C10" w14:textId="082F4296" w:rsidR="00EF7A00" w:rsidRPr="006C7EB6" w:rsidRDefault="00EF7A00" w:rsidP="00FA73F8">
      <w:pPr>
        <w:pStyle w:val="Bullet"/>
      </w:pPr>
      <w:r w:rsidRPr="006C7EB6">
        <w:t xml:space="preserve">While regional initiatives require flexible funding, </w:t>
      </w:r>
      <w:r w:rsidR="00790402">
        <w:t xml:space="preserve">this should not be at the expense of </w:t>
      </w:r>
      <w:r w:rsidRPr="006C7EB6">
        <w:t>strategic and coherent pro</w:t>
      </w:r>
      <w:r w:rsidR="00790402">
        <w:t>gramming</w:t>
      </w:r>
      <w:r w:rsidR="0099226A">
        <w:t>.</w:t>
      </w:r>
    </w:p>
    <w:p w14:paraId="15076A64" w14:textId="3A9D9E0A" w:rsidR="00EF7A00" w:rsidRDefault="00EF7A00" w:rsidP="00FA73F8">
      <w:pPr>
        <w:pStyle w:val="Bullet"/>
      </w:pPr>
      <w:r w:rsidRPr="006C7EB6">
        <w:t>To engage most effectively with its regional partners, the Australian Government should invest in building trust and strong relationships over time</w:t>
      </w:r>
      <w:r w:rsidR="00790402">
        <w:t xml:space="preserve"> and take account of the differing needs of different partners</w:t>
      </w:r>
      <w:r w:rsidRPr="006C7EB6">
        <w:t xml:space="preserve">. </w:t>
      </w:r>
    </w:p>
    <w:p w14:paraId="6D2E3666" w14:textId="77777777" w:rsidR="00B0352C" w:rsidRDefault="00B0352C" w:rsidP="007602B6">
      <w:pPr>
        <w:pStyle w:val="Bullet"/>
        <w:numPr>
          <w:ilvl w:val="0"/>
          <w:numId w:val="0"/>
        </w:numPr>
        <w:ind w:left="360"/>
      </w:pPr>
    </w:p>
    <w:p w14:paraId="6E77E352" w14:textId="424238E7" w:rsidR="00B0352C" w:rsidRPr="006C7EB6" w:rsidRDefault="00B0352C" w:rsidP="007602B6">
      <w:pPr>
        <w:pStyle w:val="Bullet"/>
        <w:numPr>
          <w:ilvl w:val="0"/>
          <w:numId w:val="0"/>
        </w:numPr>
        <w:ind w:left="360"/>
      </w:pPr>
    </w:p>
    <w:bookmarkStart w:id="22" w:name="_Toc386540682"/>
    <w:bookmarkStart w:id="23" w:name="_Toc387394588"/>
    <w:bookmarkStart w:id="24" w:name="_Toc357065922"/>
    <w:bookmarkEnd w:id="16"/>
    <w:bookmarkEnd w:id="17"/>
    <w:bookmarkEnd w:id="18"/>
    <w:bookmarkEnd w:id="19"/>
    <w:bookmarkEnd w:id="22"/>
    <w:p w14:paraId="66AC220A" w14:textId="29EFC62B" w:rsidR="00860B13" w:rsidRDefault="009B566C" w:rsidP="00BF0373">
      <w:pPr>
        <w:pStyle w:val="Heading1"/>
      </w:pPr>
      <w:r w:rsidRPr="009B566C">
        <w:rPr>
          <w:noProof/>
        </w:rPr>
        <w:lastRenderedPageBreak/>
        <mc:AlternateContent>
          <mc:Choice Requires="wps">
            <w:drawing>
              <wp:anchor distT="0" distB="0" distL="114300" distR="114300" simplePos="0" relativeHeight="251649536" behindDoc="1" locked="0" layoutInCell="1" allowOverlap="1" wp14:anchorId="75A5E606" wp14:editId="4AE8AB29">
                <wp:simplePos x="0" y="0"/>
                <wp:positionH relativeFrom="margin">
                  <wp:posOffset>-904875</wp:posOffset>
                </wp:positionH>
                <wp:positionV relativeFrom="paragraph">
                  <wp:posOffset>-144145</wp:posOffset>
                </wp:positionV>
                <wp:extent cx="7610400" cy="1468800"/>
                <wp:effectExtent l="0" t="0" r="0" b="0"/>
                <wp:wrapNone/>
                <wp:docPr id="7" name="Rectangle 7"/>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1.25pt;margin-top:-11.35pt;width:599.25pt;height:115.6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" fillcolor="#124486" stroked="f" strokeweight="2pt">
                <w10:wrap anchorx="margin"/>
              </v:rect>
            </w:pict>
          </mc:Fallback>
        </mc:AlternateContent>
      </w:r>
      <w:r>
        <w:t>1</w:t>
      </w:r>
      <w:r>
        <w:tab/>
        <w:t>A</w:t>
      </w:r>
      <w:r w:rsidR="00860B13" w:rsidRPr="009B566C">
        <w:t xml:space="preserve">bout this </w:t>
      </w:r>
      <w:r w:rsidR="00860B13" w:rsidRPr="00BF0373">
        <w:t>review</w:t>
      </w:r>
      <w:bookmarkEnd w:id="23"/>
    </w:p>
    <w:p w14:paraId="74A2CAB2" w14:textId="6A22851A" w:rsidR="00860B13" w:rsidRPr="001C0AA7" w:rsidRDefault="001C0AA7" w:rsidP="00FA73F8">
      <w:pPr>
        <w:pStyle w:val="Heading2"/>
      </w:pPr>
      <w:bookmarkStart w:id="25" w:name="_Toc387394589"/>
      <w:r>
        <w:t>1.1</w:t>
      </w:r>
      <w:r>
        <w:tab/>
      </w:r>
      <w:r w:rsidR="00860B13" w:rsidRPr="001C0AA7">
        <w:t>Operational evaluations</w:t>
      </w:r>
      <w:bookmarkEnd w:id="25"/>
      <w:r w:rsidR="00860B13" w:rsidRPr="001C0AA7">
        <w:t xml:space="preserve"> </w:t>
      </w:r>
    </w:p>
    <w:p w14:paraId="2447128A" w14:textId="3CD7A252" w:rsidR="00860B13" w:rsidRPr="007B6C46" w:rsidRDefault="009C7D23" w:rsidP="00860B13">
      <w:pPr>
        <w:rPr>
          <w:noProof/>
        </w:rPr>
      </w:pPr>
      <w:r w:rsidRPr="00683F8F">
        <w:rPr>
          <w:noProof/>
        </w:rPr>
        <w:t xml:space="preserve">Independent evaluations </w:t>
      </w:r>
      <w:r w:rsidR="003E7080" w:rsidRPr="00683F8F">
        <w:rPr>
          <w:noProof/>
        </w:rPr>
        <w:t xml:space="preserve">are an important </w:t>
      </w:r>
      <w:r w:rsidRPr="00683F8F">
        <w:rPr>
          <w:noProof/>
        </w:rPr>
        <w:t xml:space="preserve">complement </w:t>
      </w:r>
      <w:r w:rsidR="003E7080" w:rsidRPr="00683F8F">
        <w:rPr>
          <w:noProof/>
        </w:rPr>
        <w:t xml:space="preserve">to </w:t>
      </w:r>
      <w:r w:rsidRPr="00683F8F">
        <w:rPr>
          <w:noProof/>
        </w:rPr>
        <w:t>annual self-assessment processes</w:t>
      </w:r>
      <w:r w:rsidR="003E7080" w:rsidRPr="00683F8F">
        <w:rPr>
          <w:noProof/>
        </w:rPr>
        <w:t xml:space="preserve"> by aid managers</w:t>
      </w:r>
      <w:r w:rsidRPr="00683F8F">
        <w:rPr>
          <w:noProof/>
        </w:rPr>
        <w:t xml:space="preserve"> where program areas assess the progress of their initiatives.</w:t>
      </w:r>
      <w:r w:rsidRPr="009B30BB">
        <w:rPr>
          <w:noProof/>
        </w:rPr>
        <w:t xml:space="preserve"> </w:t>
      </w:r>
      <w:r w:rsidR="00860B13" w:rsidRPr="00C70EBB">
        <w:rPr>
          <w:noProof/>
        </w:rPr>
        <w:t>Good evaluations can inform the direction, design and management of the aid program. Independent evaluations</w:t>
      </w:r>
      <w:r w:rsidR="00860B13" w:rsidRPr="007F24D5">
        <w:rPr>
          <w:rStyle w:val="FootnoteReference"/>
        </w:rPr>
        <w:footnoteReference w:id="3"/>
      </w:r>
      <w:r w:rsidR="00860B13" w:rsidRPr="00683F8F">
        <w:rPr>
          <w:noProof/>
        </w:rPr>
        <w:t xml:space="preserve"> also play an important accountability role in the aid program’s performance management systems</w:t>
      </w:r>
      <w:r w:rsidR="00860B13" w:rsidRPr="009B30BB">
        <w:rPr>
          <w:noProof/>
        </w:rPr>
        <w:t xml:space="preserve">, providing an independent perspective on </w:t>
      </w:r>
      <w:r w:rsidR="00860B13" w:rsidRPr="00C70EBB">
        <w:rPr>
          <w:noProof/>
        </w:rPr>
        <w:t>the quality and results achieved through the Australian aid program.</w:t>
      </w:r>
    </w:p>
    <w:p w14:paraId="559F05FB" w14:textId="377AF563" w:rsidR="00860B13" w:rsidRPr="00F4449D" w:rsidRDefault="00860B13" w:rsidP="00860B13">
      <w:pPr>
        <w:rPr>
          <w:noProof/>
        </w:rPr>
      </w:pPr>
      <w:r w:rsidRPr="007B6C46">
        <w:rPr>
          <w:noProof/>
        </w:rPr>
        <w:t xml:space="preserve">Most of the Australian aid program is managed by the Department of Foreign Affairs and Trade (DFAT), which in November 2013 took responsibility for overseas development assistance, previously administered by the Australian Agency for International Development (AusAID). Evaluation is </w:t>
      </w:r>
      <w:r w:rsidRPr="00F4449D">
        <w:rPr>
          <w:noProof/>
        </w:rPr>
        <w:t>undertaken at several levels and managed by different areas within the department.</w:t>
      </w:r>
      <w:r w:rsidR="00670092" w:rsidRPr="00F4449D">
        <w:rPr>
          <w:noProof/>
        </w:rPr>
        <w:t xml:space="preserve"> </w:t>
      </w:r>
    </w:p>
    <w:p w14:paraId="50B563D2" w14:textId="0B54978D" w:rsidR="00860B13" w:rsidRDefault="00860B13" w:rsidP="00860B13">
      <w:pPr>
        <w:rPr>
          <w:noProof/>
        </w:rPr>
      </w:pPr>
      <w:r w:rsidRPr="00F4449D">
        <w:rPr>
          <w:noProof/>
        </w:rPr>
        <w:t xml:space="preserve">Program areas </w:t>
      </w:r>
      <w:r w:rsidR="009A7B1E" w:rsidRPr="00F4449D">
        <w:rPr>
          <w:noProof/>
        </w:rPr>
        <w:t xml:space="preserve">in DFAT (such as geographic divisions, or diplomatic missions in countries with a significant aid program) </w:t>
      </w:r>
      <w:r w:rsidR="00A22743" w:rsidRPr="00F4449D">
        <w:rPr>
          <w:noProof/>
        </w:rPr>
        <w:t xml:space="preserve">commission and </w:t>
      </w:r>
      <w:r w:rsidRPr="00F4449D">
        <w:rPr>
          <w:noProof/>
        </w:rPr>
        <w:t>manage independent evaluations of individual aid initiatives.</w:t>
      </w:r>
      <w:r w:rsidR="00670092" w:rsidRPr="00F4449D">
        <w:rPr>
          <w:noProof/>
        </w:rPr>
        <w:t xml:space="preserve"> </w:t>
      </w:r>
      <w:r w:rsidRPr="00F4449D">
        <w:rPr>
          <w:noProof/>
        </w:rPr>
        <w:t>It is</w:t>
      </w:r>
      <w:r w:rsidR="00EE7CBB" w:rsidRPr="00F4449D">
        <w:rPr>
          <w:noProof/>
        </w:rPr>
        <w:t xml:space="preserve"> the findings of</w:t>
      </w:r>
      <w:r w:rsidRPr="00F4449D">
        <w:rPr>
          <w:noProof/>
        </w:rPr>
        <w:t xml:space="preserve"> these initiative-level ‘operational’ evaluations managed by program areas that </w:t>
      </w:r>
      <w:r w:rsidR="003E7080" w:rsidRPr="00F4449D">
        <w:rPr>
          <w:noProof/>
        </w:rPr>
        <w:t>are</w:t>
      </w:r>
      <w:r w:rsidR="00EE7CBB" w:rsidRPr="00F4449D">
        <w:rPr>
          <w:noProof/>
        </w:rPr>
        <w:t xml:space="preserve"> synthesised in </w:t>
      </w:r>
      <w:r w:rsidRPr="00F4449D">
        <w:rPr>
          <w:noProof/>
        </w:rPr>
        <w:t>this re</w:t>
      </w:r>
      <w:r w:rsidR="00EE7CBB" w:rsidRPr="00F4449D">
        <w:rPr>
          <w:noProof/>
        </w:rPr>
        <w:t>port</w:t>
      </w:r>
      <w:r w:rsidRPr="00F4449D">
        <w:rPr>
          <w:noProof/>
        </w:rPr>
        <w:t xml:space="preserve">. </w:t>
      </w:r>
      <w:r w:rsidR="003E7080" w:rsidRPr="00F4449D">
        <w:rPr>
          <w:noProof/>
        </w:rPr>
        <w:t>DFAT requires</w:t>
      </w:r>
      <w:r w:rsidRPr="00F4449D">
        <w:rPr>
          <w:noProof/>
        </w:rPr>
        <w:t xml:space="preserve"> an independent evaluation </w:t>
      </w:r>
      <w:r w:rsidR="003E7080" w:rsidRPr="00F4449D">
        <w:rPr>
          <w:noProof/>
        </w:rPr>
        <w:t>be undertaken</w:t>
      </w:r>
      <w:r w:rsidRPr="00F4449D">
        <w:rPr>
          <w:noProof/>
        </w:rPr>
        <w:t xml:space="preserve"> for every monitored initiative (those valued over $3</w:t>
      </w:r>
      <w:r w:rsidR="00001345" w:rsidRPr="00F4449D">
        <w:rPr>
          <w:noProof/>
        </w:rPr>
        <w:t xml:space="preserve"> million</w:t>
      </w:r>
      <w:r w:rsidRPr="00F4449D">
        <w:rPr>
          <w:noProof/>
        </w:rPr>
        <w:t xml:space="preserve"> or that have strategic or political importance) at least once over its life</w:t>
      </w:r>
      <w:r w:rsidR="00001345" w:rsidRPr="00F4449D">
        <w:rPr>
          <w:noProof/>
        </w:rPr>
        <w:t>.</w:t>
      </w:r>
      <w:r w:rsidRPr="00F4449D">
        <w:rPr>
          <w:noProof/>
        </w:rPr>
        <w:t xml:space="preserve"> </w:t>
      </w:r>
    </w:p>
    <w:p w14:paraId="59C34FDF" w14:textId="77777777" w:rsidR="00860B13" w:rsidRPr="007B6C46" w:rsidRDefault="00860B13" w:rsidP="00860B13">
      <w:pPr>
        <w:rPr>
          <w:noProof/>
        </w:rPr>
      </w:pPr>
      <w:r w:rsidRPr="00F4449D">
        <w:rPr>
          <w:noProof/>
        </w:rPr>
        <w:t>Other types of independent aid evaluations include</w:t>
      </w:r>
      <w:r w:rsidRPr="007B6C46">
        <w:rPr>
          <w:noProof/>
        </w:rPr>
        <w:t>:</w:t>
      </w:r>
    </w:p>
    <w:p w14:paraId="34DBFD06" w14:textId="2DA20425" w:rsidR="00860B13" w:rsidRPr="006E6ED4" w:rsidRDefault="00642298" w:rsidP="007602B6">
      <w:pPr>
        <w:pStyle w:val="Bullet"/>
      </w:pPr>
      <w:r>
        <w:t>e</w:t>
      </w:r>
      <w:r w:rsidR="00860B13" w:rsidRPr="006E6ED4">
        <w:t xml:space="preserve">valuations of broad strategic relevance undertaken by the Office of Development Effectiveness </w:t>
      </w:r>
      <w:r w:rsidR="0018698F">
        <w:t xml:space="preserve">(ODE) </w:t>
      </w:r>
      <w:r w:rsidR="00860B13" w:rsidRPr="006E6ED4">
        <w:t>in line with its evaluation policy and three year rolling work program, under the oversight of an Independent Evaluation Committee established in 2012</w:t>
      </w:r>
    </w:p>
    <w:p w14:paraId="0C89105A" w14:textId="453ECF99" w:rsidR="00440EA0" w:rsidRDefault="00642298" w:rsidP="007602B6">
      <w:pPr>
        <w:pStyle w:val="Bullet"/>
      </w:pPr>
      <w:r>
        <w:t>s</w:t>
      </w:r>
      <w:r w:rsidR="00860B13" w:rsidRPr="006E6ED4">
        <w:t>ector</w:t>
      </w:r>
      <w:r>
        <w:t>-</w:t>
      </w:r>
      <w:r w:rsidR="00860B13" w:rsidRPr="006E6ED4">
        <w:t>wide evaluations occasionally undertaken by thematic areas</w:t>
      </w:r>
      <w:r w:rsidR="00860B13">
        <w:t>.</w:t>
      </w:r>
    </w:p>
    <w:p w14:paraId="1C5B00DA" w14:textId="4FA7C2C3" w:rsidR="00860B13" w:rsidRPr="001C0AA7" w:rsidRDefault="001C0AA7" w:rsidP="001D33B9">
      <w:pPr>
        <w:pStyle w:val="Heading2"/>
        <w:ind w:left="0" w:firstLine="0"/>
      </w:pPr>
      <w:bookmarkStart w:id="26" w:name="_Toc383761114"/>
      <w:bookmarkStart w:id="27" w:name="_Toc387394590"/>
      <w:bookmarkEnd w:id="26"/>
      <w:r>
        <w:t>1.2</w:t>
      </w:r>
      <w:r>
        <w:tab/>
      </w:r>
      <w:r w:rsidR="00860B13" w:rsidRPr="001C0AA7">
        <w:t>Objectives</w:t>
      </w:r>
      <w:bookmarkEnd w:id="27"/>
    </w:p>
    <w:p w14:paraId="2D676E6A" w14:textId="447627EF" w:rsidR="001D3668" w:rsidRPr="00EE7CBB" w:rsidRDefault="003E7080" w:rsidP="001D3668">
      <w:pPr>
        <w:rPr>
          <w:noProof/>
        </w:rPr>
      </w:pPr>
      <w:r>
        <w:rPr>
          <w:noProof/>
        </w:rPr>
        <w:t>This report</w:t>
      </w:r>
      <w:r w:rsidR="00AC68C3" w:rsidRPr="00B81C2E">
        <w:rPr>
          <w:noProof/>
        </w:rPr>
        <w:t xml:space="preserve"> synthesises the findings of the 64 operational evaluations completed in 2012 that were found to contain credible evidence and analysis.</w:t>
      </w:r>
      <w:r w:rsidR="00670092">
        <w:rPr>
          <w:noProof/>
        </w:rPr>
        <w:t xml:space="preserve"> </w:t>
      </w:r>
      <w:r w:rsidR="001D3668" w:rsidRPr="009B6CF0">
        <w:rPr>
          <w:noProof/>
        </w:rPr>
        <w:t>Th</w:t>
      </w:r>
      <w:r w:rsidR="00AC68C3" w:rsidRPr="009B6CF0">
        <w:rPr>
          <w:noProof/>
        </w:rPr>
        <w:t>is</w:t>
      </w:r>
      <w:r w:rsidR="001D3668" w:rsidRPr="009B6CF0">
        <w:rPr>
          <w:noProof/>
        </w:rPr>
        <w:t xml:space="preserve"> review seeks to answer the following key evaluation question:</w:t>
      </w:r>
      <w:r w:rsidR="00670092" w:rsidRPr="009B6CF0">
        <w:rPr>
          <w:noProof/>
        </w:rPr>
        <w:t xml:space="preserve"> </w:t>
      </w:r>
    </w:p>
    <w:p w14:paraId="74039E30" w14:textId="77777777" w:rsidR="001D3668" w:rsidRPr="00EE7CBB" w:rsidRDefault="001D3668" w:rsidP="00AD6A55">
      <w:pPr>
        <w:pStyle w:val="Bullet"/>
        <w:ind w:left="357" w:hanging="357"/>
      </w:pPr>
      <w:r w:rsidRPr="00EE7CBB">
        <w:t>What are the main lessons for the aid program emerging from the findings of independent operational evaluations?</w:t>
      </w:r>
    </w:p>
    <w:p w14:paraId="779592B3" w14:textId="77777777" w:rsidR="001D33B9" w:rsidRDefault="001D33B9">
      <w:pPr>
        <w:spacing w:before="0" w:after="0" w:line="240" w:lineRule="auto"/>
        <w:rPr>
          <w:noProof/>
        </w:rPr>
      </w:pPr>
      <w:r>
        <w:rPr>
          <w:noProof/>
        </w:rPr>
        <w:br w:type="page"/>
      </w:r>
    </w:p>
    <w:p w14:paraId="26AE2EA9" w14:textId="15AF0D15" w:rsidR="00276879" w:rsidRPr="009B6CF0" w:rsidRDefault="00AC68C3" w:rsidP="00F403BA">
      <w:pPr>
        <w:rPr>
          <w:noProof/>
        </w:rPr>
      </w:pPr>
      <w:r w:rsidRPr="009B6CF0">
        <w:rPr>
          <w:noProof/>
        </w:rPr>
        <w:lastRenderedPageBreak/>
        <w:t>The objective of this review is to identify lessons emerging from the findings of operational evaluations in order to inform and improve program design and management, and to provide learning to the broader community of development and aid actors.</w:t>
      </w:r>
      <w:r w:rsidR="00670092" w:rsidRPr="009B6CF0">
        <w:rPr>
          <w:noProof/>
        </w:rPr>
        <w:t xml:space="preserve"> </w:t>
      </w:r>
      <w:r w:rsidR="00F403BA" w:rsidRPr="009B6CF0">
        <w:rPr>
          <w:noProof/>
        </w:rPr>
        <w:t xml:space="preserve">In doing this, the review also </w:t>
      </w:r>
      <w:r w:rsidR="00726D29" w:rsidRPr="009B6CF0">
        <w:rPr>
          <w:noProof/>
        </w:rPr>
        <w:t>seeks to</w:t>
      </w:r>
      <w:r w:rsidR="00276879" w:rsidRPr="009B6CF0">
        <w:rPr>
          <w:noProof/>
        </w:rPr>
        <w:t xml:space="preserve"> demonstrate the value and utility of these evaluations.</w:t>
      </w:r>
    </w:p>
    <w:p w14:paraId="6B573F9F" w14:textId="29243FD1" w:rsidR="00860B13" w:rsidRPr="009B6CF0" w:rsidRDefault="00860B13" w:rsidP="00860B13">
      <w:pPr>
        <w:rPr>
          <w:noProof/>
        </w:rPr>
      </w:pPr>
      <w:r w:rsidRPr="009B6CF0">
        <w:rPr>
          <w:noProof/>
        </w:rPr>
        <w:t xml:space="preserve">The </w:t>
      </w:r>
      <w:r w:rsidR="00683F8F" w:rsidRPr="009B6CF0">
        <w:rPr>
          <w:noProof/>
        </w:rPr>
        <w:t>t</w:t>
      </w:r>
      <w:r w:rsidRPr="009B6CF0">
        <w:rPr>
          <w:noProof/>
        </w:rPr>
        <w:t xml:space="preserve">erms of </w:t>
      </w:r>
      <w:r w:rsidR="00683F8F" w:rsidRPr="009B6CF0">
        <w:rPr>
          <w:noProof/>
        </w:rPr>
        <w:t>r</w:t>
      </w:r>
      <w:r w:rsidRPr="009B6CF0">
        <w:rPr>
          <w:noProof/>
        </w:rPr>
        <w:t xml:space="preserve">eference </w:t>
      </w:r>
      <w:r w:rsidR="001D3668" w:rsidRPr="009B6CF0">
        <w:rPr>
          <w:noProof/>
        </w:rPr>
        <w:t xml:space="preserve">covering both reviews </w:t>
      </w:r>
      <w:r w:rsidRPr="009B6CF0">
        <w:rPr>
          <w:noProof/>
        </w:rPr>
        <w:t>are at Annex 1.</w:t>
      </w:r>
    </w:p>
    <w:p w14:paraId="0D30A13D" w14:textId="71E78CFA" w:rsidR="00860B13" w:rsidRPr="001C0AA7" w:rsidRDefault="001C0AA7" w:rsidP="007F24D5">
      <w:pPr>
        <w:pStyle w:val="Heading2"/>
      </w:pPr>
      <w:bookmarkStart w:id="28" w:name="_Toc387394591"/>
      <w:r>
        <w:t>1.3</w:t>
      </w:r>
      <w:r>
        <w:tab/>
      </w:r>
      <w:r w:rsidR="00860B13" w:rsidRPr="001C0AA7">
        <w:t>Approach</w:t>
      </w:r>
      <w:bookmarkEnd w:id="28"/>
    </w:p>
    <w:p w14:paraId="1DA658FC" w14:textId="2DCCE802" w:rsidR="00860B13" w:rsidRDefault="00860B13" w:rsidP="00860B13">
      <w:pPr>
        <w:rPr>
          <w:noProof/>
        </w:rPr>
      </w:pPr>
      <w:r w:rsidRPr="009B6CF0">
        <w:rPr>
          <w:noProof/>
        </w:rPr>
        <w:t xml:space="preserve">The review was undertaken from May 2013 to February 2014 by a team of consultants from ITAD Ltd and managed by ODE in partnership with DFAT’s </w:t>
      </w:r>
      <w:r w:rsidR="003E7080" w:rsidRPr="009B6CF0">
        <w:rPr>
          <w:noProof/>
        </w:rPr>
        <w:t>aid program enabling and operational areas.</w:t>
      </w:r>
      <w:r w:rsidRPr="009B6CF0">
        <w:rPr>
          <w:noProof/>
          <w:szCs w:val="21"/>
          <w:vertAlign w:val="superscript"/>
        </w:rPr>
        <w:footnoteReference w:id="4"/>
      </w:r>
      <w:r w:rsidRPr="009B6CF0">
        <w:rPr>
          <w:noProof/>
        </w:rPr>
        <w:t xml:space="preserve"> The review was undertaken at the request of the Independent Evaluation Committee, which also provided technical oversight.</w:t>
      </w:r>
      <w:r w:rsidR="00670092" w:rsidRPr="009B6CF0">
        <w:rPr>
          <w:noProof/>
        </w:rPr>
        <w:t xml:space="preserve"> </w:t>
      </w:r>
    </w:p>
    <w:p w14:paraId="1558819C" w14:textId="6516D84E" w:rsidR="001D3668" w:rsidRPr="009B6CF0" w:rsidRDefault="001D3668" w:rsidP="001D3668">
      <w:pPr>
        <w:rPr>
          <w:noProof/>
        </w:rPr>
      </w:pPr>
      <w:r w:rsidRPr="009B6CF0">
        <w:rPr>
          <w:noProof/>
        </w:rPr>
        <w:t xml:space="preserve">This </w:t>
      </w:r>
      <w:r w:rsidR="00F403BA" w:rsidRPr="009B6CF0">
        <w:rPr>
          <w:noProof/>
        </w:rPr>
        <w:t>review</w:t>
      </w:r>
      <w:r w:rsidRPr="009B6CF0">
        <w:rPr>
          <w:noProof/>
        </w:rPr>
        <w:t xml:space="preserve"> builds on the </w:t>
      </w:r>
      <w:r w:rsidR="003D2264" w:rsidRPr="00AD6A55">
        <w:rPr>
          <w:i/>
          <w:noProof/>
        </w:rPr>
        <w:t xml:space="preserve">Quality of Australian </w:t>
      </w:r>
      <w:r w:rsidR="004B7186">
        <w:rPr>
          <w:i/>
          <w:noProof/>
        </w:rPr>
        <w:t>a</w:t>
      </w:r>
      <w:r w:rsidR="004B7186" w:rsidRPr="00AD6A55">
        <w:rPr>
          <w:i/>
          <w:noProof/>
        </w:rPr>
        <w:t xml:space="preserve">id </w:t>
      </w:r>
      <w:r w:rsidR="004B7186">
        <w:rPr>
          <w:i/>
          <w:noProof/>
        </w:rPr>
        <w:t>o</w:t>
      </w:r>
      <w:r w:rsidR="004B7186" w:rsidRPr="00AD6A55">
        <w:rPr>
          <w:i/>
          <w:noProof/>
        </w:rPr>
        <w:t xml:space="preserve">perational </w:t>
      </w:r>
      <w:r w:rsidR="004B7186">
        <w:rPr>
          <w:i/>
          <w:noProof/>
        </w:rPr>
        <w:t>e</w:t>
      </w:r>
      <w:r w:rsidR="004B7186" w:rsidRPr="00AD6A55">
        <w:rPr>
          <w:i/>
          <w:noProof/>
        </w:rPr>
        <w:t>valuations</w:t>
      </w:r>
      <w:r w:rsidR="004B7186" w:rsidRPr="009B6CF0">
        <w:rPr>
          <w:noProof/>
        </w:rPr>
        <w:t xml:space="preserve"> </w:t>
      </w:r>
      <w:r w:rsidR="003D2264" w:rsidRPr="009B6CF0">
        <w:rPr>
          <w:noProof/>
        </w:rPr>
        <w:t xml:space="preserve">review. </w:t>
      </w:r>
      <w:r w:rsidR="00B112F0" w:rsidRPr="009B6CF0">
        <w:rPr>
          <w:noProof/>
        </w:rPr>
        <w:t>Of the</w:t>
      </w:r>
      <w:r w:rsidRPr="009B6CF0">
        <w:rPr>
          <w:noProof/>
        </w:rPr>
        <w:t xml:space="preserve"> 87 operational evaluations completed in 2012, the </w:t>
      </w:r>
      <w:r w:rsidR="003D2264" w:rsidRPr="009B6CF0">
        <w:rPr>
          <w:noProof/>
        </w:rPr>
        <w:t xml:space="preserve">quality </w:t>
      </w:r>
      <w:r w:rsidRPr="009B6CF0">
        <w:rPr>
          <w:noProof/>
        </w:rPr>
        <w:t xml:space="preserve">review </w:t>
      </w:r>
      <w:r w:rsidR="000A097D" w:rsidRPr="009B6CF0">
        <w:rPr>
          <w:noProof/>
        </w:rPr>
        <w:t>assess</w:t>
      </w:r>
      <w:r w:rsidRPr="009B6CF0">
        <w:rPr>
          <w:noProof/>
        </w:rPr>
        <w:t>ed 64 evaluation reports (74 per cent</w:t>
      </w:r>
      <w:r w:rsidR="003D2264" w:rsidRPr="009B6CF0">
        <w:rPr>
          <w:noProof/>
        </w:rPr>
        <w:t xml:space="preserve"> of the total</w:t>
      </w:r>
      <w:r w:rsidRPr="009B6CF0">
        <w:rPr>
          <w:noProof/>
        </w:rPr>
        <w:t xml:space="preserve">) as adequate quality or better for ‘credibility of evidence and analysis’. </w:t>
      </w:r>
      <w:r w:rsidR="003D2264" w:rsidRPr="009B6CF0">
        <w:rPr>
          <w:noProof/>
        </w:rPr>
        <w:t>The</w:t>
      </w:r>
      <w:r w:rsidR="002E04A3" w:rsidRPr="009B6CF0">
        <w:rPr>
          <w:noProof/>
        </w:rPr>
        <w:t xml:space="preserve"> lessons in this report are based on a</w:t>
      </w:r>
      <w:r w:rsidR="003D2264" w:rsidRPr="009B6CF0">
        <w:rPr>
          <w:noProof/>
        </w:rPr>
        <w:t xml:space="preserve"> synthesis of </w:t>
      </w:r>
      <w:r w:rsidR="002E04A3" w:rsidRPr="009B6CF0">
        <w:rPr>
          <w:noProof/>
        </w:rPr>
        <w:t>the</w:t>
      </w:r>
      <w:r w:rsidR="003D2264" w:rsidRPr="009B6CF0">
        <w:rPr>
          <w:noProof/>
        </w:rPr>
        <w:t xml:space="preserve"> findings </w:t>
      </w:r>
      <w:r w:rsidR="002E04A3" w:rsidRPr="009B6CF0">
        <w:rPr>
          <w:noProof/>
        </w:rPr>
        <w:t>from</w:t>
      </w:r>
      <w:r w:rsidR="003D2264" w:rsidRPr="009B6CF0">
        <w:rPr>
          <w:noProof/>
        </w:rPr>
        <w:t xml:space="preserve"> t</w:t>
      </w:r>
      <w:r w:rsidRPr="009B6CF0">
        <w:rPr>
          <w:noProof/>
        </w:rPr>
        <w:t>his</w:t>
      </w:r>
      <w:r w:rsidR="003D2264" w:rsidRPr="009B6CF0">
        <w:rPr>
          <w:noProof/>
        </w:rPr>
        <w:t xml:space="preserve"> pool </w:t>
      </w:r>
      <w:r w:rsidRPr="009B6CF0">
        <w:rPr>
          <w:noProof/>
        </w:rPr>
        <w:t xml:space="preserve">of 64 </w:t>
      </w:r>
      <w:r w:rsidR="003D2264" w:rsidRPr="009B6CF0">
        <w:rPr>
          <w:noProof/>
        </w:rPr>
        <w:t xml:space="preserve">credible </w:t>
      </w:r>
      <w:r w:rsidR="002E04A3" w:rsidRPr="009B6CF0">
        <w:rPr>
          <w:noProof/>
        </w:rPr>
        <w:t>operational evaluation</w:t>
      </w:r>
      <w:r w:rsidRPr="009B6CF0">
        <w:rPr>
          <w:noProof/>
        </w:rPr>
        <w:t xml:space="preserve">s. </w:t>
      </w:r>
    </w:p>
    <w:p w14:paraId="1A96CDA9" w14:textId="10D9E00D" w:rsidR="000A097D" w:rsidRPr="009B6CF0" w:rsidRDefault="000A097D" w:rsidP="000A097D">
      <w:pPr>
        <w:rPr>
          <w:noProof/>
        </w:rPr>
      </w:pPr>
      <w:r w:rsidRPr="009B6CF0">
        <w:rPr>
          <w:noProof/>
        </w:rPr>
        <w:t xml:space="preserve">This review was based primarily on a desk review of the evaluation reports. </w:t>
      </w:r>
      <w:r w:rsidR="00860B13">
        <w:rPr>
          <w:noProof/>
        </w:rPr>
        <w:t xml:space="preserve">The team collected evidence from this pool of evaluation reports on </w:t>
      </w:r>
      <w:r w:rsidR="00683F8F">
        <w:rPr>
          <w:noProof/>
        </w:rPr>
        <w:t>‘</w:t>
      </w:r>
      <w:r w:rsidR="00860B13" w:rsidRPr="00683F8F">
        <w:rPr>
          <w:noProof/>
        </w:rPr>
        <w:t>What worked well and why?</w:t>
      </w:r>
      <w:r w:rsidR="00683F8F">
        <w:rPr>
          <w:noProof/>
        </w:rPr>
        <w:t>’</w:t>
      </w:r>
      <w:r w:rsidR="00860B13" w:rsidRPr="00683F8F">
        <w:rPr>
          <w:noProof/>
        </w:rPr>
        <w:t xml:space="preserve"> and </w:t>
      </w:r>
      <w:r w:rsidR="00683F8F">
        <w:rPr>
          <w:noProof/>
        </w:rPr>
        <w:t>‘</w:t>
      </w:r>
      <w:r w:rsidR="00860B13" w:rsidRPr="00683F8F">
        <w:rPr>
          <w:noProof/>
        </w:rPr>
        <w:t>What didn’t work well and why?</w:t>
      </w:r>
      <w:r w:rsidR="00683F8F">
        <w:rPr>
          <w:noProof/>
        </w:rPr>
        <w:t>’</w:t>
      </w:r>
      <w:r w:rsidR="00860B13" w:rsidRPr="00683F8F">
        <w:rPr>
          <w:noProof/>
        </w:rPr>
        <w:t xml:space="preserve"> An initial set of hypotheses was used to structure the gathering of evidence. As evidence collection progressed, these initial hypotheses were reviewed and refined in an iterative process that helped to define and categorise the evidence. Taking context into account, the evidence was then analysed to identify higher level lessons. </w:t>
      </w:r>
      <w:r w:rsidRPr="009B6CF0">
        <w:rPr>
          <w:noProof/>
        </w:rPr>
        <w:t>Full details of the methodology are provided at Annex 2.</w:t>
      </w:r>
      <w:r w:rsidR="00670092" w:rsidRPr="009B6CF0">
        <w:rPr>
          <w:noProof/>
        </w:rPr>
        <w:t xml:space="preserve"> </w:t>
      </w:r>
    </w:p>
    <w:p w14:paraId="64480B10" w14:textId="11751A82" w:rsidR="000A097D" w:rsidRPr="009B6CF0" w:rsidRDefault="000A097D" w:rsidP="000A097D">
      <w:pPr>
        <w:rPr>
          <w:noProof/>
        </w:rPr>
      </w:pPr>
      <w:r w:rsidRPr="009B6CF0">
        <w:rPr>
          <w:noProof/>
        </w:rPr>
        <w:t>Our approach has been to look across all the evaluations to identify those lessons emerging most strongly about what works and doesn’t work rather than to unpack and analyse specific issues in great depth.</w:t>
      </w:r>
      <w:r w:rsidR="00670092" w:rsidRPr="009B6CF0">
        <w:rPr>
          <w:noProof/>
        </w:rPr>
        <w:t xml:space="preserve"> </w:t>
      </w:r>
      <w:r w:rsidRPr="009B6CF0">
        <w:rPr>
          <w:noProof/>
        </w:rPr>
        <w:t>Indeed, the depth of our analysis is limited by the depth of the analysis contained in the evaluation reports.</w:t>
      </w:r>
      <w:r w:rsidR="00670092" w:rsidRPr="009B6CF0">
        <w:rPr>
          <w:noProof/>
        </w:rPr>
        <w:t xml:space="preserve"> </w:t>
      </w:r>
    </w:p>
    <w:p w14:paraId="7EBCED8B" w14:textId="3B70E1A7" w:rsidR="00B80D87" w:rsidRPr="009B6CF0" w:rsidRDefault="00BF42BA" w:rsidP="00805E71">
      <w:pPr>
        <w:rPr>
          <w:noProof/>
        </w:rPr>
      </w:pPr>
      <w:bookmarkStart w:id="29" w:name="_Toc359854668"/>
      <w:bookmarkStart w:id="30" w:name="_Toc370827877"/>
      <w:bookmarkStart w:id="31" w:name="_Toc370827928"/>
      <w:bookmarkStart w:id="32" w:name="_Toc372723838"/>
      <w:bookmarkEnd w:id="24"/>
      <w:r w:rsidRPr="009B6CF0">
        <w:rPr>
          <w:noProof/>
        </w:rPr>
        <w:t>W</w:t>
      </w:r>
      <w:r w:rsidR="009C49DE" w:rsidRPr="009B6CF0">
        <w:rPr>
          <w:noProof/>
        </w:rPr>
        <w:t xml:space="preserve">hile </w:t>
      </w:r>
      <w:r w:rsidRPr="009B6CF0">
        <w:rPr>
          <w:noProof/>
        </w:rPr>
        <w:t>most</w:t>
      </w:r>
      <w:r w:rsidR="009C49DE" w:rsidRPr="009B6CF0">
        <w:rPr>
          <w:noProof/>
        </w:rPr>
        <w:t xml:space="preserve"> of the lessons presented here are not new, </w:t>
      </w:r>
      <w:r w:rsidR="00DF3055" w:rsidRPr="009B6CF0">
        <w:rPr>
          <w:noProof/>
        </w:rPr>
        <w:t>based on the evidence in the evaluations</w:t>
      </w:r>
      <w:r w:rsidR="00053AE9" w:rsidRPr="009B6CF0">
        <w:rPr>
          <w:noProof/>
        </w:rPr>
        <w:t xml:space="preserve"> there is clearly </w:t>
      </w:r>
      <w:r w:rsidR="009C49DE" w:rsidRPr="009B6CF0">
        <w:rPr>
          <w:noProof/>
        </w:rPr>
        <w:t xml:space="preserve">a need for them to be restated, as they are not yet being universally applied. </w:t>
      </w:r>
      <w:r w:rsidR="00683F8F" w:rsidRPr="007F24D5">
        <w:rPr>
          <w:noProof/>
        </w:rPr>
        <w:t xml:space="preserve">Those </w:t>
      </w:r>
      <w:r w:rsidR="003E7080" w:rsidRPr="009B6CF0">
        <w:rPr>
          <w:noProof/>
        </w:rPr>
        <w:t>seeking more detailed analysis should go to Annex 4, which references the most relevant evaluation reports for each lesson. M</w:t>
      </w:r>
      <w:r w:rsidR="004932A9" w:rsidRPr="009B6CF0">
        <w:rPr>
          <w:noProof/>
        </w:rPr>
        <w:t>any</w:t>
      </w:r>
      <w:r w:rsidR="003E7080" w:rsidRPr="009B6CF0">
        <w:rPr>
          <w:noProof/>
        </w:rPr>
        <w:t xml:space="preserve"> of the original evaluation reports are available to the public via the DFAT website</w:t>
      </w:r>
      <w:r w:rsidR="00A6243F" w:rsidRPr="009B6CF0">
        <w:rPr>
          <w:noProof/>
        </w:rPr>
        <w:t>.</w:t>
      </w:r>
      <w:r w:rsidR="006E5E1D" w:rsidRPr="00AD6A55">
        <w:rPr>
          <w:rStyle w:val="FootnoteReference"/>
        </w:rPr>
        <w:footnoteReference w:id="5"/>
      </w:r>
      <w:r w:rsidR="003E7080" w:rsidRPr="009B6CF0">
        <w:rPr>
          <w:noProof/>
        </w:rPr>
        <w:t xml:space="preserve"> </w:t>
      </w:r>
      <w:r w:rsidR="009C49DE" w:rsidRPr="009B6CF0">
        <w:rPr>
          <w:noProof/>
        </w:rPr>
        <w:t xml:space="preserve">For certain intractable problems, there may be a need for specialist </w:t>
      </w:r>
      <w:r w:rsidR="00805E71" w:rsidRPr="009B6CF0">
        <w:rPr>
          <w:noProof/>
        </w:rPr>
        <w:t xml:space="preserve">policy </w:t>
      </w:r>
      <w:r w:rsidR="009C49DE" w:rsidRPr="009B6CF0">
        <w:rPr>
          <w:noProof/>
        </w:rPr>
        <w:t xml:space="preserve">areas within the </w:t>
      </w:r>
      <w:r w:rsidR="007B3F42" w:rsidRPr="009B6CF0">
        <w:rPr>
          <w:noProof/>
        </w:rPr>
        <w:t>d</w:t>
      </w:r>
      <w:r w:rsidR="009C49DE" w:rsidRPr="009B6CF0">
        <w:rPr>
          <w:noProof/>
        </w:rPr>
        <w:t xml:space="preserve">epartment to conduct further in-depth analysis of the evidence from evaluations and other sources to determine root causes and </w:t>
      </w:r>
      <w:r w:rsidRPr="009B6CF0">
        <w:rPr>
          <w:noProof/>
        </w:rPr>
        <w:t xml:space="preserve">appropriate </w:t>
      </w:r>
      <w:r w:rsidR="009C49DE" w:rsidRPr="009B6CF0">
        <w:rPr>
          <w:noProof/>
        </w:rPr>
        <w:t>approaches to addressing</w:t>
      </w:r>
      <w:r w:rsidR="00A6243F" w:rsidRPr="009B6CF0">
        <w:rPr>
          <w:noProof/>
        </w:rPr>
        <w:t xml:space="preserve"> them</w:t>
      </w:r>
      <w:r w:rsidR="009C49DE" w:rsidRPr="009B6CF0">
        <w:rPr>
          <w:noProof/>
        </w:rPr>
        <w:t>.</w:t>
      </w:r>
      <w:r w:rsidR="00670092" w:rsidRPr="009B6CF0">
        <w:rPr>
          <w:noProof/>
        </w:rPr>
        <w:t xml:space="preserve"> </w:t>
      </w:r>
    </w:p>
    <w:p w14:paraId="512370CE" w14:textId="38750F70" w:rsidR="00B9052B" w:rsidRPr="00D54811" w:rsidRDefault="00EB0D2A" w:rsidP="00EB0D2A">
      <w:pPr>
        <w:rPr>
          <w:color w:val="000000" w:themeColor="text1"/>
        </w:rPr>
      </w:pPr>
      <w:r w:rsidRPr="00D54811">
        <w:rPr>
          <w:color w:val="000000" w:themeColor="text1"/>
        </w:rPr>
        <w:t xml:space="preserve">We have identified nine lessons, which we have grouped under three broad themes. For each lesson we have provided information on the number of evaluations </w:t>
      </w:r>
      <w:r w:rsidR="00A6243F">
        <w:rPr>
          <w:color w:val="000000" w:themeColor="text1"/>
        </w:rPr>
        <w:t xml:space="preserve">that </w:t>
      </w:r>
      <w:r w:rsidR="000232E1">
        <w:rPr>
          <w:color w:val="000000" w:themeColor="text1"/>
        </w:rPr>
        <w:t xml:space="preserve">provide </w:t>
      </w:r>
      <w:r w:rsidRPr="00D54811">
        <w:rPr>
          <w:color w:val="000000" w:themeColor="text1"/>
        </w:rPr>
        <w:t xml:space="preserve">evidence to support the lesson as well as specific examples from particular evaluations. A cautious approach should be taken to generalising beyond the evidence base to other contexts. </w:t>
      </w:r>
    </w:p>
    <w:bookmarkStart w:id="33" w:name="_Toc372723861"/>
    <w:bookmarkStart w:id="34" w:name="_Ref373232344"/>
    <w:bookmarkStart w:id="35" w:name="_Toc378060005"/>
    <w:bookmarkStart w:id="36" w:name="_Toc378922888"/>
    <w:bookmarkStart w:id="37" w:name="_Toc387394592"/>
    <w:bookmarkEnd w:id="29"/>
    <w:bookmarkEnd w:id="30"/>
    <w:bookmarkEnd w:id="31"/>
    <w:bookmarkEnd w:id="32"/>
    <w:p w14:paraId="0BB946F1" w14:textId="102787FF" w:rsidR="009B61ED" w:rsidRPr="009C43CF" w:rsidRDefault="009C43CF" w:rsidP="000232E1">
      <w:pPr>
        <w:pStyle w:val="Heading1"/>
      </w:pPr>
      <w:r>
        <w:rPr>
          <w:noProof/>
        </w:rPr>
        <w:lastRenderedPageBreak/>
        <mc:AlternateContent>
          <mc:Choice Requires="wps">
            <w:drawing>
              <wp:anchor distT="0" distB="0" distL="114300" distR="114300" simplePos="0" relativeHeight="251652608" behindDoc="1" locked="0" layoutInCell="1" allowOverlap="1" wp14:anchorId="2392AE1E" wp14:editId="18379250">
                <wp:simplePos x="0" y="0"/>
                <wp:positionH relativeFrom="page">
                  <wp:posOffset>9525</wp:posOffset>
                </wp:positionH>
                <wp:positionV relativeFrom="paragraph">
                  <wp:posOffset>-200025</wp:posOffset>
                </wp:positionV>
                <wp:extent cx="7610400" cy="1468800"/>
                <wp:effectExtent l="0" t="0" r="0" b="0"/>
                <wp:wrapNone/>
                <wp:docPr id="14" name="Rectangle 14"/>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5pt;margin-top:-15.75pt;width:599.25pt;height:115.6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" fillcolor="#124486" stroked="f" strokeweight="2pt">
                <w10:wrap anchorx="page"/>
              </v:rect>
            </w:pict>
          </mc:Fallback>
        </mc:AlternateContent>
      </w:r>
      <w:r w:rsidR="003C154B">
        <w:t>2</w:t>
      </w:r>
      <w:r w:rsidR="003C154B">
        <w:tab/>
      </w:r>
      <w:r w:rsidR="009B61ED" w:rsidRPr="009C43CF">
        <w:t>Program design and management</w:t>
      </w:r>
      <w:bookmarkEnd w:id="33"/>
      <w:bookmarkEnd w:id="34"/>
      <w:bookmarkEnd w:id="35"/>
      <w:bookmarkEnd w:id="36"/>
      <w:bookmarkEnd w:id="37"/>
    </w:p>
    <w:p w14:paraId="3A35EFDE" w14:textId="75F6C639" w:rsidR="00EB0D2A" w:rsidRPr="000749F2" w:rsidRDefault="00EB0D2A" w:rsidP="00EB0D2A">
      <w:pPr>
        <w:rPr>
          <w:noProof/>
        </w:rPr>
      </w:pPr>
      <w:r>
        <w:rPr>
          <w:noProof/>
        </w:rPr>
        <w:t>Our synthesis of evaluation findings brings together a set of lessons concerned with program design and management</w:t>
      </w:r>
      <w:r w:rsidR="00F71A62">
        <w:rPr>
          <w:noProof/>
        </w:rPr>
        <w:t>, which are important to ensuring development effectiveness</w:t>
      </w:r>
      <w:r>
        <w:rPr>
          <w:noProof/>
        </w:rPr>
        <w:t>. These relate to three areas: improving monitoring and evaluation</w:t>
      </w:r>
      <w:r w:rsidR="0038258D">
        <w:rPr>
          <w:noProof/>
        </w:rPr>
        <w:t xml:space="preserve"> (M&amp;E)</w:t>
      </w:r>
      <w:r>
        <w:rPr>
          <w:noProof/>
        </w:rPr>
        <w:t xml:space="preserve"> so that there is greater understanding of the logic of an intervention, a focus on outcomes and the use of </w:t>
      </w:r>
      <w:r w:rsidRPr="00683F8F">
        <w:rPr>
          <w:noProof/>
        </w:rPr>
        <w:t>M&amp;E</w:t>
      </w:r>
      <w:r>
        <w:rPr>
          <w:noProof/>
        </w:rPr>
        <w:t xml:space="preserve"> by management; w</w:t>
      </w:r>
      <w:r w:rsidRPr="000749F2">
        <w:rPr>
          <w:noProof/>
        </w:rPr>
        <w:t xml:space="preserve">orking in a more </w:t>
      </w:r>
      <w:r>
        <w:rPr>
          <w:noProof/>
        </w:rPr>
        <w:t xml:space="preserve">coordinated </w:t>
      </w:r>
      <w:r w:rsidRPr="000749F2">
        <w:rPr>
          <w:noProof/>
        </w:rPr>
        <w:t>way with other initiatives to build synergies</w:t>
      </w:r>
      <w:r>
        <w:rPr>
          <w:noProof/>
        </w:rPr>
        <w:t xml:space="preserve"> across initiatives, country programs and sectors; and achieving an appropriate delineation of roles between Australian aid program staff and managing contractors.</w:t>
      </w:r>
    </w:p>
    <w:p w14:paraId="6FF0587E" w14:textId="171F7218" w:rsidR="009B61ED" w:rsidRDefault="001C0AA7" w:rsidP="00AD6A55">
      <w:pPr>
        <w:pStyle w:val="Heading2"/>
        <w:rPr>
          <w:noProof/>
        </w:rPr>
      </w:pPr>
      <w:bookmarkStart w:id="38" w:name="_Toc370827884"/>
      <w:bookmarkStart w:id="39" w:name="_Toc370827938"/>
      <w:bookmarkStart w:id="40" w:name="_Toc372723862"/>
      <w:bookmarkStart w:id="41" w:name="_Toc378060006"/>
      <w:bookmarkStart w:id="42" w:name="_Toc378922889"/>
      <w:bookmarkStart w:id="43" w:name="_Ref380148860"/>
      <w:bookmarkStart w:id="44" w:name="_Ref380412300"/>
      <w:bookmarkStart w:id="45" w:name="_Ref380592021"/>
      <w:bookmarkStart w:id="46" w:name="_Toc387394593"/>
      <w:bookmarkStart w:id="47" w:name="_Toc370827886"/>
      <w:bookmarkStart w:id="48" w:name="_Toc370827945"/>
      <w:r>
        <w:t>2.1</w:t>
      </w:r>
      <w:r>
        <w:tab/>
      </w:r>
      <w:r w:rsidR="00603B64" w:rsidRPr="00683F8F">
        <w:rPr>
          <w:noProof/>
        </w:rPr>
        <w:t>Improving m</w:t>
      </w:r>
      <w:r w:rsidR="009B61ED" w:rsidRPr="00683F8F">
        <w:rPr>
          <w:noProof/>
        </w:rPr>
        <w:t>onitoring and evaluation</w:t>
      </w:r>
      <w:bookmarkEnd w:id="38"/>
      <w:bookmarkEnd w:id="39"/>
      <w:r w:rsidR="009B61ED" w:rsidRPr="00683F8F">
        <w:rPr>
          <w:noProof/>
        </w:rPr>
        <w:t xml:space="preserve"> requires </w:t>
      </w:r>
      <w:r w:rsidR="00603B64" w:rsidRPr="00683F8F">
        <w:rPr>
          <w:noProof/>
        </w:rPr>
        <w:t>attention to</w:t>
      </w:r>
      <w:r w:rsidR="009B61ED" w:rsidRPr="00683F8F">
        <w:rPr>
          <w:noProof/>
        </w:rPr>
        <w:t xml:space="preserve"> outcomes</w:t>
      </w:r>
      <w:r w:rsidR="00603B64" w:rsidRPr="009B30BB">
        <w:rPr>
          <w:noProof/>
        </w:rPr>
        <w:t>, better intervention logic</w:t>
      </w:r>
      <w:r w:rsidR="009B61ED" w:rsidRPr="009B30BB">
        <w:rPr>
          <w:noProof/>
        </w:rPr>
        <w:t xml:space="preserve"> and</w:t>
      </w:r>
      <w:r w:rsidR="009B61ED">
        <w:rPr>
          <w:noProof/>
        </w:rPr>
        <w:t xml:space="preserve"> </w:t>
      </w:r>
      <w:bookmarkEnd w:id="40"/>
      <w:bookmarkEnd w:id="41"/>
      <w:bookmarkEnd w:id="42"/>
      <w:bookmarkEnd w:id="43"/>
      <w:bookmarkEnd w:id="44"/>
      <w:bookmarkEnd w:id="45"/>
      <w:r w:rsidR="00603B64">
        <w:rPr>
          <w:noProof/>
        </w:rPr>
        <w:t>more accessible information</w:t>
      </w:r>
      <w:bookmarkEnd w:id="46"/>
    </w:p>
    <w:p w14:paraId="727FC00C" w14:textId="107D0F6D" w:rsidR="009B61ED" w:rsidRDefault="009B61ED" w:rsidP="009B61ED">
      <w:r>
        <w:t>High</w:t>
      </w:r>
      <w:r w:rsidR="00A6243F">
        <w:t>-</w:t>
      </w:r>
      <w:r>
        <w:t xml:space="preserve">quality </w:t>
      </w:r>
      <w:r w:rsidR="00A6243F">
        <w:t xml:space="preserve">M&amp;E </w:t>
      </w:r>
      <w:r>
        <w:t xml:space="preserve">systems are important to the Australian Government and other stakeholders. This is because </w:t>
      </w:r>
      <w:r w:rsidR="00A6243F">
        <w:t xml:space="preserve">these </w:t>
      </w:r>
      <w:r>
        <w:t xml:space="preserve">systems ensure </w:t>
      </w:r>
      <w:r w:rsidR="00A6243F">
        <w:t xml:space="preserve">that </w:t>
      </w:r>
      <w:r>
        <w:t>credible information is generated which the Australian Government can use to make important programming decisions and contribute to wider learning. Credible information produced by high</w:t>
      </w:r>
      <w:r w:rsidR="00A6243F">
        <w:t>-</w:t>
      </w:r>
      <w:r>
        <w:t>quality M&amp;E systems also ensures that the Australian Government, partner governments and the public are assured that aid activities are effective.</w:t>
      </w:r>
      <w:r w:rsidR="00670092">
        <w:t xml:space="preserve"> </w:t>
      </w:r>
    </w:p>
    <w:p w14:paraId="29F78A51" w14:textId="7D4E3839" w:rsidR="009B61ED" w:rsidRDefault="009B61ED" w:rsidP="0038258D">
      <w:r>
        <w:t>As highlighted in Chapter 4</w:t>
      </w:r>
      <w:r w:rsidR="000232E1">
        <w:t xml:space="preserve"> of </w:t>
      </w:r>
      <w:r w:rsidR="000232E1" w:rsidRPr="00AD6A55">
        <w:rPr>
          <w:i/>
        </w:rPr>
        <w:t>Quality of Australian aid operational evaluations</w:t>
      </w:r>
      <w:r>
        <w:t xml:space="preserve">, the assessment of the quality and use of M&amp;E systems was one of the strengths of evaluations. However, these assessments found many problems with </w:t>
      </w:r>
      <w:r w:rsidR="00B141F2">
        <w:t xml:space="preserve">the </w:t>
      </w:r>
      <w:r>
        <w:t>M&amp;E systems</w:t>
      </w:r>
      <w:r w:rsidR="00B141F2">
        <w:t xml:space="preserve">. The most common problems identified by evaluators were: </w:t>
      </w:r>
    </w:p>
    <w:p w14:paraId="374CF4D0" w14:textId="1C718912" w:rsidR="0038258D" w:rsidRPr="0038258D" w:rsidRDefault="0038258D" w:rsidP="00AD6A55">
      <w:pPr>
        <w:pStyle w:val="Bullet"/>
      </w:pPr>
      <w:r w:rsidRPr="0038258D">
        <w:t>Lack of outcome and performance data and focus on inputs, activities and outputs</w:t>
      </w:r>
    </w:p>
    <w:p w14:paraId="1E58ABE0" w14:textId="36570B64" w:rsidR="0038258D" w:rsidRPr="0038258D" w:rsidRDefault="0038258D" w:rsidP="00AD6A55">
      <w:pPr>
        <w:pStyle w:val="Bullet"/>
      </w:pPr>
      <w:r w:rsidRPr="0038258D">
        <w:t>M&amp;E systems are not used or not regularly used</w:t>
      </w:r>
    </w:p>
    <w:p w14:paraId="4AC681D2" w14:textId="686A224F" w:rsidR="0038258D" w:rsidRPr="0038258D" w:rsidRDefault="0038258D" w:rsidP="00AD6A55">
      <w:pPr>
        <w:pStyle w:val="Bullet"/>
      </w:pPr>
      <w:r w:rsidRPr="0038258D">
        <w:t>M&amp;E data is not used for management purposes and learning</w:t>
      </w:r>
    </w:p>
    <w:p w14:paraId="3C6F4023" w14:textId="5D3639E8" w:rsidR="0038258D" w:rsidRPr="0038258D" w:rsidRDefault="0038258D" w:rsidP="00AD6A55">
      <w:pPr>
        <w:pStyle w:val="Bullet"/>
      </w:pPr>
      <w:r w:rsidRPr="0038258D">
        <w:t xml:space="preserve">No or inappropriate intervention logic model or theory of change </w:t>
      </w:r>
    </w:p>
    <w:p w14:paraId="12FC594E" w14:textId="740FCF86" w:rsidR="0038258D" w:rsidRPr="0038258D" w:rsidRDefault="0038258D" w:rsidP="00AD6A55">
      <w:pPr>
        <w:pStyle w:val="Bullet"/>
      </w:pPr>
      <w:r w:rsidRPr="0038258D">
        <w:t>Weak or inappropriate indicators</w:t>
      </w:r>
    </w:p>
    <w:p w14:paraId="75FACFF6" w14:textId="6FD163D9" w:rsidR="0038258D" w:rsidRPr="0038258D" w:rsidRDefault="0038258D" w:rsidP="00AD6A55">
      <w:pPr>
        <w:pStyle w:val="Bullet"/>
      </w:pPr>
      <w:r w:rsidRPr="0038258D">
        <w:t>No or inappropriate baseline data</w:t>
      </w:r>
    </w:p>
    <w:p w14:paraId="32090D46" w14:textId="727A8B5B" w:rsidR="0038258D" w:rsidRPr="0038258D" w:rsidRDefault="0038258D" w:rsidP="00AD6A55">
      <w:pPr>
        <w:pStyle w:val="Bullet"/>
      </w:pPr>
      <w:r w:rsidRPr="0038258D">
        <w:t>M&amp;E systems are too complex</w:t>
      </w:r>
    </w:p>
    <w:p w14:paraId="204F087A" w14:textId="06428229" w:rsidR="0038258D" w:rsidRPr="0038258D" w:rsidRDefault="0038258D" w:rsidP="00AD6A55">
      <w:pPr>
        <w:pStyle w:val="Bullet"/>
      </w:pPr>
      <w:r w:rsidRPr="0038258D">
        <w:t>No M&amp;E system and data exist</w:t>
      </w:r>
    </w:p>
    <w:p w14:paraId="13050631" w14:textId="4A61AE7B" w:rsidR="0038258D" w:rsidRPr="0038258D" w:rsidRDefault="0038258D" w:rsidP="00AD6A55">
      <w:pPr>
        <w:pStyle w:val="Bullet"/>
      </w:pPr>
      <w:r w:rsidRPr="0038258D">
        <w:t>M&amp;E systems are no longer valid / did not adapt to program changes</w:t>
      </w:r>
    </w:p>
    <w:p w14:paraId="109598AA" w14:textId="35718935" w:rsidR="0038258D" w:rsidRPr="0038258D" w:rsidRDefault="0038258D" w:rsidP="00AD6A55">
      <w:pPr>
        <w:pStyle w:val="BulletLast"/>
      </w:pPr>
      <w:r w:rsidRPr="0038258D">
        <w:t>No or inappropriate control group.</w:t>
      </w:r>
    </w:p>
    <w:p w14:paraId="37ABB0D5" w14:textId="03322935" w:rsidR="009B61ED" w:rsidRDefault="009B61ED" w:rsidP="0038258D">
      <w:pPr>
        <w:rPr>
          <w:noProof/>
        </w:rPr>
      </w:pPr>
      <w:r>
        <w:rPr>
          <w:noProof/>
        </w:rPr>
        <w:t>Some criticisms of M&amp;E systems are to be expected</w:t>
      </w:r>
      <w:r w:rsidR="00A6243F">
        <w:rPr>
          <w:noProof/>
        </w:rPr>
        <w:t>,</w:t>
      </w:r>
      <w:r>
        <w:rPr>
          <w:noProof/>
        </w:rPr>
        <w:t xml:space="preserve"> as the authors of </w:t>
      </w:r>
      <w:r w:rsidR="003E7080">
        <w:rPr>
          <w:noProof/>
        </w:rPr>
        <w:t>the original evaluations</w:t>
      </w:r>
      <w:r>
        <w:rPr>
          <w:noProof/>
        </w:rPr>
        <w:t xml:space="preserve"> are likely to have expert M&amp;E knowledge and in a few cases may have unrealistically high expectations of what an M&amp;E system can deliver. In addition, where evaluations come to critical findings on M&amp;E, as some of the strongest evaluations make clear, </w:t>
      </w:r>
      <w:r w:rsidRPr="00683F8F">
        <w:rPr>
          <w:noProof/>
        </w:rPr>
        <w:t>the problems are rarely purely technical</w:t>
      </w:r>
      <w:r w:rsidR="00683F8F">
        <w:rPr>
          <w:noProof/>
        </w:rPr>
        <w:t xml:space="preserve"> </w:t>
      </w:r>
      <w:r w:rsidRPr="00683F8F">
        <w:rPr>
          <w:noProof/>
        </w:rPr>
        <w:t>but also relate to challenges in program management. In most cases</w:t>
      </w:r>
      <w:r w:rsidR="00297AD5" w:rsidRPr="00683F8F">
        <w:rPr>
          <w:noProof/>
        </w:rPr>
        <w:t>,</w:t>
      </w:r>
      <w:r w:rsidRPr="00683F8F">
        <w:rPr>
          <w:noProof/>
        </w:rPr>
        <w:t xml:space="preserve"> where program management is found to be </w:t>
      </w:r>
      <w:r w:rsidRPr="00683F8F">
        <w:rPr>
          <w:noProof/>
        </w:rPr>
        <w:lastRenderedPageBreak/>
        <w:t>weak, M&amp;E is also found to be weak. It also needs to be emphasised that the sample includes only those evaluations completed in 2012</w:t>
      </w:r>
      <w:r w:rsidRPr="009B30BB">
        <w:rPr>
          <w:noProof/>
        </w:rPr>
        <w:t xml:space="preserve"> and that many of the evaluated initiatives were designed before it became common practice </w:t>
      </w:r>
      <w:r w:rsidR="003E7080" w:rsidRPr="00C70EBB">
        <w:rPr>
          <w:noProof/>
        </w:rPr>
        <w:t xml:space="preserve">among DFAT’s aid activities </w:t>
      </w:r>
      <w:r w:rsidRPr="00C70EBB">
        <w:rPr>
          <w:noProof/>
        </w:rPr>
        <w:t>to develop a theory of change that clearly articulates the program logic. Though many evaluations are critical</w:t>
      </w:r>
      <w:r w:rsidR="00297AD5" w:rsidRPr="0018698F">
        <w:rPr>
          <w:noProof/>
        </w:rPr>
        <w:t>,</w:t>
      </w:r>
      <w:r w:rsidRPr="0018698F">
        <w:rPr>
          <w:noProof/>
        </w:rPr>
        <w:t xml:space="preserve"> we also found examples of thoughtful design work and innovative M&amp;E practice</w:t>
      </w:r>
      <w:r w:rsidR="00297AD5" w:rsidRPr="0018698F">
        <w:rPr>
          <w:noProof/>
        </w:rPr>
        <w:t>. S</w:t>
      </w:r>
      <w:r w:rsidRPr="00CC6C1A">
        <w:rPr>
          <w:noProof/>
        </w:rPr>
        <w:t>ome of these are documented below.</w:t>
      </w:r>
    </w:p>
    <w:p w14:paraId="6C36CB25" w14:textId="24B2CC95" w:rsidR="00EB0D2A" w:rsidRDefault="00EB0D2A" w:rsidP="00EB0D2A">
      <w:pPr>
        <w:rPr>
          <w:noProof/>
        </w:rPr>
      </w:pPr>
      <w:bookmarkStart w:id="49" w:name="_Toc372723863"/>
      <w:bookmarkStart w:id="50" w:name="_Toc373304277"/>
      <w:r>
        <w:rPr>
          <w:noProof/>
        </w:rPr>
        <w:t>Taking the common weaknesses in M&amp;E systems identified in the pool of evaluations as a starting point, this synthesis identifies three key issues. Our strongest evidence for these lessons is drawn from nine evaluations. The weaknesses identified are consistent with the findings of other reviews</w:t>
      </w:r>
      <w:r w:rsidR="00297AD5">
        <w:rPr>
          <w:noProof/>
        </w:rPr>
        <w:t>,</w:t>
      </w:r>
      <w:r>
        <w:rPr>
          <w:noProof/>
        </w:rPr>
        <w:t xml:space="preserve"> including the </w:t>
      </w:r>
      <w:r w:rsidRPr="009B30BB">
        <w:rPr>
          <w:noProof/>
        </w:rPr>
        <w:t xml:space="preserve">2011 </w:t>
      </w:r>
      <w:r w:rsidR="00C70EBB" w:rsidRPr="00AD6A55">
        <w:rPr>
          <w:i/>
          <w:noProof/>
        </w:rPr>
        <w:t>Study of independent completion r</w:t>
      </w:r>
      <w:r w:rsidR="009B30BB" w:rsidRPr="00AD6A55">
        <w:rPr>
          <w:i/>
          <w:noProof/>
        </w:rPr>
        <w:t>eports and other evaluation documents</w:t>
      </w:r>
      <w:r w:rsidR="009B30BB" w:rsidRPr="00486A8E">
        <w:rPr>
          <w:noProof/>
        </w:rPr>
        <w:t xml:space="preserve"> (the </w:t>
      </w:r>
      <w:r w:rsidRPr="009B30BB">
        <w:rPr>
          <w:noProof/>
        </w:rPr>
        <w:t>Bazeley study</w:t>
      </w:r>
      <w:r w:rsidR="009B30BB">
        <w:rPr>
          <w:noProof/>
        </w:rPr>
        <w:t>)</w:t>
      </w:r>
      <w:r w:rsidRPr="009B30BB">
        <w:rPr>
          <w:noProof/>
        </w:rPr>
        <w:t>.</w:t>
      </w:r>
      <w:r>
        <w:rPr>
          <w:noProof/>
        </w:rPr>
        <w:t xml:space="preserve"> In 2014, ODE intends to conduct an in-depth study of a sample of initiative </w:t>
      </w:r>
      <w:r w:rsidR="0038258D">
        <w:rPr>
          <w:noProof/>
        </w:rPr>
        <w:t>M&amp;E</w:t>
      </w:r>
      <w:r>
        <w:rPr>
          <w:noProof/>
        </w:rPr>
        <w:t xml:space="preserve"> systems to help provide a clearer understanding of the underlying reasons </w:t>
      </w:r>
      <w:r w:rsidR="00297AD5">
        <w:rPr>
          <w:noProof/>
        </w:rPr>
        <w:t xml:space="preserve">that </w:t>
      </w:r>
      <w:r>
        <w:rPr>
          <w:noProof/>
        </w:rPr>
        <w:t>managers continue to struggle with measuring the performance of initiatives.</w:t>
      </w:r>
    </w:p>
    <w:p w14:paraId="676AADF5" w14:textId="51C6DD82" w:rsidR="009B61ED" w:rsidRPr="00B50705" w:rsidRDefault="00C70EBB" w:rsidP="001816F9">
      <w:pPr>
        <w:pStyle w:val="Heading3a"/>
      </w:pPr>
      <w:bookmarkStart w:id="51" w:name="_Toc372723864"/>
      <w:bookmarkStart w:id="52" w:name="_Toc373304278"/>
      <w:bookmarkEnd w:id="49"/>
      <w:bookmarkEnd w:id="50"/>
      <w:r>
        <w:t xml:space="preserve">Monitoring and evaluation </w:t>
      </w:r>
      <w:r w:rsidR="009B61ED" w:rsidRPr="00B50705">
        <w:t xml:space="preserve">systems need to </w:t>
      </w:r>
      <w:bookmarkEnd w:id="51"/>
      <w:bookmarkEnd w:id="52"/>
      <w:r w:rsidR="00603B64">
        <w:t>assess the extent to which intended outcomes are being achieved</w:t>
      </w:r>
    </w:p>
    <w:p w14:paraId="02A08964" w14:textId="552CB238" w:rsidR="009B61ED" w:rsidRDefault="009B61ED" w:rsidP="009B61ED">
      <w:pPr>
        <w:rPr>
          <w:noProof/>
        </w:rPr>
      </w:pPr>
      <w:r>
        <w:rPr>
          <w:noProof/>
        </w:rPr>
        <w:t>One of the most common complaints that we found in our review of the quality and credibility of evaluations is that M&amp;E systems tend to measure ‘outputs’ rather than monitoring the extent to which a program’s outcomes are being achieved. This issue also emerged from our evaluation synthesis. Three evaluations identified this as particularly problematic.</w:t>
      </w:r>
    </w:p>
    <w:p w14:paraId="379C89C6" w14:textId="7A5F33C9" w:rsidR="00297AD5" w:rsidRDefault="00486A8E" w:rsidP="009B61ED">
      <w:pPr>
        <w:rPr>
          <w:i/>
        </w:rPr>
      </w:pPr>
      <w:r>
        <w:rPr>
          <w:noProof/>
        </w:rPr>
        <w:t xml:space="preserve">An </w:t>
      </w:r>
      <w:r w:rsidR="009B61ED">
        <w:rPr>
          <w:noProof/>
        </w:rPr>
        <w:t xml:space="preserve">evaluation of two programs aiming to improve basic services in very remote rural areas of </w:t>
      </w:r>
      <w:r w:rsidR="00297AD5">
        <w:rPr>
          <w:noProof/>
        </w:rPr>
        <w:t>Papua New Guinea</w:t>
      </w:r>
      <w:r w:rsidR="009B61ED">
        <w:rPr>
          <w:noProof/>
        </w:rPr>
        <w:t xml:space="preserve"> found that for the Kokoda Development Program:</w:t>
      </w:r>
      <w:r w:rsidR="009B61ED" w:rsidRPr="0046734E">
        <w:rPr>
          <w:i/>
        </w:rPr>
        <w:t xml:space="preserve"> </w:t>
      </w:r>
    </w:p>
    <w:p w14:paraId="38595C6A" w14:textId="3F0E00AE" w:rsidR="00297AD5" w:rsidRPr="00C91058" w:rsidRDefault="009B61ED" w:rsidP="00486A8E">
      <w:pPr>
        <w:pStyle w:val="Quote"/>
        <w:rPr>
          <w:noProof/>
        </w:rPr>
      </w:pPr>
      <w:r w:rsidRPr="004802D3">
        <w:rPr>
          <w:noProof/>
        </w:rPr>
        <w:t xml:space="preserve">Documentation that informed the program was activity and outputs focused. There was no M&amp;E framework with indicators at any level to guide monitoring of the program’s rollout (the </w:t>
      </w:r>
      <w:r w:rsidR="00297AD5" w:rsidRPr="001816F9">
        <w:rPr>
          <w:noProof/>
        </w:rPr>
        <w:t>‘</w:t>
      </w:r>
      <w:r w:rsidRPr="004802D3">
        <w:rPr>
          <w:noProof/>
        </w:rPr>
        <w:t>HOW</w:t>
      </w:r>
      <w:r w:rsidR="00297AD5" w:rsidRPr="001816F9">
        <w:rPr>
          <w:noProof/>
        </w:rPr>
        <w:t>’</w:t>
      </w:r>
      <w:r w:rsidRPr="004802D3">
        <w:rPr>
          <w:noProof/>
        </w:rPr>
        <w:t xml:space="preserve"> factor) and inform measuring of results (the </w:t>
      </w:r>
      <w:r w:rsidR="00297AD5" w:rsidRPr="001816F9">
        <w:rPr>
          <w:noProof/>
        </w:rPr>
        <w:t>‘</w:t>
      </w:r>
      <w:r w:rsidRPr="004802D3">
        <w:rPr>
          <w:noProof/>
        </w:rPr>
        <w:t>SO WHAT</w:t>
      </w:r>
      <w:r w:rsidR="00297AD5" w:rsidRPr="001816F9">
        <w:rPr>
          <w:noProof/>
        </w:rPr>
        <w:t>’</w:t>
      </w:r>
      <w:r w:rsidRPr="004802D3">
        <w:rPr>
          <w:noProof/>
        </w:rPr>
        <w:t xml:space="preserve"> factor) ... Both programs have focused heavily on reporting on inputs and outputs, but less so on progress towards achieving outcomes/objectives</w:t>
      </w:r>
      <w:r w:rsidR="00297AD5" w:rsidRPr="001816F9">
        <w:rPr>
          <w:noProof/>
        </w:rPr>
        <w:t xml:space="preserve">. </w:t>
      </w:r>
      <w:r w:rsidRPr="00C91058">
        <w:rPr>
          <w:noProof/>
        </w:rPr>
        <w:t>(</w:t>
      </w:r>
      <w:r w:rsidR="000F6CDF" w:rsidRPr="00C91058">
        <w:rPr>
          <w:noProof/>
        </w:rPr>
        <w:t>pp.</w:t>
      </w:r>
      <w:r w:rsidRPr="00C91058">
        <w:rPr>
          <w:noProof/>
        </w:rPr>
        <w:t xml:space="preserve"> 20</w:t>
      </w:r>
      <w:r w:rsidR="00C70EBB" w:rsidRPr="003C1619">
        <w:rPr>
          <w:noProof/>
        </w:rPr>
        <w:t>–</w:t>
      </w:r>
      <w:r w:rsidR="005A759D">
        <w:rPr>
          <w:noProof/>
        </w:rPr>
        <w:t>21)</w:t>
      </w:r>
      <w:r w:rsidRPr="00C91058">
        <w:rPr>
          <w:noProof/>
        </w:rPr>
        <w:t xml:space="preserve"> </w:t>
      </w:r>
    </w:p>
    <w:p w14:paraId="63C37EB1" w14:textId="3D7AB92B" w:rsidR="009B61ED" w:rsidRDefault="009B61ED" w:rsidP="009B61ED">
      <w:r>
        <w:t xml:space="preserve">The evaluation goes on </w:t>
      </w:r>
      <w:r w:rsidRPr="00C70EBB">
        <w:t xml:space="preserve">to explain that the program designs and the M&amp;E systems for both programs did not </w:t>
      </w:r>
      <w:r w:rsidR="00C70EBB">
        <w:t xml:space="preserve">place </w:t>
      </w:r>
      <w:r w:rsidRPr="00C70EBB">
        <w:t xml:space="preserve">sufficient importance </w:t>
      </w:r>
      <w:r w:rsidR="00C70EBB">
        <w:t xml:space="preserve">on </w:t>
      </w:r>
      <w:r w:rsidRPr="00C70EBB">
        <w:t>t</w:t>
      </w:r>
      <w:r>
        <w:t>he sustainability of outcomes and</w:t>
      </w:r>
      <w:r w:rsidR="004E6EEE">
        <w:t>,</w:t>
      </w:r>
      <w:r>
        <w:t xml:space="preserve"> in particular</w:t>
      </w:r>
      <w:r w:rsidR="004E6EEE">
        <w:t>,</w:t>
      </w:r>
      <w:r>
        <w:t xml:space="preserve"> the need to ensure the flow of government funds to pay the long</w:t>
      </w:r>
      <w:r w:rsidR="004E6EEE">
        <w:t>-</w:t>
      </w:r>
      <w:r>
        <w:t>term recurrent costs of activities.</w:t>
      </w:r>
    </w:p>
    <w:p w14:paraId="4AB12B52" w14:textId="74415919" w:rsidR="004E6EEE" w:rsidRDefault="009B61ED" w:rsidP="009B61ED">
      <w:r>
        <w:t>Similarly</w:t>
      </w:r>
      <w:r w:rsidR="004E6EEE">
        <w:t>,</w:t>
      </w:r>
      <w:r>
        <w:t xml:space="preserve"> the evaluation of the Vanuatu Australia Police Project </w:t>
      </w:r>
      <w:r w:rsidR="00F82F3A">
        <w:t xml:space="preserve">(VAPP) </w:t>
      </w:r>
      <w:r>
        <w:t xml:space="preserve">found that considerable work went into designing the M&amp;E framework </w:t>
      </w:r>
      <w:r w:rsidRPr="00C70EBB">
        <w:t>(p.</w:t>
      </w:r>
      <w:r w:rsidR="004E6EEE" w:rsidRPr="00C70EBB">
        <w:t xml:space="preserve"> </w:t>
      </w:r>
      <w:r w:rsidRPr="00C70EBB">
        <w:t>22),</w:t>
      </w:r>
      <w:r>
        <w:t xml:space="preserve"> but it did not ask the right questions or provide relevant information about key outcomes: </w:t>
      </w:r>
    </w:p>
    <w:p w14:paraId="3380C11D" w14:textId="3152A70C" w:rsidR="004E6EEE" w:rsidRPr="00C91058" w:rsidRDefault="003C1619" w:rsidP="003C1619">
      <w:pPr>
        <w:pStyle w:val="Quote"/>
      </w:pPr>
      <w:r>
        <w:t>T</w:t>
      </w:r>
      <w:r w:rsidR="009B61ED" w:rsidRPr="004802D3">
        <w:t>he VAPP instituted a M&amp;E regime, and consistently produced a wealth of information and data: the program’s M&amp;E methodologies mostly recorded various types of outputs</w:t>
      </w:r>
      <w:r w:rsidR="004E6EEE" w:rsidRPr="00C91058">
        <w:rPr>
          <w:rFonts w:ascii="Cambria" w:hAnsi="Cambria"/>
        </w:rPr>
        <w:t>—</w:t>
      </w:r>
      <w:r w:rsidR="009B61ED" w:rsidRPr="004802D3">
        <w:t>numbers of courses delivered and manuals produced. There is little indication in the VAPP’s M&amp;E system of what outcomes these activities have produced</w:t>
      </w:r>
      <w:r w:rsidR="004E6EEE" w:rsidRPr="00C91058">
        <w:t>.</w:t>
      </w:r>
      <w:r w:rsidR="009B61ED" w:rsidRPr="004802D3">
        <w:t xml:space="preserve"> </w:t>
      </w:r>
      <w:r w:rsidR="009B61ED" w:rsidRPr="00C70EBB">
        <w:t>(p.</w:t>
      </w:r>
      <w:r w:rsidR="004E6EEE" w:rsidRPr="00C70EBB">
        <w:t xml:space="preserve"> </w:t>
      </w:r>
      <w:r w:rsidR="009B61ED" w:rsidRPr="00C70EBB">
        <w:t>6)</w:t>
      </w:r>
    </w:p>
    <w:p w14:paraId="7F0C4D72" w14:textId="77777777" w:rsidR="00E674E0" w:rsidRDefault="009B61ED" w:rsidP="00E674E0">
      <w:r>
        <w:t>Similar weaknesses were found in the evaluation of an education program in Papua, Indonesia</w:t>
      </w:r>
      <w:r w:rsidR="00E674E0">
        <w:t xml:space="preserve"> (see </w:t>
      </w:r>
      <w:r w:rsidR="00E674E0">
        <w:fldChar w:fldCharType="begin"/>
      </w:r>
      <w:r w:rsidR="00E674E0">
        <w:instrText xml:space="preserve"> REF _Ref380602176 \h </w:instrText>
      </w:r>
      <w:r w:rsidR="00E674E0">
        <w:fldChar w:fldCharType="separate"/>
      </w:r>
      <w:r w:rsidR="00C971DC">
        <w:t xml:space="preserve">Box </w:t>
      </w:r>
      <w:r w:rsidR="00C971DC">
        <w:rPr>
          <w:noProof/>
        </w:rPr>
        <w:t>1</w:t>
      </w:r>
      <w:r w:rsidR="00E674E0">
        <w:fldChar w:fldCharType="end"/>
      </w:r>
      <w:r w:rsidR="00E674E0">
        <w:t>).</w:t>
      </w:r>
    </w:p>
    <w:p w14:paraId="4A89004C" w14:textId="3286CE08" w:rsidR="00E674E0" w:rsidRDefault="00E674E0">
      <w:pPr>
        <w:spacing w:before="0" w:after="0" w:line="240" w:lineRule="auto"/>
      </w:pPr>
      <w:r>
        <w:br w:type="page"/>
      </w:r>
    </w:p>
    <w:p w14:paraId="7F88092F" w14:textId="294EA0F6" w:rsidR="009B61ED" w:rsidRDefault="009B61ED" w:rsidP="00AB14E8">
      <w:pPr>
        <w:pStyle w:val="Boxheading0"/>
      </w:pPr>
      <w:bookmarkStart w:id="53" w:name="_Ref380602176"/>
      <w:bookmarkStart w:id="54" w:name="_Ref380602169"/>
      <w:r>
        <w:lastRenderedPageBreak/>
        <w:t xml:space="preserve">Box </w:t>
      </w:r>
      <w:fldSimple w:instr=" SEQ Box \* ARABIC ">
        <w:r w:rsidR="00C971DC">
          <w:rPr>
            <w:noProof/>
          </w:rPr>
          <w:t>1</w:t>
        </w:r>
      </w:fldSimple>
      <w:bookmarkEnd w:id="53"/>
      <w:r>
        <w:tab/>
      </w:r>
      <w:r w:rsidRPr="007F692D">
        <w:t xml:space="preserve">Education </w:t>
      </w:r>
      <w:r>
        <w:t>A</w:t>
      </w:r>
      <w:r w:rsidRPr="007F692D">
        <w:t>ssistance to Papua and Papua Barat</w:t>
      </w:r>
      <w:bookmarkEnd w:id="54"/>
    </w:p>
    <w:p w14:paraId="22DCD172" w14:textId="77777777" w:rsidR="00995FD1" w:rsidRPr="00AD6A55" w:rsidRDefault="00995FD1" w:rsidP="00995FD1">
      <w:pPr>
        <w:pStyle w:val="BoxText"/>
        <w:rPr>
          <w:sz w:val="2"/>
          <w:szCs w:val="2"/>
        </w:rPr>
      </w:pPr>
    </w:p>
    <w:p w14:paraId="210F3FD1" w14:textId="6574CC1F" w:rsidR="004E6EEE" w:rsidRDefault="009B61ED" w:rsidP="00995FD1">
      <w:pPr>
        <w:pStyle w:val="BoxText"/>
      </w:pPr>
      <w:r w:rsidRPr="007F692D">
        <w:t xml:space="preserve">The evaluation of the </w:t>
      </w:r>
      <w:r w:rsidRPr="00C70EBB">
        <w:t>Australia</w:t>
      </w:r>
      <w:r w:rsidR="004E6EEE" w:rsidRPr="00C70EBB">
        <w:t>–</w:t>
      </w:r>
      <w:r w:rsidRPr="00C70EBB">
        <w:t>UNICEF Education Assistance to Papua and Papua Barat</w:t>
      </w:r>
      <w:r w:rsidRPr="007F692D">
        <w:t xml:space="preserve"> found that</w:t>
      </w:r>
      <w:r w:rsidR="004E6EEE">
        <w:t>:</w:t>
      </w:r>
    </w:p>
    <w:p w14:paraId="20D546B0" w14:textId="4ADF491B" w:rsidR="009B61ED" w:rsidRPr="00440F71" w:rsidRDefault="00A13CCF" w:rsidP="00440F71">
      <w:pPr>
        <w:pStyle w:val="BoxQuote"/>
      </w:pPr>
      <w:r>
        <w:tab/>
      </w:r>
      <w:r w:rsidR="003C1619" w:rsidRPr="00440F71">
        <w:t>P</w:t>
      </w:r>
      <w:r w:rsidR="009B61ED" w:rsidRPr="00440F71">
        <w:t>erformance monitoring data are rarely collated, analysed or reported by UNICEF. The lack of systematic monitoring of trainee response to training, changes in their knowledge, or of changes in trainees’ attitudes, skills or aspirations, suggests the theory of change underlying the training is not understood. Changes in the operating environment for supervisors, principals and teachers are not monitored and were not evaluated in the base line survey</w:t>
      </w:r>
      <w:r w:rsidR="004E6EEE" w:rsidRPr="00440F71">
        <w:t>.</w:t>
      </w:r>
      <w:r w:rsidR="009B61ED" w:rsidRPr="00440F71">
        <w:t xml:space="preserve"> </w:t>
      </w:r>
      <w:r w:rsidR="008109D0" w:rsidRPr="00440F71">
        <w:br/>
      </w:r>
      <w:r w:rsidR="009B61ED" w:rsidRPr="00440F71">
        <w:t>(p.</w:t>
      </w:r>
      <w:r w:rsidR="00C70EBB" w:rsidRPr="00440F71">
        <w:t xml:space="preserve"> </w:t>
      </w:r>
      <w:r w:rsidR="009B61ED" w:rsidRPr="00440F71">
        <w:t>vi)</w:t>
      </w:r>
      <w:r w:rsidR="00670092" w:rsidRPr="00440F71">
        <w:t xml:space="preserve"> </w:t>
      </w:r>
    </w:p>
    <w:p w14:paraId="31059618" w14:textId="675E52C8" w:rsidR="009B61ED" w:rsidRDefault="009B61ED" w:rsidP="002655BB">
      <w:pPr>
        <w:pStyle w:val="BoxNotes"/>
        <w:jc w:val="right"/>
      </w:pPr>
      <w:r>
        <w:t xml:space="preserve">Source: </w:t>
      </w:r>
      <w:r w:rsidRPr="007F692D">
        <w:t>Australia</w:t>
      </w:r>
      <w:r w:rsidR="004E6EEE" w:rsidRPr="003C1619">
        <w:t>–</w:t>
      </w:r>
      <w:r w:rsidRPr="007F692D">
        <w:t xml:space="preserve">UNICEF Education </w:t>
      </w:r>
      <w:r w:rsidR="00C70EBB">
        <w:t>A</w:t>
      </w:r>
      <w:r w:rsidRPr="007F692D">
        <w:t>ssistance to Papua and Papua Barat</w:t>
      </w:r>
      <w:r>
        <w:t xml:space="preserve"> Evaluation, 2012</w:t>
      </w:r>
    </w:p>
    <w:p w14:paraId="3E5BED7C" w14:textId="6D9801EE" w:rsidR="009B61ED" w:rsidRDefault="009B61ED" w:rsidP="009B61ED">
      <w:r>
        <w:t>Conversely, the evaluation of</w:t>
      </w:r>
      <w:r w:rsidR="004802D3">
        <w:t xml:space="preserve"> t</w:t>
      </w:r>
      <w:r w:rsidR="004802D3" w:rsidRPr="004802D3">
        <w:t>he Cambodian Agricultural Value Chain</w:t>
      </w:r>
      <w:r>
        <w:t xml:space="preserve"> </w:t>
      </w:r>
      <w:r w:rsidR="004802D3" w:rsidRPr="00C70EBB">
        <w:t>(</w:t>
      </w:r>
      <w:r w:rsidRPr="00C70EBB">
        <w:t>CAVAC</w:t>
      </w:r>
      <w:r w:rsidR="004802D3" w:rsidRPr="00C70EBB">
        <w:t>)</w:t>
      </w:r>
      <w:r>
        <w:t xml:space="preserve"> provided an example of good practice</w:t>
      </w:r>
      <w:r w:rsidR="004802D3">
        <w:t>,</w:t>
      </w:r>
      <w:r>
        <w:t xml:space="preserve"> highlighting how a comprehensive monitoring plan can be developed that measures changes at all levels of the results chain (see </w:t>
      </w:r>
      <w:r>
        <w:fldChar w:fldCharType="begin"/>
      </w:r>
      <w:r>
        <w:instrText xml:space="preserve"> REF _Ref372734340 \h  \* MERGEFORMAT </w:instrText>
      </w:r>
      <w:r>
        <w:fldChar w:fldCharType="separate"/>
      </w:r>
      <w:r w:rsidR="00C971DC">
        <w:t xml:space="preserve">Box </w:t>
      </w:r>
      <w:r w:rsidR="00C971DC">
        <w:rPr>
          <w:noProof/>
        </w:rPr>
        <w:t>2</w:t>
      </w:r>
      <w:r>
        <w:fldChar w:fldCharType="end"/>
      </w:r>
      <w:r>
        <w:t>).</w:t>
      </w:r>
      <w:r w:rsidR="00670092">
        <w:t xml:space="preserve"> </w:t>
      </w:r>
    </w:p>
    <w:p w14:paraId="67B294EC" w14:textId="7304712A" w:rsidR="009B61ED" w:rsidRDefault="009B61ED" w:rsidP="00AB14E8">
      <w:pPr>
        <w:pStyle w:val="Boxheading0"/>
      </w:pPr>
      <w:bookmarkStart w:id="55" w:name="_Ref372734340"/>
      <w:bookmarkStart w:id="56" w:name="_Toc372722973"/>
      <w:r>
        <w:t xml:space="preserve">Box </w:t>
      </w:r>
      <w:fldSimple w:instr=" SEQ Box \* ARABIC ">
        <w:r w:rsidR="00C971DC">
          <w:rPr>
            <w:noProof/>
          </w:rPr>
          <w:t>2</w:t>
        </w:r>
      </w:fldSimple>
      <w:bookmarkEnd w:id="55"/>
      <w:r>
        <w:tab/>
      </w:r>
      <w:r w:rsidRPr="0027486F">
        <w:t>Cambodian Agricultural Value Chain</w:t>
      </w:r>
      <w:bookmarkEnd w:id="56"/>
    </w:p>
    <w:p w14:paraId="34795E33" w14:textId="77777777" w:rsidR="00995FD1" w:rsidRPr="00AD6A55" w:rsidRDefault="00995FD1" w:rsidP="00995FD1">
      <w:pPr>
        <w:pStyle w:val="BoxText"/>
        <w:rPr>
          <w:sz w:val="2"/>
          <w:szCs w:val="2"/>
        </w:rPr>
      </w:pPr>
    </w:p>
    <w:p w14:paraId="49080AA2" w14:textId="286F5329" w:rsidR="009B61ED" w:rsidRDefault="00690422" w:rsidP="009B61ED">
      <w:pPr>
        <w:pStyle w:val="BoxText"/>
      </w:pPr>
      <w:r>
        <w:t>The Cambodian Agricultural Value Chain (</w:t>
      </w:r>
      <w:r w:rsidR="009B61ED">
        <w:t>CAVAC</w:t>
      </w:r>
      <w:r>
        <w:t>)</w:t>
      </w:r>
      <w:r w:rsidR="009B61ED">
        <w:t xml:space="preserve"> aims to reduce rural poverty in three provinces by raising the productivity and incomes of male and female farmers. The evaluation found that a solid system is in place for monitoring progress, measuring results and using that information to steer implementation. Results chains for all active interventions have been developed, along with a comprehensive monitoring plan that includes assessments to measure changes up the levels of the results chains as they are expected to happen for each intervention. A system to catalogue assessments of results per support system is in place. Indicators for assessing behaviour change in relevant support systems have been developed. Testing of these indicators was </w:t>
      </w:r>
      <w:r w:rsidR="009B61ED" w:rsidRPr="00C70EBB">
        <w:t>ongoing</w:t>
      </w:r>
      <w:r w:rsidR="009B61ED">
        <w:t xml:space="preserve"> at the time of the evaluation so that CAVAC would be prepared for farmer-level behaviour change assessments, which were to be conducted in 2012. As a result of these efforts, the evaluation found that:</w:t>
      </w:r>
    </w:p>
    <w:p w14:paraId="548CCE14" w14:textId="0C7648BB" w:rsidR="009B61ED" w:rsidRPr="00C91058" w:rsidRDefault="004A24DF" w:rsidP="003C1619">
      <w:pPr>
        <w:pStyle w:val="BoxQuote"/>
      </w:pPr>
      <w:r>
        <w:tab/>
      </w:r>
      <w:r w:rsidR="009B61ED" w:rsidRPr="00C91058">
        <w:t>CAVAC has a good understanding of the effects of its interventions on poor women and men (better than anticipated in its design). It has developed its own poverty strategy and monitoring system, conducted a study of poverty in rural areas and an assessment of poverty transmission mechanisms and initiated a longitudinal assessment of the socio-economic effects of irrigation interventions and is likely to achieve its purpose level objectives by some margin</w:t>
      </w:r>
      <w:r w:rsidR="004802D3" w:rsidRPr="00C91058">
        <w:t>.</w:t>
      </w:r>
      <w:r w:rsidR="009B61ED" w:rsidRPr="00C91058">
        <w:t xml:space="preserve"> </w:t>
      </w:r>
      <w:r w:rsidR="009B61ED" w:rsidRPr="00C70EBB">
        <w:t>(p</w:t>
      </w:r>
      <w:r w:rsidR="004802D3" w:rsidRPr="00C70EBB">
        <w:t xml:space="preserve">. </w:t>
      </w:r>
      <w:r w:rsidR="009B61ED" w:rsidRPr="00C70EBB">
        <w:t>4)</w:t>
      </w:r>
    </w:p>
    <w:p w14:paraId="38CABE51" w14:textId="4AB8041E" w:rsidR="009B61ED" w:rsidRDefault="009B61ED" w:rsidP="00AD6A55">
      <w:pPr>
        <w:pStyle w:val="BoxNotes"/>
        <w:spacing w:before="120"/>
        <w:jc w:val="right"/>
      </w:pPr>
      <w:r>
        <w:t xml:space="preserve">Source: </w:t>
      </w:r>
      <w:r w:rsidRPr="0027486F">
        <w:t>The Cambodian Agricultural Value Chain</w:t>
      </w:r>
      <w:r>
        <w:t xml:space="preserve"> </w:t>
      </w:r>
      <w:r w:rsidRPr="003C1619">
        <w:t>Evaluation</w:t>
      </w:r>
      <w:r w:rsidR="00C70EBB" w:rsidRPr="003C1619">
        <w:t xml:space="preserve">, </w:t>
      </w:r>
      <w:r w:rsidR="003C1619" w:rsidRPr="003C1619">
        <w:t>2012</w:t>
      </w:r>
    </w:p>
    <w:p w14:paraId="58323B1D" w14:textId="115B40F5" w:rsidR="00B0602F" w:rsidRDefault="00B0602F" w:rsidP="00C91058">
      <w:pPr>
        <w:pStyle w:val="Heading3a"/>
      </w:pPr>
      <w:bookmarkStart w:id="57" w:name="_Toc372723865"/>
      <w:bookmarkStart w:id="58" w:name="_Toc373304279"/>
      <w:r>
        <w:t>Invest in developing a realistic and</w:t>
      </w:r>
      <w:r w:rsidRPr="009F00DF">
        <w:t xml:space="preserve"> logical </w:t>
      </w:r>
      <w:r>
        <w:t>program</w:t>
      </w:r>
      <w:r w:rsidRPr="009F00DF">
        <w:t xml:space="preserve"> design that includes a clear </w:t>
      </w:r>
      <w:r>
        <w:t>‘</w:t>
      </w:r>
      <w:r w:rsidRPr="009F00DF">
        <w:t>theory of change</w:t>
      </w:r>
      <w:r>
        <w:t>’</w:t>
      </w:r>
      <w:r w:rsidRPr="009F00DF">
        <w:t xml:space="preserve"> and </w:t>
      </w:r>
      <w:r>
        <w:t xml:space="preserve">then ensure that the </w:t>
      </w:r>
      <w:r w:rsidR="0018698F">
        <w:t xml:space="preserve">monitoring and evaluation </w:t>
      </w:r>
      <w:r>
        <w:t>system</w:t>
      </w:r>
      <w:r w:rsidRPr="009F00DF">
        <w:t xml:space="preserve"> </w:t>
      </w:r>
      <w:r>
        <w:t xml:space="preserve">captures the extent to which the anticipated changes are actually taking place </w:t>
      </w:r>
    </w:p>
    <w:p w14:paraId="1A129AEF" w14:textId="6B8F0285" w:rsidR="00B0602F" w:rsidRDefault="00B0602F" w:rsidP="00B0602F">
      <w:pPr>
        <w:rPr>
          <w:noProof/>
        </w:rPr>
      </w:pPr>
      <w:r>
        <w:rPr>
          <w:noProof/>
        </w:rPr>
        <w:t xml:space="preserve">It is now generally accepted that all aid programs need an explicit ‘theory of change’ which explains what changes are expected to occur as a result of an intervention, how they are likely to be achieved and what their anticipated impacts may be. This needs to be developed at the outset and then M&amp;E systems </w:t>
      </w:r>
      <w:r w:rsidR="004802D3">
        <w:rPr>
          <w:noProof/>
        </w:rPr>
        <w:t xml:space="preserve">must be </w:t>
      </w:r>
      <w:r>
        <w:rPr>
          <w:noProof/>
        </w:rPr>
        <w:t xml:space="preserve">designed </w:t>
      </w:r>
      <w:r w:rsidR="004802D3">
        <w:rPr>
          <w:noProof/>
        </w:rPr>
        <w:t xml:space="preserve">that </w:t>
      </w:r>
      <w:r>
        <w:rPr>
          <w:noProof/>
        </w:rPr>
        <w:t xml:space="preserve">can ‘capture’ evidence on the extent to which these anticipated changes are taking place. </w:t>
      </w:r>
    </w:p>
    <w:p w14:paraId="0B976231" w14:textId="5659225A" w:rsidR="004802D3" w:rsidRDefault="00B0602F" w:rsidP="00B0602F">
      <w:pPr>
        <w:rPr>
          <w:noProof/>
        </w:rPr>
      </w:pPr>
      <w:r>
        <w:rPr>
          <w:noProof/>
        </w:rPr>
        <w:t xml:space="preserve">Our sample of evaluations included a few examples of well-designed interventions with robust theories of change. One was the Rural Water </w:t>
      </w:r>
      <w:r w:rsidRPr="0018698F">
        <w:rPr>
          <w:noProof/>
        </w:rPr>
        <w:t xml:space="preserve">Supply </w:t>
      </w:r>
      <w:r w:rsidR="00F82F3A">
        <w:rPr>
          <w:noProof/>
        </w:rPr>
        <w:t>and</w:t>
      </w:r>
      <w:r w:rsidRPr="0018698F">
        <w:rPr>
          <w:noProof/>
        </w:rPr>
        <w:t xml:space="preserve"> Sanitation Program in Timor-Leste</w:t>
      </w:r>
      <w:r w:rsidR="00590A4F">
        <w:rPr>
          <w:noProof/>
        </w:rPr>
        <w:t xml:space="preserve"> (locally known </w:t>
      </w:r>
      <w:r w:rsidR="00865848">
        <w:rPr>
          <w:noProof/>
        </w:rPr>
        <w:t>as</w:t>
      </w:r>
      <w:r w:rsidR="00590A4F">
        <w:rPr>
          <w:noProof/>
        </w:rPr>
        <w:t xml:space="preserve"> ‘BESIK’)</w:t>
      </w:r>
      <w:r w:rsidR="004802D3" w:rsidRPr="0018698F">
        <w:rPr>
          <w:noProof/>
        </w:rPr>
        <w:t>.</w:t>
      </w:r>
      <w:r w:rsidRPr="0018698F">
        <w:rPr>
          <w:noProof/>
        </w:rPr>
        <w:t xml:space="preserve"> </w:t>
      </w:r>
      <w:r w:rsidR="004802D3" w:rsidRPr="0018698F">
        <w:rPr>
          <w:noProof/>
        </w:rPr>
        <w:t>T</w:t>
      </w:r>
      <w:r w:rsidRPr="0018698F">
        <w:rPr>
          <w:noProof/>
        </w:rPr>
        <w:t xml:space="preserve">he evaluation </w:t>
      </w:r>
      <w:r w:rsidR="00590A4F">
        <w:rPr>
          <w:noProof/>
        </w:rPr>
        <w:t>commend</w:t>
      </w:r>
      <w:r w:rsidR="00590A4F" w:rsidRPr="0018698F">
        <w:rPr>
          <w:noProof/>
        </w:rPr>
        <w:t>ed</w:t>
      </w:r>
      <w:r w:rsidRPr="0018698F">
        <w:rPr>
          <w:noProof/>
        </w:rPr>
        <w:t xml:space="preserve"> the program design on the grounds that</w:t>
      </w:r>
      <w:r w:rsidR="0018698F">
        <w:rPr>
          <w:noProof/>
        </w:rPr>
        <w:t>:</w:t>
      </w:r>
    </w:p>
    <w:p w14:paraId="56CE7CAB" w14:textId="274D11D0" w:rsidR="00B0602F" w:rsidRDefault="00B0602F" w:rsidP="00EF0D69">
      <w:pPr>
        <w:pStyle w:val="Quote"/>
        <w:rPr>
          <w:noProof/>
        </w:rPr>
      </w:pPr>
      <w:r w:rsidRPr="00B50705">
        <w:rPr>
          <w:noProof/>
        </w:rPr>
        <w:t>a central tenet of the BESIK design was that support for government ownership and leadership of the sector is a precondition for sustainable service delivery</w:t>
      </w:r>
      <w:r w:rsidR="004802D3">
        <w:rPr>
          <w:noProof/>
        </w:rPr>
        <w:t>.</w:t>
      </w:r>
      <w:r w:rsidRPr="00B50705">
        <w:rPr>
          <w:noProof/>
        </w:rPr>
        <w:t xml:space="preserve"> </w:t>
      </w:r>
      <w:r w:rsidR="00890973">
        <w:rPr>
          <w:noProof/>
        </w:rPr>
        <w:br/>
      </w:r>
      <w:r w:rsidRPr="00C91058">
        <w:rPr>
          <w:noProof/>
        </w:rPr>
        <w:t>(p.</w:t>
      </w:r>
      <w:r w:rsidR="00D4527F">
        <w:rPr>
          <w:noProof/>
        </w:rPr>
        <w:t xml:space="preserve"> </w:t>
      </w:r>
      <w:r w:rsidRPr="00C91058">
        <w:rPr>
          <w:noProof/>
        </w:rPr>
        <w:t>6</w:t>
      </w:r>
      <w:r w:rsidRPr="0018698F">
        <w:rPr>
          <w:noProof/>
        </w:rPr>
        <w:t>)</w:t>
      </w:r>
      <w:r w:rsidR="00670092" w:rsidRPr="00C91058">
        <w:rPr>
          <w:noProof/>
        </w:rPr>
        <w:t xml:space="preserve"> </w:t>
      </w:r>
    </w:p>
    <w:p w14:paraId="7BA5CB6E" w14:textId="4B875132" w:rsidR="001F4103" w:rsidRDefault="00B0602F" w:rsidP="00B0602F">
      <w:r>
        <w:lastRenderedPageBreak/>
        <w:t>A second example of imaginative program design was the Civil Society Water, Sanitation and Hygiene Fund</w:t>
      </w:r>
      <w:r w:rsidR="004802D3">
        <w:rPr>
          <w:rFonts w:ascii="Cambria" w:hAnsi="Cambria"/>
        </w:rPr>
        <w:t>—</w:t>
      </w:r>
      <w:r>
        <w:t xml:space="preserve">a $32 million fund for water, sanitation, and hygiene promotion distributed through 11 </w:t>
      </w:r>
      <w:r w:rsidR="0018698F">
        <w:t xml:space="preserve">non-government organisations </w:t>
      </w:r>
      <w:r w:rsidR="0018698F" w:rsidRPr="0018698F">
        <w:t>(</w:t>
      </w:r>
      <w:r w:rsidRPr="00CC6C1A">
        <w:t>NGOs</w:t>
      </w:r>
      <w:r w:rsidR="0018698F" w:rsidRPr="00CC6C1A">
        <w:t>)</w:t>
      </w:r>
      <w:r>
        <w:t xml:space="preserve"> from 2009</w:t>
      </w:r>
      <w:r w:rsidR="004802D3">
        <w:rPr>
          <w:rFonts w:ascii="Cambria" w:hAnsi="Cambria"/>
        </w:rPr>
        <w:t>–</w:t>
      </w:r>
      <w:r>
        <w:t xml:space="preserve">11. This fund was designed with a strong emphasis on promoting learning between the implementing NGOs. It was also designed with a dedicated external monitoring panel which was run by the same group of consultants throughout the period of the initiative. This meant they were able to build a strong relationship with the implementing NGOs and undertake a number of field visits. They then undertook the final evaluation of this scheme. </w:t>
      </w:r>
    </w:p>
    <w:p w14:paraId="4A918EA7" w14:textId="18D4A128" w:rsidR="00B0602F" w:rsidRDefault="001F4103" w:rsidP="00B0602F">
      <w:pPr>
        <w:rPr>
          <w:noProof/>
        </w:rPr>
      </w:pPr>
      <w:r>
        <w:rPr>
          <w:noProof/>
        </w:rPr>
        <w:t>T</w:t>
      </w:r>
      <w:r w:rsidR="00B0602F">
        <w:rPr>
          <w:noProof/>
        </w:rPr>
        <w:t>o avoid any conflicts of interest</w:t>
      </w:r>
      <w:r>
        <w:rPr>
          <w:noProof/>
        </w:rPr>
        <w:t>,</w:t>
      </w:r>
      <w:r w:rsidR="00B0602F">
        <w:rPr>
          <w:noProof/>
        </w:rPr>
        <w:t xml:space="preserve"> this independent monitoring mechanism was evaluated separately by the Australian Government</w:t>
      </w:r>
      <w:r>
        <w:rPr>
          <w:noProof/>
        </w:rPr>
        <w:t>.</w:t>
      </w:r>
      <w:r w:rsidR="00B0602F">
        <w:rPr>
          <w:noProof/>
        </w:rPr>
        <w:t xml:space="preserve"> </w:t>
      </w:r>
      <w:r>
        <w:rPr>
          <w:noProof/>
        </w:rPr>
        <w:t xml:space="preserve">The </w:t>
      </w:r>
      <w:r w:rsidR="00B0602F">
        <w:rPr>
          <w:noProof/>
        </w:rPr>
        <w:t xml:space="preserve">review identified broad-ranging benefits from this approach for </w:t>
      </w:r>
      <w:r>
        <w:rPr>
          <w:noProof/>
        </w:rPr>
        <w:t xml:space="preserve">both </w:t>
      </w:r>
      <w:r w:rsidR="00B0602F">
        <w:rPr>
          <w:noProof/>
        </w:rPr>
        <w:t xml:space="preserve">the Australian Government and the </w:t>
      </w:r>
      <w:r w:rsidR="00CC6C1A">
        <w:rPr>
          <w:noProof/>
        </w:rPr>
        <w:t>civil society organisations (</w:t>
      </w:r>
      <w:r w:rsidR="00B0602F">
        <w:rPr>
          <w:noProof/>
        </w:rPr>
        <w:t>CSOs</w:t>
      </w:r>
      <w:r w:rsidR="00CC6C1A">
        <w:rPr>
          <w:noProof/>
        </w:rPr>
        <w:t>)</w:t>
      </w:r>
      <w:r w:rsidR="00B0602F">
        <w:rPr>
          <w:noProof/>
        </w:rPr>
        <w:t xml:space="preserve"> involved. </w:t>
      </w:r>
      <w:r>
        <w:rPr>
          <w:noProof/>
        </w:rPr>
        <w:t xml:space="preserve">The </w:t>
      </w:r>
      <w:r w:rsidR="00B0602F">
        <w:rPr>
          <w:noProof/>
        </w:rPr>
        <w:t xml:space="preserve">review recommended continuing with this approach in any similar funds in the future. </w:t>
      </w:r>
    </w:p>
    <w:p w14:paraId="4D1A7109" w14:textId="3487C537" w:rsidR="00B0602F" w:rsidRDefault="00B0602F" w:rsidP="00B0602F">
      <w:r>
        <w:t xml:space="preserve">However, in another evaluation the program designs appear to be over-optimistic about what can be achieved within a limited </w:t>
      </w:r>
      <w:r w:rsidRPr="00CC6C1A">
        <w:t>timeframe.</w:t>
      </w:r>
      <w:r>
        <w:t xml:space="preserve"> In the case of the PNG</w:t>
      </w:r>
      <w:r w:rsidR="001F4103">
        <w:rPr>
          <w:rFonts w:ascii="Cambria" w:hAnsi="Cambria"/>
        </w:rPr>
        <w:t>–</w:t>
      </w:r>
      <w:r>
        <w:t>Australia Law &amp; Justice Partnership, the evaluation report notes that the implicit theory of change of the initiative was that</w:t>
      </w:r>
      <w:r w:rsidR="001F4103">
        <w:t>,</w:t>
      </w:r>
      <w:r>
        <w:t xml:space="preserve"> if institutional capacity was built</w:t>
      </w:r>
      <w:r w:rsidR="001F4103">
        <w:t>,</w:t>
      </w:r>
      <w:r>
        <w:t xml:space="preserve"> this would trickle down and lead to improvements in service delivery. The evaluation indicates that this has not happened and concludes that some aspects of the implicit theory of change were flawed (p.</w:t>
      </w:r>
      <w:r w:rsidR="001F4103">
        <w:t xml:space="preserve"> </w:t>
      </w:r>
      <w:r>
        <w:t xml:space="preserve">19). </w:t>
      </w:r>
      <w:r w:rsidR="00590A4F">
        <w:t>T</w:t>
      </w:r>
      <w:r>
        <w:t xml:space="preserve">he initiative could have </w:t>
      </w:r>
      <w:r w:rsidRPr="00CC6C1A">
        <w:t>benefited</w:t>
      </w:r>
      <w:r>
        <w:t xml:space="preserve"> from more regular monitoring and analysis to allow adjustments to the theory of change and the approach taken. </w:t>
      </w:r>
    </w:p>
    <w:p w14:paraId="2E39EFE1" w14:textId="59997736" w:rsidR="009B61ED" w:rsidRPr="0046734E" w:rsidRDefault="009B61ED" w:rsidP="00C91058">
      <w:pPr>
        <w:pStyle w:val="Heading3a"/>
      </w:pPr>
      <w:r>
        <w:t xml:space="preserve">Keep </w:t>
      </w:r>
      <w:r w:rsidR="00CC6C1A">
        <w:t xml:space="preserve">monitoring and evaluation </w:t>
      </w:r>
      <w:r w:rsidRPr="0046734E">
        <w:t xml:space="preserve">data </w:t>
      </w:r>
      <w:r>
        <w:t>simple</w:t>
      </w:r>
      <w:r w:rsidR="00B0602F">
        <w:t>, relevant</w:t>
      </w:r>
      <w:r>
        <w:t xml:space="preserve"> and </w:t>
      </w:r>
      <w:r w:rsidRPr="0046734E">
        <w:t>accessible</w:t>
      </w:r>
    </w:p>
    <w:p w14:paraId="7FB45849" w14:textId="7F577976" w:rsidR="009B61ED" w:rsidRDefault="009B61ED" w:rsidP="009B61ED">
      <w:r>
        <w:t>Monitoring data needs to be</w:t>
      </w:r>
      <w:r w:rsidR="00DC13B2">
        <w:t xml:space="preserve"> relevant and</w:t>
      </w:r>
      <w:r>
        <w:t xml:space="preserve"> clear so that it can be used as the basis for decision</w:t>
      </w:r>
      <w:r w:rsidR="00E6335B">
        <w:t>-</w:t>
      </w:r>
      <w:r>
        <w:t>making</w:t>
      </w:r>
      <w:r w:rsidR="009A7B1E">
        <w:t xml:space="preserve"> by Australian aid administrators, partner governments and implementing partners</w:t>
      </w:r>
      <w:r>
        <w:t>. Three of the evaluations reviewed found that programs were designed with either an overly complex program logic that did not really assist the monitoring process or a system that failed to collect data relevant to the program.</w:t>
      </w:r>
    </w:p>
    <w:bookmarkEnd w:id="57"/>
    <w:bookmarkEnd w:id="58"/>
    <w:p w14:paraId="44ABE8A6" w14:textId="03167360" w:rsidR="009B61ED" w:rsidRDefault="009B61ED" w:rsidP="009B61ED">
      <w:pPr>
        <w:rPr>
          <w:noProof/>
        </w:rPr>
      </w:pPr>
      <w:r>
        <w:rPr>
          <w:noProof/>
        </w:rPr>
        <w:t>For example, a small initiative</w:t>
      </w:r>
      <w:r w:rsidR="00C56E4B" w:rsidRPr="00D95392">
        <w:rPr>
          <w:noProof/>
        </w:rPr>
        <w:t>—</w:t>
      </w:r>
      <w:r>
        <w:rPr>
          <w:noProof/>
        </w:rPr>
        <w:t xml:space="preserve">the Education in Emergencies Capacity Building project run by </w:t>
      </w:r>
      <w:r w:rsidRPr="00CC6C1A">
        <w:rPr>
          <w:noProof/>
        </w:rPr>
        <w:t>Save the Children</w:t>
      </w:r>
      <w:r w:rsidR="00C56E4B" w:rsidRPr="00D95392">
        <w:rPr>
          <w:noProof/>
        </w:rPr>
        <w:t>—</w:t>
      </w:r>
      <w:r>
        <w:rPr>
          <w:noProof/>
        </w:rPr>
        <w:t xml:space="preserve">was found to have </w:t>
      </w:r>
      <w:r w:rsidRPr="00CC6C1A">
        <w:rPr>
          <w:noProof/>
        </w:rPr>
        <w:t>a logframe matrix</w:t>
      </w:r>
      <w:r w:rsidRPr="00D95392">
        <w:rPr>
          <w:noProof/>
          <w:vertAlign w:val="superscript"/>
        </w:rPr>
        <w:footnoteReference w:id="6"/>
      </w:r>
      <w:r>
        <w:rPr>
          <w:noProof/>
        </w:rPr>
        <w:t xml:space="preserve"> with no </w:t>
      </w:r>
      <w:r w:rsidR="00C56E4B">
        <w:rPr>
          <w:noProof/>
        </w:rPr>
        <w:t xml:space="preserve">fewer </w:t>
      </w:r>
      <w:r>
        <w:rPr>
          <w:noProof/>
        </w:rPr>
        <w:t>than 57 indicators, few of which could be measured (p</w:t>
      </w:r>
      <w:r w:rsidR="00C56E4B">
        <w:rPr>
          <w:noProof/>
        </w:rPr>
        <w:t xml:space="preserve">. </w:t>
      </w:r>
      <w:r>
        <w:rPr>
          <w:noProof/>
        </w:rPr>
        <w:t>5). Evaluations of two scholarship programs, like the Lao-Australian Scholarships Program and a similar program in Africa</w:t>
      </w:r>
      <w:r w:rsidR="00C56E4B">
        <w:rPr>
          <w:noProof/>
        </w:rPr>
        <w:t>,</w:t>
      </w:r>
      <w:r>
        <w:rPr>
          <w:noProof/>
        </w:rPr>
        <w:t xml:space="preserve"> found that conventional M&amp;E systems were of little use in assessing the overall impact of scholarship schemes. New systems</w:t>
      </w:r>
      <w:r w:rsidR="00C56E4B">
        <w:rPr>
          <w:noProof/>
        </w:rPr>
        <w:t xml:space="preserve"> that </w:t>
      </w:r>
      <w:r>
        <w:rPr>
          <w:noProof/>
        </w:rPr>
        <w:t>make greater use of the perspectives of the alumni themselves and for better recording of the long</w:t>
      </w:r>
      <w:r w:rsidR="00C56E4B">
        <w:rPr>
          <w:noProof/>
        </w:rPr>
        <w:t>-</w:t>
      </w:r>
      <w:r>
        <w:rPr>
          <w:noProof/>
        </w:rPr>
        <w:t>term impact of</w:t>
      </w:r>
      <w:r w:rsidR="00670092">
        <w:rPr>
          <w:noProof/>
        </w:rPr>
        <w:t xml:space="preserve"> </w:t>
      </w:r>
      <w:r>
        <w:rPr>
          <w:noProof/>
        </w:rPr>
        <w:t xml:space="preserve">scholarships are proposed in both </w:t>
      </w:r>
      <w:r w:rsidR="00C56E4B">
        <w:rPr>
          <w:noProof/>
        </w:rPr>
        <w:t xml:space="preserve">of </w:t>
      </w:r>
      <w:r>
        <w:rPr>
          <w:noProof/>
        </w:rPr>
        <w:t>these reports.</w:t>
      </w:r>
      <w:r w:rsidR="00670092">
        <w:rPr>
          <w:noProof/>
        </w:rPr>
        <w:t xml:space="preserve"> </w:t>
      </w:r>
    </w:p>
    <w:p w14:paraId="1208F303" w14:textId="59F02E3D" w:rsidR="009B61ED" w:rsidRDefault="009B61ED" w:rsidP="009B61ED">
      <w:pPr>
        <w:rPr>
          <w:noProof/>
        </w:rPr>
      </w:pPr>
      <w:r>
        <w:rPr>
          <w:noProof/>
        </w:rPr>
        <w:t>While well</w:t>
      </w:r>
      <w:r w:rsidR="00C56E4B">
        <w:rPr>
          <w:noProof/>
        </w:rPr>
        <w:t>-</w:t>
      </w:r>
      <w:r>
        <w:rPr>
          <w:noProof/>
        </w:rPr>
        <w:t>designed M&amp;E systems are essential, a key factor to emerge from four evaluations is the extent to which program managers themselves prioriti</w:t>
      </w:r>
      <w:r w:rsidR="00C56E4B">
        <w:rPr>
          <w:noProof/>
        </w:rPr>
        <w:t>s</w:t>
      </w:r>
      <w:r>
        <w:rPr>
          <w:noProof/>
        </w:rPr>
        <w:t xml:space="preserve">e and </w:t>
      </w:r>
      <w:r w:rsidR="00C56E4B">
        <w:rPr>
          <w:noProof/>
        </w:rPr>
        <w:t xml:space="preserve">use </w:t>
      </w:r>
      <w:r>
        <w:rPr>
          <w:noProof/>
        </w:rPr>
        <w:t xml:space="preserve">these systems, and </w:t>
      </w:r>
      <w:r w:rsidR="00C56E4B">
        <w:rPr>
          <w:noProof/>
        </w:rPr>
        <w:t xml:space="preserve">whether they </w:t>
      </w:r>
      <w:r>
        <w:rPr>
          <w:noProof/>
        </w:rPr>
        <w:t xml:space="preserve">insist that accurate data is presented at the right time and in an appropriate form so that it can be used as the basis for key decisions. In the example of CAVAC presented above in </w:t>
      </w:r>
      <w:r>
        <w:rPr>
          <w:noProof/>
        </w:rPr>
        <w:fldChar w:fldCharType="begin"/>
      </w:r>
      <w:r>
        <w:rPr>
          <w:noProof/>
        </w:rPr>
        <w:instrText xml:space="preserve"> REF _Ref372734340 \h  \* MERGEFORMAT </w:instrText>
      </w:r>
      <w:r>
        <w:rPr>
          <w:noProof/>
        </w:rPr>
      </w:r>
      <w:r>
        <w:rPr>
          <w:noProof/>
        </w:rPr>
        <w:fldChar w:fldCharType="separate"/>
      </w:r>
      <w:r w:rsidR="00C971DC">
        <w:rPr>
          <w:noProof/>
        </w:rPr>
        <w:t>Box 2</w:t>
      </w:r>
      <w:r>
        <w:rPr>
          <w:noProof/>
        </w:rPr>
        <w:fldChar w:fldCharType="end"/>
      </w:r>
      <w:r w:rsidR="00C56E4B">
        <w:rPr>
          <w:noProof/>
        </w:rPr>
        <w:t>,</w:t>
      </w:r>
      <w:r>
        <w:rPr>
          <w:noProof/>
        </w:rPr>
        <w:t xml:space="preserve"> M&amp;E was found to be successful because the program managers have given the function a clear priority and have been able to maintain that priority throughout the life-cycle of the initiative. </w:t>
      </w:r>
    </w:p>
    <w:p w14:paraId="58F827AF" w14:textId="77777777" w:rsidR="001D33B9" w:rsidRDefault="001D33B9">
      <w:pPr>
        <w:spacing w:before="0" w:after="0" w:line="240" w:lineRule="auto"/>
        <w:rPr>
          <w:noProof/>
        </w:rPr>
      </w:pPr>
      <w:r>
        <w:rPr>
          <w:noProof/>
        </w:rPr>
        <w:br w:type="page"/>
      </w:r>
    </w:p>
    <w:p w14:paraId="7C5F713C" w14:textId="369A4FE7" w:rsidR="009B61ED" w:rsidRDefault="009B61ED" w:rsidP="009B61ED">
      <w:pPr>
        <w:rPr>
          <w:noProof/>
        </w:rPr>
      </w:pPr>
      <w:r>
        <w:rPr>
          <w:noProof/>
        </w:rPr>
        <w:lastRenderedPageBreak/>
        <w:t>In other evaluations where M&amp;E has been the sole domain of consultants, the M&amp;E framework has been seen as bureaucratic requirement rather than a living management tool and viewed almost as a separate activity from day</w:t>
      </w:r>
      <w:r w:rsidR="00AD2BAC">
        <w:rPr>
          <w:noProof/>
        </w:rPr>
        <w:t>-</w:t>
      </w:r>
      <w:r>
        <w:rPr>
          <w:noProof/>
        </w:rPr>
        <w:t>to</w:t>
      </w:r>
      <w:r w:rsidR="00AD2BAC">
        <w:rPr>
          <w:noProof/>
        </w:rPr>
        <w:t>-</w:t>
      </w:r>
      <w:r>
        <w:rPr>
          <w:noProof/>
        </w:rPr>
        <w:t xml:space="preserve">day project management. This lack of prioritisation of M&amp;E is not always the fault of initiative managers, but </w:t>
      </w:r>
      <w:r w:rsidR="00AD2BAC">
        <w:rPr>
          <w:noProof/>
        </w:rPr>
        <w:t xml:space="preserve">it </w:t>
      </w:r>
      <w:r>
        <w:rPr>
          <w:noProof/>
        </w:rPr>
        <w:t>may be the result of unrealistic program design. For example</w:t>
      </w:r>
      <w:r w:rsidR="00AD2BAC">
        <w:rPr>
          <w:noProof/>
        </w:rPr>
        <w:t>,</w:t>
      </w:r>
      <w:r>
        <w:rPr>
          <w:noProof/>
        </w:rPr>
        <w:t xml:space="preserve"> the evaluation of </w:t>
      </w:r>
      <w:r w:rsidR="00515A02">
        <w:rPr>
          <w:noProof/>
        </w:rPr>
        <w:t xml:space="preserve">the </w:t>
      </w:r>
      <w:r w:rsidR="00515A02" w:rsidRPr="00515A02">
        <w:rPr>
          <w:noProof/>
        </w:rPr>
        <w:t>Papua New Guinea–Australia Sexual Health Improvement Program</w:t>
      </w:r>
      <w:r w:rsidR="00AD2BAC" w:rsidRPr="00D95392">
        <w:rPr>
          <w:noProof/>
        </w:rPr>
        <w:t>—</w:t>
      </w:r>
      <w:r>
        <w:rPr>
          <w:noProof/>
        </w:rPr>
        <w:t>an HIV/AIDS program in Papua New Guinea</w:t>
      </w:r>
      <w:r w:rsidR="00AD2BAC" w:rsidRPr="00D95392">
        <w:rPr>
          <w:noProof/>
        </w:rPr>
        <w:t>—</w:t>
      </w:r>
      <w:r>
        <w:rPr>
          <w:noProof/>
        </w:rPr>
        <w:t>found that a major weakness of the program was a lack of consistent M&amp;E data</w:t>
      </w:r>
      <w:r w:rsidR="006D1F21">
        <w:rPr>
          <w:noProof/>
        </w:rPr>
        <w:t xml:space="preserve">. A </w:t>
      </w:r>
      <w:r>
        <w:rPr>
          <w:noProof/>
        </w:rPr>
        <w:t>major reason for this was that</w:t>
      </w:r>
      <w:r w:rsidR="006D1F21">
        <w:rPr>
          <w:noProof/>
        </w:rPr>
        <w:t>,</w:t>
      </w:r>
      <w:r>
        <w:rPr>
          <w:noProof/>
        </w:rPr>
        <w:t xml:space="preserve"> from the outset</w:t>
      </w:r>
      <w:r w:rsidR="006D1F21">
        <w:rPr>
          <w:noProof/>
        </w:rPr>
        <w:t xml:space="preserve">, the program </w:t>
      </w:r>
      <w:r w:rsidRPr="00BF68EB">
        <w:rPr>
          <w:noProof/>
        </w:rPr>
        <w:t xml:space="preserve">relied </w:t>
      </w:r>
      <w:r>
        <w:rPr>
          <w:noProof/>
        </w:rPr>
        <w:t xml:space="preserve">too much </w:t>
      </w:r>
      <w:r w:rsidRPr="00BF68EB">
        <w:rPr>
          <w:noProof/>
        </w:rPr>
        <w:t xml:space="preserve">on the </w:t>
      </w:r>
      <w:r w:rsidR="00515A02">
        <w:rPr>
          <w:noProof/>
        </w:rPr>
        <w:t xml:space="preserve">Papua New Guinea </w:t>
      </w:r>
      <w:r w:rsidRPr="00BF68EB">
        <w:rPr>
          <w:noProof/>
        </w:rPr>
        <w:t>Institute for Medical Research for both key bac</w:t>
      </w:r>
      <w:r>
        <w:rPr>
          <w:noProof/>
        </w:rPr>
        <w:t>kground research and M</w:t>
      </w:r>
      <w:r w:rsidRPr="00515A02">
        <w:rPr>
          <w:noProof/>
        </w:rPr>
        <w:t>&amp;E</w:t>
      </w:r>
      <w:r w:rsidR="00515A02">
        <w:rPr>
          <w:noProof/>
        </w:rPr>
        <w:t>;</w:t>
      </w:r>
      <w:r>
        <w:rPr>
          <w:noProof/>
        </w:rPr>
        <w:t xml:space="preserve"> </w:t>
      </w:r>
      <w:r w:rsidRPr="00BF68EB">
        <w:rPr>
          <w:noProof/>
        </w:rPr>
        <w:t>in fact</w:t>
      </w:r>
      <w:r w:rsidR="00515A02">
        <w:rPr>
          <w:noProof/>
        </w:rPr>
        <w:t>,</w:t>
      </w:r>
      <w:r w:rsidRPr="00BF68EB">
        <w:rPr>
          <w:noProof/>
        </w:rPr>
        <w:t xml:space="preserve"> </w:t>
      </w:r>
      <w:r>
        <w:rPr>
          <w:noProof/>
        </w:rPr>
        <w:t xml:space="preserve">very little </w:t>
      </w:r>
      <w:r w:rsidRPr="00BF68EB">
        <w:rPr>
          <w:noProof/>
        </w:rPr>
        <w:t xml:space="preserve">of this assistance materialised. </w:t>
      </w:r>
      <w:r>
        <w:rPr>
          <w:noProof/>
        </w:rPr>
        <w:t xml:space="preserve">Two other evaluations reported that the M&amp;E system was designed long after the initiative had started. A possible solution to this problem, proposed in the Kokoda </w:t>
      </w:r>
      <w:r w:rsidR="00515A02">
        <w:rPr>
          <w:noProof/>
        </w:rPr>
        <w:t>Development Program e</w:t>
      </w:r>
      <w:r>
        <w:rPr>
          <w:noProof/>
        </w:rPr>
        <w:t xml:space="preserve">valuation quoted above, is for the Australian aid program to ensure </w:t>
      </w:r>
      <w:r w:rsidR="00EC6271">
        <w:rPr>
          <w:noProof/>
        </w:rPr>
        <w:t xml:space="preserve">that </w:t>
      </w:r>
      <w:r>
        <w:rPr>
          <w:noProof/>
        </w:rPr>
        <w:t xml:space="preserve">all </w:t>
      </w:r>
      <w:r w:rsidR="00EC6271">
        <w:rPr>
          <w:noProof/>
        </w:rPr>
        <w:t xml:space="preserve">aid initiative </w:t>
      </w:r>
      <w:r>
        <w:rPr>
          <w:noProof/>
        </w:rPr>
        <w:t>designs undergo rigorous peer review</w:t>
      </w:r>
      <w:r w:rsidR="000E5D1D">
        <w:rPr>
          <w:noProof/>
        </w:rPr>
        <w:t xml:space="preserve">. However, as this suggested </w:t>
      </w:r>
      <w:r>
        <w:rPr>
          <w:noProof/>
        </w:rPr>
        <w:t>approach might cause delays and involve higher transaction costs</w:t>
      </w:r>
      <w:r w:rsidR="000E5D1D">
        <w:rPr>
          <w:noProof/>
        </w:rPr>
        <w:t>, a</w:t>
      </w:r>
      <w:r>
        <w:rPr>
          <w:noProof/>
        </w:rPr>
        <w:t xml:space="preserve">n alternative suggestion </w:t>
      </w:r>
      <w:r w:rsidR="000E5D1D">
        <w:rPr>
          <w:noProof/>
        </w:rPr>
        <w:t>might be</w:t>
      </w:r>
      <w:r>
        <w:rPr>
          <w:noProof/>
        </w:rPr>
        <w:t xml:space="preserve"> for DFAT to give priority in the first year of implementation of aid initiatives to developing a sound program logic and M&amp;E framework.</w:t>
      </w:r>
    </w:p>
    <w:p w14:paraId="7487FF02" w14:textId="4EAF7074" w:rsidR="009B61ED" w:rsidRPr="00C91058" w:rsidRDefault="00C91058" w:rsidP="00EC6271">
      <w:pPr>
        <w:pStyle w:val="Heading2"/>
      </w:pPr>
      <w:bookmarkStart w:id="59" w:name="_Toc378149550"/>
      <w:bookmarkStart w:id="60" w:name="_Toc378247994"/>
      <w:bookmarkStart w:id="61" w:name="_Toc378749885"/>
      <w:bookmarkStart w:id="62" w:name="_Toc378750035"/>
      <w:bookmarkStart w:id="63" w:name="_Toc378149551"/>
      <w:bookmarkStart w:id="64" w:name="_Toc378247995"/>
      <w:bookmarkStart w:id="65" w:name="_Toc378749886"/>
      <w:bookmarkStart w:id="66" w:name="_Toc378750036"/>
      <w:bookmarkStart w:id="67" w:name="_Toc372723867"/>
      <w:bookmarkStart w:id="68" w:name="_Toc378060007"/>
      <w:bookmarkStart w:id="69" w:name="_Toc378922890"/>
      <w:bookmarkStart w:id="70" w:name="_Toc387394594"/>
      <w:bookmarkStart w:id="71" w:name="_Toc380677950"/>
      <w:bookmarkStart w:id="72" w:name="_Toc370827887"/>
      <w:bookmarkStart w:id="73" w:name="_Toc370827949"/>
      <w:bookmarkEnd w:id="47"/>
      <w:bookmarkEnd w:id="48"/>
      <w:bookmarkEnd w:id="59"/>
      <w:bookmarkEnd w:id="60"/>
      <w:bookmarkEnd w:id="61"/>
      <w:bookmarkEnd w:id="62"/>
      <w:bookmarkEnd w:id="63"/>
      <w:bookmarkEnd w:id="64"/>
      <w:bookmarkEnd w:id="65"/>
      <w:bookmarkEnd w:id="66"/>
      <w:r>
        <w:t>2.2</w:t>
      </w:r>
      <w:r>
        <w:tab/>
      </w:r>
      <w:r w:rsidR="00EB0D2A" w:rsidRPr="00C91058">
        <w:t>Poor coordination adversely affects effectiveness</w:t>
      </w:r>
      <w:bookmarkEnd w:id="67"/>
      <w:bookmarkEnd w:id="68"/>
      <w:bookmarkEnd w:id="69"/>
      <w:bookmarkEnd w:id="70"/>
      <w:r w:rsidR="00EB0D2A" w:rsidRPr="00C91058">
        <w:t xml:space="preserve"> </w:t>
      </w:r>
      <w:bookmarkEnd w:id="71"/>
    </w:p>
    <w:p w14:paraId="0DC4E151" w14:textId="269B4659" w:rsidR="009B61ED" w:rsidRPr="000749F2" w:rsidRDefault="009B61ED" w:rsidP="00E4624D">
      <w:r w:rsidRPr="000749F2">
        <w:t xml:space="preserve">To achieve its country objectives, </w:t>
      </w:r>
      <w:r>
        <w:t>the Australian Government</w:t>
      </w:r>
      <w:r w:rsidRPr="000749F2">
        <w:t xml:space="preserve"> </w:t>
      </w:r>
      <w:r>
        <w:t xml:space="preserve">aims to </w:t>
      </w:r>
      <w:r w:rsidRPr="000749F2">
        <w:t xml:space="preserve">coordinate with others and </w:t>
      </w:r>
      <w:r>
        <w:t xml:space="preserve">to </w:t>
      </w:r>
      <w:r w:rsidRPr="000749F2">
        <w:t>build synergies between the</w:t>
      </w:r>
      <w:r>
        <w:t xml:space="preserve"> program</w:t>
      </w:r>
      <w:r w:rsidRPr="000749F2">
        <w:t xml:space="preserve">s it supports. </w:t>
      </w:r>
      <w:r>
        <w:t xml:space="preserve">Australia needs to </w:t>
      </w:r>
      <w:r w:rsidRPr="000749F2">
        <w:t xml:space="preserve">seek out </w:t>
      </w:r>
      <w:r>
        <w:t xml:space="preserve">further </w:t>
      </w:r>
      <w:r w:rsidRPr="000749F2">
        <w:t xml:space="preserve">opportunities to work with others, integrate initiatives within the wider sectors in which </w:t>
      </w:r>
      <w:r>
        <w:t>it</w:t>
      </w:r>
      <w:r w:rsidRPr="000749F2">
        <w:t xml:space="preserve"> operate</w:t>
      </w:r>
      <w:r>
        <w:t>s</w:t>
      </w:r>
      <w:r w:rsidRPr="000749F2">
        <w:t xml:space="preserve"> and build on what has already been done. </w:t>
      </w:r>
      <w:r>
        <w:t>Better coordination and collaboration</w:t>
      </w:r>
      <w:r>
        <w:rPr>
          <w:rStyle w:val="CommentReference"/>
        </w:rPr>
        <w:t xml:space="preserve"> </w:t>
      </w:r>
      <w:r w:rsidRPr="000749F2">
        <w:t xml:space="preserve">can be a powerful means of generating sustainability and effectiveness. </w:t>
      </w:r>
      <w:r w:rsidR="002417E5">
        <w:t>H</w:t>
      </w:r>
      <w:r w:rsidR="002417E5" w:rsidRPr="000749F2">
        <w:t>owever</w:t>
      </w:r>
      <w:r w:rsidR="002417E5">
        <w:t>,</w:t>
      </w:r>
      <w:r w:rsidR="002417E5" w:rsidRPr="000749F2">
        <w:t xml:space="preserve"> </w:t>
      </w:r>
      <w:r w:rsidR="002417E5">
        <w:t>o</w:t>
      </w:r>
      <w:r>
        <w:t>ur synthesis</w:t>
      </w:r>
      <w:r w:rsidRPr="000749F2">
        <w:t xml:space="preserve"> </w:t>
      </w:r>
      <w:r>
        <w:t>of evaluation findings</w:t>
      </w:r>
      <w:r w:rsidR="002417E5">
        <w:t xml:space="preserve"> found </w:t>
      </w:r>
      <w:r w:rsidRPr="000749F2">
        <w:t xml:space="preserve">that </w:t>
      </w:r>
      <w:r>
        <w:t>this</w:t>
      </w:r>
      <w:r w:rsidRPr="000749F2">
        <w:t xml:space="preserve"> can be difficult to nurture. What emerge</w:t>
      </w:r>
      <w:r>
        <w:t>d as important is that program</w:t>
      </w:r>
      <w:r w:rsidRPr="000749F2">
        <w:t>s need a clear strategy and approach to how they will plan to connect and coordinate with others and lever</w:t>
      </w:r>
      <w:r>
        <w:t>age the effects of one program</w:t>
      </w:r>
      <w:r w:rsidRPr="000749F2">
        <w:t xml:space="preserve"> </w:t>
      </w:r>
      <w:r w:rsidRPr="00BE0E18">
        <w:t>to support another</w:t>
      </w:r>
      <w:r w:rsidRPr="000749F2">
        <w:t>.</w:t>
      </w:r>
      <w:r w:rsidR="00E4624D">
        <w:t xml:space="preserve"> The evidence for this lesson comes from five evaluations.</w:t>
      </w:r>
    </w:p>
    <w:p w14:paraId="55049BEB" w14:textId="464E3DEC" w:rsidR="009B61ED" w:rsidRPr="000749F2" w:rsidRDefault="009B61ED" w:rsidP="00C91058">
      <w:pPr>
        <w:pStyle w:val="Heading3a"/>
      </w:pPr>
      <w:bookmarkStart w:id="74" w:name="_Toc372723868"/>
      <w:bookmarkStart w:id="75" w:name="_Toc373304282"/>
      <w:bookmarkEnd w:id="72"/>
      <w:bookmarkEnd w:id="73"/>
      <w:r>
        <w:t>Learning and coordination</w:t>
      </w:r>
      <w:r w:rsidRPr="000749F2">
        <w:t xml:space="preserve"> </w:t>
      </w:r>
      <w:r>
        <w:t xml:space="preserve">between </w:t>
      </w:r>
      <w:r w:rsidR="00DC13B2">
        <w:t xml:space="preserve">Australian aid </w:t>
      </w:r>
      <w:r>
        <w:t>initiative</w:t>
      </w:r>
      <w:r w:rsidRPr="000749F2">
        <w:t>s needs to be</w:t>
      </w:r>
      <w:r w:rsidR="00C9213C">
        <w:t xml:space="preserve"> better</w:t>
      </w:r>
      <w:r w:rsidRPr="000749F2">
        <w:t xml:space="preserve"> planned</w:t>
      </w:r>
      <w:bookmarkEnd w:id="74"/>
      <w:bookmarkEnd w:id="75"/>
      <w:r w:rsidRPr="000749F2">
        <w:t xml:space="preserve"> </w:t>
      </w:r>
      <w:r w:rsidR="004F2D3F">
        <w:t>and more actively pursued by initiative managers</w:t>
      </w:r>
    </w:p>
    <w:p w14:paraId="2CDE68C1" w14:textId="1A8FDBA7" w:rsidR="009B61ED" w:rsidRDefault="009B61ED" w:rsidP="009B61ED">
      <w:r>
        <w:t>Two</w:t>
      </w:r>
      <w:r w:rsidR="006E4B2D">
        <w:t xml:space="preserve"> </w:t>
      </w:r>
      <w:r w:rsidRPr="000749F2">
        <w:t xml:space="preserve">evaluations illustrate the importance of </w:t>
      </w:r>
      <w:r w:rsidR="008F76EA">
        <w:t xml:space="preserve">having </w:t>
      </w:r>
      <w:r>
        <w:t>a planned approach to learning and coordination</w:t>
      </w:r>
      <w:r w:rsidRPr="000749F2">
        <w:t>. The Pacific Leadership Program (PLP)</w:t>
      </w:r>
      <w:r w:rsidR="008F76EA">
        <w:t>,</w:t>
      </w:r>
      <w:r w:rsidRPr="000749F2">
        <w:t xml:space="preserve"> for example</w:t>
      </w:r>
      <w:r w:rsidR="008F76EA">
        <w:t>,</w:t>
      </w:r>
      <w:r w:rsidRPr="000749F2">
        <w:t xml:space="preserve"> has generated a</w:t>
      </w:r>
      <w:r>
        <w:t>n</w:t>
      </w:r>
      <w:r w:rsidRPr="000749F2">
        <w:t xml:space="preserve"> </w:t>
      </w:r>
      <w:r>
        <w:t>important</w:t>
      </w:r>
      <w:r w:rsidRPr="000749F2">
        <w:t xml:space="preserve"> body of evidence around how to build genuine partnership</w:t>
      </w:r>
      <w:r w:rsidR="008F76EA">
        <w:t>s</w:t>
      </w:r>
      <w:r w:rsidRPr="000749F2">
        <w:t xml:space="preserve"> and support leadership development in the Pacific</w:t>
      </w:r>
      <w:r w:rsidR="008F76EA">
        <w:t>.</w:t>
      </w:r>
      <w:r w:rsidRPr="000749F2">
        <w:t xml:space="preserve"> </w:t>
      </w:r>
      <w:r w:rsidR="008F76EA">
        <w:t>H</w:t>
      </w:r>
      <w:r w:rsidRPr="000749F2">
        <w:t>owever</w:t>
      </w:r>
      <w:r w:rsidR="008F76EA">
        <w:t>,</w:t>
      </w:r>
      <w:r w:rsidRPr="000749F2">
        <w:t xml:space="preserve"> </w:t>
      </w:r>
      <w:r>
        <w:t xml:space="preserve">the evaluation indicates that </w:t>
      </w:r>
      <w:r w:rsidRPr="000749F2">
        <w:t xml:space="preserve">these lessons are not being shared </w:t>
      </w:r>
      <w:r>
        <w:t xml:space="preserve">widely </w:t>
      </w:r>
      <w:r w:rsidRPr="000749F2">
        <w:t>with</w:t>
      </w:r>
      <w:r>
        <w:t xml:space="preserve"> other parts of the Australian aid program</w:t>
      </w:r>
      <w:r w:rsidRPr="000749F2">
        <w:t xml:space="preserve">. </w:t>
      </w:r>
      <w:r w:rsidR="008F76EA">
        <w:t>F</w:t>
      </w:r>
      <w:r>
        <w:t xml:space="preserve">or the </w:t>
      </w:r>
      <w:r w:rsidRPr="000749F2">
        <w:t xml:space="preserve">PLP </w:t>
      </w:r>
      <w:r>
        <w:t xml:space="preserve">to achieve its objective of promoting learning on leadership to other actors in the Australian aid program, it needs </w:t>
      </w:r>
      <w:r w:rsidRPr="000749F2">
        <w:t xml:space="preserve">to develop a specific </w:t>
      </w:r>
      <w:r>
        <w:t>communication and engagement strategy</w:t>
      </w:r>
      <w:r w:rsidRPr="000749F2">
        <w:t xml:space="preserve"> and invest resources in </w:t>
      </w:r>
      <w:r>
        <w:t>evaluative research to better articulate what the program has learnt (p</w:t>
      </w:r>
      <w:r w:rsidR="008F76EA">
        <w:t xml:space="preserve">. </w:t>
      </w:r>
      <w:r>
        <w:t>25).</w:t>
      </w:r>
    </w:p>
    <w:p w14:paraId="6B657A8B" w14:textId="30309ABD" w:rsidR="009B61ED" w:rsidRDefault="009B61ED" w:rsidP="009B61ED">
      <w:r w:rsidRPr="000749F2">
        <w:t xml:space="preserve">Similarly, the evaluation of the </w:t>
      </w:r>
      <w:r w:rsidRPr="00BE0E18">
        <w:t>BESIK</w:t>
      </w:r>
      <w:r w:rsidRPr="000749F2">
        <w:t xml:space="preserve"> Rura</w:t>
      </w:r>
      <w:r>
        <w:t xml:space="preserve">l Water </w:t>
      </w:r>
      <w:r w:rsidR="00E263B4">
        <w:t xml:space="preserve">Supply </w:t>
      </w:r>
      <w:r>
        <w:t>and Sanitation program</w:t>
      </w:r>
      <w:r w:rsidR="00590A4F">
        <w:t xml:space="preserve"> in Timor-Leste</w:t>
      </w:r>
      <w:r w:rsidRPr="000749F2">
        <w:t xml:space="preserve"> </w:t>
      </w:r>
      <w:r w:rsidRPr="00AA55C0">
        <w:t>noted that</w:t>
      </w:r>
      <w:r w:rsidR="008F76EA">
        <w:t>,</w:t>
      </w:r>
      <w:r w:rsidRPr="00AA55C0">
        <w:t xml:space="preserve"> without clear and planned coordination, there is a risk of the </w:t>
      </w:r>
      <w:r>
        <w:t>program</w:t>
      </w:r>
      <w:r w:rsidRPr="00AA55C0">
        <w:t xml:space="preserve"> working at cross-purposes with </w:t>
      </w:r>
      <w:r>
        <w:t>Australian aid</w:t>
      </w:r>
      <w:r w:rsidRPr="00AA55C0">
        <w:t xml:space="preserve"> initiatives in the health sector </w:t>
      </w:r>
      <w:r w:rsidRPr="00BE0E18">
        <w:t>rather than building on these (p</w:t>
      </w:r>
      <w:r w:rsidR="008F76EA" w:rsidRPr="00F82F3A">
        <w:t xml:space="preserve">. </w:t>
      </w:r>
      <w:r w:rsidRPr="00F82F3A">
        <w:t>3</w:t>
      </w:r>
      <w:r w:rsidRPr="00AA55C0">
        <w:t>0).</w:t>
      </w:r>
      <w:r w:rsidR="00670092">
        <w:t xml:space="preserve"> </w:t>
      </w:r>
    </w:p>
    <w:p w14:paraId="3E2D03D8" w14:textId="17C72C13" w:rsidR="009B61ED" w:rsidRPr="000749F2" w:rsidRDefault="00DC13B2" w:rsidP="00C91058">
      <w:pPr>
        <w:pStyle w:val="Heading3a"/>
      </w:pPr>
      <w:bookmarkStart w:id="76" w:name="_Toc372723869"/>
      <w:bookmarkStart w:id="77" w:name="_Toc373304283"/>
      <w:r>
        <w:t>F</w:t>
      </w:r>
      <w:r w:rsidR="009B61ED">
        <w:t xml:space="preserve">ailure to </w:t>
      </w:r>
      <w:r>
        <w:t>embed initiatives within the wider network of activities and institutions in</w:t>
      </w:r>
      <w:r w:rsidR="009B61ED">
        <w:t xml:space="preserve"> a sector </w:t>
      </w:r>
      <w:r>
        <w:t xml:space="preserve">can </w:t>
      </w:r>
      <w:r w:rsidR="009B61ED">
        <w:t>undermine</w:t>
      </w:r>
      <w:r w:rsidR="009B61ED" w:rsidRPr="000749F2">
        <w:t xml:space="preserve"> effectiveness and sustainability</w:t>
      </w:r>
      <w:bookmarkEnd w:id="76"/>
      <w:bookmarkEnd w:id="77"/>
    </w:p>
    <w:p w14:paraId="5FF95CB8" w14:textId="69ADDB92" w:rsidR="009B61ED" w:rsidRDefault="009B61ED" w:rsidP="009B61ED">
      <w:r w:rsidRPr="000749F2">
        <w:t>A key lesson to emerge from two evaluations is t</w:t>
      </w:r>
      <w:r>
        <w:t>hat a failure to embed program</w:t>
      </w:r>
      <w:r w:rsidRPr="000749F2">
        <w:t xml:space="preserve">s within the wider network of initiatives and institutions involved in a sector can undermine effectiveness and sustainability. The evaluation of VAPP and the two UNICEF Projects on Child Survival and Nutrition and Maternal Health in Nepal provide examples of this. The </w:t>
      </w:r>
      <w:r w:rsidR="009E4390">
        <w:t xml:space="preserve">VAPP evaluation </w:t>
      </w:r>
      <w:r w:rsidRPr="000749F2">
        <w:t>found that the effective</w:t>
      </w:r>
      <w:r>
        <w:t>ness</w:t>
      </w:r>
      <w:r w:rsidRPr="000749F2">
        <w:t xml:space="preserve"> </w:t>
      </w:r>
      <w:r w:rsidRPr="000749F2">
        <w:lastRenderedPageBreak/>
        <w:t>of VAPP ha</w:t>
      </w:r>
      <w:r>
        <w:t>d been weakened by the program</w:t>
      </w:r>
      <w:r w:rsidRPr="000749F2">
        <w:t xml:space="preserve">’s failure to build connections with key ministries or other </w:t>
      </w:r>
      <w:r>
        <w:t>Australian aid</w:t>
      </w:r>
      <w:r w:rsidRPr="000749F2">
        <w:t xml:space="preserve"> initiatives operating in the law and justice sector in Vanuatu. The absence of connecti</w:t>
      </w:r>
      <w:r>
        <w:t>ons with others meant the VAPP wa</w:t>
      </w:r>
      <w:r w:rsidRPr="000749F2">
        <w:t>s isolated from the wider law and justice sector (p</w:t>
      </w:r>
      <w:r w:rsidR="009E4390">
        <w:t xml:space="preserve">. </w:t>
      </w:r>
      <w:r w:rsidRPr="000749F2">
        <w:t xml:space="preserve">34). Likewise, the evaluation of the UNICEF </w:t>
      </w:r>
      <w:r>
        <w:t>program</w:t>
      </w:r>
      <w:r w:rsidRPr="000749F2">
        <w:t xml:space="preserve"> in Nepal argued that the project was a niche intervention that was not embedded in the wider health sector and that this was a challenge to its sustainability (p</w:t>
      </w:r>
      <w:r w:rsidR="009E4390">
        <w:t xml:space="preserve">. </w:t>
      </w:r>
      <w:r w:rsidRPr="000749F2">
        <w:t>25).</w:t>
      </w:r>
      <w:r w:rsidRPr="00CF1128">
        <w:t xml:space="preserve"> </w:t>
      </w:r>
    </w:p>
    <w:p w14:paraId="7C66E438" w14:textId="084B26EB" w:rsidR="009B61ED" w:rsidRDefault="009E4390" w:rsidP="009B61ED">
      <w:r>
        <w:t xml:space="preserve">However, it can be difficult to build </w:t>
      </w:r>
      <w:r w:rsidR="009B61ED">
        <w:t>relationships</w:t>
      </w:r>
      <w:r w:rsidR="009B61ED" w:rsidRPr="000749F2">
        <w:t xml:space="preserve"> across a sector when there is the absence of a coherent sector</w:t>
      </w:r>
      <w:r>
        <w:t>-</w:t>
      </w:r>
      <w:r w:rsidR="009B61ED" w:rsidRPr="000749F2">
        <w:t xml:space="preserve">wide framework. The evaluation of the Nepal School Sector Reform Program (SSRP) found that the lack of a comprehensive </w:t>
      </w:r>
      <w:r w:rsidR="009B61ED">
        <w:t xml:space="preserve">government </w:t>
      </w:r>
      <w:r w:rsidR="009B61ED" w:rsidRPr="000749F2">
        <w:t xml:space="preserve">education policy meant that inconsistencies and contradictions between education </w:t>
      </w:r>
      <w:r w:rsidR="009B61ED">
        <w:t>program</w:t>
      </w:r>
      <w:r w:rsidR="009B61ED" w:rsidRPr="000749F2">
        <w:t>s such as SSRP were inevitable. It found that</w:t>
      </w:r>
      <w:r>
        <w:t>,</w:t>
      </w:r>
      <w:r w:rsidR="009B61ED" w:rsidRPr="000749F2">
        <w:t xml:space="preserve"> in a context where </w:t>
      </w:r>
      <w:r w:rsidR="009B61ED">
        <w:t xml:space="preserve">there is no overarching government vision for the sector and where </w:t>
      </w:r>
      <w:r w:rsidRPr="006D305B">
        <w:t>‘</w:t>
      </w:r>
      <w:r w:rsidR="009B61ED" w:rsidRPr="00A5509C">
        <w:rPr>
          <w:i/>
        </w:rPr>
        <w:t>multiple visions, strategies, and implementation systems</w:t>
      </w:r>
      <w:r w:rsidRPr="006D305B">
        <w:t>’</w:t>
      </w:r>
      <w:r w:rsidR="009B61ED" w:rsidRPr="000749F2">
        <w:t xml:space="preserve"> coexist (p</w:t>
      </w:r>
      <w:r>
        <w:t xml:space="preserve">. </w:t>
      </w:r>
      <w:r w:rsidR="009B61ED" w:rsidRPr="000749F2">
        <w:t>28)</w:t>
      </w:r>
      <w:r w:rsidR="009B61ED">
        <w:t xml:space="preserve">, </w:t>
      </w:r>
      <w:r>
        <w:t xml:space="preserve">it becomes difficult to </w:t>
      </w:r>
      <w:r w:rsidR="009B61ED">
        <w:t>f</w:t>
      </w:r>
      <w:r w:rsidR="009B61ED" w:rsidRPr="000749F2">
        <w:t>acilitat</w:t>
      </w:r>
      <w:r>
        <w:t>e</w:t>
      </w:r>
      <w:r w:rsidR="009B61ED" w:rsidRPr="000749F2">
        <w:t xml:space="preserve"> coordination and build </w:t>
      </w:r>
      <w:r w:rsidR="009B61ED">
        <w:t>relationships</w:t>
      </w:r>
      <w:r w:rsidR="009B61ED" w:rsidRPr="000749F2">
        <w:t xml:space="preserve"> between partners. </w:t>
      </w:r>
    </w:p>
    <w:p w14:paraId="11EC661D" w14:textId="0A03D81A" w:rsidR="00EB0D2A" w:rsidRPr="00C91058" w:rsidRDefault="00C91058" w:rsidP="006D305B">
      <w:pPr>
        <w:pStyle w:val="Heading2"/>
      </w:pPr>
      <w:bookmarkStart w:id="78" w:name="_Toc370827881"/>
      <w:bookmarkStart w:id="79" w:name="_Toc370827935"/>
      <w:bookmarkStart w:id="80" w:name="_Toc372723870"/>
      <w:bookmarkStart w:id="81" w:name="_Toc378060008"/>
      <w:bookmarkStart w:id="82" w:name="_Toc378922891"/>
      <w:bookmarkStart w:id="83" w:name="_Toc380677951"/>
      <w:bookmarkStart w:id="84" w:name="_Toc387394595"/>
      <w:r>
        <w:t>2.3</w:t>
      </w:r>
      <w:r>
        <w:tab/>
      </w:r>
      <w:r w:rsidR="00EB0D2A" w:rsidRPr="00C91058">
        <w:t xml:space="preserve">Implementation is stronger where there is close engagement by DFAT staff and </w:t>
      </w:r>
      <w:r w:rsidR="00B2120D" w:rsidRPr="00C91058">
        <w:t>the role of</w:t>
      </w:r>
      <w:r w:rsidR="00EB0D2A" w:rsidRPr="00C91058">
        <w:t xml:space="preserve"> managing contractors</w:t>
      </w:r>
      <w:bookmarkEnd w:id="78"/>
      <w:bookmarkEnd w:id="79"/>
      <w:bookmarkEnd w:id="80"/>
      <w:bookmarkEnd w:id="81"/>
      <w:bookmarkEnd w:id="82"/>
      <w:bookmarkEnd w:id="83"/>
      <w:r w:rsidR="00B2120D" w:rsidRPr="00C91058">
        <w:t xml:space="preserve"> is clear</w:t>
      </w:r>
      <w:bookmarkEnd w:id="84"/>
      <w:r w:rsidR="00EB0D2A" w:rsidRPr="00C91058">
        <w:t xml:space="preserve"> </w:t>
      </w:r>
    </w:p>
    <w:p w14:paraId="5C7A9470" w14:textId="31C019F6" w:rsidR="009B61ED" w:rsidRDefault="000057E0" w:rsidP="000057E0">
      <w:r>
        <w:t>The Australian aid program uses a range of approaches to delivering aid and types of delivery partners.</w:t>
      </w:r>
      <w:r w:rsidDel="000057E0">
        <w:t xml:space="preserve"> </w:t>
      </w:r>
      <w:r w:rsidR="00D52A64">
        <w:t xml:space="preserve">Managing </w:t>
      </w:r>
      <w:r w:rsidR="009B61ED">
        <w:t xml:space="preserve">contractors </w:t>
      </w:r>
      <w:r>
        <w:t xml:space="preserve">are </w:t>
      </w:r>
      <w:r w:rsidR="00D52A64">
        <w:t xml:space="preserve">often </w:t>
      </w:r>
      <w:r>
        <w:t xml:space="preserve">used </w:t>
      </w:r>
      <w:r w:rsidR="009B61ED">
        <w:t xml:space="preserve">to implement </w:t>
      </w:r>
      <w:r>
        <w:t xml:space="preserve">aid </w:t>
      </w:r>
      <w:r w:rsidR="009B61ED">
        <w:t>initiatives</w:t>
      </w:r>
      <w:r w:rsidR="009E4390">
        <w:t xml:space="preserve">. They </w:t>
      </w:r>
      <w:r w:rsidR="009B61ED">
        <w:t>can be an effective me</w:t>
      </w:r>
      <w:r w:rsidR="009B61ED" w:rsidRPr="00F82F3A">
        <w:t xml:space="preserve">ans to deliver aid using </w:t>
      </w:r>
      <w:r w:rsidR="00776BAC" w:rsidRPr="00F82F3A">
        <w:t>project</w:t>
      </w:r>
      <w:r w:rsidR="00776BAC">
        <w:t xml:space="preserve"> </w:t>
      </w:r>
      <w:r w:rsidR="009B61ED">
        <w:t xml:space="preserve">management and technical specialists in situations where the Australian aid program’s staff resources are limited. In more recent years, however, Australian Government staff have played increasing roles in </w:t>
      </w:r>
      <w:r w:rsidR="00776BAC">
        <w:t xml:space="preserve">aid </w:t>
      </w:r>
      <w:r w:rsidR="009B61ED">
        <w:t xml:space="preserve">delivery and policy dialogue. Nine evaluations provide insights </w:t>
      </w:r>
      <w:r w:rsidR="009E4390">
        <w:t xml:space="preserve">into </w:t>
      </w:r>
      <w:r w:rsidR="009B61ED">
        <w:t>the roles of Australian aid program staff and managing contractors</w:t>
      </w:r>
      <w:r w:rsidR="009E4390">
        <w:t xml:space="preserve">. </w:t>
      </w:r>
    </w:p>
    <w:p w14:paraId="659D6E3E" w14:textId="71BE034B" w:rsidR="009B61ED" w:rsidRDefault="00B2120D" w:rsidP="00C91058">
      <w:pPr>
        <w:pStyle w:val="Heading3a"/>
      </w:pPr>
      <w:bookmarkStart w:id="85" w:name="_Toc372723871"/>
      <w:bookmarkStart w:id="86" w:name="_Toc373304285"/>
      <w:r>
        <w:t xml:space="preserve">Involvement of DFAT staff in the delivery of an aid initiative </w:t>
      </w:r>
      <w:r w:rsidR="009B61ED">
        <w:t xml:space="preserve">can improve </w:t>
      </w:r>
      <w:r>
        <w:t xml:space="preserve">the Australian Government’s </w:t>
      </w:r>
      <w:r w:rsidR="009B61ED">
        <w:t xml:space="preserve">understanding </w:t>
      </w:r>
      <w:r>
        <w:t xml:space="preserve">of the context </w:t>
      </w:r>
      <w:r w:rsidR="009B61ED">
        <w:t>and strengthen partnerships</w:t>
      </w:r>
      <w:bookmarkEnd w:id="85"/>
      <w:bookmarkEnd w:id="86"/>
    </w:p>
    <w:p w14:paraId="10DCCB39" w14:textId="139811D7" w:rsidR="009E4390" w:rsidRDefault="00F9268D" w:rsidP="00F9268D">
      <w:r w:rsidRPr="00F9268D">
        <w:t>The closeness of Australian Government aid managers</w:t>
      </w:r>
      <w:r>
        <w:t xml:space="preserve"> </w:t>
      </w:r>
      <w:r w:rsidR="009B61ED" w:rsidRPr="00A6658B">
        <w:t xml:space="preserve">to </w:t>
      </w:r>
      <w:r>
        <w:t>an aid initiative,</w:t>
      </w:r>
      <w:r w:rsidR="009B61ED" w:rsidRPr="00A6658B">
        <w:t xml:space="preserve"> </w:t>
      </w:r>
      <w:r w:rsidR="009B61ED">
        <w:t xml:space="preserve">especially </w:t>
      </w:r>
      <w:r w:rsidR="009B61ED" w:rsidRPr="00A6658B">
        <w:t>in complex and challenging environment</w:t>
      </w:r>
      <w:r w:rsidR="009B61ED">
        <w:t>s</w:t>
      </w:r>
      <w:r>
        <w:t>,</w:t>
      </w:r>
      <w:r w:rsidR="009B61ED">
        <w:t xml:space="preserve"> can be </w:t>
      </w:r>
      <w:r w:rsidR="009B61ED" w:rsidRPr="00A6658B">
        <w:t xml:space="preserve">a significant asset </w:t>
      </w:r>
      <w:r w:rsidR="009E4390">
        <w:t xml:space="preserve">that </w:t>
      </w:r>
      <w:r w:rsidR="009B61ED">
        <w:t>can add</w:t>
      </w:r>
      <w:r w:rsidR="009B61ED" w:rsidRPr="00A6658B">
        <w:t xml:space="preserve"> value to </w:t>
      </w:r>
      <w:r w:rsidR="009B61ED">
        <w:t xml:space="preserve">the initiative in question </w:t>
      </w:r>
      <w:r w:rsidR="009E4390">
        <w:t xml:space="preserve">and </w:t>
      </w:r>
      <w:r w:rsidR="009B61ED" w:rsidRPr="00A6658B">
        <w:t>also to the wider Australian aid program</w:t>
      </w:r>
      <w:r w:rsidR="009B61ED">
        <w:t xml:space="preserve">. </w:t>
      </w:r>
      <w:r w:rsidR="009E4390">
        <w:t>‘C</w:t>
      </w:r>
      <w:r w:rsidR="009B61ED">
        <w:t>loseness</w:t>
      </w:r>
      <w:r w:rsidR="009E4390">
        <w:t>’ in this context</w:t>
      </w:r>
      <w:r w:rsidR="009B61ED">
        <w:t xml:space="preserve"> mean</w:t>
      </w:r>
      <w:r w:rsidR="009E4390">
        <w:t>s</w:t>
      </w:r>
      <w:r w:rsidR="009B61ED">
        <w:t xml:space="preserve"> the extent to which DFAT staff are involved in the day-to-day delivery of the program and understand the implementation challenges and context. </w:t>
      </w:r>
    </w:p>
    <w:p w14:paraId="672F1F21" w14:textId="4F99B487" w:rsidR="00720369" w:rsidRDefault="009B61ED" w:rsidP="00F9268D">
      <w:r>
        <w:t>This lesson emerged from experiences in</w:t>
      </w:r>
      <w:r w:rsidRPr="00A6658B">
        <w:t xml:space="preserve"> Sri Lanka</w:t>
      </w:r>
      <w:r>
        <w:t>, Afghanistan, the Pacific and Zimbabwe</w:t>
      </w:r>
      <w:r w:rsidRPr="00A6658B">
        <w:t xml:space="preserve">. </w:t>
      </w:r>
      <w:r>
        <w:t xml:space="preserve">The </w:t>
      </w:r>
      <w:r w:rsidRPr="00A6658B">
        <w:t>Australian Community Rehabilitation Prog</w:t>
      </w:r>
      <w:r>
        <w:t>ram (ACRP) in Sri Lanka works through community development schemes to build social cohesion in a post-conflict setting. The Australian Government is the principal funder and staff at post have been closely engaged in building partnerships with implementing NGOs and in monitoring. The Australian Government has shifted from a traditional donor</w:t>
      </w:r>
      <w:r w:rsidR="00720369">
        <w:rPr>
          <w:rFonts w:ascii="Cambria" w:hAnsi="Cambria"/>
        </w:rPr>
        <w:t>–</w:t>
      </w:r>
      <w:r>
        <w:t xml:space="preserve">implementer approach to a partnering one </w:t>
      </w:r>
      <w:r w:rsidR="00720369">
        <w:t xml:space="preserve">under which </w:t>
      </w:r>
      <w:r>
        <w:t>the Australian aid staff in country work in a hands</w:t>
      </w:r>
      <w:r w:rsidR="00720369">
        <w:t>-</w:t>
      </w:r>
      <w:r>
        <w:t xml:space="preserve">on way </w:t>
      </w:r>
      <w:r w:rsidR="00720369">
        <w:t xml:space="preserve">to manage </w:t>
      </w:r>
      <w:r>
        <w:t xml:space="preserve">and </w:t>
      </w:r>
      <w:r w:rsidR="00720369">
        <w:t xml:space="preserve">monitor </w:t>
      </w:r>
      <w:r>
        <w:t>the initiative</w:t>
      </w:r>
      <w:r w:rsidR="00720369">
        <w:t xml:space="preserve">. This is </w:t>
      </w:r>
      <w:r>
        <w:t xml:space="preserve">partly because of </w:t>
      </w:r>
      <w:r w:rsidR="00720369">
        <w:t xml:space="preserve">the </w:t>
      </w:r>
      <w:r>
        <w:t xml:space="preserve">problems </w:t>
      </w:r>
      <w:r w:rsidR="00720369">
        <w:t xml:space="preserve">involved </w:t>
      </w:r>
      <w:r>
        <w:t xml:space="preserve">in contracting a long-term management team. But the Australian Government’s </w:t>
      </w:r>
      <w:r w:rsidRPr="00A6658B">
        <w:t xml:space="preserve">direct role in the management of </w:t>
      </w:r>
      <w:r>
        <w:t>ACRP</w:t>
      </w:r>
      <w:r w:rsidRPr="00A6658B">
        <w:t xml:space="preserve"> means that</w:t>
      </w:r>
      <w:r w:rsidR="00720369">
        <w:t>:</w:t>
      </w:r>
    </w:p>
    <w:p w14:paraId="07DD9C32" w14:textId="761DAF80" w:rsidR="00720369" w:rsidRDefault="009B61ED" w:rsidP="00F07EE5">
      <w:pPr>
        <w:pStyle w:val="Quote"/>
      </w:pPr>
      <w:r w:rsidRPr="00D75639">
        <w:t>AusAID is brought closer to the field, hence providing it with a direct lens through which to view and analy</w:t>
      </w:r>
      <w:r>
        <w:t>s</w:t>
      </w:r>
      <w:r w:rsidRPr="00D75639">
        <w:t>e the very real development challenges in the North and East of the country</w:t>
      </w:r>
      <w:r w:rsidRPr="00A6658B">
        <w:t>.</w:t>
      </w:r>
      <w:r w:rsidR="00E263B4">
        <w:t xml:space="preserve"> (p. 9)</w:t>
      </w:r>
      <w:r w:rsidRPr="00A6658B">
        <w:t xml:space="preserve"> </w:t>
      </w:r>
    </w:p>
    <w:p w14:paraId="639B2D64" w14:textId="226995F1" w:rsidR="009B61ED" w:rsidRDefault="009B61ED" w:rsidP="00F9268D">
      <w:r>
        <w:lastRenderedPageBreak/>
        <w:t>According to the evaluation, t</w:t>
      </w:r>
      <w:r w:rsidRPr="00A6658B">
        <w:t>he strategic value of thi</w:t>
      </w:r>
      <w:r>
        <w:t xml:space="preserve">s should not be underestimated </w:t>
      </w:r>
      <w:r w:rsidRPr="00A6658B">
        <w:t>(p</w:t>
      </w:r>
      <w:r w:rsidR="00720369">
        <w:t xml:space="preserve">. </w:t>
      </w:r>
      <w:r w:rsidRPr="00A6658B">
        <w:t>9)</w:t>
      </w:r>
      <w:r>
        <w:t xml:space="preserve">. </w:t>
      </w:r>
      <w:r w:rsidRPr="00D34BC5">
        <w:t>The partnerships that</w:t>
      </w:r>
      <w:r>
        <w:t xml:space="preserve"> Australian Government staff in</w:t>
      </w:r>
      <w:r w:rsidRPr="00D34BC5">
        <w:t xml:space="preserve"> Sri Lanka ha</w:t>
      </w:r>
      <w:r>
        <w:t>ve</w:t>
      </w:r>
      <w:r w:rsidRPr="00D34BC5">
        <w:t xml:space="preserve"> buil</w:t>
      </w:r>
      <w:r w:rsidRPr="00F82F3A">
        <w:t>t with ACRP3 partners are</w:t>
      </w:r>
      <w:r w:rsidRPr="00D34BC5">
        <w:t xml:space="preserve"> aspirational for other programs as they move towards partnership approaches. </w:t>
      </w:r>
    </w:p>
    <w:p w14:paraId="5329529B" w14:textId="7234E548" w:rsidR="009B61ED" w:rsidRDefault="009B61ED" w:rsidP="009B61ED">
      <w:r w:rsidRPr="00F82F3A">
        <w:t>The PLP</w:t>
      </w:r>
      <w:r w:rsidRPr="0039784F">
        <w:t xml:space="preserve"> serves as an innovative model of a co-located Australian</w:t>
      </w:r>
      <w:r>
        <w:t xml:space="preserve"> aid team </w:t>
      </w:r>
      <w:r w:rsidR="00720369">
        <w:t xml:space="preserve">working </w:t>
      </w:r>
      <w:r>
        <w:t xml:space="preserve">with a management contractor from Cardno in the field. The evaluation found that this approach has built trust between the PLP and its partners. A cost-effectiveness study </w:t>
      </w:r>
      <w:r w:rsidR="00720369">
        <w:t xml:space="preserve">on </w:t>
      </w:r>
      <w:r>
        <w:t xml:space="preserve">the arrangement found that the </w:t>
      </w:r>
      <w:r w:rsidR="004932A9">
        <w:t>cost of using</w:t>
      </w:r>
      <w:r>
        <w:t xml:space="preserve"> Australian Government staff in a management capacity was comparable to using contractors in these roles and brought additional benefits to Australia.</w:t>
      </w:r>
    </w:p>
    <w:p w14:paraId="7352F91E" w14:textId="31B0B61B" w:rsidR="009B61ED" w:rsidRDefault="009B61ED" w:rsidP="009B61ED">
      <w:r>
        <w:t xml:space="preserve">The ACRP and PLP experiences contrast with other situations where staff numbers and frequent rotation limit opportunities for engagement. In Zimbabwe the evaluation of the </w:t>
      </w:r>
      <w:r w:rsidRPr="00D34BC5">
        <w:t>Food and Water Initiative</w:t>
      </w:r>
      <w:r>
        <w:t xml:space="preserve"> found that</w:t>
      </w:r>
      <w:r w:rsidR="00720369">
        <w:t>,</w:t>
      </w:r>
      <w:r>
        <w:t xml:space="preserve"> because of lack of clarity over roles between </w:t>
      </w:r>
      <w:r w:rsidR="009A7B1E">
        <w:t xml:space="preserve">DFAT’s head office staff </w:t>
      </w:r>
      <w:r>
        <w:t>and at post, there was</w:t>
      </w:r>
      <w:r w:rsidRPr="00D34BC5">
        <w:t xml:space="preserve"> a </w:t>
      </w:r>
      <w:r>
        <w:t>lack of agreement over who was managing the program or had authority to take decisions</w:t>
      </w:r>
      <w:r w:rsidR="00720369">
        <w:t>.</w:t>
      </w:r>
      <w:r>
        <w:t xml:space="preserve"> </w:t>
      </w:r>
      <w:r w:rsidR="00720369">
        <w:t>T</w:t>
      </w:r>
      <w:r>
        <w:t xml:space="preserve">his led to a </w:t>
      </w:r>
      <w:r w:rsidRPr="00D34BC5">
        <w:t>failure to capitalise on opportunities to harness NGO expertise and contributions to analysis and learning, and program and policy development</w:t>
      </w:r>
      <w:r>
        <w:t xml:space="preserve"> (p</w:t>
      </w:r>
      <w:r w:rsidR="00720369">
        <w:t xml:space="preserve">. </w:t>
      </w:r>
      <w:r>
        <w:t>26). In the evaluation of the</w:t>
      </w:r>
      <w:r w:rsidR="004D1092">
        <w:t xml:space="preserve"> Association of Southeast Asian Nations (</w:t>
      </w:r>
      <w:r w:rsidRPr="003652E9">
        <w:t>ASEAN</w:t>
      </w:r>
      <w:r w:rsidR="004D1092">
        <w:t>)</w:t>
      </w:r>
      <w:r w:rsidRPr="003652E9">
        <w:t xml:space="preserve"> Australia Developm</w:t>
      </w:r>
      <w:r>
        <w:t xml:space="preserve">ent Cooperation Program, it was observed that the Australian aid program’s own learning suffered as a result of relying </w:t>
      </w:r>
      <w:r w:rsidRPr="003652E9">
        <w:t>on professional managing contractors</w:t>
      </w:r>
      <w:r>
        <w:t>. The aid program staff were too distant from the work of the ASEAN Secretariat to be able to learn</w:t>
      </w:r>
      <w:r w:rsidRPr="003652E9">
        <w:t xml:space="preserve"> how they dealt with complex and fluid environments (p</w:t>
      </w:r>
      <w:r w:rsidR="00720369">
        <w:t xml:space="preserve">. </w:t>
      </w:r>
      <w:r w:rsidRPr="003652E9">
        <w:t>24)</w:t>
      </w:r>
      <w:r>
        <w:t>.</w:t>
      </w:r>
    </w:p>
    <w:p w14:paraId="512BFAEB" w14:textId="4B1671F3" w:rsidR="009B61ED" w:rsidRDefault="009B61ED" w:rsidP="009D41AE">
      <w:pPr>
        <w:pStyle w:val="Heading3a"/>
      </w:pPr>
      <w:bookmarkStart w:id="87" w:name="_Toc373304286"/>
      <w:r w:rsidRPr="00F82F3A">
        <w:t xml:space="preserve">The selection </w:t>
      </w:r>
      <w:r w:rsidR="00B2120D" w:rsidRPr="00F82F3A">
        <w:t>of</w:t>
      </w:r>
      <w:r w:rsidRPr="00F82F3A">
        <w:t xml:space="preserve"> managing contractors needs to consider their suitability for local capacity development</w:t>
      </w:r>
      <w:r w:rsidR="00B2120D" w:rsidRPr="0039784F">
        <w:t>, and this role needs to be clearly defined</w:t>
      </w:r>
      <w:r>
        <w:t xml:space="preserve"> </w:t>
      </w:r>
      <w:bookmarkEnd w:id="87"/>
    </w:p>
    <w:p w14:paraId="1F45EF5A" w14:textId="6346E513" w:rsidR="009B61ED" w:rsidRDefault="009B61ED" w:rsidP="009B61ED">
      <w:r>
        <w:t xml:space="preserve">A number of evaluations point to the important role </w:t>
      </w:r>
      <w:r w:rsidR="00720369">
        <w:t xml:space="preserve">that </w:t>
      </w:r>
      <w:r>
        <w:t xml:space="preserve">managing contractors may have in going beyond managing development interventions on behalf of the Australian Government to engaging in capacity development and partnership building. </w:t>
      </w:r>
    </w:p>
    <w:p w14:paraId="58FC0B56" w14:textId="4E9F27ED" w:rsidR="009B61ED" w:rsidRDefault="009B61ED" w:rsidP="009B61ED">
      <w:r>
        <w:t xml:space="preserve">Managing contractors can prove efficient and effective at building local capacity and ownership, as in the </w:t>
      </w:r>
      <w:r w:rsidRPr="007B54E9">
        <w:t>Lao</w:t>
      </w:r>
      <w:r w:rsidR="00720369">
        <w:rPr>
          <w:rFonts w:ascii="Cambria" w:hAnsi="Cambria"/>
        </w:rPr>
        <w:t>–</w:t>
      </w:r>
      <w:r w:rsidRPr="007B54E9">
        <w:t>Australian Scholarships Program</w:t>
      </w:r>
      <w:r>
        <w:t xml:space="preserve"> where a local college acted as the managing contractor. The evaluation noted that this arrangement resulted in </w:t>
      </w:r>
      <w:r w:rsidRPr="007B54E9">
        <w:t xml:space="preserve">an </w:t>
      </w:r>
      <w:r>
        <w:t>a</w:t>
      </w:r>
      <w:r w:rsidRPr="007B54E9">
        <w:t xml:space="preserve">ppropriate balance of local and international staff to manage the program and </w:t>
      </w:r>
      <w:r>
        <w:t>deliver the training components</w:t>
      </w:r>
      <w:r w:rsidR="005A5402">
        <w:t>: l</w:t>
      </w:r>
      <w:r>
        <w:t>ocally-</w:t>
      </w:r>
      <w:r w:rsidRPr="007B54E9">
        <w:t>based native English language speakers deliver</w:t>
      </w:r>
      <w:r w:rsidR="005A5402">
        <w:t>ed</w:t>
      </w:r>
      <w:r w:rsidRPr="007B54E9">
        <w:t xml:space="preserve"> the higher</w:t>
      </w:r>
      <w:r w:rsidR="005A5402">
        <w:t>-</w:t>
      </w:r>
      <w:r w:rsidRPr="007B54E9">
        <w:t>level English language training</w:t>
      </w:r>
      <w:r>
        <w:t xml:space="preserve"> and</w:t>
      </w:r>
      <w:r w:rsidRPr="007B54E9">
        <w:t xml:space="preserve"> </w:t>
      </w:r>
      <w:r w:rsidRPr="00F82F3A">
        <w:t>locally qualified teachers deliver</w:t>
      </w:r>
      <w:r w:rsidR="005A5402" w:rsidRPr="00F82F3A">
        <w:t>ed</w:t>
      </w:r>
      <w:r w:rsidRPr="0039784F">
        <w:t xml:space="preserve"> lower</w:t>
      </w:r>
      <w:r w:rsidR="005A5402" w:rsidRPr="0039784F">
        <w:t>-</w:t>
      </w:r>
      <w:r w:rsidRPr="0039784F">
        <w:t>level training (</w:t>
      </w:r>
      <w:r w:rsidR="000F6CDF" w:rsidRPr="0039784F">
        <w:t>pp.</w:t>
      </w:r>
      <w:r w:rsidR="005A5402" w:rsidRPr="0039784F">
        <w:t xml:space="preserve"> </w:t>
      </w:r>
      <w:r w:rsidRPr="002009A2">
        <w:t>11</w:t>
      </w:r>
      <w:r w:rsidR="00F82F3A">
        <w:t>,</w:t>
      </w:r>
      <w:r w:rsidRPr="00F82F3A">
        <w:t xml:space="preserve"> 19). In Public Sector Capabil</w:t>
      </w:r>
      <w:r w:rsidRPr="0039784F">
        <w:t xml:space="preserve">ity Development Program in Timor-Leste, the evaluation reported that the managing contractor </w:t>
      </w:r>
      <w:r w:rsidR="0084435A" w:rsidRPr="0039784F">
        <w:t xml:space="preserve">took on </w:t>
      </w:r>
      <w:r w:rsidRPr="0039784F">
        <w:t xml:space="preserve">a policy dialogue role because its long-term contracted staff </w:t>
      </w:r>
      <w:r w:rsidR="0084435A" w:rsidRPr="0039784F">
        <w:t xml:space="preserve">had </w:t>
      </w:r>
      <w:r w:rsidRPr="0039784F">
        <w:t>in</w:t>
      </w:r>
      <w:r w:rsidR="002E1D59" w:rsidRPr="002009A2">
        <w:t>-</w:t>
      </w:r>
      <w:r w:rsidRPr="00690422">
        <w:t>depth knowledge, experience and networks and because the Australian Government’s own staff suffered from high staf</w:t>
      </w:r>
      <w:r w:rsidRPr="002F17AE">
        <w:t>f turnover.</w:t>
      </w:r>
    </w:p>
    <w:p w14:paraId="584BD28F" w14:textId="31CEFDBE" w:rsidR="009B61ED" w:rsidRDefault="009B61ED" w:rsidP="009B61ED">
      <w:r>
        <w:t>But DFAT</w:t>
      </w:r>
      <w:r w:rsidDel="00FD7A72">
        <w:t xml:space="preserve"> </w:t>
      </w:r>
      <w:r>
        <w:t>can learn lessons from other cases where the managing contractors</w:t>
      </w:r>
      <w:r w:rsidR="000E5D1D">
        <w:t>’</w:t>
      </w:r>
      <w:r>
        <w:t xml:space="preserve"> presence was so strong that local ownership suffered such as in the case of the </w:t>
      </w:r>
      <w:r w:rsidRPr="003652E9">
        <w:t>Indonesian Earthquake Hazard Project</w:t>
      </w:r>
      <w:r>
        <w:t>. Here, the evaluation noted that</w:t>
      </w:r>
      <w:r w:rsidR="002E1D59">
        <w:t>,</w:t>
      </w:r>
      <w:r>
        <w:t xml:space="preserve"> while the technical quality of the advisers provided by the managing contractor was good, the strong presence of long</w:t>
      </w:r>
      <w:r w:rsidR="002E1D59">
        <w:t>-</w:t>
      </w:r>
      <w:r>
        <w:t xml:space="preserve">term contractors has made </w:t>
      </w:r>
      <w:r w:rsidR="002E1D59">
        <w:t xml:space="preserve">it difficult to build </w:t>
      </w:r>
      <w:r>
        <w:t xml:space="preserve">the capacity and ownership of the Indonesian partners. </w:t>
      </w:r>
      <w:r w:rsidR="00E4624D">
        <w:t>I</w:t>
      </w:r>
      <w:r>
        <w:t>n the case of the Philippines Provincial Road Management Facility, the evaluation found that</w:t>
      </w:r>
      <w:r w:rsidR="002E1D59">
        <w:t>,</w:t>
      </w:r>
      <w:r>
        <w:t xml:space="preserve"> because the managing contractor was given responsibility and bore all the risk for implementation, the scope for local initiative and ownership was reduced. The subsequent focus on externally-designed, high</w:t>
      </w:r>
      <w:r w:rsidR="002E1D59">
        <w:t>-</w:t>
      </w:r>
      <w:r>
        <w:t>cost construction reduced the learning potential for provincial offices.</w:t>
      </w:r>
    </w:p>
    <w:p w14:paraId="058A78C1" w14:textId="77777777" w:rsidR="001D33B9" w:rsidRDefault="001D33B9">
      <w:pPr>
        <w:spacing w:before="0" w:after="0" w:line="240" w:lineRule="auto"/>
      </w:pPr>
      <w:r>
        <w:br w:type="page"/>
      </w:r>
    </w:p>
    <w:p w14:paraId="6FD99C80" w14:textId="34002B50" w:rsidR="009B61ED" w:rsidRDefault="009B61ED" w:rsidP="009B61ED">
      <w:r>
        <w:lastRenderedPageBreak/>
        <w:t>These experiences point to the need to ensure that</w:t>
      </w:r>
      <w:r w:rsidR="002E1D59">
        <w:t>,</w:t>
      </w:r>
      <w:r>
        <w:t xml:space="preserve"> where managing contractors are used, </w:t>
      </w:r>
      <w:r w:rsidR="00B2120D">
        <w:t>their roles are clearly defined</w:t>
      </w:r>
      <w:r w:rsidR="00940706">
        <w:t xml:space="preserve"> and their performance is regularly assessed</w:t>
      </w:r>
      <w:r w:rsidR="00B2120D">
        <w:t xml:space="preserve">. </w:t>
      </w:r>
      <w:r w:rsidR="002E1D59">
        <w:t xml:space="preserve">Also, </w:t>
      </w:r>
      <w:r w:rsidR="00940706">
        <w:t>w</w:t>
      </w:r>
      <w:r>
        <w:t>here the managing contractor does not interact effectively with local systems or authorities</w:t>
      </w:r>
      <w:r w:rsidR="00B2120D">
        <w:t>,</w:t>
      </w:r>
      <w:r>
        <w:t xml:space="preserve"> a greater role for local partners and stakeholders </w:t>
      </w:r>
      <w:r w:rsidR="00B2120D" w:rsidRPr="00F82F3A">
        <w:t xml:space="preserve">may be </w:t>
      </w:r>
      <w:r w:rsidRPr="0039784F">
        <w:t>required, involving national execution and local systems</w:t>
      </w:r>
      <w:r w:rsidR="00B2120D" w:rsidRPr="0039784F">
        <w:t>. This</w:t>
      </w:r>
      <w:r w:rsidRPr="0039784F">
        <w:t xml:space="preserve"> was the case in Vietnam in the Implementation Support Program to P135 Phase II in Quang Ngai Province. In this case, technical advisers were engaged at the provincial level to support the local authorities in planning and delivery of this national program. </w:t>
      </w:r>
      <w:r w:rsidRPr="002009A2">
        <w:t xml:space="preserve">The advisers also </w:t>
      </w:r>
      <w:r w:rsidRPr="00690422">
        <w:t>assisted provincial authorities to capture lessons from the field and feed these into the planning and management decisions taken in Hanoi.</w:t>
      </w:r>
    </w:p>
    <w:bookmarkStart w:id="88" w:name="_Toc370827882"/>
    <w:bookmarkStart w:id="89" w:name="_Toc370827936"/>
    <w:bookmarkStart w:id="90" w:name="_Toc372723849"/>
    <w:bookmarkStart w:id="91" w:name="_Toc378060001"/>
    <w:bookmarkStart w:id="92" w:name="_Toc378922884"/>
    <w:bookmarkStart w:id="93" w:name="_Toc387394596"/>
    <w:bookmarkStart w:id="94" w:name="OLE_LINK4"/>
    <w:bookmarkStart w:id="95" w:name="_Toc378060015"/>
    <w:p w14:paraId="740A6BFC" w14:textId="43D1A0C0" w:rsidR="00C74C4B" w:rsidRPr="00C540A1" w:rsidRDefault="00A57594" w:rsidP="00B65BFC">
      <w:pPr>
        <w:pStyle w:val="Heading1"/>
        <w:spacing w:after="1200"/>
      </w:pPr>
      <w:r>
        <w:rPr>
          <w:noProof/>
        </w:rPr>
        <w:lastRenderedPageBreak/>
        <mc:AlternateContent>
          <mc:Choice Requires="wps">
            <w:drawing>
              <wp:anchor distT="0" distB="0" distL="114300" distR="114300" simplePos="0" relativeHeight="251655680" behindDoc="1" locked="0" layoutInCell="1" allowOverlap="1" wp14:anchorId="532923C2" wp14:editId="2D79C77D">
                <wp:simplePos x="0" y="0"/>
                <wp:positionH relativeFrom="page">
                  <wp:posOffset>-47625</wp:posOffset>
                </wp:positionH>
                <wp:positionV relativeFrom="paragraph">
                  <wp:posOffset>-200025</wp:posOffset>
                </wp:positionV>
                <wp:extent cx="7610475" cy="1468800"/>
                <wp:effectExtent l="0" t="0" r="9525" b="0"/>
                <wp:wrapNone/>
                <wp:docPr id="1" name="Rectangle 1"/>
                <wp:cNvGraphicFramePr/>
                <a:graphic xmlns:a="http://schemas.openxmlformats.org/drawingml/2006/main">
                  <a:graphicData uri="http://schemas.microsoft.com/office/word/2010/wordprocessingShape">
                    <wps:wsp>
                      <wps:cNvSpPr/>
                      <wps:spPr>
                        <a:xfrm>
                          <a:off x="0" y="0"/>
                          <a:ext cx="7610475"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5pt;margin-top:-15.75pt;width:599.2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" fillcolor="#124486" stroked="f" strokeweight="2pt">
                <w10:wrap anchorx="page"/>
              </v:rect>
            </w:pict>
          </mc:Fallback>
        </mc:AlternateContent>
      </w:r>
      <w:r>
        <w:t>3</w:t>
      </w:r>
      <w:r>
        <w:tab/>
      </w:r>
      <w:r w:rsidR="00C74C4B">
        <w:t>Supporting capacity development and sustainable reforms</w:t>
      </w:r>
      <w:bookmarkEnd w:id="88"/>
      <w:bookmarkEnd w:id="89"/>
      <w:bookmarkEnd w:id="90"/>
      <w:bookmarkEnd w:id="91"/>
      <w:bookmarkEnd w:id="92"/>
      <w:bookmarkEnd w:id="93"/>
    </w:p>
    <w:p w14:paraId="4EDD8FA4" w14:textId="30E81B66" w:rsidR="00C74C4B" w:rsidRPr="00594671" w:rsidRDefault="000D5CA6" w:rsidP="00C74C4B">
      <w:bookmarkStart w:id="96" w:name="_Toc370827883"/>
      <w:bookmarkStart w:id="97" w:name="_Toc370827937"/>
      <w:bookmarkEnd w:id="94"/>
      <w:r>
        <w:t xml:space="preserve">Capacity development is a central issue in many aid initiatives. </w:t>
      </w:r>
      <w:r w:rsidR="00C74C4B">
        <w:t xml:space="preserve">There are a number of evaluations that provide useful lessons on how DFAT can better support capacity development processes and address the issue of achieving sustainable reforms. </w:t>
      </w:r>
      <w:r w:rsidR="002E1D59">
        <w:t>If reform processes are to be successful and sustainable, c</w:t>
      </w:r>
      <w:r w:rsidR="00C74C4B">
        <w:t xml:space="preserve">apacity development needs to be linked to a wider understanding of the enabling environment. This is illustrated with examples from evaluations of public sector reform initiatives and evaluations that refer to the challenge of achieving gender equality. Within the 64 evaluations included in the synthesis, </w:t>
      </w:r>
      <w:r w:rsidR="00D85CB9">
        <w:t xml:space="preserve">10 </w:t>
      </w:r>
      <w:r w:rsidR="00C74C4B">
        <w:t xml:space="preserve">evaluations </w:t>
      </w:r>
      <w:r w:rsidR="00B112F0">
        <w:t xml:space="preserve">included </w:t>
      </w:r>
      <w:r w:rsidR="00C74C4B">
        <w:t>evidence on what worked well or did not work well in capacity development</w:t>
      </w:r>
      <w:r w:rsidR="00670092">
        <w:t>;</w:t>
      </w:r>
      <w:r w:rsidR="00C74C4B">
        <w:t xml:space="preserve"> </w:t>
      </w:r>
      <w:r w:rsidR="00C74C4B" w:rsidRPr="00F82F3A">
        <w:t>six in public sector reform</w:t>
      </w:r>
      <w:r w:rsidR="00E4624D">
        <w:t>;</w:t>
      </w:r>
      <w:r w:rsidR="00C74C4B" w:rsidRPr="00F82F3A">
        <w:t xml:space="preserve"> and seven </w:t>
      </w:r>
      <w:r w:rsidR="00E4624D">
        <w:t>in</w:t>
      </w:r>
      <w:r w:rsidR="00C74C4B" w:rsidRPr="00F82F3A">
        <w:t xml:space="preserve"> improving gender outcomes. </w:t>
      </w:r>
    </w:p>
    <w:p w14:paraId="24DC7267" w14:textId="163A5181" w:rsidR="00C74C4B" w:rsidRPr="009D41AE" w:rsidRDefault="009D41AE" w:rsidP="000D5CA6">
      <w:pPr>
        <w:pStyle w:val="Heading2"/>
      </w:pPr>
      <w:bookmarkStart w:id="98" w:name="_Toc372723850"/>
      <w:bookmarkStart w:id="99" w:name="_Toc378060002"/>
      <w:bookmarkStart w:id="100" w:name="_Toc378922885"/>
      <w:bookmarkStart w:id="101" w:name="_Toc387394597"/>
      <w:bookmarkEnd w:id="96"/>
      <w:bookmarkEnd w:id="97"/>
      <w:r>
        <w:t>3.1</w:t>
      </w:r>
      <w:r>
        <w:tab/>
      </w:r>
      <w:r w:rsidR="00C74C4B" w:rsidRPr="009D41AE">
        <w:t xml:space="preserve">Capacity development is most effective when it is </w:t>
      </w:r>
      <w:r w:rsidR="004742DB" w:rsidRPr="009D41AE">
        <w:t xml:space="preserve">driven </w:t>
      </w:r>
      <w:r w:rsidR="00C74C4B" w:rsidRPr="009D41AE">
        <w:t xml:space="preserve">by partners, </w:t>
      </w:r>
      <w:r w:rsidR="004742DB" w:rsidRPr="009D41AE">
        <w:t>uses a range of methods</w:t>
      </w:r>
      <w:r w:rsidR="00C74C4B" w:rsidRPr="009D41AE">
        <w:t xml:space="preserve"> and </w:t>
      </w:r>
      <w:bookmarkEnd w:id="98"/>
      <w:bookmarkEnd w:id="99"/>
      <w:bookmarkEnd w:id="100"/>
      <w:r w:rsidR="004742DB" w:rsidRPr="009D41AE">
        <w:t>takes the local context into account</w:t>
      </w:r>
      <w:bookmarkEnd w:id="101"/>
    </w:p>
    <w:p w14:paraId="241B4848" w14:textId="706A28DC" w:rsidR="003B517A" w:rsidRDefault="00C74C4B" w:rsidP="00C74C4B">
      <w:r w:rsidRPr="00C103CC">
        <w:t xml:space="preserve">Capacity development </w:t>
      </w:r>
      <w:r w:rsidR="004D677F">
        <w:t>can be defined as</w:t>
      </w:r>
      <w:r w:rsidR="004D677F" w:rsidRPr="00C103CC">
        <w:t xml:space="preserve"> </w:t>
      </w:r>
      <w:r w:rsidR="00670092">
        <w:t xml:space="preserve">a process where </w:t>
      </w:r>
      <w:r w:rsidRPr="00C103CC">
        <w:t>individuals</w:t>
      </w:r>
      <w:r>
        <w:t xml:space="preserve"> </w:t>
      </w:r>
      <w:r w:rsidR="00670092">
        <w:t xml:space="preserve">are supported </w:t>
      </w:r>
      <w:r>
        <w:t xml:space="preserve">to develop and maintain their skills and competencies </w:t>
      </w:r>
      <w:r w:rsidR="00670092">
        <w:t xml:space="preserve">so that they can </w:t>
      </w:r>
      <w:r w:rsidRPr="00C103CC">
        <w:t>set and achieve their own objectives</w:t>
      </w:r>
      <w:r>
        <w:t>, and</w:t>
      </w:r>
      <w:r w:rsidRPr="00C103CC">
        <w:t xml:space="preserve"> organisations</w:t>
      </w:r>
      <w:r w:rsidRPr="000D7DA5">
        <w:t xml:space="preserve"> </w:t>
      </w:r>
      <w:r w:rsidR="00670092">
        <w:t xml:space="preserve">are supported </w:t>
      </w:r>
      <w:r>
        <w:t xml:space="preserve">to develop and maintain </w:t>
      </w:r>
      <w:r w:rsidRPr="00C103CC">
        <w:t>their</w:t>
      </w:r>
      <w:r>
        <w:t xml:space="preserve"> capabilities and</w:t>
      </w:r>
      <w:r w:rsidRPr="00C103CC">
        <w:t xml:space="preserve"> </w:t>
      </w:r>
      <w:r>
        <w:t xml:space="preserve">their organisational </w:t>
      </w:r>
      <w:r w:rsidRPr="00C103CC">
        <w:t>capacit</w:t>
      </w:r>
      <w:r>
        <w:t xml:space="preserve">y to perform within a broader operating environment. Capacity development is central to the Australian aid program and a guiding principle for how initiatives are designed and implemented. </w:t>
      </w:r>
      <w:r w:rsidRPr="0039784F">
        <w:t>Developing the capacity of partners so that progress continues once Australian support is withdrawn is key to effective and su</w:t>
      </w:r>
      <w:r w:rsidRPr="002009A2">
        <w:t>stainable development.</w:t>
      </w:r>
      <w:r w:rsidR="00670092">
        <w:t xml:space="preserve"> </w:t>
      </w:r>
    </w:p>
    <w:p w14:paraId="126D01F5" w14:textId="6CE1D5B0" w:rsidR="00534B83" w:rsidRDefault="00534B83" w:rsidP="00534B83">
      <w:r>
        <w:t>We found a lack of definitional clarity around capacity development in many of the evaluations reviewed. In many cases</w:t>
      </w:r>
      <w:r w:rsidR="00670092">
        <w:t>,</w:t>
      </w:r>
      <w:r>
        <w:t xml:space="preserve"> capacity development is defined and measured around individual skills transfer; in others</w:t>
      </w:r>
      <w:r w:rsidR="00670092">
        <w:t>,</w:t>
      </w:r>
      <w:r>
        <w:t xml:space="preserve"> it focuses on the development of organisational competencies</w:t>
      </w:r>
      <w:r w:rsidR="00670092">
        <w:t>; and</w:t>
      </w:r>
      <w:r>
        <w:t xml:space="preserve"> </w:t>
      </w:r>
      <w:r w:rsidR="00670092">
        <w:t xml:space="preserve">sometimes </w:t>
      </w:r>
      <w:r>
        <w:t xml:space="preserve">capacity development efforts are measured against their ability to improve development outcomes on the ground. This lack of consistency makes </w:t>
      </w:r>
      <w:r w:rsidR="00670092">
        <w:t xml:space="preserve">it difficult to </w:t>
      </w:r>
      <w:r>
        <w:t>defin</w:t>
      </w:r>
      <w:r w:rsidR="00670092">
        <w:t>e</w:t>
      </w:r>
      <w:r>
        <w:t xml:space="preserve"> capacity development ‘success’ and distil the capacity development lessons. But it is also a key lesson in and of itself. Lack of definitional clarity is not unique to the Australian aid program, nor is it a new finding. But the fact that it persists is telling. </w:t>
      </w:r>
    </w:p>
    <w:p w14:paraId="4D8AE65A" w14:textId="33AE83B9" w:rsidR="00C74C4B" w:rsidRDefault="00534B83" w:rsidP="00534B83">
      <w:r>
        <w:t xml:space="preserve">Despite the lack of consistent understanding across the reviews, four key capacity development themes emerged from the findings of the evaluations. </w:t>
      </w:r>
      <w:r w:rsidR="00C74C4B">
        <w:t xml:space="preserve">These have been drawn from </w:t>
      </w:r>
      <w:r w:rsidR="00670092">
        <w:t xml:space="preserve">10 </w:t>
      </w:r>
      <w:r w:rsidR="00C74C4B">
        <w:t xml:space="preserve">evaluations. </w:t>
      </w:r>
    </w:p>
    <w:p w14:paraId="64B3FB9C" w14:textId="6D7EA069" w:rsidR="00C74C4B" w:rsidRDefault="00C74C4B" w:rsidP="009D41AE">
      <w:pPr>
        <w:pStyle w:val="Heading3a"/>
      </w:pPr>
      <w:bookmarkStart w:id="102" w:name="_Toc372723851"/>
      <w:bookmarkStart w:id="103" w:name="_Toc373304265"/>
      <w:r w:rsidRPr="0039784F">
        <w:t>Ensuring</w:t>
      </w:r>
      <w:r>
        <w:t xml:space="preserve"> local ‘ownership’ of capacity</w:t>
      </w:r>
      <w:r w:rsidR="00670092">
        <w:t xml:space="preserve"> </w:t>
      </w:r>
      <w:r>
        <w:t>building is key</w:t>
      </w:r>
      <w:bookmarkEnd w:id="102"/>
      <w:bookmarkEnd w:id="103"/>
    </w:p>
    <w:p w14:paraId="29ED1EA5" w14:textId="58C2AA8D" w:rsidR="004D677F" w:rsidRDefault="00C74C4B" w:rsidP="00C74C4B">
      <w:r w:rsidRPr="00BD0E6A">
        <w:t>A key lesson</w:t>
      </w:r>
      <w:r>
        <w:t xml:space="preserve"> </w:t>
      </w:r>
      <w:r w:rsidRPr="00BD0E6A">
        <w:t xml:space="preserve">to emerge from </w:t>
      </w:r>
      <w:r>
        <w:t xml:space="preserve">a number of evaluations </w:t>
      </w:r>
      <w:r w:rsidRPr="00BD0E6A">
        <w:t xml:space="preserve">is the importance of local ownership to the success of capacity development processes. Where </w:t>
      </w:r>
      <w:r>
        <w:t>the Australian aid program</w:t>
      </w:r>
      <w:r w:rsidRPr="00BD0E6A">
        <w:t xml:space="preserve"> has allowed partners to shape </w:t>
      </w:r>
      <w:r w:rsidR="004D677F">
        <w:t>the scope</w:t>
      </w:r>
      <w:r w:rsidRPr="00BD0E6A">
        <w:t xml:space="preserve"> of a capacity development intervention </w:t>
      </w:r>
      <w:r>
        <w:t xml:space="preserve">and has </w:t>
      </w:r>
      <w:r w:rsidRPr="00BD0E6A">
        <w:t>provided them with the autonomy to lead the process</w:t>
      </w:r>
      <w:r>
        <w:t xml:space="preserve">, both the </w:t>
      </w:r>
      <w:r w:rsidRPr="00BD0E6A">
        <w:t xml:space="preserve">engagement and buy-in has been better, as has the overall effectiveness </w:t>
      </w:r>
      <w:r w:rsidRPr="00BD0E6A">
        <w:lastRenderedPageBreak/>
        <w:t xml:space="preserve">of the intervention. </w:t>
      </w:r>
      <w:r>
        <w:t xml:space="preserve">This lesson came out most strongly in two evaluations. </w:t>
      </w:r>
      <w:r w:rsidR="00670092">
        <w:t>Of course, t</w:t>
      </w:r>
      <w:r>
        <w:t>his is not a new lesson.</w:t>
      </w:r>
      <w:r w:rsidR="00670092">
        <w:t xml:space="preserve"> </w:t>
      </w:r>
    </w:p>
    <w:p w14:paraId="67C8859B" w14:textId="0D32B579" w:rsidR="00C74C4B" w:rsidRDefault="00C74C4B" w:rsidP="00C74C4B">
      <w:r>
        <w:t>Ownership</w:t>
      </w:r>
      <w:r w:rsidRPr="00BD0E6A">
        <w:t xml:space="preserve"> is a central principle </w:t>
      </w:r>
      <w:r>
        <w:t>to a number of policies that the Australian Government is party to:</w:t>
      </w:r>
      <w:r w:rsidR="00670092">
        <w:t xml:space="preserve"> </w:t>
      </w:r>
      <w:r w:rsidRPr="00BD0E6A">
        <w:t>the Paris Declaration on Aid Effectiveness, the Cairns Compact and the Australia</w:t>
      </w:r>
      <w:r w:rsidR="00670092">
        <w:rPr>
          <w:rFonts w:ascii="Cambria" w:hAnsi="Cambria"/>
        </w:rPr>
        <w:t>–</w:t>
      </w:r>
      <w:r w:rsidRPr="00BD0E6A">
        <w:t>Pacific bilateral Partnersh</w:t>
      </w:r>
      <w:r>
        <w:t xml:space="preserve">ip for Development agreements. </w:t>
      </w:r>
      <w:r w:rsidR="005B1196">
        <w:t>T</w:t>
      </w:r>
      <w:r>
        <w:t xml:space="preserve">he following examples present insights into the different ways in which local ownership </w:t>
      </w:r>
      <w:r w:rsidRPr="0039784F">
        <w:t xml:space="preserve">can be built. The evaluations point to the following factors </w:t>
      </w:r>
      <w:r w:rsidR="00670092" w:rsidRPr="0039784F">
        <w:t xml:space="preserve">that </w:t>
      </w:r>
      <w:r w:rsidRPr="0039784F">
        <w:t>shape the extent of ownership: the flexibility of funding to partners and t</w:t>
      </w:r>
      <w:r w:rsidRPr="002009A2">
        <w:t>he quality of relationships with partners; and the arrangement</w:t>
      </w:r>
      <w:r w:rsidR="0039784F">
        <w:t>s</w:t>
      </w:r>
      <w:r w:rsidRPr="0039784F">
        <w:t xml:space="preserve"> for </w:t>
      </w:r>
      <w:r w:rsidR="0039784F">
        <w:t xml:space="preserve">the management of an </w:t>
      </w:r>
      <w:r w:rsidRPr="0039784F">
        <w:t>initiative.</w:t>
      </w:r>
    </w:p>
    <w:p w14:paraId="083993F3" w14:textId="6D68977B" w:rsidR="001A5365" w:rsidRDefault="00C74C4B" w:rsidP="00C74C4B">
      <w:r w:rsidRPr="004A61B1">
        <w:t xml:space="preserve">The Pacific Leadership Program (PLP) (mentioned in </w:t>
      </w:r>
      <w:r>
        <w:fldChar w:fldCharType="begin"/>
      </w:r>
      <w:r>
        <w:instrText xml:space="preserve"> REF _Ref372734081 \h  \* MERGEFORMAT </w:instrText>
      </w:r>
      <w:r>
        <w:fldChar w:fldCharType="separate"/>
      </w:r>
      <w:r w:rsidR="00C971DC">
        <w:t xml:space="preserve">Box </w:t>
      </w:r>
      <w:r w:rsidR="00C971DC">
        <w:rPr>
          <w:noProof/>
        </w:rPr>
        <w:t>13</w:t>
      </w:r>
      <w:r>
        <w:fldChar w:fldCharType="end"/>
      </w:r>
      <w:r>
        <w:t>)</w:t>
      </w:r>
      <w:r w:rsidRPr="004A61B1">
        <w:t xml:space="preserve"> supports leaders and leadership across the Pacific Islands </w:t>
      </w:r>
      <w:r w:rsidR="001A5365">
        <w:t>by</w:t>
      </w:r>
      <w:r w:rsidRPr="004A61B1">
        <w:t xml:space="preserve"> building the capacity of individuals, organisations and coalitions to promote development change.</w:t>
      </w:r>
      <w:r w:rsidR="00670092">
        <w:t xml:space="preserve"> </w:t>
      </w:r>
      <w:r w:rsidRPr="004A61B1">
        <w:t>The evaluation of the PLP found that it has been instrumental in improving the capacit</w:t>
      </w:r>
      <w:r w:rsidRPr="00892ED5">
        <w:t xml:space="preserve">y of its partner organisations (of the </w:t>
      </w:r>
      <w:r w:rsidR="001A5365">
        <w:t xml:space="preserve">11 </w:t>
      </w:r>
      <w:r w:rsidRPr="00892ED5">
        <w:t>partners examined in the evaluation, there was evidence of enhanced capacity in nine).</w:t>
      </w:r>
      <w:r w:rsidR="00670092">
        <w:t xml:space="preserve"> </w:t>
      </w:r>
      <w:r w:rsidR="005B1196">
        <w:t>T</w:t>
      </w:r>
      <w:r w:rsidRPr="00892ED5">
        <w:t>he program’s strong commitment to local ownership of the capacity development process</w:t>
      </w:r>
      <w:r w:rsidR="005B1196">
        <w:t xml:space="preserve"> has been key to this success</w:t>
      </w:r>
      <w:r w:rsidRPr="00892ED5">
        <w:t>.</w:t>
      </w:r>
      <w:r w:rsidR="00670092">
        <w:t xml:space="preserve"> </w:t>
      </w:r>
    </w:p>
    <w:p w14:paraId="12BA87C4" w14:textId="3C873563" w:rsidR="00C74C4B" w:rsidRDefault="00C74C4B" w:rsidP="00C74C4B">
      <w:r w:rsidRPr="00892ED5">
        <w:t xml:space="preserve">Local ownership has been </w:t>
      </w:r>
      <w:r>
        <w:t>built</w:t>
      </w:r>
      <w:r w:rsidRPr="00892ED5">
        <w:t xml:space="preserve"> through </w:t>
      </w:r>
      <w:r>
        <w:t>two means</w:t>
      </w:r>
      <w:r w:rsidR="001A5365">
        <w:t>.</w:t>
      </w:r>
      <w:r>
        <w:t xml:space="preserve"> </w:t>
      </w:r>
      <w:r w:rsidR="001A5365">
        <w:t>F</w:t>
      </w:r>
      <w:r>
        <w:t xml:space="preserve">irstly, </w:t>
      </w:r>
      <w:r w:rsidR="001A5365">
        <w:t xml:space="preserve">the program’s </w:t>
      </w:r>
      <w:r w:rsidRPr="00020281">
        <w:t xml:space="preserve">funding modality allows </w:t>
      </w:r>
      <w:r w:rsidR="001A5365">
        <w:t xml:space="preserve">it </w:t>
      </w:r>
      <w:r w:rsidRPr="00020281">
        <w:t xml:space="preserve">significant flexibility to respond to requests and pursue </w:t>
      </w:r>
      <w:r>
        <w:t>opportunities.</w:t>
      </w:r>
      <w:r w:rsidR="00670092">
        <w:t xml:space="preserve"> </w:t>
      </w:r>
      <w:r>
        <w:t xml:space="preserve">This flexibility allows the program to select organisations that show the most potential and demonstrate a strong commitment to strengthening leadership. </w:t>
      </w:r>
      <w:r w:rsidR="004D677F">
        <w:t>The PLP therefore encourages a deman</w:t>
      </w:r>
      <w:r w:rsidR="00435046">
        <w:t>d</w:t>
      </w:r>
      <w:r w:rsidR="004D677F">
        <w:t>-driven approach to identifying priorities for its work</w:t>
      </w:r>
      <w:r w:rsidR="003074EB">
        <w:t xml:space="preserve"> </w:t>
      </w:r>
      <w:r w:rsidR="004D677F">
        <w:t>plan.</w:t>
      </w:r>
      <w:r w:rsidR="00670092">
        <w:t xml:space="preserve"> </w:t>
      </w:r>
      <w:r>
        <w:t xml:space="preserve">Secondly, the </w:t>
      </w:r>
      <w:r w:rsidR="001A5365">
        <w:t xml:space="preserve">program </w:t>
      </w:r>
      <w:r>
        <w:t>build</w:t>
      </w:r>
      <w:r w:rsidR="001A5365">
        <w:t>s</w:t>
      </w:r>
      <w:r w:rsidRPr="004A61B1">
        <w:t xml:space="preserve"> close partnership</w:t>
      </w:r>
      <w:r>
        <w:t>s</w:t>
      </w:r>
      <w:r w:rsidRPr="004A61B1">
        <w:t xml:space="preserve"> with</w:t>
      </w:r>
      <w:r>
        <w:t xml:space="preserve"> </w:t>
      </w:r>
      <w:r w:rsidRPr="004A61B1">
        <w:t>individual organisations based on mutual respect and trust</w:t>
      </w:r>
      <w:r w:rsidR="001A5365">
        <w:t>.</w:t>
      </w:r>
      <w:r w:rsidRPr="004A61B1">
        <w:t xml:space="preserve"> </w:t>
      </w:r>
      <w:r w:rsidR="001A5365">
        <w:t>P</w:t>
      </w:r>
      <w:r>
        <w:t xml:space="preserve">artners feel able to adapt plans and evolve ideas in collaboration with the </w:t>
      </w:r>
      <w:r w:rsidR="001A5365">
        <w:t>p</w:t>
      </w:r>
      <w:r>
        <w:t>rogram while maintaining a clear sense of control and ownership of the process</w:t>
      </w:r>
      <w:r w:rsidR="001561E2">
        <w:t xml:space="preserve"> </w:t>
      </w:r>
      <w:r w:rsidRPr="004A61B1">
        <w:t>(p</w:t>
      </w:r>
      <w:r w:rsidR="001A5365">
        <w:t xml:space="preserve">. </w:t>
      </w:r>
      <w:r w:rsidRPr="004A61B1">
        <w:t>11)</w:t>
      </w:r>
      <w:r>
        <w:t>.</w:t>
      </w:r>
      <w:r w:rsidR="00670092">
        <w:t xml:space="preserve"> </w:t>
      </w:r>
    </w:p>
    <w:p w14:paraId="18F738BB" w14:textId="0B969C24" w:rsidR="00C74C4B" w:rsidRDefault="00C74C4B" w:rsidP="00C74C4B">
      <w:r>
        <w:t>However, it is important to recognise the challenges associated with this approach.</w:t>
      </w:r>
      <w:r w:rsidR="00670092">
        <w:t xml:space="preserve"> </w:t>
      </w:r>
      <w:r>
        <w:t>The evaluation of PLP highlighted two issues</w:t>
      </w:r>
      <w:r w:rsidR="001A5365">
        <w:t>.</w:t>
      </w:r>
      <w:r>
        <w:t xml:space="preserve"> </w:t>
      </w:r>
      <w:r w:rsidR="001A5365">
        <w:t>F</w:t>
      </w:r>
      <w:r>
        <w:t>irstly, such close levels of engagement with partners require significant investment of time and resources that may not be possible in programs that have a higher number of partnerships to manage.</w:t>
      </w:r>
      <w:r w:rsidR="00670092">
        <w:t xml:space="preserve"> </w:t>
      </w:r>
      <w:r>
        <w:t xml:space="preserve">Secondly, there can be a </w:t>
      </w:r>
      <w:r w:rsidRPr="005D687C">
        <w:t xml:space="preserve">tension between flexible funding and overall </w:t>
      </w:r>
      <w:r>
        <w:t>program coherence and strategy</w:t>
      </w:r>
      <w:r w:rsidRPr="005D687C">
        <w:t>.</w:t>
      </w:r>
      <w:r w:rsidR="00670092">
        <w:t xml:space="preserve"> </w:t>
      </w:r>
      <w:r w:rsidRPr="005D687C">
        <w:t>These need to be reconciled for flexible funding to be more than simply ad hoc su</w:t>
      </w:r>
      <w:r>
        <w:t>pport to disparate initiatives.</w:t>
      </w:r>
    </w:p>
    <w:p w14:paraId="5F481F32" w14:textId="070019B9" w:rsidR="00CF4C5A" w:rsidRDefault="00C74C4B" w:rsidP="00C74C4B">
      <w:r>
        <w:t xml:space="preserve">The </w:t>
      </w:r>
      <w:r w:rsidRPr="007B74DE">
        <w:t xml:space="preserve">Partnership for Knowledge-Based Poverty Reduction </w:t>
      </w:r>
      <w:r w:rsidR="00C547FF">
        <w:t xml:space="preserve">(PKPR) </w:t>
      </w:r>
      <w:r w:rsidRPr="007B74DE">
        <w:t>in Indonesia</w:t>
      </w:r>
      <w:r>
        <w:t xml:space="preserve"> provides another illustration of the importance of generating local ownership, but this time highlighting the importance of forging a strong collaborative approach with a partner grounded in common goals, shared responsibility, and joint learning.</w:t>
      </w:r>
      <w:r w:rsidR="00670092">
        <w:t xml:space="preserve"> </w:t>
      </w:r>
      <w:r>
        <w:t xml:space="preserve">It is described in detail in </w:t>
      </w:r>
      <w:r>
        <w:fldChar w:fldCharType="begin"/>
      </w:r>
      <w:r>
        <w:instrText xml:space="preserve"> REF _Ref372734123 \h </w:instrText>
      </w:r>
      <w:r>
        <w:fldChar w:fldCharType="separate"/>
      </w:r>
      <w:r w:rsidR="00C971DC" w:rsidRPr="007F431C">
        <w:t xml:space="preserve">Box </w:t>
      </w:r>
      <w:r w:rsidR="00C971DC">
        <w:rPr>
          <w:noProof/>
        </w:rPr>
        <w:t>3</w:t>
      </w:r>
      <w:r>
        <w:fldChar w:fldCharType="end"/>
      </w:r>
      <w:r>
        <w:t>.</w:t>
      </w:r>
    </w:p>
    <w:p w14:paraId="16D66256" w14:textId="77777777" w:rsidR="00CF4C5A" w:rsidRDefault="00CF4C5A">
      <w:pPr>
        <w:spacing w:before="0" w:after="0" w:line="240" w:lineRule="auto"/>
      </w:pPr>
      <w:r>
        <w:br w:type="page"/>
      </w:r>
    </w:p>
    <w:p w14:paraId="6CE1A305" w14:textId="48AA6FE1" w:rsidR="00C74C4B" w:rsidRPr="007F431C" w:rsidRDefault="00C74C4B" w:rsidP="00AB14E8">
      <w:pPr>
        <w:pStyle w:val="Boxheading0"/>
      </w:pPr>
      <w:bookmarkStart w:id="104" w:name="_Ref372734123"/>
      <w:bookmarkStart w:id="105" w:name="_Toc372722967"/>
      <w:r w:rsidRPr="007F431C">
        <w:lastRenderedPageBreak/>
        <w:t xml:space="preserve">Box </w:t>
      </w:r>
      <w:fldSimple w:instr=" SEQ Box \* ARABIC ">
        <w:r w:rsidR="00C971DC">
          <w:rPr>
            <w:noProof/>
          </w:rPr>
          <w:t>3</w:t>
        </w:r>
      </w:fldSimple>
      <w:bookmarkEnd w:id="104"/>
      <w:r w:rsidRPr="007F431C">
        <w:tab/>
        <w:t>Partnership for Knowledge-Based Poverty Reduction</w:t>
      </w:r>
      <w:bookmarkEnd w:id="105"/>
      <w:r w:rsidR="00C547FF" w:rsidRPr="007F431C">
        <w:t xml:space="preserve"> </w:t>
      </w:r>
    </w:p>
    <w:p w14:paraId="554179B1" w14:textId="77777777" w:rsidR="00995FD1" w:rsidRPr="000F3D78" w:rsidRDefault="00995FD1" w:rsidP="00995FD1">
      <w:pPr>
        <w:pStyle w:val="BoxText"/>
        <w:rPr>
          <w:sz w:val="2"/>
          <w:szCs w:val="2"/>
        </w:rPr>
      </w:pPr>
    </w:p>
    <w:p w14:paraId="2737D933" w14:textId="530B3973" w:rsidR="00C74C4B" w:rsidRDefault="00C74C4B" w:rsidP="00C74C4B">
      <w:pPr>
        <w:pStyle w:val="BoxText"/>
      </w:pPr>
      <w:r w:rsidRPr="007B74DE">
        <w:t>The evaluation of the Partnership for Knowledge-Based Poverty Reduction (PKPR)</w:t>
      </w:r>
      <w:r w:rsidR="00C547FF">
        <w:rPr>
          <w:rFonts w:cs="Arial"/>
        </w:rPr>
        <w:t>—</w:t>
      </w:r>
      <w:r w:rsidRPr="007B74DE">
        <w:t>an initiative to improve evidence</w:t>
      </w:r>
      <w:r w:rsidR="00C547FF">
        <w:t>-</w:t>
      </w:r>
      <w:r w:rsidRPr="007B74DE">
        <w:t>based policy making in Indonesia</w:t>
      </w:r>
      <w:r w:rsidR="00C547FF">
        <w:rPr>
          <w:rFonts w:cs="Arial"/>
        </w:rPr>
        <w:t>—</w:t>
      </w:r>
      <w:r w:rsidRPr="007B74DE">
        <w:t xml:space="preserve">provides evidence that the most positive capacity development activities delivered through the </w:t>
      </w:r>
      <w:r>
        <w:t>program</w:t>
      </w:r>
      <w:r w:rsidRPr="007B74DE">
        <w:t xml:space="preserve"> occurred when </w:t>
      </w:r>
      <w:r w:rsidR="00C547FF" w:rsidRPr="005B1196">
        <w:rPr>
          <w:i/>
        </w:rPr>
        <w:t>‘</w:t>
      </w:r>
      <w:r w:rsidRPr="007B74DE">
        <w:rPr>
          <w:i/>
        </w:rPr>
        <w:t>partners had greater levels of autonomy over the interventions</w:t>
      </w:r>
      <w:r w:rsidR="00C547FF" w:rsidRPr="005B1196">
        <w:rPr>
          <w:i/>
        </w:rPr>
        <w:t>’</w:t>
      </w:r>
      <w:r w:rsidRPr="005B1196">
        <w:rPr>
          <w:i/>
        </w:rPr>
        <w:t xml:space="preserve"> </w:t>
      </w:r>
      <w:r w:rsidRPr="007B74DE">
        <w:t>(p</w:t>
      </w:r>
      <w:r w:rsidR="00C547FF">
        <w:t xml:space="preserve">. </w:t>
      </w:r>
      <w:r w:rsidRPr="007B74DE">
        <w:t>31). The PK</w:t>
      </w:r>
      <w:r>
        <w:t>PR</w:t>
      </w:r>
      <w:r w:rsidRPr="007B74DE">
        <w:t>’s collaboration with the National Team for Accelerating Poverty Reduction and the Office of Statistics</w:t>
      </w:r>
      <w:r w:rsidR="00C547FF">
        <w:t>,</w:t>
      </w:r>
      <w:r w:rsidRPr="007B74DE">
        <w:t xml:space="preserve"> </w:t>
      </w:r>
      <w:r>
        <w:t xml:space="preserve">or </w:t>
      </w:r>
      <w:proofErr w:type="spellStart"/>
      <w:r w:rsidRPr="007B74DE">
        <w:t>Badan</w:t>
      </w:r>
      <w:proofErr w:type="spellEnd"/>
      <w:r w:rsidRPr="007B74DE">
        <w:t xml:space="preserve"> </w:t>
      </w:r>
      <w:proofErr w:type="spellStart"/>
      <w:r w:rsidRPr="007B74DE">
        <w:t>Pusat</w:t>
      </w:r>
      <w:proofErr w:type="spellEnd"/>
      <w:r w:rsidRPr="007B74DE">
        <w:t xml:space="preserve"> </w:t>
      </w:r>
      <w:proofErr w:type="spellStart"/>
      <w:r w:rsidRPr="007B74DE">
        <w:t>Statistik</w:t>
      </w:r>
      <w:proofErr w:type="spellEnd"/>
      <w:r w:rsidRPr="007B74DE">
        <w:t xml:space="preserve"> </w:t>
      </w:r>
      <w:r>
        <w:t>(BPS)</w:t>
      </w:r>
      <w:r w:rsidR="00C547FF">
        <w:t>,</w:t>
      </w:r>
      <w:r>
        <w:t xml:space="preserve"> </w:t>
      </w:r>
      <w:r w:rsidRPr="007B74DE">
        <w:t>around the development of a national targeting system was illustrative of this point. The National Targeting System (NTS) is a single registry of potential beneﬁciaries</w:t>
      </w:r>
      <w:r w:rsidR="00D13678">
        <w:t>, which</w:t>
      </w:r>
      <w:r w:rsidR="00C547FF">
        <w:t xml:space="preserve"> </w:t>
      </w:r>
      <w:r w:rsidRPr="007B74DE">
        <w:t>can be used to</w:t>
      </w:r>
      <w:r w:rsidR="00D13678">
        <w:t xml:space="preserve"> more accurately and cost-effectively</w:t>
      </w:r>
      <w:r w:rsidRPr="007B74DE">
        <w:t xml:space="preserve"> target social assistance </w:t>
      </w:r>
      <w:r w:rsidR="00C547FF">
        <w:t xml:space="preserve">at </w:t>
      </w:r>
      <w:r w:rsidRPr="007B74DE">
        <w:t>the right households. The evaluation found that</w:t>
      </w:r>
      <w:r>
        <w:t>,</w:t>
      </w:r>
      <w:r w:rsidRPr="007B74DE">
        <w:t xml:space="preserve"> because of </w:t>
      </w:r>
      <w:r w:rsidR="00C547FF">
        <w:t xml:space="preserve">PKPR’s </w:t>
      </w:r>
      <w:r w:rsidRPr="007B74DE">
        <w:t xml:space="preserve">collaborative approach </w:t>
      </w:r>
      <w:r w:rsidR="00C547FF">
        <w:t xml:space="preserve">to </w:t>
      </w:r>
      <w:r w:rsidRPr="007B74DE">
        <w:t xml:space="preserve">supporting the development of the NTS, there were high levels of satisfaction with the capacity development process and significant improvements in </w:t>
      </w:r>
      <w:r>
        <w:t xml:space="preserve">the </w:t>
      </w:r>
      <w:r w:rsidRPr="007B74DE">
        <w:t>skills, processes and systems necessary to run the NTS (p</w:t>
      </w:r>
      <w:r>
        <w:t>.</w:t>
      </w:r>
      <w:r w:rsidR="00C547FF">
        <w:t xml:space="preserve"> </w:t>
      </w:r>
      <w:r w:rsidRPr="007B74DE">
        <w:t>vii). Key elements of this success were</w:t>
      </w:r>
      <w:r>
        <w:t xml:space="preserve"> </w:t>
      </w:r>
      <w:r w:rsidRPr="007B74DE">
        <w:t>joint goals, shared responsibility for the capacity development process and outcomes, and an openness among all partner</w:t>
      </w:r>
      <w:r>
        <w:t>s</w:t>
      </w:r>
      <w:r w:rsidRPr="007B74DE">
        <w:t xml:space="preserve"> to learn from each other (</w:t>
      </w:r>
      <w:r w:rsidR="000F6CDF" w:rsidRPr="007B74DE">
        <w:t>p</w:t>
      </w:r>
      <w:r w:rsidR="000F6CDF">
        <w:t>p.</w:t>
      </w:r>
      <w:r w:rsidR="00C547FF">
        <w:t xml:space="preserve"> </w:t>
      </w:r>
      <w:r w:rsidRPr="007B74DE">
        <w:t>10</w:t>
      </w:r>
      <w:r w:rsidR="00C547FF">
        <w:rPr>
          <w:rFonts w:cs="Arial"/>
        </w:rPr>
        <w:t>–</w:t>
      </w:r>
      <w:r w:rsidRPr="007B74DE">
        <w:t xml:space="preserve">11). </w:t>
      </w:r>
    </w:p>
    <w:p w14:paraId="24944009" w14:textId="4D92F79C" w:rsidR="00C74C4B" w:rsidRPr="007B74DE" w:rsidRDefault="00C74C4B" w:rsidP="00CF4C5A">
      <w:pPr>
        <w:pStyle w:val="BoxNotes"/>
        <w:jc w:val="right"/>
        <w:rPr>
          <w:rFonts w:asciiTheme="minorHAnsi" w:hAnsiTheme="minorHAnsi"/>
          <w:sz w:val="21"/>
          <w:szCs w:val="24"/>
        </w:rPr>
      </w:pPr>
      <w:r>
        <w:t xml:space="preserve">Source: </w:t>
      </w:r>
      <w:r w:rsidRPr="00E2408D">
        <w:t>Evaluation of the Partnership for Knowledg</w:t>
      </w:r>
      <w:r>
        <w:t>e-Based Poverty Reduction, 2012</w:t>
      </w:r>
      <w:r w:rsidR="0039784F">
        <w:t>.</w:t>
      </w:r>
    </w:p>
    <w:p w14:paraId="6669702F" w14:textId="197823B4" w:rsidR="00C74C4B" w:rsidRDefault="00C74C4B" w:rsidP="009D41AE">
      <w:pPr>
        <w:pStyle w:val="Heading3a"/>
      </w:pPr>
      <w:bookmarkStart w:id="106" w:name="_Toc372723852"/>
      <w:bookmarkStart w:id="107" w:name="_Toc373304266"/>
      <w:r w:rsidRPr="00E2408D">
        <w:t xml:space="preserve">Capacity building requires </w:t>
      </w:r>
      <w:r w:rsidR="004742DB">
        <w:t>a range of</w:t>
      </w:r>
      <w:r>
        <w:t xml:space="preserve"> complementary </w:t>
      </w:r>
      <w:bookmarkEnd w:id="106"/>
      <w:bookmarkEnd w:id="107"/>
      <w:r w:rsidR="004742DB">
        <w:t>methods</w:t>
      </w:r>
      <w:r w:rsidR="004742DB" w:rsidRPr="00E2408D">
        <w:t xml:space="preserve"> </w:t>
      </w:r>
    </w:p>
    <w:p w14:paraId="7601AFE2" w14:textId="2CDF9DEE" w:rsidR="00C74C4B" w:rsidRDefault="004D677F" w:rsidP="00C74C4B">
      <w:r>
        <w:t>S</w:t>
      </w:r>
      <w:r w:rsidR="00C74C4B" w:rsidRPr="00E2408D">
        <w:t>uccessful capa</w:t>
      </w:r>
      <w:r w:rsidR="00C74C4B">
        <w:t>city development necessitates the use of a range of complementary approaches that provide support in different ways and over different periods of time.</w:t>
      </w:r>
      <w:r w:rsidR="00670092">
        <w:t xml:space="preserve"> </w:t>
      </w:r>
      <w:r>
        <w:t>Such initiatives are more successful than those that rely on a single approach</w:t>
      </w:r>
      <w:r w:rsidR="00C547FF">
        <w:t xml:space="preserve">, </w:t>
      </w:r>
      <w:r>
        <w:t>such as technical assistance or training alone.</w:t>
      </w:r>
      <w:r w:rsidR="00670092">
        <w:t xml:space="preserve"> </w:t>
      </w:r>
      <w:r w:rsidR="00C74C4B">
        <w:t>Again, while this is not a new lesson for the Australian aid program</w:t>
      </w:r>
      <w:r w:rsidR="00C74C4B" w:rsidRPr="00FC0CB9">
        <w:t>,</w:t>
      </w:r>
      <w:r w:rsidR="00C74C4B">
        <w:t xml:space="preserve"> a number of evaluations highlighted this as a weakness in </w:t>
      </w:r>
      <w:r w:rsidR="00D13678">
        <w:t xml:space="preserve">aid </w:t>
      </w:r>
      <w:r w:rsidR="00C74C4B">
        <w:t xml:space="preserve">initiatives (notably the </w:t>
      </w:r>
      <w:r w:rsidR="00C74C4B" w:rsidRPr="0039784F">
        <w:t>over</w:t>
      </w:r>
      <w:r w:rsidR="00C547FF" w:rsidRPr="0039784F">
        <w:t>-</w:t>
      </w:r>
      <w:r w:rsidR="00C74C4B" w:rsidRPr="0039784F">
        <w:t>reliance of training)</w:t>
      </w:r>
      <w:r w:rsidR="00C547FF" w:rsidRPr="0039784F">
        <w:t xml:space="preserve"> and this </w:t>
      </w:r>
      <w:r w:rsidR="00C74C4B" w:rsidRPr="0039784F">
        <w:t xml:space="preserve">suggests that the issue still requires attention. This </w:t>
      </w:r>
      <w:r w:rsidRPr="0039784F">
        <w:t xml:space="preserve">lesson </w:t>
      </w:r>
      <w:r w:rsidR="00C74C4B" w:rsidRPr="0039784F">
        <w:t xml:space="preserve">is reinforced by the ODE report </w:t>
      </w:r>
      <w:r w:rsidR="00C74C4B" w:rsidRPr="00D13678">
        <w:rPr>
          <w:i/>
        </w:rPr>
        <w:t xml:space="preserve">Lessons from Australian </w:t>
      </w:r>
      <w:r w:rsidR="0039784F" w:rsidRPr="00D13678">
        <w:rPr>
          <w:i/>
        </w:rPr>
        <w:t>a</w:t>
      </w:r>
      <w:r w:rsidR="00C74C4B" w:rsidRPr="00D13678">
        <w:rPr>
          <w:i/>
        </w:rPr>
        <w:t>id</w:t>
      </w:r>
      <w:r w:rsidR="00D85CB9">
        <w:rPr>
          <w:rStyle w:val="FootnoteReference"/>
        </w:rPr>
        <w:footnoteReference w:id="7"/>
      </w:r>
      <w:r w:rsidR="00C74C4B" w:rsidRPr="0039784F">
        <w:t>, which found that stand-alone or isolated</w:t>
      </w:r>
      <w:r w:rsidR="00670092" w:rsidRPr="0039784F">
        <w:t xml:space="preserve"> </w:t>
      </w:r>
      <w:r w:rsidR="00C74C4B" w:rsidRPr="0039784F">
        <w:t>capacity development activities should be avoided.</w:t>
      </w:r>
      <w:r w:rsidR="00670092">
        <w:t xml:space="preserve"> </w:t>
      </w:r>
    </w:p>
    <w:p w14:paraId="39C5781F" w14:textId="7C5DDD28" w:rsidR="00C74C4B" w:rsidRDefault="00C74C4B" w:rsidP="00C74C4B">
      <w:r w:rsidRPr="00FC138A">
        <w:t xml:space="preserve">The evaluation of the Civil Society </w:t>
      </w:r>
      <w:r>
        <w:t>Program</w:t>
      </w:r>
      <w:r w:rsidRPr="00FC138A">
        <w:t xml:space="preserve"> in Fiji found that </w:t>
      </w:r>
      <w:r>
        <w:t xml:space="preserve">its </w:t>
      </w:r>
      <w:r w:rsidRPr="00FC138A">
        <w:t xml:space="preserve">combination of volunteer support and peer-to-peer support between organisations had been a successful approach to strengthening </w:t>
      </w:r>
      <w:r w:rsidR="0039784F">
        <w:t>civil society organisation (</w:t>
      </w:r>
      <w:r w:rsidRPr="00FC138A">
        <w:t>CSO</w:t>
      </w:r>
      <w:r w:rsidR="0039784F">
        <w:t>)</w:t>
      </w:r>
      <w:r w:rsidRPr="00FC138A">
        <w:t xml:space="preserve"> capacity (</w:t>
      </w:r>
      <w:r w:rsidR="000F6CDF" w:rsidRPr="00FC138A">
        <w:t>p</w:t>
      </w:r>
      <w:r w:rsidR="000F6CDF">
        <w:t>p.</w:t>
      </w:r>
      <w:r w:rsidR="00C547FF">
        <w:t xml:space="preserve"> </w:t>
      </w:r>
      <w:r w:rsidRPr="00FC138A">
        <w:t>43</w:t>
      </w:r>
      <w:r w:rsidR="00C547FF">
        <w:rPr>
          <w:rFonts w:ascii="Cambria" w:hAnsi="Cambria"/>
        </w:rPr>
        <w:t>–</w:t>
      </w:r>
      <w:r w:rsidRPr="00FC138A">
        <w:t>44)</w:t>
      </w:r>
      <w:r>
        <w:t>.</w:t>
      </w:r>
      <w:r w:rsidRPr="00FC138A">
        <w:t xml:space="preserve"> Similarly, the evaluation of the BESIK Rural Water Supply and Sanitation </w:t>
      </w:r>
      <w:r w:rsidR="0039784F">
        <w:t>P</w:t>
      </w:r>
      <w:r>
        <w:t>rogram</w:t>
      </w:r>
      <w:r w:rsidR="00D85CB9">
        <w:t xml:space="preserve"> in Timor-Leste</w:t>
      </w:r>
      <w:r>
        <w:t xml:space="preserve"> </w:t>
      </w:r>
      <w:r w:rsidRPr="00FC138A">
        <w:t>found that the use of a mixture of scholarship</w:t>
      </w:r>
      <w:r>
        <w:t>s</w:t>
      </w:r>
      <w:r w:rsidRPr="00FC138A">
        <w:t>, training, mentoring and staff resourcing to build the capacity of key line ministries and NGOs has been</w:t>
      </w:r>
      <w:r w:rsidR="00670092">
        <w:t xml:space="preserve"> </w:t>
      </w:r>
      <w:r>
        <w:t>a factor in some of</w:t>
      </w:r>
      <w:r w:rsidR="00670092">
        <w:t xml:space="preserve"> </w:t>
      </w:r>
      <w:r w:rsidRPr="00FC138A">
        <w:t xml:space="preserve">the improvements </w:t>
      </w:r>
      <w:r>
        <w:t xml:space="preserve">that have been observed </w:t>
      </w:r>
      <w:r w:rsidRPr="00FC138A">
        <w:t>in the delivery of water and sanitation to communities (p</w:t>
      </w:r>
      <w:r w:rsidR="00C547FF">
        <w:t xml:space="preserve">. </w:t>
      </w:r>
      <w:r w:rsidRPr="00FC138A">
        <w:t>23)</w:t>
      </w:r>
      <w:r>
        <w:t>.</w:t>
      </w:r>
      <w:r w:rsidR="00670092">
        <w:t xml:space="preserve"> </w:t>
      </w:r>
    </w:p>
    <w:p w14:paraId="679E233D" w14:textId="764E0E64" w:rsidR="00C74C4B" w:rsidRDefault="00C74C4B" w:rsidP="00C74C4B">
      <w:r w:rsidRPr="00705737">
        <w:t>Two evaluations</w:t>
      </w:r>
      <w:r w:rsidR="00C547FF">
        <w:rPr>
          <w:rFonts w:ascii="Cambria" w:hAnsi="Cambria"/>
        </w:rPr>
        <w:t>—</w:t>
      </w:r>
      <w:r>
        <w:t>the</w:t>
      </w:r>
      <w:r w:rsidRPr="00705737">
        <w:t xml:space="preserve"> </w:t>
      </w:r>
      <w:r w:rsidRPr="00D16CD4">
        <w:t>Australia</w:t>
      </w:r>
      <w:r w:rsidR="0039784F">
        <w:rPr>
          <w:rFonts w:ascii="Cambria" w:hAnsi="Cambria"/>
        </w:rPr>
        <w:t>–</w:t>
      </w:r>
      <w:r w:rsidRPr="00D16CD4">
        <w:t xml:space="preserve">UNICEF Education Assistance to Papua and Papua Barat and the Nepal School Reform </w:t>
      </w:r>
      <w:r>
        <w:t>Program</w:t>
      </w:r>
      <w:r w:rsidR="00C547FF">
        <w:rPr>
          <w:rFonts w:ascii="Cambria" w:hAnsi="Cambria"/>
        </w:rPr>
        <w:t>—</w:t>
      </w:r>
      <w:r w:rsidRPr="00D16CD4">
        <w:t>p</w:t>
      </w:r>
      <w:r w:rsidRPr="00705737">
        <w:t xml:space="preserve">resent examples of how a failure to use a mixture of methods can </w:t>
      </w:r>
      <w:r>
        <w:t>limit</w:t>
      </w:r>
      <w:r w:rsidRPr="00705737">
        <w:t xml:space="preserve"> capacity development.</w:t>
      </w:r>
      <w:r w:rsidR="00670092">
        <w:t xml:space="preserve"> </w:t>
      </w:r>
      <w:r w:rsidRPr="00705737">
        <w:t>In both cases an over-reliance on training</w:t>
      </w:r>
      <w:r>
        <w:t xml:space="preserve"> was highlighted as </w:t>
      </w:r>
      <w:r w:rsidRPr="00711C6F">
        <w:t>problematic.</w:t>
      </w:r>
      <w:r w:rsidR="00670092">
        <w:t xml:space="preserve"> </w:t>
      </w:r>
      <w:r w:rsidRPr="00711C6F">
        <w:t xml:space="preserve">In the </w:t>
      </w:r>
      <w:r w:rsidR="00C547FF" w:rsidRPr="00D16CD4">
        <w:t xml:space="preserve">Nepal School Reform </w:t>
      </w:r>
      <w:r w:rsidR="00C547FF">
        <w:t>Program,</w:t>
      </w:r>
      <w:r w:rsidRPr="00711C6F">
        <w:t xml:space="preserve"> for example, </w:t>
      </w:r>
      <w:r w:rsidRPr="00711C6F">
        <w:rPr>
          <w:rFonts w:cs="ArialMT"/>
          <w:lang w:val="en-GB"/>
        </w:rPr>
        <w:t xml:space="preserve">it was </w:t>
      </w:r>
      <w:r w:rsidRPr="00711C6F">
        <w:t>noted that teacher</w:t>
      </w:r>
      <w:r w:rsidR="00C547FF">
        <w:t xml:space="preserve"> training</w:t>
      </w:r>
      <w:r w:rsidRPr="00711C6F">
        <w:t xml:space="preserve"> needed to be supplemented with other forms of capacity support such as secondments, peer learning and exchange</w:t>
      </w:r>
      <w:r>
        <w:t>,</w:t>
      </w:r>
      <w:r w:rsidRPr="00711C6F">
        <w:t xml:space="preserve"> and on</w:t>
      </w:r>
      <w:r w:rsidR="00C547FF">
        <w:t>-</w:t>
      </w:r>
      <w:r w:rsidRPr="00711C6F">
        <w:t>the</w:t>
      </w:r>
      <w:r w:rsidR="00C547FF">
        <w:t>-</w:t>
      </w:r>
      <w:r w:rsidRPr="00711C6F">
        <w:t>job training in order for teaching skills to improve (p</w:t>
      </w:r>
      <w:r>
        <w:t xml:space="preserve">. </w:t>
      </w:r>
      <w:r w:rsidRPr="00711C6F">
        <w:t>xvi).</w:t>
      </w:r>
      <w:r w:rsidR="00670092">
        <w:t xml:space="preserve"> </w:t>
      </w:r>
    </w:p>
    <w:p w14:paraId="38BABD2B" w14:textId="5A3BF7C0" w:rsidR="00C74C4B" w:rsidRDefault="00C74C4B" w:rsidP="00C74C4B">
      <w:r>
        <w:t>What emerges from the evaluation</w:t>
      </w:r>
      <w:r w:rsidR="00D13678">
        <w:t>s</w:t>
      </w:r>
      <w:r>
        <w:t xml:space="preserve"> of these initiatives is that a combination of methods spread out over time provides people with a deeper level of support than would otherwise be achieved </w:t>
      </w:r>
      <w:r w:rsidR="00C547FF">
        <w:t xml:space="preserve">by </w:t>
      </w:r>
      <w:r>
        <w:t>simply engaging them through one method.</w:t>
      </w:r>
      <w:r w:rsidR="00670092">
        <w:t xml:space="preserve"> </w:t>
      </w:r>
      <w:r>
        <w:t xml:space="preserve">For example, combining workshops with mentoring provides a channel for communicating new knowledge (workshop) but then also provides support in putting it </w:t>
      </w:r>
      <w:r>
        <w:lastRenderedPageBreak/>
        <w:t>into practice (mentoring).</w:t>
      </w:r>
      <w:r w:rsidR="00670092">
        <w:t xml:space="preserve"> </w:t>
      </w:r>
      <w:r>
        <w:t>Similarly</w:t>
      </w:r>
      <w:r w:rsidR="00C547FF">
        <w:t>,</w:t>
      </w:r>
      <w:r>
        <w:t xml:space="preserve"> combining support through training and peer</w:t>
      </w:r>
      <w:r w:rsidR="00C547FF">
        <w:t xml:space="preserve"> </w:t>
      </w:r>
      <w:r>
        <w:t xml:space="preserve">learning provides a channel for new knowledge but also bolsters this </w:t>
      </w:r>
      <w:r w:rsidR="0039784F">
        <w:t xml:space="preserve">by </w:t>
      </w:r>
      <w:r w:rsidRPr="0039784F">
        <w:t>supporting the development of</w:t>
      </w:r>
      <w:r>
        <w:t xml:space="preserve"> relationships between peers </w:t>
      </w:r>
      <w:r w:rsidR="0039784F">
        <w:t xml:space="preserve">that </w:t>
      </w:r>
      <w:r>
        <w:t>can provide long</w:t>
      </w:r>
      <w:r w:rsidR="00C547FF">
        <w:t>-</w:t>
      </w:r>
      <w:r>
        <w:t>term and ongoing support and guidance.</w:t>
      </w:r>
      <w:r w:rsidR="00670092">
        <w:t xml:space="preserve"> </w:t>
      </w:r>
      <w:r>
        <w:t>Communicating information through different mediums such as workshops, forums and training can also cater to individuals</w:t>
      </w:r>
      <w:r w:rsidR="00C547FF">
        <w:t>’</w:t>
      </w:r>
      <w:r>
        <w:t xml:space="preserve"> different learning styles.</w:t>
      </w:r>
      <w:r w:rsidR="00670092">
        <w:t xml:space="preserve"> </w:t>
      </w:r>
    </w:p>
    <w:p w14:paraId="6EF7E493" w14:textId="48CB2A29" w:rsidR="00C74C4B" w:rsidRDefault="00C74C4B" w:rsidP="009D41AE">
      <w:pPr>
        <w:pStyle w:val="Heading3a"/>
      </w:pPr>
      <w:bookmarkStart w:id="108" w:name="_Toc372723853"/>
      <w:bookmarkStart w:id="109" w:name="_Toc373304267"/>
      <w:r>
        <w:t xml:space="preserve">Strengthening capacity </w:t>
      </w:r>
      <w:bookmarkEnd w:id="108"/>
      <w:bookmarkEnd w:id="109"/>
      <w:r w:rsidR="003910E4">
        <w:t>requires interventions that are appropriate to the local context</w:t>
      </w:r>
    </w:p>
    <w:p w14:paraId="3708BFF5" w14:textId="63894BE0" w:rsidR="00C74C4B" w:rsidRDefault="00C74C4B" w:rsidP="00C74C4B">
      <w:r w:rsidRPr="00E2408D">
        <w:t xml:space="preserve">Another key lesson to emerge from this synthesis is that successful capacity development </w:t>
      </w:r>
      <w:r>
        <w:t xml:space="preserve">depends on the </w:t>
      </w:r>
      <w:r w:rsidR="003910E4">
        <w:t>local context, including</w:t>
      </w:r>
      <w:r>
        <w:t xml:space="preserve"> the broader system within which individuals and organisations function. </w:t>
      </w:r>
    </w:p>
    <w:p w14:paraId="65B8EAB3" w14:textId="19BA8177" w:rsidR="00C74C4B" w:rsidRDefault="00C74C4B" w:rsidP="00C74C4B">
      <w:r>
        <w:t>The synthesis</w:t>
      </w:r>
      <w:r w:rsidR="00D13678">
        <w:t xml:space="preserve"> of evaluation findings</w:t>
      </w:r>
      <w:r>
        <w:t xml:space="preserve"> highlights that capacity development initiatives </w:t>
      </w:r>
      <w:r w:rsidR="00D13678">
        <w:t>are</w:t>
      </w:r>
      <w:r>
        <w:t xml:space="preserve"> less effective if the broader environment is not taken into account. S</w:t>
      </w:r>
      <w:r w:rsidRPr="00E2408D">
        <w:t>uccessful capacity development necessitates a comprehensive approach, encomp</w:t>
      </w:r>
      <w:r>
        <w:t>assing an understanding of the broader institutional environment and its influence on the ability of organisations to carry out their functions in pursuit of formal, agreed goals.</w:t>
      </w:r>
      <w:r w:rsidR="00670092">
        <w:t xml:space="preserve"> </w:t>
      </w:r>
      <w:r>
        <w:t>As the evaluations of the following initiatives illustrate</w:t>
      </w:r>
      <w:r w:rsidR="009E1E41">
        <w:t>,</w:t>
      </w:r>
      <w:r>
        <w:t xml:space="preserve"> an enabling environment can take many forms: it can relate to creating a regulatory and legislative context that supports specific capacities; changing an organisation’s culture and incentives to support capacity development; and efforts to influence wider issues of power and politics to support individuals and organisations to strengthen their capacities and enable organisations to carry out formal, agreed goals.</w:t>
      </w:r>
      <w:r w:rsidRPr="00E2408D">
        <w:t xml:space="preserve"> </w:t>
      </w:r>
    </w:p>
    <w:p w14:paraId="0210C6EC" w14:textId="3B7567A4" w:rsidR="00C74C4B" w:rsidRDefault="00C74C4B" w:rsidP="00C74C4B">
      <w:r>
        <w:t xml:space="preserve">The </w:t>
      </w:r>
      <w:r w:rsidR="0039784F">
        <w:t xml:space="preserve">PKPR </w:t>
      </w:r>
      <w:r>
        <w:t>initiative uses this approach well.</w:t>
      </w:r>
      <w:r w:rsidR="00670092">
        <w:t xml:space="preserve"> </w:t>
      </w:r>
      <w:r w:rsidRPr="00E2408D">
        <w:t xml:space="preserve">In building capacity </w:t>
      </w:r>
      <w:r>
        <w:t xml:space="preserve">within the </w:t>
      </w:r>
      <w:r w:rsidRPr="0039784F">
        <w:t xml:space="preserve">Indonesian </w:t>
      </w:r>
      <w:r w:rsidR="0039784F">
        <w:t>G</w:t>
      </w:r>
      <w:r w:rsidRPr="0039784F">
        <w:t>overnment to</w:t>
      </w:r>
      <w:r w:rsidRPr="00E2408D">
        <w:t xml:space="preserve"> use evidence in policy making, the </w:t>
      </w:r>
      <w:r>
        <w:t>PKPR</w:t>
      </w:r>
      <w:r w:rsidRPr="00E2408D">
        <w:t xml:space="preserve"> is training civil servant</w:t>
      </w:r>
      <w:r>
        <w:t>s</w:t>
      </w:r>
      <w:r w:rsidRPr="00E2408D">
        <w:t xml:space="preserve"> in the use of poverty forecasting tools</w:t>
      </w:r>
      <w:r w:rsidR="00593490">
        <w:t xml:space="preserve">. It works </w:t>
      </w:r>
      <w:r w:rsidRPr="00E2408D">
        <w:t xml:space="preserve">within key institutions such as the </w:t>
      </w:r>
      <w:proofErr w:type="spellStart"/>
      <w:r w:rsidR="0039784F" w:rsidRPr="007B74DE">
        <w:t>Badan</w:t>
      </w:r>
      <w:proofErr w:type="spellEnd"/>
      <w:r w:rsidR="0039784F" w:rsidRPr="007B74DE">
        <w:t xml:space="preserve"> </w:t>
      </w:r>
      <w:proofErr w:type="spellStart"/>
      <w:r w:rsidR="0039784F" w:rsidRPr="007B74DE">
        <w:t>Pusat</w:t>
      </w:r>
      <w:proofErr w:type="spellEnd"/>
      <w:r w:rsidR="0039784F" w:rsidRPr="007B74DE">
        <w:t xml:space="preserve"> </w:t>
      </w:r>
      <w:proofErr w:type="spellStart"/>
      <w:r w:rsidR="0039784F" w:rsidRPr="0039784F">
        <w:t>Statistik</w:t>
      </w:r>
      <w:proofErr w:type="spellEnd"/>
      <w:r w:rsidR="0039784F" w:rsidRPr="0039784F">
        <w:t xml:space="preserve"> (</w:t>
      </w:r>
      <w:r w:rsidRPr="0039784F">
        <w:t>BPS</w:t>
      </w:r>
      <w:r w:rsidR="0039784F" w:rsidRPr="0039784F">
        <w:t>)</w:t>
      </w:r>
      <w:r w:rsidRPr="0039784F">
        <w:t xml:space="preserve"> to</w:t>
      </w:r>
      <w:r w:rsidRPr="00E2408D">
        <w:t xml:space="preserve"> strengthen their systems and procedures through the development of initiatives such as the </w:t>
      </w:r>
      <w:r w:rsidR="0039784F" w:rsidRPr="007B74DE">
        <w:t xml:space="preserve">National Targeting System </w:t>
      </w:r>
      <w:r w:rsidR="0039784F">
        <w:t>(</w:t>
      </w:r>
      <w:r>
        <w:t>NTS</w:t>
      </w:r>
      <w:r w:rsidR="0039784F">
        <w:t>)</w:t>
      </w:r>
      <w:r w:rsidR="00593490">
        <w:t xml:space="preserve">. It is </w:t>
      </w:r>
      <w:r w:rsidRPr="00E2408D">
        <w:t>also working on creating an enabling environment for evidence</w:t>
      </w:r>
      <w:r w:rsidR="00593490">
        <w:t>-</w:t>
      </w:r>
      <w:r w:rsidRPr="00E2408D">
        <w:t xml:space="preserve">based policy through, for example, providing assistance </w:t>
      </w:r>
      <w:r>
        <w:t>on</w:t>
      </w:r>
      <w:r w:rsidRPr="00E2408D">
        <w:t xml:space="preserve"> drafting </w:t>
      </w:r>
      <w:r>
        <w:t>supporting legislation.</w:t>
      </w:r>
    </w:p>
    <w:p w14:paraId="58AC02CE" w14:textId="23056914" w:rsidR="00C74C4B" w:rsidRPr="007A666A" w:rsidRDefault="00C74C4B" w:rsidP="00C74C4B">
      <w:r>
        <w:t>The</w:t>
      </w:r>
      <w:r w:rsidRPr="00711C6F">
        <w:rPr>
          <w:rFonts w:cs="ArialMT"/>
          <w:lang w:val="en-GB"/>
        </w:rPr>
        <w:t xml:space="preserve"> </w:t>
      </w:r>
      <w:r w:rsidR="0039784F">
        <w:rPr>
          <w:rFonts w:cs="ArialMT"/>
          <w:lang w:val="en-GB"/>
        </w:rPr>
        <w:t xml:space="preserve">PLP </w:t>
      </w:r>
      <w:r>
        <w:rPr>
          <w:rFonts w:cs="ArialMT"/>
          <w:lang w:val="en-GB"/>
        </w:rPr>
        <w:t>is another case in point.</w:t>
      </w:r>
      <w:r w:rsidR="00670092">
        <w:rPr>
          <w:rFonts w:cs="ArialMT"/>
          <w:lang w:val="en-GB"/>
        </w:rPr>
        <w:t xml:space="preserve"> </w:t>
      </w:r>
      <w:r>
        <w:rPr>
          <w:rFonts w:cs="ArialMT"/>
          <w:lang w:val="en-GB"/>
        </w:rPr>
        <w:t>T</w:t>
      </w:r>
      <w:r w:rsidRPr="00711C6F">
        <w:rPr>
          <w:rFonts w:cs="ArialMT"/>
          <w:lang w:val="en-GB"/>
        </w:rPr>
        <w:t xml:space="preserve">he </w:t>
      </w:r>
      <w:r>
        <w:rPr>
          <w:rFonts w:cs="ArialMT"/>
          <w:lang w:val="en-GB"/>
        </w:rPr>
        <w:t>evaluation of the program</w:t>
      </w:r>
      <w:r w:rsidRPr="00711C6F">
        <w:rPr>
          <w:rFonts w:cs="ArialMT"/>
          <w:lang w:val="en-GB"/>
        </w:rPr>
        <w:t xml:space="preserve"> recognised that the complex environment in which individuals operate shapes and influences their ability to </w:t>
      </w:r>
      <w:r>
        <w:rPr>
          <w:rFonts w:cs="ArialMT"/>
          <w:lang w:val="en-GB"/>
        </w:rPr>
        <w:t>develop their</w:t>
      </w:r>
      <w:r w:rsidRPr="00711C6F">
        <w:rPr>
          <w:rFonts w:cs="ArialMT"/>
          <w:lang w:val="en-GB"/>
        </w:rPr>
        <w:t xml:space="preserve"> leadership capacity (p</w:t>
      </w:r>
      <w:r w:rsidR="00945B67">
        <w:rPr>
          <w:rFonts w:cs="ArialMT"/>
          <w:lang w:val="en-GB"/>
        </w:rPr>
        <w:t xml:space="preserve">. </w:t>
      </w:r>
      <w:r w:rsidRPr="00711C6F">
        <w:rPr>
          <w:rFonts w:cs="ArialMT"/>
          <w:lang w:val="en-GB"/>
        </w:rPr>
        <w:t xml:space="preserve">9). </w:t>
      </w:r>
      <w:r>
        <w:rPr>
          <w:rFonts w:cs="ArialMT"/>
          <w:lang w:val="en-GB"/>
        </w:rPr>
        <w:t xml:space="preserve">Therefore, in order to </w:t>
      </w:r>
      <w:r w:rsidRPr="00FC138A">
        <w:t>build</w:t>
      </w:r>
      <w:r>
        <w:rPr>
          <w:rFonts w:cs="ArialMT"/>
          <w:lang w:val="en-GB"/>
        </w:rPr>
        <w:t xml:space="preserve"> individual leaders, one also needs to strengthen the organisations in which they work.</w:t>
      </w:r>
      <w:r w:rsidR="00670092">
        <w:rPr>
          <w:rFonts w:cs="ArialMT"/>
          <w:lang w:val="en-GB"/>
        </w:rPr>
        <w:t xml:space="preserve"> </w:t>
      </w:r>
      <w:r>
        <w:rPr>
          <w:rFonts w:cs="ArialMT"/>
          <w:lang w:val="en-GB"/>
        </w:rPr>
        <w:t xml:space="preserve">The program achieved this through coaching and mentoring </w:t>
      </w:r>
      <w:r w:rsidRPr="0039784F">
        <w:rPr>
          <w:rFonts w:cs="ArialMT"/>
          <w:lang w:val="en-GB"/>
        </w:rPr>
        <w:t xml:space="preserve">the </w:t>
      </w:r>
      <w:r w:rsidR="002009A2">
        <w:rPr>
          <w:rFonts w:cs="ArialMT"/>
          <w:lang w:val="en-GB"/>
        </w:rPr>
        <w:t>b</w:t>
      </w:r>
      <w:r w:rsidRPr="002009A2">
        <w:rPr>
          <w:rFonts w:cs="ArialMT"/>
          <w:lang w:val="en-GB"/>
        </w:rPr>
        <w:t xml:space="preserve">oards and </w:t>
      </w:r>
      <w:r w:rsidR="002009A2">
        <w:rPr>
          <w:rFonts w:cs="ArialMT"/>
          <w:lang w:val="en-GB"/>
        </w:rPr>
        <w:t>s</w:t>
      </w:r>
      <w:r w:rsidRPr="002009A2">
        <w:rPr>
          <w:rFonts w:cs="ArialMT"/>
          <w:lang w:val="en-GB"/>
        </w:rPr>
        <w:t xml:space="preserve">enior </w:t>
      </w:r>
      <w:r w:rsidR="002009A2">
        <w:rPr>
          <w:rFonts w:cs="ArialMT"/>
          <w:lang w:val="en-GB"/>
        </w:rPr>
        <w:t>m</w:t>
      </w:r>
      <w:r w:rsidRPr="002009A2">
        <w:rPr>
          <w:rFonts w:cs="ArialMT"/>
          <w:lang w:val="en-GB"/>
        </w:rPr>
        <w:t xml:space="preserve">anagement </w:t>
      </w:r>
      <w:r w:rsidR="002009A2">
        <w:rPr>
          <w:rFonts w:cs="ArialMT"/>
          <w:lang w:val="en-GB"/>
        </w:rPr>
        <w:t>t</w:t>
      </w:r>
      <w:r w:rsidRPr="002009A2">
        <w:rPr>
          <w:rFonts w:cs="ArialMT"/>
          <w:lang w:val="en-GB"/>
        </w:rPr>
        <w:t>eams</w:t>
      </w:r>
      <w:r>
        <w:rPr>
          <w:rFonts w:cs="ArialMT"/>
          <w:lang w:val="en-GB"/>
        </w:rPr>
        <w:t xml:space="preserve"> of the</w:t>
      </w:r>
      <w:r w:rsidR="00764A7B">
        <w:rPr>
          <w:rFonts w:cs="ArialMT"/>
          <w:lang w:val="en-GB"/>
        </w:rPr>
        <w:t xml:space="preserve"> leaders’</w:t>
      </w:r>
      <w:r>
        <w:rPr>
          <w:rFonts w:cs="ArialMT"/>
          <w:lang w:val="en-GB"/>
        </w:rPr>
        <w:t xml:space="preserve"> organisations, strengthening the organisations’ governance and financial systems and improving their strategic planning processes.</w:t>
      </w:r>
    </w:p>
    <w:p w14:paraId="59F48615" w14:textId="3E20B94F" w:rsidR="00C74C4B" w:rsidRDefault="00C74C4B" w:rsidP="00C74C4B">
      <w:r w:rsidRPr="002009A2">
        <w:t xml:space="preserve">Conversely, the evaluations of the UNICEF Education Assistance Project, the </w:t>
      </w:r>
      <w:r w:rsidR="002009A2">
        <w:t xml:space="preserve">BESIK </w:t>
      </w:r>
      <w:r w:rsidRPr="002009A2">
        <w:t xml:space="preserve">Rural Water Supply and Sanitation Program in Timor-Leste </w:t>
      </w:r>
      <w:r w:rsidRPr="00C14720">
        <w:t xml:space="preserve">and the </w:t>
      </w:r>
      <w:r w:rsidRPr="00D16CD4">
        <w:t xml:space="preserve">Public Sector Capability Development </w:t>
      </w:r>
      <w:r>
        <w:t xml:space="preserve">Program </w:t>
      </w:r>
      <w:r w:rsidRPr="00D16CD4">
        <w:t xml:space="preserve">(PSCDP) in </w:t>
      </w:r>
      <w:r>
        <w:t>Timor-Leste</w:t>
      </w:r>
      <w:r w:rsidRPr="00A9589F">
        <w:t xml:space="preserve"> </w:t>
      </w:r>
      <w:r w:rsidRPr="006D567D">
        <w:t>provide il</w:t>
      </w:r>
      <w:r>
        <w:t>lustrations of how failing to acknowledge, understand and respond to the broader</w:t>
      </w:r>
      <w:r w:rsidR="00670092">
        <w:t xml:space="preserve"> </w:t>
      </w:r>
      <w:r>
        <w:t>environment can limit effectiveness.</w:t>
      </w:r>
      <w:r w:rsidR="00670092">
        <w:t xml:space="preserve"> </w:t>
      </w:r>
      <w:r>
        <w:t>The UNICEF project</w:t>
      </w:r>
      <w:r w:rsidR="00945B67">
        <w:t>,</w:t>
      </w:r>
      <w:r>
        <w:t xml:space="preserve"> for example, was criticised for focusing too much on building the skills and knowledge of individuals and not enough on the wider enabling environment</w:t>
      </w:r>
      <w:r w:rsidR="00945B67">
        <w:rPr>
          <w:rFonts w:ascii="Cambria" w:hAnsi="Cambria"/>
        </w:rPr>
        <w:t>—</w:t>
      </w:r>
      <w:r>
        <w:t>in particular</w:t>
      </w:r>
      <w:r w:rsidR="00945B67">
        <w:t>,</w:t>
      </w:r>
      <w:r>
        <w:t xml:space="preserve"> leadership among school princip</w:t>
      </w:r>
      <w:r w:rsidR="00945B67">
        <w:t>al</w:t>
      </w:r>
      <w:r>
        <w:t xml:space="preserve">s for the reform of teaching and learning processes </w:t>
      </w:r>
      <w:r w:rsidRPr="00B976F5">
        <w:t>and regulatory change.</w:t>
      </w:r>
      <w:r w:rsidR="00670092">
        <w:t xml:space="preserve"> </w:t>
      </w:r>
      <w:r>
        <w:t>The evaluation found that</w:t>
      </w:r>
      <w:r w:rsidR="00945B67">
        <w:t>,</w:t>
      </w:r>
      <w:r>
        <w:t xml:space="preserve"> d</w:t>
      </w:r>
      <w:r w:rsidRPr="00B976F5">
        <w:t>e</w:t>
      </w:r>
      <w:r>
        <w:t xml:space="preserve">spite a large number of </w:t>
      </w:r>
      <w:r w:rsidRPr="00B976F5">
        <w:t xml:space="preserve">stakeholders </w:t>
      </w:r>
      <w:r>
        <w:t xml:space="preserve">being trained, </w:t>
      </w:r>
      <w:r w:rsidRPr="00B976F5">
        <w:t xml:space="preserve">little progress </w:t>
      </w:r>
      <w:r>
        <w:t xml:space="preserve">had been made </w:t>
      </w:r>
      <w:r w:rsidRPr="00B976F5">
        <w:t xml:space="preserve">in delivering </w:t>
      </w:r>
      <w:r>
        <w:t xml:space="preserve">key program </w:t>
      </w:r>
      <w:r w:rsidRPr="00B976F5">
        <w:t>outcomes</w:t>
      </w:r>
      <w:r>
        <w:t>.</w:t>
      </w:r>
      <w:r w:rsidR="00670092">
        <w:t xml:space="preserve"> </w:t>
      </w:r>
      <w:r>
        <w:t xml:space="preserve">This was </w:t>
      </w:r>
      <w:r w:rsidRPr="00E2408D">
        <w:t>because</w:t>
      </w:r>
      <w:r>
        <w:t xml:space="preserve"> the program failed to engage </w:t>
      </w:r>
      <w:r w:rsidRPr="00B976F5">
        <w:t>financial decision</w:t>
      </w:r>
      <w:r w:rsidR="00945B67">
        <w:t xml:space="preserve"> </w:t>
      </w:r>
      <w:r w:rsidRPr="00B976F5">
        <w:t>makers</w:t>
      </w:r>
      <w:r>
        <w:t xml:space="preserve"> </w:t>
      </w:r>
      <w:r w:rsidR="00945B67">
        <w:t xml:space="preserve">who </w:t>
      </w:r>
      <w:r>
        <w:t xml:space="preserve">needed to provide the financial resources for trainees </w:t>
      </w:r>
      <w:r w:rsidRPr="00B976F5">
        <w:t>to put their new skills into practice</w:t>
      </w:r>
      <w:r w:rsidRPr="00725447">
        <w:t xml:space="preserve"> </w:t>
      </w:r>
      <w:r>
        <w:t>and also struggled to address the challenges of delivering the program in remote, difficult to access locations where initial school and teacher capacity was very low.</w:t>
      </w:r>
      <w:r w:rsidR="00670092">
        <w:t xml:space="preserve"> </w:t>
      </w:r>
    </w:p>
    <w:p w14:paraId="14C8BE08" w14:textId="1E93A612" w:rsidR="00C74C4B" w:rsidRPr="00293AF3" w:rsidRDefault="00C74C4B" w:rsidP="00C74C4B">
      <w:pPr>
        <w:rPr>
          <w:lang w:val="en-GB"/>
        </w:rPr>
      </w:pPr>
      <w:r>
        <w:t xml:space="preserve">In the case of </w:t>
      </w:r>
      <w:r w:rsidRPr="00D16CD4">
        <w:t>BESIK</w:t>
      </w:r>
      <w:r>
        <w:t>, while the evaluation noted successes in the development of government and NGO capacity</w:t>
      </w:r>
      <w:r w:rsidR="00945B67">
        <w:t>,</w:t>
      </w:r>
      <w:r>
        <w:t xml:space="preserve"> it raised concerns around the capacity of the Water User Groups </w:t>
      </w:r>
      <w:r w:rsidRPr="002009A2">
        <w:t>(GMFs).</w:t>
      </w:r>
      <w:r w:rsidR="00670092">
        <w:t xml:space="preserve"> </w:t>
      </w:r>
      <w:r>
        <w:t xml:space="preserve">Notably, the </w:t>
      </w:r>
      <w:r>
        <w:lastRenderedPageBreak/>
        <w:t>initiative</w:t>
      </w:r>
      <w:r w:rsidRPr="00B976F5">
        <w:rPr>
          <w:b/>
        </w:rPr>
        <w:t xml:space="preserve"> </w:t>
      </w:r>
      <w:r w:rsidRPr="00B976F5">
        <w:rPr>
          <w:lang w:val="en-GB"/>
        </w:rPr>
        <w:t>invested significant resources in the establishment, training</w:t>
      </w:r>
      <w:r>
        <w:rPr>
          <w:lang w:val="en-GB"/>
        </w:rPr>
        <w:t>,</w:t>
      </w:r>
      <w:r w:rsidRPr="00B976F5">
        <w:rPr>
          <w:lang w:val="en-GB"/>
        </w:rPr>
        <w:t xml:space="preserve"> and support of GMFs as the structure to carry forward community asset management</w:t>
      </w:r>
      <w:r>
        <w:rPr>
          <w:lang w:val="en-GB"/>
        </w:rPr>
        <w:t>.</w:t>
      </w:r>
      <w:r w:rsidR="00670092">
        <w:rPr>
          <w:lang w:val="en-GB"/>
        </w:rPr>
        <w:t xml:space="preserve"> </w:t>
      </w:r>
      <w:r>
        <w:rPr>
          <w:lang w:val="en-GB"/>
        </w:rPr>
        <w:t>H</w:t>
      </w:r>
      <w:r w:rsidRPr="00B976F5">
        <w:rPr>
          <w:lang w:val="en-GB"/>
        </w:rPr>
        <w:t xml:space="preserve">owever, there is evidence that </w:t>
      </w:r>
      <w:r>
        <w:rPr>
          <w:lang w:val="en-GB"/>
        </w:rPr>
        <w:t>their</w:t>
      </w:r>
      <w:r w:rsidRPr="00B976F5">
        <w:rPr>
          <w:lang w:val="en-GB"/>
        </w:rPr>
        <w:t xml:space="preserve"> </w:t>
      </w:r>
      <w:r>
        <w:rPr>
          <w:lang w:val="en-GB"/>
        </w:rPr>
        <w:t xml:space="preserve">ability to provide sustainable and reliable services </w:t>
      </w:r>
      <w:r w:rsidRPr="00B976F5">
        <w:rPr>
          <w:lang w:val="en-GB"/>
        </w:rPr>
        <w:t xml:space="preserve">remains constrained </w:t>
      </w:r>
      <w:r w:rsidR="00945B67">
        <w:rPr>
          <w:lang w:val="en-GB"/>
        </w:rPr>
        <w:t xml:space="preserve">because </w:t>
      </w:r>
      <w:r>
        <w:rPr>
          <w:lang w:val="en-GB"/>
        </w:rPr>
        <w:t xml:space="preserve">resources </w:t>
      </w:r>
      <w:r w:rsidR="00764A7B">
        <w:rPr>
          <w:lang w:val="en-GB"/>
        </w:rPr>
        <w:t xml:space="preserve">are inadequate </w:t>
      </w:r>
      <w:r>
        <w:rPr>
          <w:lang w:val="en-GB"/>
        </w:rPr>
        <w:t xml:space="preserve">at district </w:t>
      </w:r>
      <w:r w:rsidRPr="002009A2">
        <w:rPr>
          <w:lang w:val="en-GB"/>
        </w:rPr>
        <w:t xml:space="preserve">and </w:t>
      </w:r>
      <w:proofErr w:type="spellStart"/>
      <w:r w:rsidRPr="002009A2">
        <w:rPr>
          <w:lang w:val="en-GB"/>
        </w:rPr>
        <w:t>subdistrict</w:t>
      </w:r>
      <w:proofErr w:type="spellEnd"/>
      <w:r>
        <w:rPr>
          <w:lang w:val="en-GB"/>
        </w:rPr>
        <w:t xml:space="preserve"> levels to undertake maintenance and repair </w:t>
      </w:r>
      <w:r w:rsidRPr="002009A2">
        <w:rPr>
          <w:lang w:val="en-GB"/>
        </w:rPr>
        <w:t xml:space="preserve">of facilities </w:t>
      </w:r>
      <w:r w:rsidR="002009A2">
        <w:rPr>
          <w:lang w:val="en-GB"/>
        </w:rPr>
        <w:t xml:space="preserve">where this is </w:t>
      </w:r>
      <w:r w:rsidRPr="002009A2">
        <w:rPr>
          <w:lang w:val="en-GB"/>
        </w:rPr>
        <w:t>outside of the technical abilities of the GMFs (</w:t>
      </w:r>
      <w:r>
        <w:rPr>
          <w:lang w:val="en-GB"/>
        </w:rPr>
        <w:t>p</w:t>
      </w:r>
      <w:r w:rsidR="00945B67">
        <w:rPr>
          <w:lang w:val="en-GB"/>
        </w:rPr>
        <w:t xml:space="preserve">. </w:t>
      </w:r>
      <w:r>
        <w:rPr>
          <w:lang w:val="en-GB"/>
        </w:rPr>
        <w:t>26).</w:t>
      </w:r>
      <w:r w:rsidR="00670092">
        <w:rPr>
          <w:lang w:val="en-GB"/>
        </w:rPr>
        <w:t xml:space="preserve"> </w:t>
      </w:r>
      <w:r>
        <w:rPr>
          <w:lang w:val="en-GB"/>
        </w:rPr>
        <w:t xml:space="preserve">The evaluation concluded that the program needed to focus more on </w:t>
      </w:r>
      <w:r w:rsidRPr="002009A2">
        <w:rPr>
          <w:lang w:val="en-GB"/>
        </w:rPr>
        <w:t xml:space="preserve">securing greater levels of resources for GMFs and helping to </w:t>
      </w:r>
      <w:r w:rsidR="005E6FAF" w:rsidRPr="002009A2">
        <w:rPr>
          <w:lang w:val="en-GB"/>
        </w:rPr>
        <w:t>creat</w:t>
      </w:r>
      <w:r w:rsidR="005E6FAF">
        <w:rPr>
          <w:lang w:val="en-GB"/>
        </w:rPr>
        <w:t>e</w:t>
      </w:r>
      <w:r w:rsidR="005E6FAF" w:rsidRPr="002009A2">
        <w:rPr>
          <w:lang w:val="en-GB"/>
        </w:rPr>
        <w:t xml:space="preserve"> </w:t>
      </w:r>
      <w:r w:rsidRPr="002009A2">
        <w:rPr>
          <w:lang w:val="en-GB"/>
        </w:rPr>
        <w:t xml:space="preserve">a more enabling environment for them to function </w:t>
      </w:r>
      <w:r w:rsidR="00945B67" w:rsidRPr="002009A2">
        <w:rPr>
          <w:lang w:val="en-GB"/>
        </w:rPr>
        <w:t xml:space="preserve">in </w:t>
      </w:r>
      <w:r w:rsidRPr="002009A2">
        <w:rPr>
          <w:lang w:val="en-GB"/>
        </w:rPr>
        <w:t>by advocating and building broad</w:t>
      </w:r>
      <w:r w:rsidR="00945B67" w:rsidRPr="002009A2">
        <w:rPr>
          <w:lang w:val="en-GB"/>
        </w:rPr>
        <w:t>-</w:t>
      </w:r>
      <w:r w:rsidRPr="00690422">
        <w:rPr>
          <w:lang w:val="en-GB"/>
        </w:rPr>
        <w:t>based support for the government to invest more in the operations and maintenance of community assets (p</w:t>
      </w:r>
      <w:r w:rsidR="00945B67" w:rsidRPr="00690422">
        <w:rPr>
          <w:lang w:val="en-GB"/>
        </w:rPr>
        <w:t xml:space="preserve">. </w:t>
      </w:r>
      <w:r w:rsidRPr="002F17AE">
        <w:rPr>
          <w:lang w:val="en-GB"/>
        </w:rPr>
        <w:t>27).</w:t>
      </w:r>
      <w:r w:rsidR="00670092">
        <w:rPr>
          <w:lang w:val="en-GB"/>
        </w:rPr>
        <w:t xml:space="preserve"> </w:t>
      </w:r>
      <w:r w:rsidRPr="00293AF3">
        <w:t>This issue is now being addressed by the program</w:t>
      </w:r>
      <w:r w:rsidR="00B75DB8">
        <w:t xml:space="preserve">: </w:t>
      </w:r>
      <w:r w:rsidRPr="00293AF3">
        <w:t xml:space="preserve">new approaches to the division of responsibilities between GMFs and district governments </w:t>
      </w:r>
      <w:r w:rsidR="00B75DB8">
        <w:t xml:space="preserve">are </w:t>
      </w:r>
      <w:r w:rsidRPr="00293AF3">
        <w:t>being piloted.</w:t>
      </w:r>
    </w:p>
    <w:p w14:paraId="742EE9AF" w14:textId="734BC5C4" w:rsidR="00C74C4B" w:rsidRPr="009B61ED" w:rsidRDefault="00C74C4B" w:rsidP="00C74C4B">
      <w:r w:rsidRPr="009B61ED">
        <w:t xml:space="preserve">Similarly, the evaluation </w:t>
      </w:r>
      <w:r w:rsidRPr="002009A2">
        <w:t>of PSCDP highlighted the need for the program to take better account of the wider political environment.</w:t>
      </w:r>
      <w:r w:rsidR="00670092" w:rsidRPr="00690422">
        <w:t xml:space="preserve"> </w:t>
      </w:r>
      <w:r w:rsidRPr="00690422">
        <w:t>It found that the advisers provided through the program were given technical roles, but the challenges they were grappling with were inherently political. The evaluation concluded that</w:t>
      </w:r>
      <w:r w:rsidR="00693644" w:rsidRPr="002F17AE">
        <w:t>,</w:t>
      </w:r>
      <w:r w:rsidRPr="002F17AE">
        <w:t xml:space="preserve"> because of an absence of political leadership, the effectiveness of technical assistance was undermined (p</w:t>
      </w:r>
      <w:r w:rsidR="00693644" w:rsidRPr="00355BFD">
        <w:t xml:space="preserve">. </w:t>
      </w:r>
      <w:r w:rsidRPr="00355BFD">
        <w:t>16).</w:t>
      </w:r>
      <w:r w:rsidRPr="009B61ED">
        <w:t xml:space="preserve"> </w:t>
      </w:r>
    </w:p>
    <w:p w14:paraId="46C7C1EE" w14:textId="375EA332" w:rsidR="00C74C4B" w:rsidRDefault="00C74C4B" w:rsidP="005A759D">
      <w:pPr>
        <w:pStyle w:val="Heading3a"/>
      </w:pPr>
      <w:bookmarkStart w:id="110" w:name="_Toc370829053"/>
      <w:bookmarkStart w:id="111" w:name="_Toc372723854"/>
      <w:bookmarkStart w:id="112" w:name="_Toc373304268"/>
      <w:r>
        <w:t>Ensure that</w:t>
      </w:r>
      <w:r w:rsidR="004742DB">
        <w:t xml:space="preserve"> </w:t>
      </w:r>
      <w:r>
        <w:t xml:space="preserve">technical advisers have </w:t>
      </w:r>
      <w:r w:rsidR="004742DB">
        <w:t>strong relationship and capacity</w:t>
      </w:r>
      <w:r w:rsidR="00693644">
        <w:t>-</w:t>
      </w:r>
      <w:r w:rsidR="004742DB">
        <w:t xml:space="preserve">building </w:t>
      </w:r>
      <w:r>
        <w:t xml:space="preserve">skills and understand the local context </w:t>
      </w:r>
      <w:bookmarkEnd w:id="110"/>
      <w:bookmarkEnd w:id="111"/>
      <w:bookmarkEnd w:id="112"/>
    </w:p>
    <w:p w14:paraId="78679BC1" w14:textId="100BCC5D" w:rsidR="00C74C4B" w:rsidRDefault="00C74C4B" w:rsidP="00C74C4B">
      <w:r>
        <w:t xml:space="preserve">While there is recognition in the evaluations that technical advisers </w:t>
      </w:r>
      <w:r w:rsidR="004D677F">
        <w:t xml:space="preserve">can </w:t>
      </w:r>
      <w:r>
        <w:t xml:space="preserve">have an important role to play in </w:t>
      </w:r>
      <w:r w:rsidRPr="00E2408D">
        <w:t>supporting</w:t>
      </w:r>
      <w:r>
        <w:t xml:space="preserve"> partner governments, a number of evaluations highlighted the need for technical advisers to be skilled in capacity building as well as specific technical areas so as to support longer</w:t>
      </w:r>
      <w:r w:rsidR="00693644">
        <w:t>-</w:t>
      </w:r>
      <w:r>
        <w:t>term sustainable change.</w:t>
      </w:r>
      <w:r w:rsidR="00670092">
        <w:t xml:space="preserve"> </w:t>
      </w:r>
      <w:r>
        <w:t>Two considerations emerged as key: the need for technical advisers to have a more rounded skills set encompassing both technical and relational skills</w:t>
      </w:r>
      <w:r w:rsidR="00693644">
        <w:t>;</w:t>
      </w:r>
      <w:r>
        <w:t xml:space="preserve"> and the length of time that technical advisers are in their role.</w:t>
      </w:r>
      <w:r w:rsidR="00670092">
        <w:t xml:space="preserve"> </w:t>
      </w:r>
      <w:r>
        <w:t xml:space="preserve">On the latter, the </w:t>
      </w:r>
      <w:r w:rsidR="005E6FAF">
        <w:t>evaluation findings suggested</w:t>
      </w:r>
      <w:r>
        <w:t xml:space="preserve"> that capacity development is more likely under longer</w:t>
      </w:r>
      <w:r w:rsidR="00693644">
        <w:t>-</w:t>
      </w:r>
      <w:r>
        <w:t>term contracts.</w:t>
      </w:r>
      <w:r w:rsidR="00670092">
        <w:t xml:space="preserve"> </w:t>
      </w:r>
      <w:r>
        <w:t>However, it is important to note that the wider evidence base is inconclusive on this issue</w:t>
      </w:r>
      <w:r w:rsidR="00693644">
        <w:t>,</w:t>
      </w:r>
      <w:r>
        <w:t xml:space="preserve"> indic</w:t>
      </w:r>
      <w:r w:rsidR="001B1972">
        <w:t>a</w:t>
      </w:r>
      <w:r>
        <w:t>ting that the relationships between length of contract and effectiveness depend on the context.</w:t>
      </w:r>
      <w:r w:rsidR="00670092">
        <w:t xml:space="preserve"> </w:t>
      </w:r>
      <w:r>
        <w:t>Another lesson relates to the use of technical advisers to provide capacity addition rather than capacity development and the challenges around this.</w:t>
      </w:r>
      <w:r w:rsidR="00670092">
        <w:t xml:space="preserve"> </w:t>
      </w:r>
      <w:r>
        <w:t>The evidence base for these lessons is drawn from five</w:t>
      </w:r>
      <w:r w:rsidRPr="00A9589F">
        <w:t xml:space="preserve"> evaluations. </w:t>
      </w:r>
    </w:p>
    <w:p w14:paraId="39CF2237" w14:textId="2FABCDE0" w:rsidR="00C74C4B" w:rsidRDefault="00C74C4B" w:rsidP="00C74C4B">
      <w:r>
        <w:t>Two evaluations highlighted the issue of technical advisers</w:t>
      </w:r>
      <w:r w:rsidR="00693644">
        <w:t>’</w:t>
      </w:r>
      <w:r>
        <w:t xml:space="preserve"> skills sets</w:t>
      </w:r>
      <w:r w:rsidRPr="00A9589F">
        <w:t>.</w:t>
      </w:r>
      <w:r w:rsidR="00670092">
        <w:t xml:space="preserve"> </w:t>
      </w:r>
      <w:r>
        <w:t>In the case of</w:t>
      </w:r>
      <w:r w:rsidRPr="002C124D">
        <w:rPr>
          <w:b/>
        </w:rPr>
        <w:t xml:space="preserve"> </w:t>
      </w:r>
      <w:r>
        <w:t xml:space="preserve">the </w:t>
      </w:r>
      <w:r w:rsidRPr="002009A2">
        <w:t>Pacific Technical Assistance Mechanism (PACTAM),</w:t>
      </w:r>
      <w:r>
        <w:t xml:space="preserve"> technical advisers</w:t>
      </w:r>
      <w:r w:rsidRPr="00A9589F">
        <w:t xml:space="preserve"> </w:t>
      </w:r>
      <w:r>
        <w:t>with</w:t>
      </w:r>
      <w:r w:rsidRPr="00A9589F">
        <w:t xml:space="preserve"> previous training</w:t>
      </w:r>
      <w:r w:rsidR="00693644">
        <w:t xml:space="preserve"> </w:t>
      </w:r>
      <w:r w:rsidR="005E6FAF">
        <w:t xml:space="preserve">or </w:t>
      </w:r>
      <w:r w:rsidRPr="00A9589F">
        <w:t xml:space="preserve">mentoring skills in adult education were </w:t>
      </w:r>
      <w:r>
        <w:t xml:space="preserve">found to be </w:t>
      </w:r>
      <w:r w:rsidRPr="00A9589F">
        <w:t>better equipped to share skills</w:t>
      </w:r>
      <w:r w:rsidR="00693644">
        <w:t xml:space="preserve"> and </w:t>
      </w:r>
      <w:r w:rsidRPr="00A9589F">
        <w:t xml:space="preserve">mentor others. Equally important </w:t>
      </w:r>
      <w:r>
        <w:t>is the</w:t>
      </w:r>
      <w:r w:rsidRPr="00A9589F">
        <w:t xml:space="preserve"> </w:t>
      </w:r>
      <w:r>
        <w:t xml:space="preserve">technical advisers’ </w:t>
      </w:r>
      <w:r w:rsidRPr="00A9589F">
        <w:t>knowledge of the context.</w:t>
      </w:r>
      <w:r w:rsidR="00670092">
        <w:t xml:space="preserve"> </w:t>
      </w:r>
      <w:r w:rsidRPr="00A9589F">
        <w:t>For example</w:t>
      </w:r>
      <w:r>
        <w:t>,</w:t>
      </w:r>
      <w:r w:rsidRPr="00A9589F">
        <w:t xml:space="preserve"> in Vanuatu the ability of Pacific Islander</w:t>
      </w:r>
      <w:r w:rsidR="005E6FAF">
        <w:t xml:space="preserve"> technical adviser</w:t>
      </w:r>
      <w:r w:rsidRPr="00A9589F">
        <w:t>s (in particular</w:t>
      </w:r>
      <w:r w:rsidR="00693644">
        <w:t>,</w:t>
      </w:r>
      <w:r w:rsidRPr="00A9589F">
        <w:t xml:space="preserve"> Melanesians) to develop rapport and share skills with counterparts</w:t>
      </w:r>
      <w:r w:rsidR="00693644">
        <w:t xml:space="preserve"> and </w:t>
      </w:r>
      <w:r w:rsidRPr="00A9589F">
        <w:t>teams was parti</w:t>
      </w:r>
      <w:r>
        <w:t xml:space="preserve">cularly remarked upon by the </w:t>
      </w:r>
      <w:r w:rsidRPr="002009A2">
        <w:t>Vanuatu Government</w:t>
      </w:r>
      <w:r w:rsidRPr="00A9589F">
        <w:t xml:space="preserve"> representatives. Conversely</w:t>
      </w:r>
      <w:r w:rsidR="00693644">
        <w:t>,</w:t>
      </w:r>
      <w:r w:rsidRPr="00A9589F">
        <w:t xml:space="preserve"> it was pointed out that</w:t>
      </w:r>
      <w:r>
        <w:t>, in other cases,</w:t>
      </w:r>
      <w:r w:rsidRPr="00A9589F">
        <w:t xml:space="preserve"> a lack of ability to understand culture and relate well significantly hampered communication between </w:t>
      </w:r>
      <w:r>
        <w:t>technical advisers</w:t>
      </w:r>
      <w:r w:rsidRPr="00A9589F">
        <w:t xml:space="preserve"> and </w:t>
      </w:r>
      <w:r>
        <w:t xml:space="preserve">local </w:t>
      </w:r>
      <w:r w:rsidRPr="00A9589F">
        <w:t>colleagues and hence the transfer of skills.</w:t>
      </w:r>
      <w:r w:rsidR="00670092">
        <w:t xml:space="preserve"> </w:t>
      </w:r>
      <w:r w:rsidRPr="00A9589F">
        <w:t xml:space="preserve">The </w:t>
      </w:r>
      <w:r w:rsidRPr="002009A2">
        <w:t>Timor-Leste Asian Development Bank Infrastructure Project</w:t>
      </w:r>
      <w:r>
        <w:t xml:space="preserve"> raised similar issues.</w:t>
      </w:r>
      <w:r w:rsidR="00670092">
        <w:t xml:space="preserve"> </w:t>
      </w:r>
      <w:r>
        <w:t xml:space="preserve">It noted that </w:t>
      </w:r>
      <w:r w:rsidR="00693644">
        <w:t>‘</w:t>
      </w:r>
      <w:r>
        <w:rPr>
          <w:i/>
        </w:rPr>
        <w:t xml:space="preserve">[technical advisers] </w:t>
      </w:r>
      <w:r w:rsidRPr="00D16CD4">
        <w:rPr>
          <w:i/>
        </w:rPr>
        <w:t>should be selected as much for their ability to develop relationships and their local knowledge and cultural understanding as for their technical skills and knowledge when capacity building is their primary purpose</w:t>
      </w:r>
      <w:r w:rsidR="00693644">
        <w:t>’</w:t>
      </w:r>
      <w:r w:rsidRPr="00A9589F">
        <w:t xml:space="preserve"> (p</w:t>
      </w:r>
      <w:r w:rsidR="00693644">
        <w:t xml:space="preserve">. </w:t>
      </w:r>
      <w:r w:rsidRPr="00A9589F">
        <w:t xml:space="preserve">26). </w:t>
      </w:r>
    </w:p>
    <w:p w14:paraId="5A606F6C" w14:textId="6D05C5CA" w:rsidR="00C74C4B" w:rsidRDefault="00C74C4B" w:rsidP="00C74C4B">
      <w:r>
        <w:t xml:space="preserve">The </w:t>
      </w:r>
      <w:r w:rsidR="00CC3FE4">
        <w:t xml:space="preserve">evaluation of the </w:t>
      </w:r>
      <w:r w:rsidRPr="002009A2">
        <w:t>PSCDP</w:t>
      </w:r>
      <w:r w:rsidRPr="00D16CD4">
        <w:t xml:space="preserve"> in </w:t>
      </w:r>
      <w:r>
        <w:t>Timor-Leste</w:t>
      </w:r>
      <w:r w:rsidRPr="00A9589F">
        <w:t xml:space="preserve"> </w:t>
      </w:r>
      <w:r>
        <w:t xml:space="preserve">raises the issue of the </w:t>
      </w:r>
      <w:r w:rsidRPr="00A9589F">
        <w:t xml:space="preserve">length of time that advisers </w:t>
      </w:r>
      <w:r>
        <w:t xml:space="preserve">are </w:t>
      </w:r>
      <w:r w:rsidRPr="00A9589F">
        <w:t>post</w:t>
      </w:r>
      <w:r>
        <w:t>ed</w:t>
      </w:r>
      <w:r w:rsidRPr="00A9589F">
        <w:t>.</w:t>
      </w:r>
      <w:r w:rsidR="00670092">
        <w:t xml:space="preserve"> </w:t>
      </w:r>
      <w:r>
        <w:t xml:space="preserve">The evaluation found that the advisers were often at post for too short a time for any meaningful skills transfer to take place. It concluded that the use of short term advisers </w:t>
      </w:r>
      <w:r w:rsidRPr="00AD6A55">
        <w:t xml:space="preserve">was </w:t>
      </w:r>
      <w:r w:rsidR="00693644" w:rsidRPr="00BF0373">
        <w:rPr>
          <w:i/>
        </w:rPr>
        <w:t>‘</w:t>
      </w:r>
      <w:r w:rsidRPr="00BF0373">
        <w:rPr>
          <w:i/>
        </w:rPr>
        <w:t>a weak form of capacity development (effectiveness)</w:t>
      </w:r>
      <w:r w:rsidR="00693644" w:rsidRPr="00BF0373">
        <w:rPr>
          <w:i/>
        </w:rPr>
        <w:t>’</w:t>
      </w:r>
      <w:r w:rsidRPr="00BF0373">
        <w:rPr>
          <w:rFonts w:ascii="Franklin Gothic Medium" w:hAnsi="Franklin Gothic Medium"/>
        </w:rPr>
        <w:t xml:space="preserve"> </w:t>
      </w:r>
      <w:r w:rsidRPr="00AD6A55">
        <w:t>th</w:t>
      </w:r>
      <w:r w:rsidRPr="00DF7204">
        <w:t>at is costly and unsustainable (p</w:t>
      </w:r>
      <w:r w:rsidR="00693644" w:rsidRPr="00DF7204">
        <w:t xml:space="preserve">. </w:t>
      </w:r>
      <w:r w:rsidRPr="00DF7204">
        <w:t>29)</w:t>
      </w:r>
      <w:r>
        <w:t xml:space="preserve"> and that</w:t>
      </w:r>
      <w:r w:rsidRPr="00A9589F">
        <w:t xml:space="preserve"> </w:t>
      </w:r>
      <w:r w:rsidR="00693644">
        <w:t>‘</w:t>
      </w:r>
      <w:r w:rsidRPr="00D16CD4">
        <w:rPr>
          <w:i/>
        </w:rPr>
        <w:t>the excessive use of short term advisers can result in capacity addition rather than capacity building</w:t>
      </w:r>
      <w:r w:rsidR="00693644">
        <w:t>’</w:t>
      </w:r>
      <w:r>
        <w:t xml:space="preserve"> </w:t>
      </w:r>
      <w:r w:rsidRPr="00A9589F">
        <w:t>(p</w:t>
      </w:r>
      <w:r w:rsidRPr="009E77A6">
        <w:rPr>
          <w:sz w:val="22"/>
        </w:rPr>
        <w:t>.</w:t>
      </w:r>
      <w:r>
        <w:t xml:space="preserve"> </w:t>
      </w:r>
      <w:r w:rsidRPr="00A9589F">
        <w:lastRenderedPageBreak/>
        <w:t>ii).</w:t>
      </w:r>
      <w:r>
        <w:t xml:space="preserve"> A similar point was also raised in the evaluation of PACTAM</w:t>
      </w:r>
      <w:r w:rsidR="00693644">
        <w:t>,</w:t>
      </w:r>
      <w:r>
        <w:t xml:space="preserve"> where it was noted that the length of time an adviser was at post was a significant factor in their ability to support capacity development.</w:t>
      </w:r>
      <w:r w:rsidR="00670092">
        <w:t xml:space="preserve"> </w:t>
      </w:r>
      <w:r>
        <w:t>The evaluation noted that both advisers and government partners felt that assignments were too short to engender sustainable skills change (</w:t>
      </w:r>
      <w:r w:rsidR="000F6CDF">
        <w:t>pp.</w:t>
      </w:r>
      <w:r w:rsidR="00693644">
        <w:t xml:space="preserve"> </w:t>
      </w:r>
      <w:r>
        <w:t>11, 22).</w:t>
      </w:r>
      <w:r w:rsidR="00670092">
        <w:t xml:space="preserve"> </w:t>
      </w:r>
    </w:p>
    <w:p w14:paraId="428A1EB4" w14:textId="1E91E479" w:rsidR="00693644" w:rsidRDefault="00C74C4B" w:rsidP="00C74C4B">
      <w:r>
        <w:t>While the objective of using technical advisers should be to transfer skills and build capacity, it is important to recognise that this is not always possible.</w:t>
      </w:r>
      <w:r w:rsidR="00670092">
        <w:t xml:space="preserve"> </w:t>
      </w:r>
      <w:r w:rsidR="004D677F">
        <w:t xml:space="preserve">Sometimes partner governments </w:t>
      </w:r>
      <w:r w:rsidR="00267EB9">
        <w:t xml:space="preserve">explicitly identify the need for specialist skills or experience </w:t>
      </w:r>
      <w:r w:rsidR="00267EB9" w:rsidRPr="002009A2">
        <w:t xml:space="preserve">that </w:t>
      </w:r>
      <w:r w:rsidR="00693644" w:rsidRPr="002009A2">
        <w:t xml:space="preserve">is not </w:t>
      </w:r>
      <w:r w:rsidR="00267EB9" w:rsidRPr="00690422">
        <w:t>available</w:t>
      </w:r>
      <w:r w:rsidR="00267EB9">
        <w:t xml:space="preserve"> in the local labour market. In such circumstances, aid may fund technical assistance that is, effectively, </w:t>
      </w:r>
      <w:r w:rsidRPr="004601D6">
        <w:t xml:space="preserve">capacity </w:t>
      </w:r>
      <w:r>
        <w:t>substitution</w:t>
      </w:r>
      <w:r w:rsidR="00267EB9">
        <w:t xml:space="preserve">. </w:t>
      </w:r>
      <w:r w:rsidR="00693644">
        <w:t xml:space="preserve">This </w:t>
      </w:r>
      <w:r>
        <w:t xml:space="preserve">gap filling </w:t>
      </w:r>
      <w:r w:rsidRPr="004601D6">
        <w:t>can be an effective strategy</w:t>
      </w:r>
      <w:r w:rsidR="00267EB9">
        <w:t>,</w:t>
      </w:r>
      <w:r w:rsidRPr="004601D6">
        <w:t xml:space="preserve"> provid</w:t>
      </w:r>
      <w:r w:rsidR="00693644">
        <w:t>ed</w:t>
      </w:r>
      <w:r w:rsidRPr="004601D6">
        <w:t xml:space="preserve"> it is recognised as such and </w:t>
      </w:r>
      <w:r w:rsidR="00267EB9">
        <w:t>that there is clear agreement on how the role (if it is ongoing) will be filled when aid funding ceases</w:t>
      </w:r>
      <w:r w:rsidRPr="004601D6">
        <w:t>.</w:t>
      </w:r>
      <w:r w:rsidR="00670092">
        <w:t xml:space="preserve"> </w:t>
      </w:r>
    </w:p>
    <w:p w14:paraId="409F5B1A" w14:textId="7BE3EDAD" w:rsidR="00C74C4B" w:rsidRDefault="00C74C4B" w:rsidP="00C74C4B">
      <w:r>
        <w:t>However, trying to combine capacity substitution with capacity building can be problematic.</w:t>
      </w:r>
      <w:r w:rsidR="00670092">
        <w:t xml:space="preserve"> </w:t>
      </w:r>
      <w:r w:rsidRPr="004601D6">
        <w:t xml:space="preserve">PACTAM provides an </w:t>
      </w:r>
      <w:r>
        <w:t>interesting example of an initiative that</w:t>
      </w:r>
      <w:r w:rsidR="00693644">
        <w:t>,</w:t>
      </w:r>
      <w:r>
        <w:t xml:space="preserve"> while set up principally to provide capacity substitution, also sought to develop capacity.</w:t>
      </w:r>
      <w:r w:rsidR="00670092">
        <w:t xml:space="preserve"> </w:t>
      </w:r>
      <w:r>
        <w:fldChar w:fldCharType="begin"/>
      </w:r>
      <w:r>
        <w:instrText xml:space="preserve"> REF _Ref372734173 \h  \* MERGEFORMAT </w:instrText>
      </w:r>
      <w:r>
        <w:fldChar w:fldCharType="separate"/>
      </w:r>
      <w:r w:rsidR="00C971DC">
        <w:t xml:space="preserve">Box </w:t>
      </w:r>
      <w:r w:rsidR="00C971DC">
        <w:rPr>
          <w:noProof/>
        </w:rPr>
        <w:t>4</w:t>
      </w:r>
      <w:r>
        <w:fldChar w:fldCharType="end"/>
      </w:r>
      <w:r>
        <w:t xml:space="preserve"> details the challenges that the initiative faced in pursuing these dual objectives.</w:t>
      </w:r>
      <w:r w:rsidR="00670092">
        <w:t xml:space="preserve"> </w:t>
      </w:r>
    </w:p>
    <w:p w14:paraId="3C76B842" w14:textId="24830310" w:rsidR="00C74C4B" w:rsidRDefault="00C74C4B" w:rsidP="00AB14E8">
      <w:pPr>
        <w:pStyle w:val="Boxheading0"/>
      </w:pPr>
      <w:bookmarkStart w:id="113" w:name="_Ref372734173"/>
      <w:bookmarkStart w:id="114" w:name="_Toc372722968"/>
      <w:r>
        <w:t xml:space="preserve">Box </w:t>
      </w:r>
      <w:fldSimple w:instr=" SEQ Box \* ARABIC ">
        <w:r w:rsidR="00C971DC">
          <w:rPr>
            <w:noProof/>
          </w:rPr>
          <w:t>4</w:t>
        </w:r>
      </w:fldSimple>
      <w:bookmarkEnd w:id="113"/>
      <w:r>
        <w:tab/>
      </w:r>
      <w:r w:rsidRPr="00C67E0B">
        <w:t>Pacific Technical Assistance Mechanism</w:t>
      </w:r>
      <w:bookmarkEnd w:id="114"/>
      <w:r w:rsidR="00670092">
        <w:t xml:space="preserve"> </w:t>
      </w:r>
    </w:p>
    <w:p w14:paraId="4BE66D1E" w14:textId="77777777" w:rsidR="00995FD1" w:rsidRPr="000F3D78" w:rsidRDefault="00995FD1" w:rsidP="00995FD1">
      <w:pPr>
        <w:pStyle w:val="BoxText"/>
        <w:rPr>
          <w:sz w:val="2"/>
          <w:szCs w:val="2"/>
        </w:rPr>
      </w:pPr>
    </w:p>
    <w:p w14:paraId="31877E37" w14:textId="77777777" w:rsidR="00C74C4B" w:rsidRPr="005F679B" w:rsidRDefault="00C74C4B" w:rsidP="00C74C4B">
      <w:pPr>
        <w:pStyle w:val="BoxText"/>
      </w:pPr>
      <w:r w:rsidRPr="000234EE">
        <w:t xml:space="preserve">The </w:t>
      </w:r>
      <w:r w:rsidRPr="00E2408D">
        <w:t>Pacific Technical Assistance Mechanism</w:t>
      </w:r>
      <w:r w:rsidRPr="00C67E0B">
        <w:t xml:space="preserve"> (PACTAM) is an </w:t>
      </w:r>
      <w:r>
        <w:t>Australian aid</w:t>
      </w:r>
      <w:r w:rsidRPr="00C67E0B">
        <w:t xml:space="preserve"> initiative established in 2006 to respond to urgent technical assistance needs in Pacific countries</w:t>
      </w:r>
      <w:r>
        <w:t xml:space="preserve">. While the program was devised as a capacity substitution mechanism, </w:t>
      </w:r>
      <w:r w:rsidRPr="005F679B">
        <w:t xml:space="preserve">the managing contractor has </w:t>
      </w:r>
      <w:r>
        <w:t>tried</w:t>
      </w:r>
      <w:r w:rsidRPr="005F679B">
        <w:t xml:space="preserve"> to ensure that capacity building features in </w:t>
      </w:r>
      <w:r>
        <w:t>technical advisers’</w:t>
      </w:r>
      <w:r w:rsidRPr="005F679B">
        <w:t xml:space="preserve"> terms of reference. Capacity building awareness is </w:t>
      </w:r>
      <w:r>
        <w:t xml:space="preserve">also </w:t>
      </w:r>
      <w:r w:rsidRPr="005F679B">
        <w:t>g</w:t>
      </w:r>
      <w:r>
        <w:t>iven in pre-departure briefings and</w:t>
      </w:r>
      <w:r w:rsidRPr="005F679B">
        <w:t xml:space="preserve"> capacity building goa</w:t>
      </w:r>
      <w:r>
        <w:t>ls are set for each assignment.</w:t>
      </w:r>
    </w:p>
    <w:p w14:paraId="3601CD56" w14:textId="026FC9C5" w:rsidR="00C74C4B" w:rsidRPr="00B86252" w:rsidRDefault="00C74C4B" w:rsidP="00C74C4B">
      <w:pPr>
        <w:pStyle w:val="BoxText"/>
      </w:pPr>
      <w:r>
        <w:t>The evaluation of PACTAM</w:t>
      </w:r>
      <w:r w:rsidRPr="00A9589F">
        <w:t xml:space="preserve"> </w:t>
      </w:r>
      <w:r>
        <w:t>identified two challenges with pursuing these two objectives in parallel.</w:t>
      </w:r>
      <w:r w:rsidR="00670092">
        <w:t xml:space="preserve"> </w:t>
      </w:r>
      <w:r>
        <w:t>Firstly, because of the capacity constraints that existed among local partners, technical adviser</w:t>
      </w:r>
      <w:r w:rsidRPr="00A9589F">
        <w:t xml:space="preserve">s </w:t>
      </w:r>
      <w:r>
        <w:t>in some instances simply did not have anyone to strengthen the capacity of.</w:t>
      </w:r>
      <w:r w:rsidR="00670092">
        <w:t xml:space="preserve"> </w:t>
      </w:r>
      <w:r>
        <w:t>Secondly, when providing capacity substitution</w:t>
      </w:r>
      <w:r w:rsidR="00693644">
        <w:t>,</w:t>
      </w:r>
      <w:r>
        <w:t xml:space="preserve"> technical advisers were often given very demanding technical roles and the </w:t>
      </w:r>
      <w:r w:rsidRPr="00A9589F">
        <w:t>transfer of skills</w:t>
      </w:r>
      <w:r>
        <w:t xml:space="preserve"> was often difficult to prioritise alongside competing delivery pressures (p</w:t>
      </w:r>
      <w:r w:rsidR="00693644">
        <w:t xml:space="preserve">. </w:t>
      </w:r>
      <w:r>
        <w:t>11)</w:t>
      </w:r>
      <w:r w:rsidRPr="00A9589F">
        <w:t xml:space="preserve">. </w:t>
      </w:r>
    </w:p>
    <w:p w14:paraId="7E2F2F69" w14:textId="163DCC34" w:rsidR="00C74C4B" w:rsidRPr="00A9589F" w:rsidRDefault="00C74C4B" w:rsidP="00105BC8">
      <w:pPr>
        <w:pStyle w:val="BoxNotes"/>
        <w:jc w:val="right"/>
      </w:pPr>
      <w:r>
        <w:t xml:space="preserve">Source: </w:t>
      </w:r>
      <w:r w:rsidRPr="00B23E49">
        <w:t xml:space="preserve">Evaluation of the </w:t>
      </w:r>
      <w:r>
        <w:t>Pacific Technical Assistance Mechanism, 2012</w:t>
      </w:r>
      <w:r w:rsidR="002009A2">
        <w:t>.</w:t>
      </w:r>
    </w:p>
    <w:p w14:paraId="733AC0CF" w14:textId="72FB0CC7" w:rsidR="00C74C4B" w:rsidRPr="009D41AE" w:rsidRDefault="009D41AE" w:rsidP="00CC3FE4">
      <w:pPr>
        <w:pStyle w:val="Heading2"/>
      </w:pPr>
      <w:bookmarkStart w:id="115" w:name="_Toc387394598"/>
      <w:bookmarkStart w:id="116" w:name="_Toc372723855"/>
      <w:bookmarkStart w:id="117" w:name="_Toc378060003"/>
      <w:bookmarkStart w:id="118" w:name="_Toc378922886"/>
      <w:bookmarkStart w:id="119" w:name="_Toc370827942"/>
      <w:r>
        <w:t>3.2</w:t>
      </w:r>
      <w:r>
        <w:tab/>
      </w:r>
      <w:r w:rsidR="00C74C4B" w:rsidRPr="009D41AE">
        <w:t>Public sector reform requires better diagnosis and incremental approaches</w:t>
      </w:r>
      <w:bookmarkEnd w:id="115"/>
      <w:r w:rsidR="00C74C4B" w:rsidRPr="009D41AE">
        <w:t xml:space="preserve"> </w:t>
      </w:r>
      <w:bookmarkEnd w:id="116"/>
      <w:bookmarkEnd w:id="117"/>
      <w:bookmarkEnd w:id="118"/>
    </w:p>
    <w:p w14:paraId="3003B42B" w14:textId="168FE72D" w:rsidR="00C74C4B" w:rsidRPr="000749F2" w:rsidRDefault="00C74C4B" w:rsidP="00C74C4B">
      <w:r w:rsidRPr="000749F2">
        <w:t xml:space="preserve">Public sector reform has been a central part of donor support towards improved governance outcomes. Many developing countries are equipped with weak government bureaucracies plagued by corruption, poor transparency, poor conditions of service and weak performance </w:t>
      </w:r>
      <w:r>
        <w:t>management</w:t>
      </w:r>
      <w:r w:rsidRPr="000749F2">
        <w:t xml:space="preserve"> systems. </w:t>
      </w:r>
      <w:r>
        <w:t>An i</w:t>
      </w:r>
      <w:r w:rsidRPr="000749F2">
        <w:t xml:space="preserve">neffective civil </w:t>
      </w:r>
      <w:r>
        <w:t>service</w:t>
      </w:r>
      <w:r w:rsidRPr="000749F2">
        <w:t xml:space="preserve"> reduce</w:t>
      </w:r>
      <w:r>
        <w:t>s</w:t>
      </w:r>
      <w:r w:rsidRPr="000749F2">
        <w:t xml:space="preserve"> the quality of essential services and raise</w:t>
      </w:r>
      <w:r>
        <w:t>s</w:t>
      </w:r>
      <w:r w:rsidRPr="000749F2">
        <w:t xml:space="preserve"> costs for users. </w:t>
      </w:r>
      <w:r>
        <w:t>The Australian Government</w:t>
      </w:r>
      <w:r w:rsidRPr="000749F2">
        <w:t xml:space="preserve"> has been a major donor in the field of effective governance</w:t>
      </w:r>
      <w:r w:rsidR="00693644">
        <w:t>,</w:t>
      </w:r>
      <w:r w:rsidRPr="000749F2">
        <w:t xml:space="preserve"> with </w:t>
      </w:r>
      <w:r>
        <w:t>16 per cent</w:t>
      </w:r>
      <w:r w:rsidRPr="000749F2">
        <w:t xml:space="preserve"> of its total expenditure devoted to this sector in 2011</w:t>
      </w:r>
      <w:r w:rsidR="00693644">
        <w:rPr>
          <w:rFonts w:ascii="Cambria" w:hAnsi="Cambria"/>
        </w:rPr>
        <w:t>–</w:t>
      </w:r>
      <w:r w:rsidRPr="000749F2">
        <w:t>12.</w:t>
      </w:r>
      <w:r w:rsidRPr="000749F2">
        <w:rPr>
          <w:szCs w:val="14"/>
          <w:vertAlign w:val="superscript"/>
        </w:rPr>
        <w:footnoteReference w:id="8"/>
      </w:r>
      <w:r w:rsidRPr="000749F2">
        <w:t xml:space="preserve"> Of that figure, publ</w:t>
      </w:r>
      <w:r>
        <w:t>ic sector reform accounts for 9 per cent</w:t>
      </w:r>
      <w:r w:rsidRPr="000749F2">
        <w:t>. The top seven country recipients of Australian aid are generally ranked below average for all six of the World Bank Worldwide Governance Indicators. This ranking indicates poor public services, a lack of public confidence in the police and courts, low levels of citizen participation and a high likelihood of instability and insecurity.</w:t>
      </w:r>
      <w:r w:rsidRPr="000749F2">
        <w:rPr>
          <w:szCs w:val="14"/>
          <w:vertAlign w:val="superscript"/>
        </w:rPr>
        <w:footnoteReference w:id="9"/>
      </w:r>
    </w:p>
    <w:p w14:paraId="1923AFEA" w14:textId="1181D829" w:rsidR="00C74C4B" w:rsidRDefault="00C74C4B" w:rsidP="00C74C4B">
      <w:r w:rsidRPr="000749F2">
        <w:lastRenderedPageBreak/>
        <w:t xml:space="preserve">The pool of </w:t>
      </w:r>
      <w:r>
        <w:t>six evaluations</w:t>
      </w:r>
      <w:r w:rsidRPr="000749F2">
        <w:t xml:space="preserve"> with relevant evidence supporting learning in this area </w:t>
      </w:r>
      <w:r w:rsidR="00EC6646">
        <w:t>covers</w:t>
      </w:r>
      <w:r w:rsidR="00EC6646" w:rsidRPr="000749F2">
        <w:t xml:space="preserve"> </w:t>
      </w:r>
      <w:r w:rsidRPr="000749F2">
        <w:t xml:space="preserve">public sector reform </w:t>
      </w:r>
      <w:r w:rsidR="00EC6646">
        <w:t xml:space="preserve">initiatives </w:t>
      </w:r>
      <w:r w:rsidRPr="000749F2">
        <w:t xml:space="preserve">in </w:t>
      </w:r>
      <w:r>
        <w:t xml:space="preserve">Timor-Leste, </w:t>
      </w:r>
      <w:r w:rsidR="00D97940">
        <w:t>Papua New Guinea</w:t>
      </w:r>
      <w:r>
        <w:t xml:space="preserve"> and</w:t>
      </w:r>
      <w:r w:rsidRPr="000749F2">
        <w:t xml:space="preserve"> Aceh</w:t>
      </w:r>
      <w:r w:rsidR="00D97940">
        <w:t>,</w:t>
      </w:r>
      <w:r w:rsidRPr="000749F2">
        <w:t xml:space="preserve"> Indonesia. Additional evidence comes from</w:t>
      </w:r>
      <w:r w:rsidR="00EC6646">
        <w:t xml:space="preserve"> evaluations of</w:t>
      </w:r>
      <w:r w:rsidRPr="000749F2">
        <w:t xml:space="preserve"> sector-level reform initiatives in education in Indonesia, </w:t>
      </w:r>
      <w:r>
        <w:t xml:space="preserve">and </w:t>
      </w:r>
      <w:r w:rsidRPr="000749F2">
        <w:t xml:space="preserve">law and justice in Cambodia and </w:t>
      </w:r>
      <w:r w:rsidR="00D97940">
        <w:t>Papua New Guinea</w:t>
      </w:r>
      <w:r w:rsidRPr="000749F2">
        <w:t>.</w:t>
      </w:r>
    </w:p>
    <w:p w14:paraId="092052C4" w14:textId="75CD244D" w:rsidR="00C74C4B" w:rsidRPr="000749F2" w:rsidRDefault="00C74C4B" w:rsidP="009D41AE">
      <w:pPr>
        <w:pStyle w:val="Heading3a"/>
      </w:pPr>
      <w:bookmarkStart w:id="120" w:name="_Toc370827946"/>
      <w:bookmarkStart w:id="121" w:name="_Toc372723856"/>
      <w:bookmarkStart w:id="122" w:name="_Toc373304270"/>
      <w:r w:rsidRPr="000749F2">
        <w:t>More robust political</w:t>
      </w:r>
      <w:r w:rsidR="00BA619E">
        <w:t xml:space="preserve"> economy</w:t>
      </w:r>
      <w:r w:rsidRPr="000749F2">
        <w:t xml:space="preserve"> analysis</w:t>
      </w:r>
      <w:r>
        <w:t xml:space="preserve"> will lead to </w:t>
      </w:r>
      <w:r w:rsidR="00BA619E">
        <w:t xml:space="preserve">a </w:t>
      </w:r>
      <w:r>
        <w:t>more realistic</w:t>
      </w:r>
      <w:r w:rsidR="00BA619E">
        <w:t xml:space="preserve"> program logic model and</w:t>
      </w:r>
      <w:r>
        <w:t xml:space="preserve"> objectives</w:t>
      </w:r>
      <w:bookmarkEnd w:id="120"/>
      <w:bookmarkEnd w:id="121"/>
      <w:bookmarkEnd w:id="122"/>
    </w:p>
    <w:p w14:paraId="3813E9DE" w14:textId="03E3765B" w:rsidR="00C74C4B" w:rsidRDefault="00BA619E" w:rsidP="00C74C4B">
      <w:r>
        <w:t xml:space="preserve">The evidence from the evaluations strongly suggests that effective public sector reform needs to be underpinned by a robust political economy analysis </w:t>
      </w:r>
      <w:r w:rsidR="00D97940">
        <w:t xml:space="preserve">that </w:t>
      </w:r>
      <w:r>
        <w:t>informs the development of a realistic program logic model and objectives.</w:t>
      </w:r>
      <w:r w:rsidR="00670092">
        <w:t xml:space="preserve"> </w:t>
      </w:r>
      <w:r>
        <w:t>Helping our partners to deliver reforms is rarely a technical matter alone but requires a close understanding of the local context, the incentives of all stakeholders and the broader political economy.</w:t>
      </w:r>
      <w:r w:rsidR="00670092">
        <w:t xml:space="preserve"> </w:t>
      </w:r>
      <w:r w:rsidR="00C74C4B">
        <w:t xml:space="preserve">This lesson was also </w:t>
      </w:r>
      <w:r w:rsidR="00C74C4B" w:rsidRPr="002009A2">
        <w:t xml:space="preserve">highlighted in ODE’s </w:t>
      </w:r>
      <w:r w:rsidR="00C74C4B" w:rsidRPr="008C4BEE">
        <w:rPr>
          <w:i/>
        </w:rPr>
        <w:t xml:space="preserve">Lessons from Australian </w:t>
      </w:r>
      <w:r w:rsidR="002009A2">
        <w:rPr>
          <w:i/>
        </w:rPr>
        <w:t>a</w:t>
      </w:r>
      <w:r w:rsidR="00C74C4B" w:rsidRPr="008C4BEE">
        <w:rPr>
          <w:i/>
        </w:rPr>
        <w:t>id</w:t>
      </w:r>
      <w:r w:rsidR="00D85CB9">
        <w:t xml:space="preserve"> report</w:t>
      </w:r>
      <w:r w:rsidR="00BB45E2">
        <w:rPr>
          <w:rStyle w:val="FootnoteReference"/>
        </w:rPr>
        <w:footnoteReference w:id="10"/>
      </w:r>
      <w:r w:rsidR="00C74C4B" w:rsidRPr="002009A2">
        <w:t>, which</w:t>
      </w:r>
      <w:r w:rsidR="00C74C4B">
        <w:t xml:space="preserve"> found that capacity development assistance must be tailored to the local context.</w:t>
      </w:r>
      <w:r w:rsidR="00C74C4B" w:rsidRPr="000749F2">
        <w:t xml:space="preserve"> In Cambodia an evaluation of law and justice assistance found that effective reform needs to be underpinned by a robust political economy analysis (</w:t>
      </w:r>
      <w:r w:rsidR="00C74C4B">
        <w:fldChar w:fldCharType="begin"/>
      </w:r>
      <w:r w:rsidR="00C74C4B">
        <w:instrText xml:space="preserve"> REF _Ref372734212 \h  \* MERGEFORMAT </w:instrText>
      </w:r>
      <w:r w:rsidR="00C74C4B">
        <w:fldChar w:fldCharType="separate"/>
      </w:r>
      <w:r w:rsidR="00C971DC">
        <w:t xml:space="preserve">Box </w:t>
      </w:r>
      <w:r w:rsidR="00C971DC">
        <w:rPr>
          <w:noProof/>
        </w:rPr>
        <w:t>5</w:t>
      </w:r>
      <w:r w:rsidR="00C74C4B">
        <w:fldChar w:fldCharType="end"/>
      </w:r>
      <w:r w:rsidR="00C74C4B" w:rsidRPr="000749F2">
        <w:t>).</w:t>
      </w:r>
    </w:p>
    <w:p w14:paraId="6EFFBA1E" w14:textId="41862297" w:rsidR="00C74C4B" w:rsidRDefault="00C74C4B" w:rsidP="00AB14E8">
      <w:pPr>
        <w:pStyle w:val="Boxheading0"/>
      </w:pPr>
      <w:bookmarkStart w:id="123" w:name="_Ref372734212"/>
      <w:bookmarkStart w:id="124" w:name="_Toc372722969"/>
      <w:r>
        <w:t xml:space="preserve">Box </w:t>
      </w:r>
      <w:fldSimple w:instr=" SEQ Box \* ARABIC ">
        <w:r w:rsidR="00C971DC">
          <w:rPr>
            <w:noProof/>
          </w:rPr>
          <w:t>5</w:t>
        </w:r>
      </w:fldSimple>
      <w:bookmarkEnd w:id="123"/>
      <w:r>
        <w:tab/>
      </w:r>
      <w:r w:rsidR="004F26A0">
        <w:t>Cambodia Criminal Justice Assistance</w:t>
      </w:r>
      <w:bookmarkEnd w:id="124"/>
    </w:p>
    <w:p w14:paraId="61F4EE5D" w14:textId="77777777" w:rsidR="00995FD1" w:rsidRPr="000F3D78" w:rsidRDefault="00995FD1" w:rsidP="00995FD1">
      <w:pPr>
        <w:pStyle w:val="BoxText"/>
        <w:rPr>
          <w:sz w:val="2"/>
          <w:szCs w:val="2"/>
        </w:rPr>
      </w:pPr>
    </w:p>
    <w:p w14:paraId="6394143F" w14:textId="51E9D1C6" w:rsidR="00C74C4B" w:rsidRPr="000749F2" w:rsidRDefault="00C74C4B" w:rsidP="00C74C4B">
      <w:pPr>
        <w:pStyle w:val="BoxText"/>
      </w:pPr>
      <w:r w:rsidRPr="000749F2">
        <w:t>In the Cambodian context, many of the high</w:t>
      </w:r>
      <w:r w:rsidR="00D97940">
        <w:t>-</w:t>
      </w:r>
      <w:r w:rsidRPr="000749F2">
        <w:t xml:space="preserve">level objectives in the law and justice agenda </w:t>
      </w:r>
      <w:r w:rsidR="004F26A0" w:rsidRPr="000749F2">
        <w:t>r</w:t>
      </w:r>
      <w:r w:rsidR="004F26A0">
        <w:t>u</w:t>
      </w:r>
      <w:r w:rsidR="004F26A0" w:rsidRPr="000749F2">
        <w:t xml:space="preserve">n </w:t>
      </w:r>
      <w:r w:rsidRPr="000749F2">
        <w:t xml:space="preserve">counter to the fundamental interests of the ruling party and this has undermined progress. </w:t>
      </w:r>
      <w:r>
        <w:t>However</w:t>
      </w:r>
      <w:r w:rsidRPr="000749F2">
        <w:t xml:space="preserve">, progress has proved possible in areas like </w:t>
      </w:r>
      <w:r>
        <w:t xml:space="preserve">community security and </w:t>
      </w:r>
      <w:r w:rsidRPr="000749F2">
        <w:t>prison reform</w:t>
      </w:r>
      <w:r w:rsidR="00D97940">
        <w:t>,</w:t>
      </w:r>
      <w:r w:rsidRPr="000749F2">
        <w:t xml:space="preserve"> where there is willingness among counterparts and no strong political barriers.</w:t>
      </w:r>
    </w:p>
    <w:p w14:paraId="0745F498" w14:textId="12216762" w:rsidR="00D97940" w:rsidRDefault="00C74C4B" w:rsidP="00C74C4B">
      <w:pPr>
        <w:pStyle w:val="BoxText"/>
      </w:pPr>
      <w:r w:rsidRPr="000749F2">
        <w:t xml:space="preserve">The Cambodia Criminal Justice Assistance </w:t>
      </w:r>
      <w:r w:rsidR="004F26A0">
        <w:t>initiative</w:t>
      </w:r>
      <w:r w:rsidR="004F26A0" w:rsidRPr="000749F2">
        <w:t xml:space="preserve"> </w:t>
      </w:r>
      <w:r w:rsidRPr="000749F2">
        <w:t>assumed that a lack of institutional capacity was the binding constraint to improving justice system, when in fact the constraints were largely political</w:t>
      </w:r>
      <w:r>
        <w:t>:</w:t>
      </w:r>
      <w:r w:rsidR="00670092">
        <w:t xml:space="preserve"> </w:t>
      </w:r>
    </w:p>
    <w:p w14:paraId="42D99EC3" w14:textId="318DC2A1" w:rsidR="00C74C4B" w:rsidRPr="000749F2" w:rsidRDefault="00A5509C" w:rsidP="00AD6A55">
      <w:pPr>
        <w:pStyle w:val="BoxQuote"/>
      </w:pPr>
      <w:r>
        <w:t xml:space="preserve">       </w:t>
      </w:r>
      <w:r w:rsidR="005C5B86">
        <w:t>I</w:t>
      </w:r>
      <w:r w:rsidR="005C5B86" w:rsidRPr="000749F2">
        <w:t xml:space="preserve">t </w:t>
      </w:r>
      <w:r w:rsidR="00C74C4B" w:rsidRPr="000749F2">
        <w:t xml:space="preserve">appears that more political analysis was needed during the design phase to produce a clearer set of objectives that were meaningful in the country context. There also needed to be a strong link between objectives and the activities that </w:t>
      </w:r>
      <w:r w:rsidR="00C74C4B" w:rsidRPr="00690422">
        <w:t>were chosen</w:t>
      </w:r>
      <w:r w:rsidR="00690422">
        <w:t>.</w:t>
      </w:r>
      <w:r w:rsidR="00C74C4B" w:rsidRPr="00690422">
        <w:t xml:space="preserve"> (p</w:t>
      </w:r>
      <w:r w:rsidR="00D97940" w:rsidRPr="002F17AE">
        <w:t xml:space="preserve">. </w:t>
      </w:r>
      <w:r w:rsidR="00C74C4B" w:rsidRPr="002F17AE">
        <w:t>50)</w:t>
      </w:r>
    </w:p>
    <w:p w14:paraId="31AC6B91" w14:textId="26706472" w:rsidR="00C74C4B" w:rsidRPr="006D64F2" w:rsidRDefault="00C74C4B" w:rsidP="00AD6A55">
      <w:pPr>
        <w:pStyle w:val="BoxNotes"/>
        <w:spacing w:before="120"/>
        <w:jc w:val="right"/>
      </w:pPr>
      <w:r w:rsidRPr="000749F2">
        <w:rPr>
          <w:lang w:eastAsia="en-US"/>
        </w:rPr>
        <w:t>Source:</w:t>
      </w:r>
      <w:r w:rsidR="00670092">
        <w:rPr>
          <w:lang w:eastAsia="en-US"/>
        </w:rPr>
        <w:t xml:space="preserve"> </w:t>
      </w:r>
      <w:r w:rsidRPr="000749F2">
        <w:rPr>
          <w:lang w:eastAsia="en-US"/>
        </w:rPr>
        <w:t>ODE evaluation of law and justice assistance</w:t>
      </w:r>
      <w:r w:rsidR="004F26A0">
        <w:rPr>
          <w:lang w:eastAsia="en-US"/>
        </w:rPr>
        <w:t>: Cambodia case study</w:t>
      </w:r>
      <w:r>
        <w:rPr>
          <w:lang w:eastAsia="en-US"/>
        </w:rPr>
        <w:t>, 2012</w:t>
      </w:r>
      <w:r w:rsidR="002F17AE">
        <w:rPr>
          <w:lang w:eastAsia="en-US"/>
        </w:rPr>
        <w:t>.</w:t>
      </w:r>
    </w:p>
    <w:p w14:paraId="3EA77384" w14:textId="77777777" w:rsidR="00C74C4B" w:rsidRPr="000749F2" w:rsidRDefault="00C74C4B" w:rsidP="00C74C4B"/>
    <w:p w14:paraId="390760A0" w14:textId="583EB90C" w:rsidR="00C74C4B" w:rsidRPr="00AD6A55" w:rsidRDefault="00C74C4B" w:rsidP="00C74C4B">
      <w:r w:rsidRPr="000749F2">
        <w:t>The same experience was noted in the evaluation</w:t>
      </w:r>
      <w:r w:rsidR="005C5B86">
        <w:t xml:space="preserve"> of the</w:t>
      </w:r>
      <w:r w:rsidRPr="000749F2">
        <w:t xml:space="preserve"> </w:t>
      </w:r>
      <w:r w:rsidR="005C5B86" w:rsidRPr="00355BFD">
        <w:t>Local Governance Innovations for Communities in Aceh</w:t>
      </w:r>
      <w:r w:rsidR="005C5B86">
        <w:t xml:space="preserve"> initiative, which</w:t>
      </w:r>
      <w:r w:rsidR="005C5B86" w:rsidRPr="00355BFD">
        <w:rPr>
          <w:rFonts w:ascii="Calibri" w:hAnsi="Calibri"/>
        </w:rPr>
        <w:t xml:space="preserve"> </w:t>
      </w:r>
      <w:r w:rsidRPr="000749F2">
        <w:t xml:space="preserve">found that </w:t>
      </w:r>
      <w:r w:rsidR="00D97940" w:rsidRPr="009D41AE">
        <w:rPr>
          <w:i/>
        </w:rPr>
        <w:t>‘</w:t>
      </w:r>
      <w:r w:rsidRPr="000749F2">
        <w:rPr>
          <w:i/>
        </w:rPr>
        <w:t xml:space="preserve">while the building blocks for government capacity building towards service delivery can be promoted through technical programs, it is important to give attention to other influences, in particular, political and power differences which may inhibit or distract from government focus on </w:t>
      </w:r>
      <w:r w:rsidRPr="002F17AE">
        <w:rPr>
          <w:i/>
        </w:rPr>
        <w:t>services</w:t>
      </w:r>
      <w:r w:rsidR="00D97940" w:rsidRPr="009D41AE">
        <w:rPr>
          <w:i/>
        </w:rPr>
        <w:t>’</w:t>
      </w:r>
      <w:r w:rsidRPr="009D41AE">
        <w:rPr>
          <w:rFonts w:ascii="Calibri" w:hAnsi="Calibri"/>
          <w:i/>
        </w:rPr>
        <w:t xml:space="preserve"> </w:t>
      </w:r>
      <w:r w:rsidRPr="00AD6A55">
        <w:t>(p</w:t>
      </w:r>
      <w:r w:rsidR="00D97940" w:rsidRPr="00AD6A55">
        <w:t xml:space="preserve">. </w:t>
      </w:r>
      <w:r w:rsidRPr="007667B3">
        <w:rPr>
          <w:rFonts w:ascii="Calibri" w:hAnsi="Calibri"/>
        </w:rPr>
        <w:t>34)</w:t>
      </w:r>
      <w:r w:rsidR="007667B3">
        <w:rPr>
          <w:rFonts w:ascii="Calibri" w:hAnsi="Calibri"/>
        </w:rPr>
        <w:t>.</w:t>
      </w:r>
    </w:p>
    <w:p w14:paraId="6B12B383" w14:textId="3DC783B4" w:rsidR="00C74C4B" w:rsidRDefault="00C74C4B" w:rsidP="00C74C4B">
      <w:pPr>
        <w:rPr>
          <w:rFonts w:ascii="Calibri" w:hAnsi="Calibri"/>
        </w:rPr>
      </w:pPr>
      <w:r w:rsidRPr="002F17AE">
        <w:t xml:space="preserve">The </w:t>
      </w:r>
      <w:r w:rsidRPr="00355BFD">
        <w:t>PNG</w:t>
      </w:r>
      <w:r w:rsidR="001757C2" w:rsidRPr="00355BFD">
        <w:rPr>
          <w:rFonts w:ascii="Cambria" w:hAnsi="Cambria"/>
        </w:rPr>
        <w:t>–</w:t>
      </w:r>
      <w:r w:rsidRPr="00355BFD">
        <w:t>Australia Law &amp; Justice Partnership (PALJP) provides</w:t>
      </w:r>
      <w:r>
        <w:t xml:space="preserve"> a good example of a program whose initial design explicitly recognised that a focus on a technical approach to reform</w:t>
      </w:r>
      <w:r w:rsidR="003E6D6D">
        <w:rPr>
          <w:rFonts w:ascii="Cambria" w:hAnsi="Cambria"/>
        </w:rPr>
        <w:t>—</w:t>
      </w:r>
      <w:r>
        <w:t>capacity development</w:t>
      </w:r>
      <w:r w:rsidR="003E6D6D">
        <w:rPr>
          <w:rFonts w:ascii="Cambria" w:hAnsi="Cambria"/>
        </w:rPr>
        <w:t>—</w:t>
      </w:r>
      <w:r>
        <w:t>would be insufficient and yet was unable to move away from this focus during implementation.</w:t>
      </w:r>
      <w:r w:rsidR="00670092">
        <w:t xml:space="preserve"> </w:t>
      </w:r>
      <w:r>
        <w:t>In PALJP’s case, the theory of change that making available development budget resources to the sector heads would result in a problem</w:t>
      </w:r>
      <w:r w:rsidR="003E6D6D">
        <w:t>-</w:t>
      </w:r>
      <w:r>
        <w:t>solving or multiagency approach failed to materialise, and intended formalised policy engagement processes between Australia</w:t>
      </w:r>
      <w:r w:rsidR="004F26A0">
        <w:t>n</w:t>
      </w:r>
      <w:r>
        <w:t xml:space="preserve"> and </w:t>
      </w:r>
      <w:r w:rsidR="003E6D6D">
        <w:t>Papua New Guinea</w:t>
      </w:r>
      <w:r w:rsidR="004F26A0">
        <w:t>n</w:t>
      </w:r>
      <w:r w:rsidR="003E6D6D">
        <w:t xml:space="preserve"> </w:t>
      </w:r>
      <w:r w:rsidR="004F26A0">
        <w:t xml:space="preserve">government </w:t>
      </w:r>
      <w:r>
        <w:t>agencies did not meaningfully take hold.</w:t>
      </w:r>
      <w:r w:rsidR="00670092">
        <w:t xml:space="preserve"> </w:t>
      </w:r>
      <w:r>
        <w:t xml:space="preserve">The program could have </w:t>
      </w:r>
      <w:r w:rsidRPr="00355BFD">
        <w:t>benefited fr</w:t>
      </w:r>
      <w:r>
        <w:t>om more</w:t>
      </w:r>
      <w:r w:rsidR="00670092">
        <w:t xml:space="preserve"> </w:t>
      </w:r>
      <w:r>
        <w:t>regular political economy analysis</w:t>
      </w:r>
      <w:r w:rsidR="004F26A0">
        <w:t>,</w:t>
      </w:r>
      <w:r>
        <w:t xml:space="preserve"> and judgment and changes in approach </w:t>
      </w:r>
      <w:r w:rsidRPr="007D70CE">
        <w:t xml:space="preserve">when this </w:t>
      </w:r>
      <w:r w:rsidRPr="007D70CE">
        <w:lastRenderedPageBreak/>
        <w:t>fundamental theory of change was not delivering as expected.</w:t>
      </w:r>
      <w:r w:rsidR="00670092">
        <w:t xml:space="preserve"> </w:t>
      </w:r>
      <w:r w:rsidRPr="007D70CE">
        <w:t>Failure by the agencies to</w:t>
      </w:r>
      <w:r>
        <w:t xml:space="preserve"> develop and prioritise activities with a focus on the experience of justice for end users</w:t>
      </w:r>
      <w:r w:rsidR="005F608D">
        <w:t>,</w:t>
      </w:r>
      <w:r>
        <w:t xml:space="preserve"> and</w:t>
      </w:r>
      <w:r w:rsidR="005F608D">
        <w:t xml:space="preserve"> to</w:t>
      </w:r>
      <w:r>
        <w:t xml:space="preserve"> regularly monitor public perceptions and quantitative assessments of sector performance, meant that it </w:t>
      </w:r>
      <w:r w:rsidR="005F608D">
        <w:t xml:space="preserve">was </w:t>
      </w:r>
      <w:r>
        <w:t xml:space="preserve">difficult to demonstrate that the tangible benefits of the institutional improvements noted in the evaluation </w:t>
      </w:r>
      <w:r w:rsidR="00DD244C">
        <w:t xml:space="preserve">were </w:t>
      </w:r>
      <w:r>
        <w:t xml:space="preserve">achieved at agency levels. </w:t>
      </w:r>
    </w:p>
    <w:p w14:paraId="477D9D2E" w14:textId="2F35074A" w:rsidR="00C74C4B" w:rsidRPr="000749F2" w:rsidRDefault="00C74C4B" w:rsidP="009D41AE">
      <w:pPr>
        <w:pStyle w:val="Heading3a"/>
      </w:pPr>
      <w:bookmarkStart w:id="125" w:name="_Toc370827947"/>
      <w:bookmarkStart w:id="126" w:name="_Toc372723857"/>
      <w:bookmarkStart w:id="127" w:name="_Toc373304271"/>
      <w:r w:rsidRPr="000749F2">
        <w:t xml:space="preserve">Incremental approaches </w:t>
      </w:r>
      <w:r w:rsidR="00BA619E">
        <w:t xml:space="preserve">that </w:t>
      </w:r>
      <w:r w:rsidRPr="000749F2">
        <w:t xml:space="preserve">build on </w:t>
      </w:r>
      <w:r w:rsidR="00BA619E">
        <w:t xml:space="preserve">existing good practices </w:t>
      </w:r>
      <w:r>
        <w:t xml:space="preserve">can be more effective </w:t>
      </w:r>
      <w:r w:rsidRPr="000749F2">
        <w:t xml:space="preserve">than </w:t>
      </w:r>
      <w:r>
        <w:t>large-scale</w:t>
      </w:r>
      <w:r w:rsidR="00BA619E">
        <w:t xml:space="preserve"> and/or top-down</w:t>
      </w:r>
      <w:r>
        <w:t xml:space="preserve"> </w:t>
      </w:r>
      <w:r w:rsidRPr="000749F2">
        <w:t>reforms</w:t>
      </w:r>
      <w:bookmarkEnd w:id="125"/>
      <w:bookmarkEnd w:id="126"/>
      <w:bookmarkEnd w:id="127"/>
    </w:p>
    <w:p w14:paraId="3903B977" w14:textId="58A7FF78" w:rsidR="00C74C4B" w:rsidRPr="000749F2" w:rsidRDefault="00C74C4B" w:rsidP="00C74C4B">
      <w:r w:rsidRPr="000749F2">
        <w:t xml:space="preserve">A second useful lesson arising from evidence in </w:t>
      </w:r>
      <w:r w:rsidR="00DD244C">
        <w:t>Papua New Guinea</w:t>
      </w:r>
      <w:r w:rsidRPr="000749F2">
        <w:t xml:space="preserve">, Cambodia and </w:t>
      </w:r>
      <w:r>
        <w:t>Timor-Leste</w:t>
      </w:r>
      <w:r w:rsidRPr="000749F2">
        <w:t xml:space="preserve"> is that supporting reforms that follow an incremental approach </w:t>
      </w:r>
      <w:r>
        <w:t>can be</w:t>
      </w:r>
      <w:r w:rsidRPr="000749F2">
        <w:t xml:space="preserve"> more effective than undertaking more ambitious, </w:t>
      </w:r>
      <w:r>
        <w:t>large</w:t>
      </w:r>
      <w:r w:rsidR="00DD244C">
        <w:t>-</w:t>
      </w:r>
      <w:r>
        <w:t>scale</w:t>
      </w:r>
      <w:r w:rsidRPr="000749F2">
        <w:t xml:space="preserve"> reforms</w:t>
      </w:r>
      <w:r w:rsidR="004761DA">
        <w:t>.  I</w:t>
      </w:r>
      <w:r>
        <w:t>n some cases</w:t>
      </w:r>
      <w:r w:rsidR="00DD244C">
        <w:t>,</w:t>
      </w:r>
      <w:r>
        <w:t xml:space="preserve"> combining both approaches </w:t>
      </w:r>
      <w:r w:rsidR="005F608D">
        <w:t xml:space="preserve">may be </w:t>
      </w:r>
      <w:r>
        <w:t>necessary</w:t>
      </w:r>
      <w:r w:rsidR="00DD244C">
        <w:t>,</w:t>
      </w:r>
      <w:r>
        <w:t xml:space="preserve"> as in the experience from Aceh, Indonesia.</w:t>
      </w:r>
    </w:p>
    <w:p w14:paraId="042A571E" w14:textId="35E3505E" w:rsidR="00DD244C" w:rsidRDefault="00C74C4B" w:rsidP="00C74C4B">
      <w:r w:rsidRPr="000749F2">
        <w:t xml:space="preserve">In Cambodia, </w:t>
      </w:r>
      <w:r>
        <w:t xml:space="preserve">the evaluation noted that </w:t>
      </w:r>
      <w:r w:rsidRPr="000749F2">
        <w:t>reform of the justice sector was more suited to incremental change rather than large top</w:t>
      </w:r>
      <w:r w:rsidR="00DD244C">
        <w:t>-</w:t>
      </w:r>
      <w:r w:rsidRPr="000749F2">
        <w:t xml:space="preserve">down reform efforts. </w:t>
      </w:r>
    </w:p>
    <w:p w14:paraId="6EDB917D" w14:textId="006B90F0" w:rsidR="00DD244C" w:rsidRDefault="00C74C4B" w:rsidP="00601396">
      <w:pPr>
        <w:pStyle w:val="Quotetext"/>
      </w:pPr>
      <w:r w:rsidRPr="000749F2">
        <w:t>The most successful part of the Cambodia Criminal Justice Assistance Project has been where the project has worked with counterparts to resolve practical issues around service delivery and access to justice. By resolving concrete problems that matter to national stakeholders, one can then look for ways to institutionalise the solutions</w:t>
      </w:r>
      <w:r w:rsidR="00DD244C">
        <w:t>.</w:t>
      </w:r>
      <w:r w:rsidRPr="000749F2">
        <w:t xml:space="preserve"> (p</w:t>
      </w:r>
      <w:r w:rsidR="00DD244C">
        <w:t xml:space="preserve">. </w:t>
      </w:r>
      <w:r w:rsidRPr="000749F2">
        <w:t>51)</w:t>
      </w:r>
      <w:r>
        <w:t xml:space="preserve"> </w:t>
      </w:r>
    </w:p>
    <w:p w14:paraId="5EEED635" w14:textId="40008578" w:rsidR="00C74C4B" w:rsidRDefault="00C74C4B" w:rsidP="00C74C4B">
      <w:r>
        <w:t xml:space="preserve">For example, in the prisons service, new security fencing proved a successful, </w:t>
      </w:r>
      <w:r w:rsidR="005F608D">
        <w:t>cost-effective</w:t>
      </w:r>
      <w:r>
        <w:t xml:space="preserve"> intervention that allowed prisoners time outside with immediate health benefits. Also</w:t>
      </w:r>
      <w:r w:rsidR="00DD244C">
        <w:t>,</w:t>
      </w:r>
      <w:r>
        <w:t xml:space="preserve"> innovative support for community-led crime prevention has reduced conflict and domestic violence as well as improved community</w:t>
      </w:r>
      <w:r w:rsidR="00C35FA5">
        <w:rPr>
          <w:rFonts w:ascii="Cambria" w:hAnsi="Cambria"/>
        </w:rPr>
        <w:t>–</w:t>
      </w:r>
      <w:r>
        <w:t>police relations.</w:t>
      </w:r>
    </w:p>
    <w:p w14:paraId="0B9C9024" w14:textId="35CF4ED9" w:rsidR="00601396" w:rsidRDefault="00C74C4B" w:rsidP="00C74C4B">
      <w:r>
        <w:t xml:space="preserve">In </w:t>
      </w:r>
      <w:r w:rsidR="00C35FA5">
        <w:t>Papua New Guinea</w:t>
      </w:r>
      <w:r w:rsidR="005F608D">
        <w:t>,</w:t>
      </w:r>
      <w:r w:rsidR="00C35FA5">
        <w:t xml:space="preserve"> </w:t>
      </w:r>
      <w:r w:rsidRPr="00355BFD">
        <w:t>the evaluation</w:t>
      </w:r>
      <w:r w:rsidR="006945F1">
        <w:t xml:space="preserve"> of the </w:t>
      </w:r>
      <w:r w:rsidR="006945F1" w:rsidRPr="006C426F">
        <w:t>Economic and Public Sector Program (EPSP)</w:t>
      </w:r>
      <w:r w:rsidRPr="00355BFD">
        <w:t xml:space="preserve"> found that</w:t>
      </w:r>
      <w:r>
        <w:t xml:space="preserve"> support for reforms was too centralised and relied on a trickle</w:t>
      </w:r>
      <w:r w:rsidR="00C35FA5">
        <w:t>-</w:t>
      </w:r>
      <w:r>
        <w:t>down approach (</w:t>
      </w:r>
      <w:r w:rsidR="005F608D">
        <w:t xml:space="preserve">see </w:t>
      </w:r>
      <w:r>
        <w:fldChar w:fldCharType="begin"/>
      </w:r>
      <w:r>
        <w:instrText xml:space="preserve"> REF _Ref372734222 \h  \* MERGEFORMAT </w:instrText>
      </w:r>
      <w:r>
        <w:fldChar w:fldCharType="separate"/>
      </w:r>
      <w:r w:rsidR="00C971DC">
        <w:t xml:space="preserve">Box </w:t>
      </w:r>
      <w:r w:rsidR="00C971DC">
        <w:rPr>
          <w:noProof/>
        </w:rPr>
        <w:t>6</w:t>
      </w:r>
      <w:r>
        <w:fldChar w:fldCharType="end"/>
      </w:r>
      <w:r>
        <w:t>)</w:t>
      </w:r>
      <w:r w:rsidR="00601396">
        <w:t>.</w:t>
      </w:r>
    </w:p>
    <w:p w14:paraId="6128F2E1" w14:textId="515DEE38" w:rsidR="00C35FA5" w:rsidRDefault="005F608D" w:rsidP="00C74C4B">
      <w:r>
        <w:t>T</w:t>
      </w:r>
      <w:r w:rsidR="00C74C4B" w:rsidRPr="006C426F">
        <w:t xml:space="preserve">he evaluation of the </w:t>
      </w:r>
      <w:r w:rsidR="00355BFD">
        <w:t>PSCDP</w:t>
      </w:r>
      <w:r>
        <w:t xml:space="preserve"> in Timor-Leste</w:t>
      </w:r>
      <w:r w:rsidR="00355BFD">
        <w:t xml:space="preserve"> </w:t>
      </w:r>
      <w:r w:rsidR="00C74C4B" w:rsidRPr="00355BFD">
        <w:t>noted</w:t>
      </w:r>
      <w:r w:rsidR="00C74C4B" w:rsidRPr="006C426F">
        <w:t xml:space="preserve"> that</w:t>
      </w:r>
      <w:r w:rsidR="00C35FA5">
        <w:t>,</w:t>
      </w:r>
      <w:r w:rsidR="00C74C4B" w:rsidRPr="006C426F">
        <w:t xml:space="preserve"> in governance reform, it </w:t>
      </w:r>
      <w:r w:rsidR="00EC08A5">
        <w:t xml:space="preserve">may be </w:t>
      </w:r>
      <w:r w:rsidR="00C74C4B" w:rsidRPr="006C426F">
        <w:t xml:space="preserve">better to </w:t>
      </w:r>
      <w:r w:rsidR="00EC08A5">
        <w:t>measure</w:t>
      </w:r>
      <w:r w:rsidR="00EC08A5" w:rsidRPr="006C426F">
        <w:t xml:space="preserve"> </w:t>
      </w:r>
      <w:r w:rsidR="00C74C4B" w:rsidRPr="006C426F">
        <w:t xml:space="preserve">success </w:t>
      </w:r>
      <w:r w:rsidR="00EC08A5" w:rsidRPr="00AD6A55">
        <w:rPr>
          <w:i/>
        </w:rPr>
        <w:t>‘</w:t>
      </w:r>
      <w:r w:rsidR="00C74C4B" w:rsidRPr="00AD6A55">
        <w:rPr>
          <w:i/>
        </w:rPr>
        <w:t>more positively in terms of the incremental small results achieved in addressing key issues rather than potentially negatively because an end point has not been reached.</w:t>
      </w:r>
      <w:r w:rsidR="00EC08A5" w:rsidRPr="00AD6A55">
        <w:rPr>
          <w:i/>
        </w:rPr>
        <w:t>’</w:t>
      </w:r>
      <w:r w:rsidR="00C74C4B" w:rsidRPr="006C426F">
        <w:t xml:space="preserve"> (p</w:t>
      </w:r>
      <w:r w:rsidR="00C35FA5">
        <w:t xml:space="preserve">. </w:t>
      </w:r>
      <w:r w:rsidR="009D41AE">
        <w:t>14)</w:t>
      </w:r>
      <w:r w:rsidR="00EC08A5">
        <w:t xml:space="preserve">  </w:t>
      </w:r>
      <w:r w:rsidR="00C74C4B" w:rsidRPr="006C426F">
        <w:t xml:space="preserve">This evaluation also noted that building on what works rather than trying to fix what is not working is often a better approach to reform: </w:t>
      </w:r>
    </w:p>
    <w:p w14:paraId="08967A1D" w14:textId="2186F0A3" w:rsidR="00C74C4B" w:rsidRPr="000749F2" w:rsidRDefault="00C74C4B" w:rsidP="00601396">
      <w:pPr>
        <w:pStyle w:val="Quotetext"/>
      </w:pPr>
      <w:r w:rsidRPr="006C426F">
        <w:t>AusAID staff tend to engage more in deficit thinking</w:t>
      </w:r>
      <w:r w:rsidR="00C35FA5">
        <w:rPr>
          <w:rFonts w:ascii="Cambria" w:hAnsi="Cambria"/>
        </w:rPr>
        <w:t>—</w:t>
      </w:r>
      <w:r w:rsidRPr="006C426F">
        <w:t>about what is wrong with the institution and what needs fixing</w:t>
      </w:r>
      <w:r w:rsidR="00C35FA5">
        <w:rPr>
          <w:rFonts w:ascii="Cambria" w:hAnsi="Cambria"/>
        </w:rPr>
        <w:t>—</w:t>
      </w:r>
      <w:r w:rsidRPr="006C426F">
        <w:t>rather than strength-orientated thinking. Use of the word reform in relation to public sector activities also tends to orientate thinking in terms of what needs to change rather than simply what needs to be developed for the first time.</w:t>
      </w:r>
      <w:r w:rsidRPr="009D41AE">
        <w:t xml:space="preserve"> </w:t>
      </w:r>
      <w:r>
        <w:t>(p.</w:t>
      </w:r>
      <w:r w:rsidR="00C35FA5">
        <w:t xml:space="preserve"> </w:t>
      </w:r>
      <w:r>
        <w:t>iii)</w:t>
      </w:r>
    </w:p>
    <w:p w14:paraId="78785EBE" w14:textId="1B88B0E3" w:rsidR="00C35FA5" w:rsidRDefault="00C74C4B" w:rsidP="00C74C4B">
      <w:r w:rsidRPr="000749F2">
        <w:t xml:space="preserve">The evaluation of </w:t>
      </w:r>
      <w:r w:rsidRPr="00355BFD">
        <w:t>Support for Education Sector Development in Aceh (SEDIA)</w:t>
      </w:r>
      <w:r w:rsidRPr="000749F2">
        <w:t xml:space="preserve"> bring</w:t>
      </w:r>
      <w:r>
        <w:t>s a more positive example of how a slower approach that builds on existing</w:t>
      </w:r>
      <w:r w:rsidR="00670092">
        <w:t xml:space="preserve"> </w:t>
      </w:r>
      <w:r>
        <w:t>good practices can lead to successful reforms</w:t>
      </w:r>
      <w:r w:rsidRPr="000749F2">
        <w:t>.</w:t>
      </w:r>
      <w:r>
        <w:t xml:space="preserve"> The goal of SEDIA is to support the provinc</w:t>
      </w:r>
      <w:r w:rsidR="00EC08A5">
        <w:t>ial government</w:t>
      </w:r>
      <w:r>
        <w:t xml:space="preserve"> to improve the effectiveness and efficiency of basic education throughout the province in line with policies and strategies articulated in the Aceh Provincial Education Strategic Plan. </w:t>
      </w:r>
      <w:r w:rsidRPr="000749F2">
        <w:t xml:space="preserve">The SEDIA initiative was evaluated as effective because it recognised </w:t>
      </w:r>
      <w:r>
        <w:t>t</w:t>
      </w:r>
      <w:r w:rsidRPr="000749F2">
        <w:t xml:space="preserve">he importance of </w:t>
      </w:r>
      <w:r>
        <w:t>a combined top-down/bottom-up approach, which successfully combined community development with district and provincial government support around schools and education management.</w:t>
      </w:r>
      <w:r w:rsidR="00670092">
        <w:t xml:space="preserve"> </w:t>
      </w:r>
      <w:r>
        <w:t>SEDIA created</w:t>
      </w:r>
      <w:r w:rsidRPr="000749F2">
        <w:t xml:space="preserve"> the right environment, including </w:t>
      </w:r>
      <w:r w:rsidR="00C35FA5">
        <w:t xml:space="preserve">support for both </w:t>
      </w:r>
      <w:r w:rsidRPr="001561E2">
        <w:t xml:space="preserve">leadership and a systematic approach to legislative reform, as necessary conditions for change. </w:t>
      </w:r>
    </w:p>
    <w:p w14:paraId="0FD75339" w14:textId="65F6C66F" w:rsidR="00C74C4B" w:rsidRDefault="00C74C4B" w:rsidP="00601396">
      <w:pPr>
        <w:pStyle w:val="Quotetext"/>
      </w:pPr>
      <w:r w:rsidRPr="001561E2">
        <w:lastRenderedPageBreak/>
        <w:t>Creation of such an environment has been the outcome of both the current partnership and the long AusAID engagement with education in Aceh. This now yields results that could be scaled up in Aceh and other provinces of Indonesia</w:t>
      </w:r>
      <w:r w:rsidR="00C35FA5">
        <w:t>.</w:t>
      </w:r>
      <w:r w:rsidRPr="009D41AE">
        <w:t xml:space="preserve"> </w:t>
      </w:r>
      <w:r w:rsidRPr="001561E2">
        <w:t>(p</w:t>
      </w:r>
      <w:r w:rsidR="00C35FA5">
        <w:t xml:space="preserve">. </w:t>
      </w:r>
      <w:r w:rsidRPr="001561E2">
        <w:t>21)</w:t>
      </w:r>
    </w:p>
    <w:p w14:paraId="54395208" w14:textId="77777777" w:rsidR="001951A9" w:rsidRDefault="001951A9" w:rsidP="001951A9">
      <w:pPr>
        <w:pStyle w:val="Boxheading0"/>
      </w:pPr>
      <w:bookmarkStart w:id="128" w:name="_Ref372734222"/>
      <w:bookmarkStart w:id="129" w:name="_Toc372722970"/>
      <w:r>
        <w:t xml:space="preserve">Box </w:t>
      </w:r>
      <w:fldSimple w:instr=" SEQ Box \* ARABIC ">
        <w:r w:rsidR="00C971DC">
          <w:rPr>
            <w:noProof/>
          </w:rPr>
          <w:t>6</w:t>
        </w:r>
      </w:fldSimple>
      <w:bookmarkEnd w:id="128"/>
      <w:r>
        <w:tab/>
      </w:r>
      <w:r w:rsidRPr="006C426F">
        <w:t>Economic and Public Sector Program</w:t>
      </w:r>
      <w:bookmarkEnd w:id="129"/>
    </w:p>
    <w:p w14:paraId="360CDFE3" w14:textId="77777777" w:rsidR="001951A9" w:rsidRPr="000F3D78" w:rsidRDefault="001951A9" w:rsidP="001951A9">
      <w:pPr>
        <w:pStyle w:val="BoxText"/>
        <w:rPr>
          <w:sz w:val="2"/>
          <w:szCs w:val="2"/>
        </w:rPr>
      </w:pPr>
    </w:p>
    <w:p w14:paraId="26F5DF48" w14:textId="77777777" w:rsidR="001951A9" w:rsidRPr="00355BFD" w:rsidRDefault="001951A9" w:rsidP="001951A9">
      <w:pPr>
        <w:pStyle w:val="BoxText"/>
      </w:pPr>
      <w:r w:rsidRPr="006C426F">
        <w:t>The Economic and Public Sector Program (EPSP)</w:t>
      </w:r>
      <w:r>
        <w:t xml:space="preserve"> aims to </w:t>
      </w:r>
      <w:r w:rsidRPr="00355BFD">
        <w:t xml:space="preserve">strengthen the Papua New Guinea Government’s central agencies to improve service delivery. The evaluation concludes that top-down initiatives aimed at building generic public sector skills and competencies in central agencies do not seem to improve service delivery. </w:t>
      </w:r>
    </w:p>
    <w:p w14:paraId="4183A280" w14:textId="77777777" w:rsidR="001951A9" w:rsidRDefault="001951A9" w:rsidP="001951A9">
      <w:pPr>
        <w:pStyle w:val="BoxQuote"/>
        <w:spacing w:after="120"/>
      </w:pPr>
      <w:r>
        <w:tab/>
      </w:r>
      <w:r w:rsidRPr="00355BFD">
        <w:t>Trickledown effects take too long, and become too diluted in the process, to have tangible and sustained impact</w:t>
      </w:r>
      <w:r w:rsidRPr="006C426F">
        <w:t>.</w:t>
      </w:r>
      <w:r>
        <w:t xml:space="preserve"> (p. 18)</w:t>
      </w:r>
    </w:p>
    <w:p w14:paraId="71FDDE11" w14:textId="77777777" w:rsidR="001951A9" w:rsidRPr="006C426F" w:rsidRDefault="001951A9" w:rsidP="001951A9">
      <w:pPr>
        <w:pStyle w:val="BoxText"/>
      </w:pPr>
      <w:r w:rsidRPr="006C426F">
        <w:t>The underlying assumption is that if we develop skills, improve the management of public financial resources, facilitate information flows and promote appropriate policy and regulatory settings then in the course of time services will improve. These capacity</w:t>
      </w:r>
      <w:r>
        <w:t>-</w:t>
      </w:r>
      <w:r w:rsidRPr="006C426F">
        <w:t>strengthening activities will finally have impact on rural poverty.</w:t>
      </w:r>
    </w:p>
    <w:p w14:paraId="333D1CA6" w14:textId="77777777" w:rsidR="001951A9" w:rsidRPr="00FD0FA3" w:rsidRDefault="001951A9" w:rsidP="001951A9">
      <w:pPr>
        <w:pStyle w:val="BoxText"/>
      </w:pPr>
      <w:r>
        <w:t xml:space="preserve">The evaluation found that </w:t>
      </w:r>
      <w:r w:rsidRPr="006C426F">
        <w:t>most of EPSP’s assistance to central agencies was focused on ‘corporate functions’ such as corporate planning, human resources management, corporate financial systems, training and IT.</w:t>
      </w:r>
      <w:r>
        <w:t xml:space="preserve"> </w:t>
      </w:r>
      <w:r w:rsidRPr="006C426F">
        <w:t xml:space="preserve">This kind of corporate capacity development support has a dubious link and line of sight to service delivery. </w:t>
      </w:r>
      <w:r>
        <w:t>The review found some positive accomplishments within individual agencies (e.g. assisting the Department of Finance to strengthen its assistance to provincial and district treasuries in revenue monitoring and recovery; supporting the Department of Personnel Management to provide training modules to upgrade individual skills across agencies). However, t</w:t>
      </w:r>
      <w:r w:rsidRPr="006C426F">
        <w:t xml:space="preserve">here is little hard evidence that EPSP has had any discernible impact on improving services. On the contrary, despite the assistance, services keep deteriorating, not improving. </w:t>
      </w:r>
      <w:r>
        <w:t>The review recognises that there are key service delivery blockage areas where central agencies play a significant role. But it concludes that a broad capacity development approach targeting a range of central agencies and focused on corporate functions is, alone, ineffective in improving service delivery and that ‘</w:t>
      </w:r>
      <w:r w:rsidRPr="00AD6A55">
        <w:rPr>
          <w:i/>
        </w:rPr>
        <w:t>reform of public sector services will be ineffective if the focus is on central corporate functions, if there is a lack of incentives and sanctions, weak leadership, poor diagnosis and lack of a performance management system</w:t>
      </w:r>
      <w:r>
        <w:t>’</w:t>
      </w:r>
      <w:r w:rsidRPr="006C426F">
        <w:t xml:space="preserve"> (p</w:t>
      </w:r>
      <w:r>
        <w:t xml:space="preserve">. </w:t>
      </w:r>
      <w:r w:rsidRPr="006C426F">
        <w:t>18)</w:t>
      </w:r>
      <w:r w:rsidRPr="006C426F">
        <w:rPr>
          <w:rFonts w:ascii="Arial Narrow" w:hAnsi="Arial Narrow"/>
          <w:sz w:val="16"/>
          <w:szCs w:val="14"/>
          <w:lang w:eastAsia="en-US"/>
        </w:rPr>
        <w:t>.</w:t>
      </w:r>
    </w:p>
    <w:p w14:paraId="4A80EA7D" w14:textId="77777777" w:rsidR="001951A9" w:rsidRPr="00B046CC" w:rsidRDefault="001951A9" w:rsidP="001951A9">
      <w:pPr>
        <w:pStyle w:val="BoxText"/>
      </w:pPr>
      <w:r>
        <w:t>The review</w:t>
      </w:r>
      <w:r w:rsidRPr="00C13DDE">
        <w:t xml:space="preserve"> suggests that support </w:t>
      </w:r>
      <w:r>
        <w:t>would</w:t>
      </w:r>
      <w:r w:rsidRPr="00C13DDE">
        <w:t xml:space="preserve"> be far more effective if it</w:t>
      </w:r>
      <w:r>
        <w:t xml:space="preserve"> moves from an ‘agency and corporate focus’ to a ‘service issue focus’ to ensure it targets primarily those central agencies that have a direct contribution to service delivery, and assists them to focus on how they work together to resolve well-known service delivery blockages. Support would also be more effective where it works with the Papua New Guinea Government on tighter performance management for central agencies, strengthens engagement with the leadership of each client agency to discuss the agency’s contributions and links to service delivery, and facilitates the institution of a performance management system. </w:t>
      </w:r>
    </w:p>
    <w:p w14:paraId="4EB0A39D" w14:textId="77777777" w:rsidR="001951A9" w:rsidRPr="006C426F" w:rsidRDefault="001951A9" w:rsidP="001951A9">
      <w:pPr>
        <w:pStyle w:val="BoxNotes"/>
        <w:jc w:val="right"/>
      </w:pPr>
      <w:r w:rsidRPr="000749F2">
        <w:rPr>
          <w:lang w:eastAsia="en-US"/>
        </w:rPr>
        <w:t>Source:</w:t>
      </w:r>
      <w:r>
        <w:rPr>
          <w:lang w:eastAsia="en-US"/>
        </w:rPr>
        <w:t xml:space="preserve"> </w:t>
      </w:r>
      <w:r w:rsidRPr="006C426F">
        <w:rPr>
          <w:lang w:eastAsia="en-US"/>
        </w:rPr>
        <w:t>PNG</w:t>
      </w:r>
      <w:r>
        <w:rPr>
          <w:rFonts w:cs="Arial"/>
          <w:lang w:eastAsia="en-US"/>
        </w:rPr>
        <w:t>–</w:t>
      </w:r>
      <w:r w:rsidRPr="006C426F">
        <w:rPr>
          <w:lang w:eastAsia="en-US"/>
        </w:rPr>
        <w:t>Australia Economic and Public Sector Program (EPSP)</w:t>
      </w:r>
      <w:r>
        <w:rPr>
          <w:lang w:eastAsia="en-US"/>
        </w:rPr>
        <w:t xml:space="preserve"> Independent Progress Review, 2012.</w:t>
      </w:r>
    </w:p>
    <w:p w14:paraId="52A07D62" w14:textId="77777777" w:rsidR="00C74C4B" w:rsidRPr="009D41AE" w:rsidRDefault="009D41AE" w:rsidP="00296017">
      <w:pPr>
        <w:pStyle w:val="Heading2"/>
      </w:pPr>
      <w:bookmarkStart w:id="130" w:name="_Toc372723858"/>
      <w:bookmarkStart w:id="131" w:name="_Toc378060004"/>
      <w:bookmarkStart w:id="132" w:name="_Toc378922887"/>
      <w:bookmarkStart w:id="133" w:name="_Toc387394599"/>
      <w:bookmarkStart w:id="134" w:name="_Toc359936969"/>
      <w:bookmarkStart w:id="135" w:name="_Toc370827885"/>
      <w:bookmarkStart w:id="136" w:name="_Toc370827944"/>
      <w:bookmarkEnd w:id="119"/>
      <w:r>
        <w:t>3.3</w:t>
      </w:r>
      <w:r>
        <w:tab/>
      </w:r>
      <w:r w:rsidR="00C74C4B" w:rsidRPr="009D41AE">
        <w:t xml:space="preserve">Improving opportunities for women requires </w:t>
      </w:r>
      <w:bookmarkEnd w:id="130"/>
      <w:bookmarkEnd w:id="131"/>
      <w:bookmarkEnd w:id="132"/>
      <w:r w:rsidR="00BA619E" w:rsidRPr="009D41AE">
        <w:t>long</w:t>
      </w:r>
      <w:r w:rsidR="00C35FA5" w:rsidRPr="009D41AE">
        <w:t>-</w:t>
      </w:r>
      <w:r w:rsidR="00BA619E" w:rsidRPr="009D41AE">
        <w:t>term support and targeted programs</w:t>
      </w:r>
      <w:bookmarkEnd w:id="133"/>
    </w:p>
    <w:p w14:paraId="2C604C76" w14:textId="47278596" w:rsidR="00C74C4B" w:rsidRDefault="00C74C4B" w:rsidP="00C74C4B">
      <w:pPr>
        <w:rPr>
          <w:noProof/>
        </w:rPr>
      </w:pPr>
      <w:r>
        <w:rPr>
          <w:noProof/>
        </w:rPr>
        <w:t>Improving gender equality is a development objective in its own right, as recognised in the Millennium Development Goals 3 and 5</w:t>
      </w:r>
      <w:r w:rsidR="007A6A6E" w:rsidRPr="00980305">
        <w:rPr>
          <w:noProof/>
        </w:rPr>
        <w:t>—</w:t>
      </w:r>
      <w:r>
        <w:rPr>
          <w:noProof/>
        </w:rPr>
        <w:t>to promote gender equality and empower women</w:t>
      </w:r>
      <w:r w:rsidR="00296017">
        <w:rPr>
          <w:noProof/>
        </w:rPr>
        <w:t>,</w:t>
      </w:r>
      <w:r>
        <w:rPr>
          <w:noProof/>
        </w:rPr>
        <w:t xml:space="preserve"> and to improve maternal health</w:t>
      </w:r>
      <w:r w:rsidR="00296017">
        <w:rPr>
          <w:noProof/>
        </w:rPr>
        <w:t>,</w:t>
      </w:r>
      <w:r>
        <w:rPr>
          <w:noProof/>
        </w:rPr>
        <w:t xml:space="preserve"> respectively</w:t>
      </w:r>
      <w:r w:rsidR="007A6A6E" w:rsidRPr="00980305">
        <w:rPr>
          <w:noProof/>
        </w:rPr>
        <w:t>—</w:t>
      </w:r>
      <w:r>
        <w:rPr>
          <w:noProof/>
        </w:rPr>
        <w:t xml:space="preserve">but it also </w:t>
      </w:r>
      <w:r w:rsidR="00BA619E">
        <w:rPr>
          <w:noProof/>
        </w:rPr>
        <w:t>supports</w:t>
      </w:r>
      <w:r>
        <w:rPr>
          <w:noProof/>
        </w:rPr>
        <w:t xml:space="preserve"> broader development outcomes </w:t>
      </w:r>
      <w:r w:rsidR="00BA619E">
        <w:rPr>
          <w:noProof/>
        </w:rPr>
        <w:t>by promoting economic growth and helping to reduce poverty</w:t>
      </w:r>
      <w:r>
        <w:rPr>
          <w:noProof/>
        </w:rPr>
        <w:t>.</w:t>
      </w:r>
      <w:r w:rsidRPr="00980305">
        <w:rPr>
          <w:noProof/>
          <w:vertAlign w:val="superscript"/>
        </w:rPr>
        <w:footnoteReference w:id="11"/>
      </w:r>
      <w:r w:rsidR="00670092">
        <w:rPr>
          <w:noProof/>
        </w:rPr>
        <w:t xml:space="preserve"> </w:t>
      </w:r>
      <w:r>
        <w:rPr>
          <w:noProof/>
        </w:rPr>
        <w:t xml:space="preserve">Gender equality and women’s empowerment is an </w:t>
      </w:r>
      <w:r>
        <w:rPr>
          <w:noProof/>
        </w:rPr>
        <w:lastRenderedPageBreak/>
        <w:t>overarching policy objective of the Australian aid program. To make progress, there is a need to work with a range of partners including governments, civil society and others</w:t>
      </w:r>
      <w:r w:rsidR="009F23F3">
        <w:rPr>
          <w:noProof/>
        </w:rPr>
        <w:t>,</w:t>
      </w:r>
      <w:r>
        <w:rPr>
          <w:noProof/>
        </w:rPr>
        <w:t xml:space="preserve"> and </w:t>
      </w:r>
      <w:r w:rsidR="007A6A6E">
        <w:rPr>
          <w:noProof/>
        </w:rPr>
        <w:t xml:space="preserve">to </w:t>
      </w:r>
      <w:r>
        <w:rPr>
          <w:noProof/>
        </w:rPr>
        <w:t xml:space="preserve">invest in specific interventions that address barriers to women’s empowerment, gender-based violence and women’s rights </w:t>
      </w:r>
      <w:r w:rsidR="009F23F3">
        <w:rPr>
          <w:noProof/>
        </w:rPr>
        <w:t xml:space="preserve">in </w:t>
      </w:r>
      <w:r>
        <w:rPr>
          <w:noProof/>
        </w:rPr>
        <w:t>recipient countries.</w:t>
      </w:r>
      <w:r w:rsidR="00670092">
        <w:rPr>
          <w:noProof/>
        </w:rPr>
        <w:t xml:space="preserve"> </w:t>
      </w:r>
    </w:p>
    <w:p w14:paraId="05621F04" w14:textId="7FF0B31C" w:rsidR="00C74C4B" w:rsidRDefault="00C74C4B" w:rsidP="00C74C4B">
      <w:pPr>
        <w:rPr>
          <w:noProof/>
        </w:rPr>
      </w:pPr>
      <w:r>
        <w:rPr>
          <w:noProof/>
        </w:rPr>
        <w:t xml:space="preserve">Of the pool of 64 initiatives included in this synthesis, none had gender equality or empowerment as the leading objective. Many, however, addressed gender issues from a </w:t>
      </w:r>
      <w:r w:rsidR="009F23F3">
        <w:rPr>
          <w:noProof/>
        </w:rPr>
        <w:t xml:space="preserve">human </w:t>
      </w:r>
      <w:r>
        <w:rPr>
          <w:noProof/>
        </w:rPr>
        <w:t>rights</w:t>
      </w:r>
      <w:r w:rsidR="009F23F3">
        <w:rPr>
          <w:noProof/>
        </w:rPr>
        <w:t>,</w:t>
      </w:r>
      <w:r>
        <w:rPr>
          <w:noProof/>
        </w:rPr>
        <w:t xml:space="preserve"> livelihoods, governance or conflict reduction perspective.</w:t>
      </w:r>
      <w:r w:rsidRPr="00980305">
        <w:rPr>
          <w:noProof/>
        </w:rPr>
        <w:t xml:space="preserve"> </w:t>
      </w:r>
      <w:r>
        <w:rPr>
          <w:noProof/>
        </w:rPr>
        <w:t xml:space="preserve">Seven evaluations had gender findings supporting the </w:t>
      </w:r>
      <w:r w:rsidR="00EC08A5">
        <w:rPr>
          <w:noProof/>
        </w:rPr>
        <w:t>lesson that improving opportunities for women requires long-term support and targeted programs</w:t>
      </w:r>
      <w:r>
        <w:rPr>
          <w:noProof/>
        </w:rPr>
        <w:t xml:space="preserve">. The low proportion of evaluations with significant gender findings </w:t>
      </w:r>
      <w:r w:rsidR="009F23F3">
        <w:rPr>
          <w:noProof/>
        </w:rPr>
        <w:t>may be</w:t>
      </w:r>
      <w:r w:rsidR="00B73B04">
        <w:rPr>
          <w:noProof/>
        </w:rPr>
        <w:t xml:space="preserve"> </w:t>
      </w:r>
      <w:r>
        <w:rPr>
          <w:noProof/>
        </w:rPr>
        <w:t>related to the absence of specific gender questions in many evaluation terms of reference.</w:t>
      </w:r>
      <w:r w:rsidR="00670092">
        <w:rPr>
          <w:noProof/>
        </w:rPr>
        <w:t xml:space="preserve"> </w:t>
      </w:r>
    </w:p>
    <w:p w14:paraId="204C8F42" w14:textId="3AA5F09A" w:rsidR="00C74C4B" w:rsidRPr="009F3175" w:rsidRDefault="00C74C4B" w:rsidP="009D41AE">
      <w:pPr>
        <w:pStyle w:val="Heading3a"/>
      </w:pPr>
      <w:bookmarkStart w:id="137" w:name="_Toc372723859"/>
      <w:bookmarkStart w:id="138" w:name="_Toc373304273"/>
      <w:r w:rsidRPr="009F3175">
        <w:t>Support for gender equality through policy and institutional measures can prove effective but requires long</w:t>
      </w:r>
      <w:r w:rsidR="00B73B04">
        <w:t>-</w:t>
      </w:r>
      <w:r w:rsidRPr="009F3175">
        <w:t xml:space="preserve">term </w:t>
      </w:r>
      <w:bookmarkEnd w:id="137"/>
      <w:bookmarkEnd w:id="138"/>
      <w:r w:rsidR="001E407F">
        <w:t>support</w:t>
      </w:r>
    </w:p>
    <w:p w14:paraId="3420904C" w14:textId="14CB2F48" w:rsidR="00C74C4B" w:rsidRDefault="00C74C4B" w:rsidP="00C74C4B">
      <w:r>
        <w:t xml:space="preserve">Australian aid has achieved </w:t>
      </w:r>
      <w:r w:rsidR="001E407F">
        <w:t xml:space="preserve">some </w:t>
      </w:r>
      <w:r>
        <w:t>success in promoting equal treatment of, and outcomes for, men and women by supporting improved legal and policy frameworks and institutions.</w:t>
      </w:r>
      <w:r w:rsidR="00670092">
        <w:t xml:space="preserve"> </w:t>
      </w:r>
      <w:r w:rsidR="001E407F">
        <w:t xml:space="preserve">However, such support often involves complex behaviour or attitudinal changes and </w:t>
      </w:r>
      <w:r w:rsidR="00EC08A5">
        <w:t xml:space="preserve">generates </w:t>
      </w:r>
      <w:r w:rsidR="001E407F">
        <w:t>mixed levels of political commitment.</w:t>
      </w:r>
      <w:r w:rsidR="00670092">
        <w:t xml:space="preserve"> </w:t>
      </w:r>
      <w:r w:rsidR="00B73B04">
        <w:t xml:space="preserve">It </w:t>
      </w:r>
      <w:r>
        <w:t xml:space="preserve">has </w:t>
      </w:r>
      <w:r w:rsidR="00B73B04">
        <w:t xml:space="preserve">also </w:t>
      </w:r>
      <w:r>
        <w:t>required long-term commitment</w:t>
      </w:r>
      <w:r w:rsidR="00B73B04">
        <w:t>,</w:t>
      </w:r>
      <w:r>
        <w:t xml:space="preserve"> as it has often occurred in difficult settings hindered by conservative views or weak political commitment. In the </w:t>
      </w:r>
      <w:r w:rsidRPr="00125B43">
        <w:t>law and justice sector</w:t>
      </w:r>
      <w:r>
        <w:t xml:space="preserve"> in </w:t>
      </w:r>
      <w:r w:rsidR="00B73B04">
        <w:t>Papua New Guinea</w:t>
      </w:r>
      <w:r>
        <w:t xml:space="preserve">, for example, there are serious </w:t>
      </w:r>
      <w:r w:rsidR="00E322A0">
        <w:t>challenges to</w:t>
      </w:r>
      <w:r w:rsidR="00B73B04">
        <w:t xml:space="preserve"> </w:t>
      </w:r>
      <w:r>
        <w:t>improving the functioning of the legal system</w:t>
      </w:r>
      <w:r w:rsidR="00B73B04">
        <w:t>,</w:t>
      </w:r>
      <w:r>
        <w:t xml:space="preserve"> especially with regard to women’s rights. According to the evaluation of the </w:t>
      </w:r>
      <w:r w:rsidRPr="00125B43">
        <w:t>PNG</w:t>
      </w:r>
      <w:r w:rsidR="00B73B04">
        <w:rPr>
          <w:rFonts w:ascii="Cambria" w:hAnsi="Cambria"/>
        </w:rPr>
        <w:t>—</w:t>
      </w:r>
      <w:r w:rsidRPr="00125B43">
        <w:t>Australia Law &amp; Justice Partnership</w:t>
      </w:r>
      <w:r>
        <w:t xml:space="preserve">, while overall there has been limited reform in the sector, there are ‘islands of achievement’ </w:t>
      </w:r>
      <w:r w:rsidR="00B73B04">
        <w:t xml:space="preserve">including </w:t>
      </w:r>
      <w:r>
        <w:t xml:space="preserve">improvement in the rights of women and support for protection against violence (see </w:t>
      </w:r>
      <w:r>
        <w:fldChar w:fldCharType="begin"/>
      </w:r>
      <w:r>
        <w:instrText xml:space="preserve"> REF _Ref372734257 \h  \* MERGEFORMAT </w:instrText>
      </w:r>
      <w:r>
        <w:fldChar w:fldCharType="separate"/>
      </w:r>
      <w:r w:rsidR="00C971DC">
        <w:t xml:space="preserve">Box </w:t>
      </w:r>
      <w:r w:rsidR="00C971DC">
        <w:rPr>
          <w:noProof/>
        </w:rPr>
        <w:t>7</w:t>
      </w:r>
      <w:r>
        <w:fldChar w:fldCharType="end"/>
      </w:r>
      <w:r>
        <w:t xml:space="preserve">). The evaluation notes that there is still a long way to go before outcomes in delivery of justice to women </w:t>
      </w:r>
      <w:r w:rsidR="00E322A0">
        <w:t>improve</w:t>
      </w:r>
      <w:r>
        <w:t xml:space="preserve"> and that weak political commitment to the justice sector, and in turn declining budgetary support, remains a concern (p</w:t>
      </w:r>
      <w:r w:rsidR="00B73B04">
        <w:t xml:space="preserve">. </w:t>
      </w:r>
      <w:r>
        <w:t>4).</w:t>
      </w:r>
    </w:p>
    <w:p w14:paraId="604C8BB9" w14:textId="7BFC23C0" w:rsidR="00C74C4B" w:rsidRDefault="00C74C4B" w:rsidP="00AB14E8">
      <w:pPr>
        <w:pStyle w:val="Boxheading0"/>
      </w:pPr>
      <w:bookmarkStart w:id="139" w:name="_Ref372734257"/>
      <w:bookmarkStart w:id="140" w:name="_Toc372722971"/>
      <w:r>
        <w:t xml:space="preserve">Box </w:t>
      </w:r>
      <w:fldSimple w:instr=" SEQ Box \* ARABIC ">
        <w:r w:rsidR="00C971DC">
          <w:rPr>
            <w:noProof/>
          </w:rPr>
          <w:t>7</w:t>
        </w:r>
      </w:fldSimple>
      <w:bookmarkEnd w:id="139"/>
      <w:r>
        <w:tab/>
      </w:r>
      <w:r w:rsidRPr="004E2DEE">
        <w:t>The PNG</w:t>
      </w:r>
      <w:r w:rsidR="00B73B04">
        <w:rPr>
          <w:rFonts w:cs="Arial"/>
        </w:rPr>
        <w:t>–</w:t>
      </w:r>
      <w:r w:rsidRPr="004E2DEE">
        <w:t>Australia Law &amp; Justice Partnership</w:t>
      </w:r>
      <w:bookmarkEnd w:id="140"/>
    </w:p>
    <w:p w14:paraId="40414630" w14:textId="77777777" w:rsidR="00995FD1" w:rsidRPr="000F3D78" w:rsidRDefault="00995FD1" w:rsidP="00995FD1">
      <w:pPr>
        <w:pStyle w:val="BoxText"/>
        <w:rPr>
          <w:sz w:val="2"/>
          <w:szCs w:val="2"/>
        </w:rPr>
      </w:pPr>
    </w:p>
    <w:p w14:paraId="7399296C" w14:textId="568D3BFA" w:rsidR="00C74C4B" w:rsidRDefault="00C74C4B" w:rsidP="00C74C4B">
      <w:pPr>
        <w:pStyle w:val="BoxText"/>
      </w:pPr>
      <w:r>
        <w:t xml:space="preserve">The </w:t>
      </w:r>
      <w:r w:rsidR="00B73B04">
        <w:t>PNG</w:t>
      </w:r>
      <w:r w:rsidR="00B73B04">
        <w:rPr>
          <w:rFonts w:cs="Arial"/>
        </w:rPr>
        <w:t>–</w:t>
      </w:r>
      <w:r w:rsidR="00B73B04">
        <w:t>Australia Law &amp; Justice Partnership (</w:t>
      </w:r>
      <w:r>
        <w:t>PALJP</w:t>
      </w:r>
      <w:r w:rsidR="00B73B04">
        <w:t>)</w:t>
      </w:r>
      <w:r>
        <w:t xml:space="preserve"> builds on a decade-long, intensive period of support </w:t>
      </w:r>
      <w:r w:rsidR="00E322A0">
        <w:t xml:space="preserve">to </w:t>
      </w:r>
      <w:r w:rsidR="00B73B04">
        <w:t xml:space="preserve">Papua New Guinea </w:t>
      </w:r>
      <w:r>
        <w:t xml:space="preserve">by Australia. Progress in reducing crime and improving justice systems has been hampered by a lack of focus on service delivery to citizens, corruption and lack of leadership continuity. </w:t>
      </w:r>
      <w:r w:rsidR="00F44991">
        <w:t xml:space="preserve">However, </w:t>
      </w:r>
      <w:r>
        <w:t>the Australian Government’s long</w:t>
      </w:r>
      <w:r w:rsidR="00B73B04">
        <w:t>-</w:t>
      </w:r>
      <w:r>
        <w:t>term involvement and its success in creating the catalytic ‘precursors’ for an improved system, including infrastructure and capacity building, are important building blocks for future change.</w:t>
      </w:r>
    </w:p>
    <w:p w14:paraId="0C571CFC" w14:textId="1F1833D3" w:rsidR="00B73B04" w:rsidRPr="009D41AE" w:rsidRDefault="0067750C" w:rsidP="0067750C">
      <w:pPr>
        <w:pStyle w:val="BoxQuote"/>
        <w:spacing w:after="120"/>
      </w:pPr>
      <w:r>
        <w:tab/>
      </w:r>
      <w:r w:rsidR="00C74C4B" w:rsidRPr="009D41AE">
        <w:t>The nascent achievements of women’s rights may be among PALJP’s most impressive achievements. Successes include supporting the establishment of Interim Protection Orders (IPO). The existence of the IPO system is not only a significant step forward, bu</w:t>
      </w:r>
      <w:r w:rsidR="00C74C4B" w:rsidRPr="00396D95">
        <w:t>t a promissory note for future engagement, one that already provides dividends to women by increasing their confidence that their needs are being add</w:t>
      </w:r>
      <w:r w:rsidR="00C74C4B" w:rsidRPr="00B73B04">
        <w:t>ressed</w:t>
      </w:r>
      <w:r w:rsidR="00B73B04" w:rsidRPr="00B73B04">
        <w:t>.</w:t>
      </w:r>
      <w:r w:rsidR="00C74C4B" w:rsidRPr="009D41AE">
        <w:t xml:space="preserve"> (p</w:t>
      </w:r>
      <w:r w:rsidR="00B73B04" w:rsidRPr="009D41AE">
        <w:t xml:space="preserve">. </w:t>
      </w:r>
      <w:r w:rsidR="00C74C4B" w:rsidRPr="009D41AE">
        <w:t>7)</w:t>
      </w:r>
    </w:p>
    <w:p w14:paraId="0B4F78BC" w14:textId="36B2C108" w:rsidR="00B73B04" w:rsidRDefault="00C74C4B" w:rsidP="00C74C4B">
      <w:pPr>
        <w:pStyle w:val="BoxText"/>
      </w:pPr>
      <w:r w:rsidRPr="004E2DEE">
        <w:t>The PALJP has also been instrumental in getting women into magistrate, court clerk and court peace officer</w:t>
      </w:r>
      <w:r w:rsidR="00B73B04">
        <w:t xml:space="preserve"> </w:t>
      </w:r>
      <w:r w:rsidR="00B73B04" w:rsidRPr="004E2DEE">
        <w:t>positions</w:t>
      </w:r>
      <w:r w:rsidRPr="004E2DEE">
        <w:t xml:space="preserve"> (up to 700 women </w:t>
      </w:r>
      <w:r w:rsidR="00B73B04">
        <w:t xml:space="preserve">have been appointed </w:t>
      </w:r>
      <w:r w:rsidRPr="004E2DEE">
        <w:t xml:space="preserve">as magistrates and 500 </w:t>
      </w:r>
      <w:r w:rsidR="00B73B04">
        <w:t xml:space="preserve">as </w:t>
      </w:r>
      <w:r w:rsidRPr="004E2DEE">
        <w:t xml:space="preserve">court clerks and court peace officers). </w:t>
      </w:r>
    </w:p>
    <w:p w14:paraId="55D6FFAE" w14:textId="70A2FE75" w:rsidR="00C74C4B" w:rsidRPr="00B73B04" w:rsidRDefault="0067750C" w:rsidP="009D41AE">
      <w:pPr>
        <w:pStyle w:val="BoxQuote"/>
      </w:pPr>
      <w:r>
        <w:tab/>
      </w:r>
      <w:r w:rsidR="00C74C4B" w:rsidRPr="009D41AE">
        <w:t>The presence of these women as officials of the court, the lowest rung in the PNG judicial system, may reasonably be expected to be instrumental in increasing women’s access to justice, not only in numbers but also by fostering greater confidence in women that the justice system is open to and capable of listening to women’s concerns</w:t>
      </w:r>
      <w:r w:rsidR="00B73B04" w:rsidRPr="009D41AE">
        <w:t>.</w:t>
      </w:r>
      <w:r w:rsidR="00C74C4B" w:rsidRPr="009D41AE">
        <w:t xml:space="preserve"> (p</w:t>
      </w:r>
      <w:r w:rsidR="00B73B04" w:rsidRPr="009D41AE">
        <w:t xml:space="preserve">. </w:t>
      </w:r>
      <w:r w:rsidR="00C74C4B" w:rsidRPr="00396D95">
        <w:t>8)</w:t>
      </w:r>
    </w:p>
    <w:p w14:paraId="341BA22F" w14:textId="3808AF89" w:rsidR="00C74C4B" w:rsidRDefault="00C74C4B" w:rsidP="00AD6A55">
      <w:pPr>
        <w:pStyle w:val="BoxNotes"/>
        <w:spacing w:before="120"/>
        <w:jc w:val="right"/>
      </w:pPr>
      <w:r>
        <w:t>Source:</w:t>
      </w:r>
      <w:r w:rsidR="00670092">
        <w:t xml:space="preserve"> </w:t>
      </w:r>
      <w:r w:rsidRPr="004E2DEE">
        <w:t>The PNG</w:t>
      </w:r>
      <w:r w:rsidR="00B73B04">
        <w:rPr>
          <w:rFonts w:cs="Arial"/>
        </w:rPr>
        <w:t>–</w:t>
      </w:r>
      <w:r w:rsidRPr="004E2DEE">
        <w:t>Australia Law &amp; Justice Partnership</w:t>
      </w:r>
      <w:r>
        <w:t xml:space="preserve"> Evaluation, 2012</w:t>
      </w:r>
      <w:r w:rsidR="00355BFD">
        <w:t>.</w:t>
      </w:r>
    </w:p>
    <w:p w14:paraId="0C4748B0" w14:textId="77777777" w:rsidR="00AA1E8F" w:rsidRDefault="00C74C4B" w:rsidP="00383ECA">
      <w:r>
        <w:lastRenderedPageBreak/>
        <w:t xml:space="preserve">Other examples of how effective support for gender equality requires effective engagement with political processes, such as developing legislation and interaction with leaders, include the </w:t>
      </w:r>
      <w:r w:rsidRPr="004E2DEE">
        <w:t>Regional Rights Resource Team</w:t>
      </w:r>
      <w:r w:rsidRPr="001D66E6">
        <w:t xml:space="preserve"> (RRRT)</w:t>
      </w:r>
      <w:r>
        <w:t xml:space="preserve"> initiative </w:t>
      </w:r>
      <w:r w:rsidR="00F44991">
        <w:t xml:space="preserve">(also </w:t>
      </w:r>
      <w:r>
        <w:t xml:space="preserve">referred to </w:t>
      </w:r>
      <w:r w:rsidRPr="00355BFD">
        <w:t xml:space="preserve">in </w:t>
      </w:r>
      <w:r w:rsidRPr="00355BFD">
        <w:fldChar w:fldCharType="begin"/>
      </w:r>
      <w:r w:rsidRPr="00355BFD">
        <w:instrText xml:space="preserve"> REF _Ref372734059 \h  \* MERGEFORMAT </w:instrText>
      </w:r>
      <w:r w:rsidRPr="00355BFD">
        <w:fldChar w:fldCharType="separate"/>
      </w:r>
      <w:r w:rsidR="00C971DC">
        <w:t xml:space="preserve">Box </w:t>
      </w:r>
      <w:r w:rsidR="00C971DC">
        <w:rPr>
          <w:noProof/>
        </w:rPr>
        <w:t>12</w:t>
      </w:r>
      <w:r w:rsidRPr="00355BFD">
        <w:fldChar w:fldCharType="end"/>
      </w:r>
      <w:r w:rsidRPr="00355BFD">
        <w:t xml:space="preserve"> </w:t>
      </w:r>
      <w:r w:rsidR="00355BFD">
        <w:t>below</w:t>
      </w:r>
      <w:r w:rsidR="00F44991">
        <w:t>)</w:t>
      </w:r>
      <w:r w:rsidRPr="00355BFD">
        <w:t>.</w:t>
      </w:r>
      <w:r w:rsidR="00670092">
        <w:t xml:space="preserve"> </w:t>
      </w:r>
      <w:r>
        <w:t>The evaluation noted that t</w:t>
      </w:r>
      <w:r w:rsidRPr="001D66E6">
        <w:t>he Vanuatu Family Protection Bill was passed with some</w:t>
      </w:r>
      <w:r>
        <w:t xml:space="preserve"> </w:t>
      </w:r>
      <w:r w:rsidRPr="001D66E6">
        <w:t xml:space="preserve">assistance </w:t>
      </w:r>
      <w:r>
        <w:t>from this initiative</w:t>
      </w:r>
      <w:r w:rsidRPr="001D66E6">
        <w:t xml:space="preserve">, while </w:t>
      </w:r>
      <w:r>
        <w:t>the g</w:t>
      </w:r>
      <w:r w:rsidRPr="001D66E6">
        <w:t>overnments of Kiribati and Tuvalu have been provided</w:t>
      </w:r>
      <w:r>
        <w:t xml:space="preserve"> </w:t>
      </w:r>
      <w:r w:rsidRPr="001D66E6">
        <w:t>with technical advice about legislative drafting options</w:t>
      </w:r>
      <w:r>
        <w:t xml:space="preserve"> (p</w:t>
      </w:r>
      <w:r w:rsidR="00B73B04">
        <w:t xml:space="preserve">. </w:t>
      </w:r>
      <w:r>
        <w:t>18)</w:t>
      </w:r>
      <w:r w:rsidRPr="001D66E6">
        <w:t>.</w:t>
      </w:r>
      <w:r>
        <w:t xml:space="preserve"> The project’s effectiveness was assisted by its ability to hold high</w:t>
      </w:r>
      <w:r w:rsidR="00B73B04">
        <w:t>-</w:t>
      </w:r>
      <w:r>
        <w:t>level meetings with leaders across the region. In Fiji, on the other hand, the RRRT’s operations were limited by political constraints given the government’s sensitivity to human rights issues (p</w:t>
      </w:r>
      <w:r w:rsidR="00B73B04">
        <w:t xml:space="preserve">. </w:t>
      </w:r>
      <w:r>
        <w:t xml:space="preserve">16). </w:t>
      </w:r>
    </w:p>
    <w:p w14:paraId="206D6561" w14:textId="54F8AAF2" w:rsidR="00AA1E8F" w:rsidRDefault="00AA1E8F" w:rsidP="00AA1E8F">
      <w:r>
        <w:t>T</w:t>
      </w:r>
      <w:r w:rsidR="00C74C4B">
        <w:t xml:space="preserve">he </w:t>
      </w:r>
      <w:proofErr w:type="spellStart"/>
      <w:r w:rsidR="00C74C4B">
        <w:t>Kastom</w:t>
      </w:r>
      <w:proofErr w:type="spellEnd"/>
      <w:r w:rsidR="00C74C4B">
        <w:t xml:space="preserve"> Governance Program in Vanuatu </w:t>
      </w:r>
      <w:r w:rsidR="00267EB9">
        <w:t xml:space="preserve">was </w:t>
      </w:r>
      <w:r w:rsidR="00C74C4B">
        <w:t xml:space="preserve">an interesting intervention that </w:t>
      </w:r>
      <w:r w:rsidR="00C74C4B" w:rsidRPr="00510D06">
        <w:t>attempt</w:t>
      </w:r>
      <w:r w:rsidR="00B73B04">
        <w:t>ed</w:t>
      </w:r>
      <w:r w:rsidR="00C74C4B" w:rsidRPr="00510D06">
        <w:t xml:space="preserve"> to challenge the idea of a ‘fragile state’ with the alternative notion of a ‘hybrid political order’. This hybrid order recognises both customary approaches to governance and the post-independence Westminster system of governance.</w:t>
      </w:r>
      <w:r w:rsidR="00670092">
        <w:t xml:space="preserve"> </w:t>
      </w:r>
      <w:r w:rsidRPr="00AA1E8F">
        <w:t xml:space="preserve">The evaluation noted (pp. 25-26) that </w:t>
      </w:r>
      <w:r>
        <w:t>progress on changing</w:t>
      </w:r>
      <w:r w:rsidRPr="00AA1E8F">
        <w:t xml:space="preserve"> traditional perceptions of the role of women, including among women themselves</w:t>
      </w:r>
      <w:r>
        <w:t>, has been slow</w:t>
      </w:r>
      <w:r w:rsidRPr="00AA1E8F">
        <w:t>.</w:t>
      </w:r>
      <w:r>
        <w:t xml:space="preserve"> As in any society, </w:t>
      </w:r>
      <w:r w:rsidR="00712439">
        <w:t xml:space="preserve">this type of change </w:t>
      </w:r>
      <w:r w:rsidR="00267EB9">
        <w:t>requires long-term attitudinal and behaviour change</w:t>
      </w:r>
      <w:r w:rsidR="00C74C4B">
        <w:t xml:space="preserve">. </w:t>
      </w:r>
    </w:p>
    <w:p w14:paraId="121559A0" w14:textId="2D65973A" w:rsidR="00C74C4B" w:rsidRPr="00646E58" w:rsidRDefault="00C74C4B" w:rsidP="009D41AE">
      <w:pPr>
        <w:pStyle w:val="Heading3a"/>
      </w:pPr>
      <w:bookmarkStart w:id="141" w:name="_Toc372723860"/>
      <w:bookmarkStart w:id="142" w:name="_Toc373304274"/>
      <w:r w:rsidRPr="00646E58">
        <w:t>Capacity</w:t>
      </w:r>
      <w:r w:rsidR="00B73B04">
        <w:t>-</w:t>
      </w:r>
      <w:r w:rsidRPr="00646E58">
        <w:t xml:space="preserve">building </w:t>
      </w:r>
      <w:r w:rsidR="001E407F">
        <w:t xml:space="preserve">programs </w:t>
      </w:r>
      <w:r>
        <w:t xml:space="preserve">can </w:t>
      </w:r>
      <w:r w:rsidRPr="00646E58">
        <w:t>reach and empower women</w:t>
      </w:r>
      <w:r w:rsidR="001E407F">
        <w:t>, but women need to be specifically targeted and</w:t>
      </w:r>
      <w:r>
        <w:t xml:space="preserve"> barriers to </w:t>
      </w:r>
      <w:r w:rsidR="001E407F">
        <w:t xml:space="preserve">their </w:t>
      </w:r>
      <w:r>
        <w:t xml:space="preserve">participation </w:t>
      </w:r>
      <w:r w:rsidR="00B73B04">
        <w:t xml:space="preserve">must be </w:t>
      </w:r>
      <w:r>
        <w:t>addressed</w:t>
      </w:r>
      <w:bookmarkEnd w:id="141"/>
      <w:bookmarkEnd w:id="142"/>
    </w:p>
    <w:p w14:paraId="581C04EC" w14:textId="60411FF5" w:rsidR="00C74C4B" w:rsidRDefault="0056004B" w:rsidP="00C74C4B">
      <w:r w:rsidRPr="0056004B">
        <w:t>Capacity</w:t>
      </w:r>
      <w:r w:rsidR="00B73B04">
        <w:t>-</w:t>
      </w:r>
      <w:r w:rsidRPr="0056004B">
        <w:t xml:space="preserve">building programs can reach and empower women, but </w:t>
      </w:r>
      <w:r>
        <w:t xml:space="preserve">the specific needs of </w:t>
      </w:r>
      <w:r w:rsidRPr="0056004B">
        <w:t xml:space="preserve">women need to be </w:t>
      </w:r>
      <w:r>
        <w:t>considered</w:t>
      </w:r>
      <w:r w:rsidRPr="0056004B">
        <w:t xml:space="preserve"> and barriers to their participation </w:t>
      </w:r>
      <w:r w:rsidR="00B73B04">
        <w:t xml:space="preserve">must be </w:t>
      </w:r>
      <w:r w:rsidRPr="0056004B">
        <w:t>addressed.</w:t>
      </w:r>
      <w:r w:rsidR="00670092">
        <w:t xml:space="preserve"> </w:t>
      </w:r>
      <w:r w:rsidRPr="0056004B">
        <w:t>Generic programs for both men and women are unlikely to have the same level of participation by women or to be as effective in addressing inequality.</w:t>
      </w:r>
      <w:r w:rsidR="00670092">
        <w:t xml:space="preserve"> </w:t>
      </w:r>
      <w:r w:rsidR="00C74C4B">
        <w:t>Four evaluations have pointed to success in building capacity</w:t>
      </w:r>
      <w:r>
        <w:t xml:space="preserve"> of women and other marginalised groups</w:t>
      </w:r>
      <w:r w:rsidR="00C74C4B">
        <w:t xml:space="preserve"> in particular areas such as media, human rights, water and sanitation, and agriculture. It </w:t>
      </w:r>
      <w:r w:rsidR="00D76DAE">
        <w:t>should</w:t>
      </w:r>
      <w:r w:rsidR="00C74C4B">
        <w:t xml:space="preserve"> be noted that the</w:t>
      </w:r>
      <w:r w:rsidR="00D76DAE">
        <w:t xml:space="preserve"> evaluations</w:t>
      </w:r>
      <w:r w:rsidR="00C74C4B">
        <w:t xml:space="preserve"> </w:t>
      </w:r>
      <w:r w:rsidR="00D76DAE">
        <w:t>included in this review are of initiatives that</w:t>
      </w:r>
      <w:r w:rsidR="00C74C4B">
        <w:t xml:space="preserve"> </w:t>
      </w:r>
      <w:r w:rsidR="00D76DAE">
        <w:t xml:space="preserve">focus </w:t>
      </w:r>
      <w:r w:rsidR="00C74C4B">
        <w:t>on building capacity of women through training and participation</w:t>
      </w:r>
      <w:r w:rsidR="00D76DAE">
        <w:t>,</w:t>
      </w:r>
      <w:r w:rsidR="00C74C4B">
        <w:t xml:space="preserve"> and do not also address capacity building of institutions to make them more sensitive to and more willing to tackle gender inequality.</w:t>
      </w:r>
    </w:p>
    <w:p w14:paraId="25A6CD04" w14:textId="77777777" w:rsidR="00FF52E7" w:rsidRDefault="00C74C4B" w:rsidP="00C74C4B">
      <w:r>
        <w:t xml:space="preserve">In the </w:t>
      </w:r>
      <w:r w:rsidRPr="00646E58">
        <w:t>Zimbabwe Food and Water Initiative</w:t>
      </w:r>
      <w:r>
        <w:t xml:space="preserve">, active targeting by the implementing </w:t>
      </w:r>
      <w:r w:rsidR="00355BFD">
        <w:t>non-government organisations (</w:t>
      </w:r>
      <w:r>
        <w:t>NGOs</w:t>
      </w:r>
      <w:r w:rsidR="00355BFD">
        <w:t>)</w:t>
      </w:r>
      <w:r>
        <w:t xml:space="preserve"> of women (as well as other groups such as the disabled and those affected by HIV) led to high levels of participation. The deliberate inclusion of women and girls in decision-making in the various stages of the project cycle</w:t>
      </w:r>
      <w:r w:rsidR="00B73B04">
        <w:rPr>
          <w:rFonts w:ascii="Cambria" w:hAnsi="Cambria"/>
        </w:rPr>
        <w:t>—</w:t>
      </w:r>
      <w:r w:rsidR="00B73B04">
        <w:t xml:space="preserve">for example, in the design of toilets </w:t>
      </w:r>
      <w:r w:rsidR="00B73B04" w:rsidRPr="00E22AC5">
        <w:t>and other facilities specifically for girls or disabled groups</w:t>
      </w:r>
      <w:r w:rsidR="00B73B04">
        <w:rPr>
          <w:rFonts w:ascii="Cambria" w:hAnsi="Cambria"/>
        </w:rPr>
        <w:t>—</w:t>
      </w:r>
      <w:r>
        <w:t>enhanced the understanding of their role in the community (p</w:t>
      </w:r>
      <w:r w:rsidR="00B73B04">
        <w:t xml:space="preserve">. </w:t>
      </w:r>
      <w:r>
        <w:t xml:space="preserve">17). </w:t>
      </w:r>
      <w:r w:rsidR="00B73B04">
        <w:t>C</w:t>
      </w:r>
      <w:r>
        <w:t xml:space="preserve">ollaboration </w:t>
      </w:r>
      <w:r w:rsidRPr="00E22AC5">
        <w:t>with specialist organisations with expertise in gender/women, disability or HIV and AIDS</w:t>
      </w:r>
      <w:r w:rsidR="00B73B04">
        <w:t xml:space="preserve"> also assisted in this process</w:t>
      </w:r>
      <w:r>
        <w:t xml:space="preserve">. At the same time, the evaluation pointed to the need to go further in modifying some of the training approaches to suit women’s needs and responsibilities better. </w:t>
      </w:r>
    </w:p>
    <w:p w14:paraId="45F5BB9C" w14:textId="441664BB" w:rsidR="00C74C4B" w:rsidRDefault="00FF52E7" w:rsidP="00C74C4B">
      <w:r>
        <w:t>T</w:t>
      </w:r>
      <w:r w:rsidR="00C74C4B">
        <w:t xml:space="preserve">he </w:t>
      </w:r>
      <w:r w:rsidR="00C74C4B" w:rsidRPr="00355BFD">
        <w:t>BESIK</w:t>
      </w:r>
      <w:r w:rsidR="00C74C4B">
        <w:t xml:space="preserve"> evaluation</w:t>
      </w:r>
      <w:r>
        <w:t xml:space="preserve"> found that</w:t>
      </w:r>
      <w:r w:rsidR="00C74C4B">
        <w:t xml:space="preserve"> proactive support for women field staff to </w:t>
      </w:r>
      <w:r>
        <w:t>undertake supervisory roles</w:t>
      </w:r>
      <w:r w:rsidR="00C74C4B">
        <w:t xml:space="preserve"> improved awareness that women could fulfil roles that had in the past only been undertaken by men. </w:t>
      </w:r>
      <w:r>
        <w:t xml:space="preserve">However, </w:t>
      </w:r>
      <w:r w:rsidR="00C74C4B">
        <w:t xml:space="preserve">it also recognised that more could be done to meet </w:t>
      </w:r>
      <w:r>
        <w:t xml:space="preserve">women’s </w:t>
      </w:r>
      <w:r w:rsidR="00C74C4B">
        <w:t xml:space="preserve">particular needs (such as maternity leave and secure travel). The lesson </w:t>
      </w:r>
      <w:r>
        <w:t>was</w:t>
      </w:r>
      <w:r w:rsidR="00C74C4B">
        <w:t xml:space="preserve"> that</w:t>
      </w:r>
      <w:r w:rsidR="00B73B04">
        <w:t>,</w:t>
      </w:r>
      <w:r w:rsidR="00C74C4B">
        <w:t xml:space="preserve"> while improvements can occur through deliberate inclusion of women in non-traditional roles, further efforts </w:t>
      </w:r>
      <w:r>
        <w:t xml:space="preserve">may be </w:t>
      </w:r>
      <w:r w:rsidR="00C74C4B">
        <w:t>needed to encourage institutions to recognise women’s specific needs.</w:t>
      </w:r>
    </w:p>
    <w:p w14:paraId="707BC464" w14:textId="7FD31CA4" w:rsidR="00D06F23" w:rsidRDefault="00C74C4B" w:rsidP="00C74C4B">
      <w:r>
        <w:t xml:space="preserve">As </w:t>
      </w:r>
      <w:r w:rsidR="00FF52E7">
        <w:t>beneficiaries</w:t>
      </w:r>
      <w:r>
        <w:t xml:space="preserve">, women have played a key role in the </w:t>
      </w:r>
      <w:r w:rsidRPr="00355BFD">
        <w:t>RRRT</w:t>
      </w:r>
      <w:r w:rsidR="00355BFD">
        <w:t>’s</w:t>
      </w:r>
      <w:r>
        <w:t xml:space="preserve"> human rights training activities. Despite </w:t>
      </w:r>
      <w:r w:rsidR="00D06F23">
        <w:t xml:space="preserve">the fact that there are </w:t>
      </w:r>
      <w:r>
        <w:t>few women activists in Pacific Island Countries, the evaluation found that the RRRT was able to target women effectively</w:t>
      </w:r>
      <w:r w:rsidR="00D06F23">
        <w:t xml:space="preserve"> because of </w:t>
      </w:r>
      <w:r>
        <w:t xml:space="preserve">its origins in the women’s rights movement in the region, its high level of recognised expertise and </w:t>
      </w:r>
      <w:r w:rsidR="00D06F23">
        <w:t xml:space="preserve">its positioning of </w:t>
      </w:r>
      <w:r>
        <w:t xml:space="preserve">gender at the core of its mission. </w:t>
      </w:r>
      <w:r w:rsidR="00D06F23">
        <w:t xml:space="preserve">Forty-four </w:t>
      </w:r>
      <w:r>
        <w:t xml:space="preserve">per cent of attendees at the RRRT’s training activities targeted at </w:t>
      </w:r>
      <w:r w:rsidR="00B67DF2">
        <w:t xml:space="preserve">senior </w:t>
      </w:r>
      <w:r>
        <w:t xml:space="preserve">leaders </w:t>
      </w:r>
      <w:r w:rsidR="00B67DF2">
        <w:lastRenderedPageBreak/>
        <w:t>(</w:t>
      </w:r>
      <w:r>
        <w:t>such as judges and parliamentarians</w:t>
      </w:r>
      <w:r w:rsidR="00B67DF2">
        <w:t>)</w:t>
      </w:r>
      <w:r>
        <w:t xml:space="preserve"> were women. At the community level, more than 60 per cent of trainees have been women. </w:t>
      </w:r>
    </w:p>
    <w:p w14:paraId="7F2B1C65" w14:textId="65D77A84" w:rsidR="00C74C4B" w:rsidRDefault="00C74C4B" w:rsidP="00383ECA">
      <w:pPr>
        <w:pStyle w:val="Quotetext"/>
      </w:pPr>
      <w:r w:rsidRPr="00FA32FB">
        <w:t>The project has engaged in and implemented an extensive range of gender-related activities, particularly in e</w:t>
      </w:r>
      <w:r>
        <w:t xml:space="preserve">nding violence against women </w:t>
      </w:r>
      <w:r w:rsidRPr="00FA32FB">
        <w:t>and women’s rights. Major achievements include assisting in the passing of Family Law legislation in the Marshall Islands and Vanuatu, drafting of legislation in the Solomon Islands and Kiribati and training of police in domestic violence procedural matters</w:t>
      </w:r>
      <w:r w:rsidR="00D06F23">
        <w:t>.</w:t>
      </w:r>
      <w:r w:rsidRPr="009D41AE">
        <w:t xml:space="preserve"> </w:t>
      </w:r>
      <w:r>
        <w:t>(p. v)</w:t>
      </w:r>
    </w:p>
    <w:p w14:paraId="33ED4EE5" w14:textId="24F3F14E" w:rsidR="00C74C4B" w:rsidRDefault="00C74C4B" w:rsidP="00C74C4B">
      <w:r>
        <w:t xml:space="preserve">The </w:t>
      </w:r>
      <w:r w:rsidRPr="00992A66">
        <w:t>Africa</w:t>
      </w:r>
      <w:r w:rsidR="00B67DF2">
        <w:rPr>
          <w:rFonts w:ascii="Cambria" w:hAnsi="Cambria"/>
        </w:rPr>
        <w:t>–</w:t>
      </w:r>
      <w:r w:rsidRPr="00992A66">
        <w:t xml:space="preserve">Australian Development Scholarships Management </w:t>
      </w:r>
      <w:r>
        <w:t xml:space="preserve">Program demonstrated how another approach to capacity building for women can prove effective. While overall the level of female </w:t>
      </w:r>
      <w:r w:rsidRPr="00355BFD">
        <w:t xml:space="preserve">participation in the Master’s </w:t>
      </w:r>
      <w:r w:rsidRPr="00540AA8">
        <w:t>degree</w:t>
      </w:r>
      <w:r>
        <w:t xml:space="preserve"> level program was 47 per cent, there were significant barriers for women from sub-Saharan Africa, especially </w:t>
      </w:r>
      <w:r w:rsidR="00D06F23">
        <w:t xml:space="preserve">single mothers and </w:t>
      </w:r>
      <w:r>
        <w:t>those from rural areas. The evaluation notes that s</w:t>
      </w:r>
      <w:r w:rsidRPr="00FB05A7">
        <w:t xml:space="preserve">cholarship </w:t>
      </w:r>
      <w:r>
        <w:t>program</w:t>
      </w:r>
      <w:r w:rsidRPr="00FB05A7">
        <w:t>s can have positive gender impacts but only if they include strong affirmative action measures</w:t>
      </w:r>
      <w:r w:rsidR="00D06F23">
        <w:rPr>
          <w:rFonts w:ascii="Cambria" w:hAnsi="Cambria"/>
        </w:rPr>
        <w:t>—</w:t>
      </w:r>
      <w:r w:rsidR="00D06F23">
        <w:t xml:space="preserve">for example, </w:t>
      </w:r>
      <w:r>
        <w:t>the allocation of places based on an equal ratio between men and women</w:t>
      </w:r>
      <w:r w:rsidR="00D06F23">
        <w:rPr>
          <w:rFonts w:ascii="Cambria" w:hAnsi="Cambria"/>
        </w:rPr>
        <w:t>—</w:t>
      </w:r>
      <w:r w:rsidRPr="00FB05A7">
        <w:t>to encourage a wide range of female applicants (p.</w:t>
      </w:r>
      <w:r w:rsidR="00D06F23">
        <w:t xml:space="preserve"> </w:t>
      </w:r>
      <w:r w:rsidRPr="00FB05A7">
        <w:t>13)</w:t>
      </w:r>
      <w:r>
        <w:t xml:space="preserve"> </w:t>
      </w:r>
      <w:r w:rsidR="00D06F23">
        <w:t xml:space="preserve">and provide </w:t>
      </w:r>
      <w:r>
        <w:t>additional support</w:t>
      </w:r>
      <w:r w:rsidR="00D06F23">
        <w:rPr>
          <w:rFonts w:ascii="Cambria" w:hAnsi="Cambria"/>
        </w:rPr>
        <w:t>—</w:t>
      </w:r>
      <w:r>
        <w:t xml:space="preserve">for example, financing children to accompany the mother while </w:t>
      </w:r>
      <w:r w:rsidR="00B67DF2">
        <w:t>she</w:t>
      </w:r>
      <w:r w:rsidR="00D06F23">
        <w:t xml:space="preserve"> is </w:t>
      </w:r>
      <w:r>
        <w:t>studying abroad (pp.</w:t>
      </w:r>
      <w:r w:rsidR="00D06F23">
        <w:t xml:space="preserve"> </w:t>
      </w:r>
      <w:r>
        <w:t>20</w:t>
      </w:r>
      <w:r w:rsidR="00D06F23">
        <w:rPr>
          <w:rFonts w:ascii="Cambria" w:hAnsi="Cambria"/>
        </w:rPr>
        <w:t>–</w:t>
      </w:r>
      <w:r>
        <w:t>21).</w:t>
      </w:r>
    </w:p>
    <w:p w14:paraId="31F878F0" w14:textId="1695AAD1" w:rsidR="00C74C4B" w:rsidRDefault="00C74C4B" w:rsidP="00C74C4B">
      <w:r w:rsidRPr="00355BFD">
        <w:t>The MTV EXIT ASIA initiative</w:t>
      </w:r>
      <w:r>
        <w:t xml:space="preserve"> provides an example of a case where women and other vulnerable groups were not well targeted. </w:t>
      </w:r>
      <w:r w:rsidRPr="001574B2">
        <w:t xml:space="preserve">MTV EXIT is a large-scale </w:t>
      </w:r>
      <w:r w:rsidRPr="00355BFD">
        <w:t>multimedia</w:t>
      </w:r>
      <w:r w:rsidRPr="001574B2">
        <w:t xml:space="preserve"> campaign designed to raise awarenes</w:t>
      </w:r>
      <w:r>
        <w:t>s of trafficking in people</w:t>
      </w:r>
      <w:r w:rsidRPr="001574B2">
        <w:t xml:space="preserve"> in the Asia</w:t>
      </w:r>
      <w:r w:rsidR="00D06F23">
        <w:rPr>
          <w:rFonts w:ascii="Cambria" w:hAnsi="Cambria"/>
        </w:rPr>
        <w:t>–</w:t>
      </w:r>
      <w:r w:rsidRPr="001574B2">
        <w:t>Pacific Region</w:t>
      </w:r>
      <w:r>
        <w:t>.</w:t>
      </w:r>
      <w:r w:rsidR="00670092">
        <w:t xml:space="preserve"> </w:t>
      </w:r>
      <w:r>
        <w:t>The evaluation found that the strategy for identifying at</w:t>
      </w:r>
      <w:r w:rsidR="00D06F23">
        <w:t>-</w:t>
      </w:r>
      <w:r>
        <w:t xml:space="preserve">risk persons for trafficking was unclear. All target groups were treated generically and this led to confusion in the media outputs and a poor ability to induce behaviour change. </w:t>
      </w:r>
      <w:r w:rsidR="00B67DF2">
        <w:t>A</w:t>
      </w:r>
      <w:r>
        <w:t xml:space="preserve">lthough </w:t>
      </w:r>
      <w:r w:rsidR="00B67DF2">
        <w:t xml:space="preserve">women </w:t>
      </w:r>
      <w:r>
        <w:t>are the focus of MTV EXIT’s outputs, there was no appreciation of gender issues and no gender strategy.</w:t>
      </w:r>
    </w:p>
    <w:bookmarkEnd w:id="134"/>
    <w:bookmarkEnd w:id="135"/>
    <w:bookmarkEnd w:id="136"/>
    <w:p w14:paraId="0F81A0EC" w14:textId="03FB83A6" w:rsidR="00C74C4B" w:rsidRDefault="00C74C4B">
      <w:pPr>
        <w:spacing w:before="0" w:after="0" w:line="240" w:lineRule="auto"/>
        <w:rPr>
          <w:noProof/>
        </w:rPr>
      </w:pPr>
      <w:r>
        <w:rPr>
          <w:noProof/>
        </w:rPr>
        <w:br w:type="page"/>
      </w:r>
    </w:p>
    <w:bookmarkStart w:id="143" w:name="_Toc378059997"/>
    <w:bookmarkStart w:id="144" w:name="_Toc378922880"/>
    <w:bookmarkStart w:id="145" w:name="_Toc387394600"/>
    <w:bookmarkStart w:id="146" w:name="OLE_LINK5"/>
    <w:p w14:paraId="22A098F8" w14:textId="2EA2DCF2" w:rsidR="00C74C4B" w:rsidRDefault="00383ECA" w:rsidP="001951A9">
      <w:pPr>
        <w:pStyle w:val="Heading1"/>
        <w:spacing w:after="1200"/>
      </w:pPr>
      <w:r>
        <w:rPr>
          <w:noProof/>
        </w:rPr>
        <w:lastRenderedPageBreak/>
        <mc:AlternateContent>
          <mc:Choice Requires="wps">
            <w:drawing>
              <wp:anchor distT="0" distB="0" distL="114300" distR="114300" simplePos="0" relativeHeight="251658752" behindDoc="1" locked="0" layoutInCell="1" allowOverlap="1" wp14:anchorId="63005436" wp14:editId="5A1339F2">
                <wp:simplePos x="0" y="0"/>
                <wp:positionH relativeFrom="page">
                  <wp:posOffset>-47625</wp:posOffset>
                </wp:positionH>
                <wp:positionV relativeFrom="paragraph">
                  <wp:posOffset>-305435</wp:posOffset>
                </wp:positionV>
                <wp:extent cx="7610475" cy="1468800"/>
                <wp:effectExtent l="0" t="0" r="9525" b="0"/>
                <wp:wrapNone/>
                <wp:docPr id="3" name="Rectangle 3"/>
                <wp:cNvGraphicFramePr/>
                <a:graphic xmlns:a="http://schemas.openxmlformats.org/drawingml/2006/main">
                  <a:graphicData uri="http://schemas.microsoft.com/office/word/2010/wordprocessingShape">
                    <wps:wsp>
                      <wps:cNvSpPr/>
                      <wps:spPr>
                        <a:xfrm>
                          <a:off x="0" y="0"/>
                          <a:ext cx="7610475"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75pt;margin-top:-24.05pt;width:599.25pt;height:11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" fillcolor="#124486" stroked="f" strokeweight="2pt">
                <w10:wrap anchorx="page"/>
              </v:rect>
            </w:pict>
          </mc:Fallback>
        </mc:AlternateContent>
      </w:r>
      <w:r>
        <w:t>4</w:t>
      </w:r>
      <w:r>
        <w:tab/>
      </w:r>
      <w:r w:rsidR="00C74C4B">
        <w:t>Engaging with partners to make Australian aid more effective</w:t>
      </w:r>
      <w:bookmarkEnd w:id="143"/>
      <w:bookmarkEnd w:id="144"/>
      <w:bookmarkEnd w:id="145"/>
    </w:p>
    <w:bookmarkEnd w:id="146"/>
    <w:p w14:paraId="5ED0A1DF" w14:textId="06C6DDCF" w:rsidR="00D06F23" w:rsidRDefault="00C74C4B" w:rsidP="00C74C4B">
      <w:r>
        <w:t>This chapter brings together a series of lessons that reflect on the benefits of maximising engagement with different partners. Working more effectively with development partners is important for various reasons, including collaborating to achieve long-term development goals, achieving more efficient implementation by sharing costs or reducing overheads, and leveraging Australia’s aid resources to increase support from partners in areas that are of concern to Australia. Partners include</w:t>
      </w:r>
      <w:r w:rsidRPr="00425747">
        <w:t xml:space="preserve"> non-state act</w:t>
      </w:r>
      <w:r w:rsidRPr="00D1221F">
        <w:t>ors such as the private sector and civil society</w:t>
      </w:r>
      <w:r w:rsidR="00D06F23">
        <w:t xml:space="preserve"> as well as </w:t>
      </w:r>
      <w:r>
        <w:t>partner governments and other donors. The lessons</w:t>
      </w:r>
      <w:r w:rsidR="00660A3D">
        <w:t xml:space="preserve"> here</w:t>
      </w:r>
      <w:r>
        <w:t xml:space="preserve"> </w:t>
      </w:r>
      <w:r w:rsidR="00B67DF2">
        <w:t>cover working with multilaterals, civil society and through regional bodies.</w:t>
      </w:r>
      <w:r>
        <w:t xml:space="preserve"> </w:t>
      </w:r>
    </w:p>
    <w:p w14:paraId="02F615BC" w14:textId="3FCD4B6B" w:rsidR="0001612D" w:rsidRPr="00DC51E0" w:rsidRDefault="009D41AE" w:rsidP="00730969">
      <w:pPr>
        <w:pStyle w:val="Heading2"/>
        <w:rPr>
          <w:rFonts w:eastAsia="MS Gothic"/>
        </w:rPr>
      </w:pPr>
      <w:bookmarkStart w:id="147" w:name="working"/>
      <w:bookmarkStart w:id="148" w:name="_Toc372723842"/>
      <w:bookmarkStart w:id="149" w:name="_Toc378059998"/>
      <w:bookmarkStart w:id="150" w:name="_Toc378922881"/>
      <w:bookmarkStart w:id="151" w:name="_Toc387394601"/>
      <w:bookmarkStart w:id="152" w:name="OLE_LINK1"/>
      <w:bookmarkStart w:id="153" w:name="_Toc378059999"/>
      <w:bookmarkStart w:id="154" w:name="_Toc378922882"/>
      <w:bookmarkStart w:id="155" w:name="_Toc372723845"/>
      <w:bookmarkStart w:id="156" w:name="_Toc370827880"/>
      <w:bookmarkStart w:id="157" w:name="_Toc370827931"/>
      <w:bookmarkEnd w:id="147"/>
      <w:r>
        <w:rPr>
          <w:rFonts w:eastAsia="MS Gothic"/>
        </w:rPr>
        <w:t>4.1</w:t>
      </w:r>
      <w:r>
        <w:rPr>
          <w:rFonts w:eastAsia="MS Gothic"/>
        </w:rPr>
        <w:tab/>
      </w:r>
      <w:r w:rsidR="0001612D" w:rsidRPr="00DC51E0">
        <w:rPr>
          <w:rFonts w:eastAsia="MS Gothic"/>
        </w:rPr>
        <w:t xml:space="preserve">Working </w:t>
      </w:r>
      <w:r w:rsidR="0001612D">
        <w:rPr>
          <w:rFonts w:eastAsia="MS Gothic"/>
        </w:rPr>
        <w:t>through</w:t>
      </w:r>
      <w:r w:rsidR="0001612D" w:rsidRPr="00DC51E0">
        <w:rPr>
          <w:rFonts w:eastAsia="MS Gothic"/>
        </w:rPr>
        <w:t xml:space="preserve"> multilateral organisations</w:t>
      </w:r>
      <w:bookmarkEnd w:id="148"/>
      <w:bookmarkEnd w:id="149"/>
      <w:bookmarkEnd w:id="150"/>
      <w:r w:rsidR="0001612D">
        <w:rPr>
          <w:rFonts w:eastAsia="MS Gothic"/>
        </w:rPr>
        <w:t xml:space="preserve"> can promote efficiency and expand reach and policy influence but requires active DFAT engagement</w:t>
      </w:r>
      <w:bookmarkEnd w:id="151"/>
      <w:r w:rsidR="0001612D">
        <w:rPr>
          <w:rFonts w:eastAsia="MS Gothic"/>
        </w:rPr>
        <w:t xml:space="preserve"> </w:t>
      </w:r>
    </w:p>
    <w:p w14:paraId="35AC7E60" w14:textId="4E872B68" w:rsidR="0001612D" w:rsidRDefault="0001612D" w:rsidP="005F610E">
      <w:r>
        <w:t xml:space="preserve">Australian aid is provided both directly to multilateral organisations in the form of core funding and </w:t>
      </w:r>
      <w:r w:rsidR="00D06F23">
        <w:t xml:space="preserve">indirectly </w:t>
      </w:r>
      <w:r>
        <w:t>through multilateral organisations in the form of non-core contributions. C</w:t>
      </w:r>
      <w:r w:rsidRPr="00DC51E0">
        <w:t>ore contributions</w:t>
      </w:r>
      <w:r>
        <w:t xml:space="preserve"> are </w:t>
      </w:r>
      <w:r w:rsidRPr="00DC51E0">
        <w:t>not tied to a specific purpose</w:t>
      </w:r>
      <w:r w:rsidR="00D06F23">
        <w:t xml:space="preserve"> and this gives </w:t>
      </w:r>
      <w:r>
        <w:t xml:space="preserve">partners </w:t>
      </w:r>
      <w:r w:rsidR="00D06F23">
        <w:t xml:space="preserve">the </w:t>
      </w:r>
      <w:r>
        <w:t xml:space="preserve">flexibility to </w:t>
      </w:r>
      <w:r w:rsidRPr="00FD3E76">
        <w:t xml:space="preserve">direct </w:t>
      </w:r>
      <w:r>
        <w:t xml:space="preserve">the </w:t>
      </w:r>
      <w:r w:rsidRPr="00FD3E76">
        <w:t>fund</w:t>
      </w:r>
      <w:r>
        <w:t>ing</w:t>
      </w:r>
      <w:r w:rsidRPr="00FD3E76">
        <w:t xml:space="preserve"> to </w:t>
      </w:r>
      <w:r>
        <w:t>their</w:t>
      </w:r>
      <w:r w:rsidRPr="00FD3E76">
        <w:t xml:space="preserve"> highest priorities</w:t>
      </w:r>
      <w:r>
        <w:t xml:space="preserve"> with no restrictions</w:t>
      </w:r>
      <w:r w:rsidRPr="00DC51E0">
        <w:t>.</w:t>
      </w:r>
      <w:r>
        <w:t xml:space="preserve"> In contrast, n</w:t>
      </w:r>
      <w:r w:rsidRPr="00DC51E0">
        <w:t xml:space="preserve">on-core funding of multilateral organisations allows Australia to target its funds to a specific purpose, region, country or sector. </w:t>
      </w:r>
      <w:r>
        <w:t>Non-core funding is the largest component, representing around 60 per cent of $1.6 billion of total multilateral funding in 2010–11.</w:t>
      </w:r>
      <w:r>
        <w:rPr>
          <w:rStyle w:val="FootnoteReference"/>
          <w:rFonts w:ascii="Cambria" w:hAnsi="Cambria"/>
        </w:rPr>
        <w:footnoteReference w:id="12"/>
      </w:r>
      <w:r>
        <w:t xml:space="preserve"> It is </w:t>
      </w:r>
      <w:r w:rsidRPr="00FD3E76">
        <w:t>most often</w:t>
      </w:r>
      <w:r>
        <w:t xml:space="preserve"> (</w:t>
      </w:r>
      <w:r w:rsidRPr="00FD3E76">
        <w:t>but not always</w:t>
      </w:r>
      <w:r>
        <w:t>)</w:t>
      </w:r>
      <w:r w:rsidRPr="00FD3E76">
        <w:t xml:space="preserve"> </w:t>
      </w:r>
      <w:r>
        <w:t xml:space="preserve">provided </w:t>
      </w:r>
      <w:r w:rsidRPr="00FD3E76">
        <w:t xml:space="preserve">through </w:t>
      </w:r>
      <w:r>
        <w:t xml:space="preserve">DFAT </w:t>
      </w:r>
      <w:r w:rsidRPr="00FD3E76">
        <w:t xml:space="preserve">country </w:t>
      </w:r>
      <w:r>
        <w:t xml:space="preserve">and regional </w:t>
      </w:r>
      <w:r w:rsidRPr="00FD3E76">
        <w:t>programs</w:t>
      </w:r>
      <w:r>
        <w:t xml:space="preserve">. </w:t>
      </w:r>
    </w:p>
    <w:p w14:paraId="4C51D7BA" w14:textId="63A8E10A" w:rsidR="00D06F23" w:rsidRDefault="0001612D" w:rsidP="005F610E">
      <w:r>
        <w:t xml:space="preserve">Unlike core funding to multilateral institutions, which is covered by the Australian Multilateral Assessment, non-core contributions are subject to the </w:t>
      </w:r>
      <w:r w:rsidR="00D06F23">
        <w:t>d</w:t>
      </w:r>
      <w:r>
        <w:t xml:space="preserve">epartment’s performance management and evaluation policies. As a result, seven evaluations included in the synthesis covered Australia’s non-core contributions to multilateral organisations. The initiatives evaluated fell into three categories: </w:t>
      </w:r>
    </w:p>
    <w:p w14:paraId="7E045426" w14:textId="2B4F0955" w:rsidR="00D06F23" w:rsidRDefault="00D06F23" w:rsidP="005F610E">
      <w:pPr>
        <w:pStyle w:val="Numberlist0"/>
      </w:pPr>
      <w:r>
        <w:t>1</w:t>
      </w:r>
      <w:r w:rsidR="009D41AE">
        <w:t>.</w:t>
      </w:r>
      <w:r w:rsidR="009D41AE">
        <w:tab/>
      </w:r>
      <w:r w:rsidR="0001612D">
        <w:t>provision of aid to single or multiple recipient countries through the multilateral development banks through single</w:t>
      </w:r>
      <w:r w:rsidR="003074EB">
        <w:t>-</w:t>
      </w:r>
      <w:r w:rsidR="0001612D">
        <w:t>donor trust funds</w:t>
      </w:r>
    </w:p>
    <w:p w14:paraId="0A2E5F71" w14:textId="4ECA51C7" w:rsidR="00D06F23" w:rsidRDefault="00D06F23" w:rsidP="005F610E">
      <w:pPr>
        <w:pStyle w:val="Numberlist0"/>
      </w:pPr>
      <w:r>
        <w:t>2</w:t>
      </w:r>
      <w:r w:rsidR="009D41AE">
        <w:t>.</w:t>
      </w:r>
      <w:r w:rsidR="009D41AE">
        <w:tab/>
      </w:r>
      <w:r>
        <w:t xml:space="preserve">provision of aid to single or multiple recipient countries </w:t>
      </w:r>
      <w:r w:rsidR="0001612D">
        <w:t xml:space="preserve">through </w:t>
      </w:r>
      <w:r>
        <w:t xml:space="preserve">the multilateral development banks through </w:t>
      </w:r>
      <w:proofErr w:type="spellStart"/>
      <w:r w:rsidR="0001612D">
        <w:t>multidonor</w:t>
      </w:r>
      <w:proofErr w:type="spellEnd"/>
      <w:r w:rsidR="0001612D">
        <w:t xml:space="preserve"> trust funds</w:t>
      </w:r>
    </w:p>
    <w:p w14:paraId="357901BE" w14:textId="42B01DED" w:rsidR="0001612D" w:rsidRDefault="00D06F23" w:rsidP="005F610E">
      <w:pPr>
        <w:pStyle w:val="Numberlist0"/>
      </w:pPr>
      <w:r>
        <w:t>3</w:t>
      </w:r>
      <w:r w:rsidR="009D41AE">
        <w:t>.</w:t>
      </w:r>
      <w:r w:rsidR="009D41AE">
        <w:tab/>
      </w:r>
      <w:r w:rsidR="0001612D">
        <w:t xml:space="preserve">support for reform of the United Nations </w:t>
      </w:r>
      <w:r w:rsidR="0001612D" w:rsidRPr="002E6C65">
        <w:t>development system</w:t>
      </w:r>
      <w:r w:rsidR="0001612D">
        <w:t xml:space="preserve">. </w:t>
      </w:r>
    </w:p>
    <w:p w14:paraId="7E44B0D5" w14:textId="5CBB2989" w:rsidR="0001612D" w:rsidRPr="002E6C65" w:rsidRDefault="0001612D" w:rsidP="009D41AE">
      <w:pPr>
        <w:pStyle w:val="Heading3a"/>
      </w:pPr>
      <w:r>
        <w:lastRenderedPageBreak/>
        <w:t>Single</w:t>
      </w:r>
      <w:r w:rsidR="00355BFD">
        <w:t>-</w:t>
      </w:r>
      <w:r>
        <w:t>donor trust funds can provide opportunities for participating in and influencing policy dialogue, but strong engagement is required from DFAT staff for this to be realised</w:t>
      </w:r>
    </w:p>
    <w:p w14:paraId="2C40E147" w14:textId="697F7CCE" w:rsidR="0001612D" w:rsidRPr="00DC51E0" w:rsidRDefault="0001612D" w:rsidP="00D12F3B">
      <w:r w:rsidRPr="00355BFD">
        <w:t>We considered the evidence in</w:t>
      </w:r>
      <w:r w:rsidR="00A049D1">
        <w:t xml:space="preserve"> the</w:t>
      </w:r>
      <w:r w:rsidRPr="00355BFD">
        <w:t xml:space="preserve"> evaluations about a number of examples of work through the multilateral development banks through single</w:t>
      </w:r>
      <w:r w:rsidR="00355BFD">
        <w:t>-</w:t>
      </w:r>
      <w:r w:rsidRPr="00355BFD">
        <w:t>donor trust funds with the World Bank and the Asian Development Bank (ADB). The evaluation of two single</w:t>
      </w:r>
      <w:r w:rsidR="00355BFD">
        <w:t>-</w:t>
      </w:r>
      <w:r w:rsidRPr="00355BFD">
        <w:t xml:space="preserve">donor trust funds between the Australian Government and the World Bank and the ADB in South Asia shows that these arrangements can help </w:t>
      </w:r>
      <w:r w:rsidR="00D06F23" w:rsidRPr="00355BFD">
        <w:t xml:space="preserve">to </w:t>
      </w:r>
      <w:r w:rsidRPr="00355BFD">
        <w:t>build partnerships, mutual learning and leverage. The evaluation covered two distinct trust fund arrangements: the AusAID</w:t>
      </w:r>
      <w:r w:rsidR="00D06F23" w:rsidRPr="00355BFD">
        <w:t>–</w:t>
      </w:r>
      <w:r w:rsidRPr="00355BFD">
        <w:t>World Bank Facility for Decentralisation, Local Governance and Service Delivery (PFSDS) and the AusAID</w:t>
      </w:r>
      <w:r w:rsidR="00D06F23" w:rsidRPr="00355BFD">
        <w:t>–</w:t>
      </w:r>
      <w:r w:rsidRPr="00355BFD">
        <w:t>ADB South Asia Development Partnership Facility (AASADPF). The two funds were established in 2006 for a five</w:t>
      </w:r>
      <w:r w:rsidR="00432C46" w:rsidRPr="00540AA8">
        <w:t>-</w:t>
      </w:r>
      <w:r w:rsidRPr="00540AA8">
        <w:t xml:space="preserve">year period. The </w:t>
      </w:r>
      <w:r w:rsidR="00432C46" w:rsidRPr="00540AA8">
        <w:t xml:space="preserve">PFSDS </w:t>
      </w:r>
      <w:r w:rsidRPr="00540AA8">
        <w:t xml:space="preserve">provided grant funding for capacity building, analytical work, advocacy and knowledge sharing. The </w:t>
      </w:r>
      <w:r w:rsidR="00432C46" w:rsidRPr="00540AA8">
        <w:t xml:space="preserve">AASADPF </w:t>
      </w:r>
      <w:r w:rsidRPr="00F60123">
        <w:t>invested in subprojects related to reforms in service delivery and broad-based economic growth in South Asia.</w:t>
      </w:r>
    </w:p>
    <w:p w14:paraId="13F9A84B" w14:textId="05AADB8E" w:rsidR="000E36B6" w:rsidRDefault="0001612D" w:rsidP="00D12F3B">
      <w:r>
        <w:t>T</w:t>
      </w:r>
      <w:r w:rsidRPr="00DC51E0">
        <w:t xml:space="preserve">he evaluation noted that recipient governments </w:t>
      </w:r>
      <w:r>
        <w:t>valu</w:t>
      </w:r>
      <w:r w:rsidRPr="00DC51E0">
        <w:t>ed the policy research and the strengthening of statistical and policy analysis that was supported, and much of this occurred in countries where the DFAT aid program has relatively little direct engagement. Furthermore</w:t>
      </w:r>
      <w:r w:rsidR="00432C46">
        <w:t>,</w:t>
      </w:r>
      <w:r w:rsidRPr="00DC51E0">
        <w:t xml:space="preserve"> these trust funds helped each of the banks to advance and strengthen existing programs by ameliorating resource gaps.</w:t>
      </w:r>
      <w:r w:rsidR="00670092">
        <w:t xml:space="preserve"> </w:t>
      </w:r>
      <w:r w:rsidRPr="00DC51E0">
        <w:t xml:space="preserve">The evaluation noted that the trust funds </w:t>
      </w:r>
      <w:r>
        <w:t xml:space="preserve">had played a role in supporting an increased </w:t>
      </w:r>
      <w:r w:rsidRPr="00DC51E0">
        <w:t xml:space="preserve">volume of </w:t>
      </w:r>
      <w:r w:rsidRPr="00355BFD">
        <w:t xml:space="preserve">loan and </w:t>
      </w:r>
      <w:r w:rsidRPr="00540AA8">
        <w:t>co-financed</w:t>
      </w:r>
      <w:r w:rsidRPr="00DC51E0">
        <w:t xml:space="preserve"> mon</w:t>
      </w:r>
      <w:r w:rsidR="000E36B6">
        <w:t>ey</w:t>
      </w:r>
      <w:r w:rsidRPr="00DC51E0">
        <w:t xml:space="preserve">s </w:t>
      </w:r>
      <w:r>
        <w:t xml:space="preserve">from partners </w:t>
      </w:r>
      <w:r w:rsidRPr="00DC51E0">
        <w:t xml:space="preserve">for a range of interventions but did query the level of </w:t>
      </w:r>
      <w:proofErr w:type="spellStart"/>
      <w:r w:rsidRPr="00DC51E0">
        <w:t>additionality</w:t>
      </w:r>
      <w:proofErr w:type="spellEnd"/>
      <w:r w:rsidRPr="00DC51E0">
        <w:t>, or the catalytic effect, that this created.</w:t>
      </w:r>
      <w:r w:rsidR="00670092">
        <w:t xml:space="preserve"> </w:t>
      </w:r>
    </w:p>
    <w:p w14:paraId="364BDA2E" w14:textId="4E8F45D4" w:rsidR="000E36B6" w:rsidRDefault="0001612D" w:rsidP="00D12F3B">
      <w:r w:rsidRPr="00DC51E0">
        <w:t xml:space="preserve">Both of the funds (the PFSDS and the AASADPF) </w:t>
      </w:r>
      <w:r>
        <w:t xml:space="preserve">were observed to </w:t>
      </w:r>
      <w:r w:rsidRPr="00DC51E0">
        <w:t>have generate</w:t>
      </w:r>
      <w:r>
        <w:t>d</w:t>
      </w:r>
      <w:r w:rsidRPr="00DC51E0">
        <w:t xml:space="preserve"> substantial returns </w:t>
      </w:r>
      <w:r>
        <w:t>from</w:t>
      </w:r>
      <w:r w:rsidRPr="00DC51E0">
        <w:t xml:space="preserve"> relatively modest investments</w:t>
      </w:r>
      <w:r w:rsidR="000E36B6">
        <w:t>—</w:t>
      </w:r>
      <w:r>
        <w:t>for example</w:t>
      </w:r>
      <w:r w:rsidR="000E36B6">
        <w:t>,</w:t>
      </w:r>
      <w:r>
        <w:t xml:space="preserve"> by</w:t>
      </w:r>
      <w:r w:rsidRPr="00DC51E0">
        <w:t xml:space="preserve"> changing the way the service delivery arms of partner governments of Bhutan and Nepal interact with business and with their populations. In the case of the ADB, the AASADPF has also supported ADB to meet its gender mainstreaming targets as a result of trust fund supported capacity building (p</w:t>
      </w:r>
      <w:r w:rsidR="000E36B6">
        <w:t xml:space="preserve">. </w:t>
      </w:r>
      <w:r w:rsidRPr="00DC51E0">
        <w:t>16)</w:t>
      </w:r>
      <w:r w:rsidR="000E36B6">
        <w:t>—</w:t>
      </w:r>
      <w:r w:rsidRPr="00DC51E0">
        <w:t xml:space="preserve">a change that aligns with the Australian Government’s own strong commitments to gender equality. </w:t>
      </w:r>
    </w:p>
    <w:p w14:paraId="500F2B0C" w14:textId="33579C76" w:rsidR="0001612D" w:rsidRPr="00DC51E0" w:rsidRDefault="0001612D" w:rsidP="00D12F3B">
      <w:r w:rsidRPr="00DC51E0">
        <w:t>Access also improved for the Australian Government as a result of increased high-level dialogue between Australian and ADB leadership</w:t>
      </w:r>
      <w:r>
        <w:t>, although the evaluation noted that DFAT had struggled to engage consistently or substantively in many of the areas targeted by the facility</w:t>
      </w:r>
      <w:r w:rsidRPr="00DC51E0">
        <w:t xml:space="preserve"> (p</w:t>
      </w:r>
      <w:r w:rsidR="000E36B6">
        <w:t xml:space="preserve">. </w:t>
      </w:r>
      <w:r w:rsidRPr="00DC51E0">
        <w:t>21).</w:t>
      </w:r>
      <w:r>
        <w:t xml:space="preserve"> Noting the </w:t>
      </w:r>
      <w:r w:rsidRPr="00B214A4">
        <w:t xml:space="preserve">substantive fixed costs </w:t>
      </w:r>
      <w:r>
        <w:t xml:space="preserve">of </w:t>
      </w:r>
      <w:r w:rsidRPr="00B214A4">
        <w:t>establishing and sustaining each partnership and ensur</w:t>
      </w:r>
      <w:r>
        <w:t>ing</w:t>
      </w:r>
      <w:r w:rsidRPr="00B214A4">
        <w:t xml:space="preserve"> </w:t>
      </w:r>
      <w:r>
        <w:t xml:space="preserve">DFAT </w:t>
      </w:r>
      <w:r w:rsidRPr="00B214A4">
        <w:t xml:space="preserve">leverage </w:t>
      </w:r>
      <w:r>
        <w:t>over</w:t>
      </w:r>
      <w:r w:rsidRPr="00B214A4">
        <w:t xml:space="preserve"> </w:t>
      </w:r>
      <w:r>
        <w:t xml:space="preserve">partner </w:t>
      </w:r>
      <w:r w:rsidRPr="00B214A4">
        <w:t>operations</w:t>
      </w:r>
      <w:r>
        <w:t xml:space="preserve">, the evaluation </w:t>
      </w:r>
      <w:r w:rsidRPr="00B214A4">
        <w:t>question</w:t>
      </w:r>
      <w:r>
        <w:t>ed</w:t>
      </w:r>
      <w:r w:rsidRPr="00B214A4">
        <w:t xml:space="preserve"> </w:t>
      </w:r>
      <w:r>
        <w:t xml:space="preserve">whether DFAT </w:t>
      </w:r>
      <w:r w:rsidRPr="00B214A4">
        <w:t>would be better off</w:t>
      </w:r>
      <w:r>
        <w:t xml:space="preserve"> ‘</w:t>
      </w:r>
      <w:r w:rsidRPr="00B214A4">
        <w:t>focussing on supporting a single more substantive partnership where AusAID is likely to have greater leverage</w:t>
      </w:r>
      <w:r w:rsidR="000E36B6">
        <w:t>’</w:t>
      </w:r>
      <w:r>
        <w:t xml:space="preserve"> (p</w:t>
      </w:r>
      <w:r w:rsidR="000E36B6">
        <w:t xml:space="preserve">. </w:t>
      </w:r>
      <w:r>
        <w:t>28).</w:t>
      </w:r>
      <w:r w:rsidR="00670092">
        <w:t xml:space="preserve"> </w:t>
      </w:r>
      <w:r>
        <w:t>This was posed as an alternative to the existing path of ‘</w:t>
      </w:r>
      <w:r w:rsidRPr="003F2815">
        <w:t>continuing to broaden potential opportunities and spread risks by supporting both partnerships</w:t>
      </w:r>
      <w:r w:rsidR="000E36B6">
        <w:t>’</w:t>
      </w:r>
      <w:r>
        <w:t xml:space="preserve"> (p</w:t>
      </w:r>
      <w:r w:rsidR="000E36B6">
        <w:t xml:space="preserve">. </w:t>
      </w:r>
      <w:r>
        <w:t xml:space="preserve">28). </w:t>
      </w:r>
    </w:p>
    <w:p w14:paraId="3FBB26D0" w14:textId="302D9658" w:rsidR="0001612D" w:rsidRPr="000E36B6" w:rsidRDefault="0001612D" w:rsidP="00AD6A55">
      <w:r w:rsidRPr="00DC51E0">
        <w:t xml:space="preserve">The </w:t>
      </w:r>
      <w:r>
        <w:t>evaluation</w:t>
      </w:r>
      <w:r w:rsidRPr="00DC51E0">
        <w:t xml:space="preserve"> of the Philippines</w:t>
      </w:r>
      <w:r w:rsidR="0065585C">
        <w:t xml:space="preserve"> Development</w:t>
      </w:r>
      <w:r w:rsidRPr="00DC51E0">
        <w:t xml:space="preserve"> Trust Fund</w:t>
      </w:r>
      <w:r w:rsidR="0065585C">
        <w:t xml:space="preserve"> (PH-PTF)</w:t>
      </w:r>
      <w:r w:rsidRPr="00DC51E0">
        <w:t xml:space="preserve"> (</w:t>
      </w:r>
      <w:r w:rsidRPr="00DC51E0">
        <w:fldChar w:fldCharType="begin"/>
      </w:r>
      <w:r w:rsidRPr="00DC51E0">
        <w:instrText xml:space="preserve"> REF _Ref372733921 \h  \* MERGEFORMAT </w:instrText>
      </w:r>
      <w:r w:rsidRPr="00DC51E0">
        <w:fldChar w:fldCharType="separate"/>
      </w:r>
      <w:r w:rsidR="00C971DC" w:rsidRPr="00C971DC">
        <w:t xml:space="preserve">Box </w:t>
      </w:r>
      <w:r w:rsidR="00C971DC" w:rsidRPr="00C971DC">
        <w:rPr>
          <w:noProof/>
        </w:rPr>
        <w:t>8</w:t>
      </w:r>
      <w:r w:rsidRPr="00DC51E0">
        <w:fldChar w:fldCharType="end"/>
      </w:r>
      <w:r w:rsidRPr="00DC51E0">
        <w:t xml:space="preserve">) </w:t>
      </w:r>
      <w:r>
        <w:t xml:space="preserve">illustrates </w:t>
      </w:r>
      <w:r w:rsidRPr="00DC51E0">
        <w:t xml:space="preserve">how </w:t>
      </w:r>
      <w:r>
        <w:t>Australia has</w:t>
      </w:r>
      <w:r w:rsidRPr="00DC51E0">
        <w:t xml:space="preserve"> buil</w:t>
      </w:r>
      <w:r>
        <w:t>t</w:t>
      </w:r>
      <w:r w:rsidRPr="00DC51E0">
        <w:t xml:space="preserve"> </w:t>
      </w:r>
      <w:r>
        <w:t xml:space="preserve">effective </w:t>
      </w:r>
      <w:r w:rsidRPr="00DC51E0">
        <w:t xml:space="preserve">partnerships with the World Bank and the Philippines </w:t>
      </w:r>
      <w:r w:rsidR="00540AA8">
        <w:t>G</w:t>
      </w:r>
      <w:r w:rsidRPr="00540AA8">
        <w:t>overnment</w:t>
      </w:r>
      <w:r w:rsidRPr="00384429">
        <w:t xml:space="preserve"> </w:t>
      </w:r>
      <w:r>
        <w:t>through a single</w:t>
      </w:r>
      <w:r w:rsidR="003074EB">
        <w:t>-</w:t>
      </w:r>
      <w:r>
        <w:t>donor trust fund</w:t>
      </w:r>
      <w:r w:rsidRPr="00DC51E0">
        <w:t>.</w:t>
      </w:r>
      <w:r w:rsidR="00670092">
        <w:t xml:space="preserve"> </w:t>
      </w:r>
      <w:r>
        <w:t xml:space="preserve">This reflects evidence from </w:t>
      </w:r>
      <w:r w:rsidRPr="003F2815">
        <w:t>the World Bank</w:t>
      </w:r>
      <w:r>
        <w:t>’s</w:t>
      </w:r>
      <w:r w:rsidRPr="003F2815">
        <w:t xml:space="preserve"> Independent Eval</w:t>
      </w:r>
      <w:r>
        <w:t xml:space="preserve">uation Group, which has argued that </w:t>
      </w:r>
      <w:r w:rsidRPr="003F2815">
        <w:t>single</w:t>
      </w:r>
      <w:r w:rsidR="003074EB">
        <w:t>-</w:t>
      </w:r>
      <w:r w:rsidRPr="003F2815">
        <w:t xml:space="preserve">donor trust funds </w:t>
      </w:r>
      <w:r>
        <w:t xml:space="preserve">are particularly effective </w:t>
      </w:r>
      <w:r w:rsidRPr="003F2815">
        <w:t xml:space="preserve">when operating at a single country level rather than </w:t>
      </w:r>
      <w:r>
        <w:t xml:space="preserve">across </w:t>
      </w:r>
      <w:r w:rsidRPr="003F2815">
        <w:t>multiple countries or partners.</w:t>
      </w:r>
      <w:r w:rsidRPr="003F2815">
        <w:rPr>
          <w:vertAlign w:val="superscript"/>
        </w:rPr>
        <w:footnoteReference w:id="13"/>
      </w:r>
      <w:r>
        <w:t xml:space="preserve"> </w:t>
      </w:r>
    </w:p>
    <w:p w14:paraId="09CCC6AB" w14:textId="77777777" w:rsidR="0001612D" w:rsidRPr="00DC51E0" w:rsidRDefault="0001612D" w:rsidP="005D1B96">
      <w:pPr>
        <w:keepNext/>
        <w:pBdr>
          <w:top w:val="single" w:sz="4" w:space="5" w:color="FFFFFF"/>
          <w:left w:val="single" w:sz="4" w:space="5" w:color="FFFFFF"/>
          <w:bottom w:val="single" w:sz="4" w:space="5" w:color="FFFFFF"/>
          <w:right w:val="single" w:sz="4" w:space="5" w:color="FFFFFF"/>
        </w:pBdr>
        <w:shd w:val="clear" w:color="auto" w:fill="007FAD"/>
        <w:spacing w:before="180" w:after="0"/>
        <w:ind w:left="1080" w:hanging="1080"/>
        <w:contextualSpacing/>
        <w:rPr>
          <w:rFonts w:ascii="Arial" w:hAnsi="Arial"/>
          <w:b/>
          <w:bCs/>
          <w:color w:val="FFFFFF"/>
          <w:sz w:val="24"/>
        </w:rPr>
      </w:pPr>
      <w:bookmarkStart w:id="158" w:name="_Ref372733921"/>
      <w:bookmarkStart w:id="159" w:name="_Toc372722963"/>
      <w:r w:rsidRPr="00DC51E0">
        <w:rPr>
          <w:rFonts w:ascii="Arial" w:hAnsi="Arial"/>
          <w:b/>
          <w:bCs/>
          <w:color w:val="FFFFFF"/>
          <w:sz w:val="24"/>
        </w:rPr>
        <w:lastRenderedPageBreak/>
        <w:t xml:space="preserve">Box </w:t>
      </w:r>
      <w:r w:rsidRPr="00DC51E0">
        <w:rPr>
          <w:rFonts w:ascii="Arial" w:hAnsi="Arial"/>
          <w:b/>
          <w:bCs/>
          <w:color w:val="FFFFFF"/>
          <w:sz w:val="24"/>
        </w:rPr>
        <w:fldChar w:fldCharType="begin"/>
      </w:r>
      <w:r w:rsidRPr="00DC51E0">
        <w:rPr>
          <w:rFonts w:ascii="Arial" w:hAnsi="Arial"/>
          <w:b/>
          <w:bCs/>
          <w:color w:val="FFFFFF"/>
          <w:sz w:val="24"/>
        </w:rPr>
        <w:instrText xml:space="preserve"> SEQ Box \* ARABIC </w:instrText>
      </w:r>
      <w:r w:rsidRPr="00DC51E0">
        <w:rPr>
          <w:rFonts w:ascii="Arial" w:hAnsi="Arial"/>
          <w:b/>
          <w:bCs/>
          <w:color w:val="FFFFFF"/>
          <w:sz w:val="24"/>
        </w:rPr>
        <w:fldChar w:fldCharType="separate"/>
      </w:r>
      <w:r w:rsidR="00C971DC">
        <w:rPr>
          <w:rFonts w:ascii="Arial" w:hAnsi="Arial"/>
          <w:b/>
          <w:bCs/>
          <w:noProof/>
          <w:color w:val="FFFFFF"/>
          <w:sz w:val="24"/>
        </w:rPr>
        <w:t>8</w:t>
      </w:r>
      <w:r w:rsidRPr="00DC51E0">
        <w:rPr>
          <w:rFonts w:ascii="Arial" w:hAnsi="Arial"/>
          <w:b/>
          <w:bCs/>
          <w:noProof/>
          <w:color w:val="FFFFFF"/>
          <w:sz w:val="24"/>
        </w:rPr>
        <w:fldChar w:fldCharType="end"/>
      </w:r>
      <w:bookmarkEnd w:id="158"/>
      <w:r w:rsidRPr="00DC51E0">
        <w:rPr>
          <w:rFonts w:ascii="Arial" w:hAnsi="Arial"/>
          <w:b/>
          <w:bCs/>
          <w:color w:val="FFFFFF"/>
          <w:sz w:val="24"/>
        </w:rPr>
        <w:tab/>
        <w:t>Philippines Development Trust Fund</w:t>
      </w:r>
      <w:bookmarkEnd w:id="159"/>
    </w:p>
    <w:p w14:paraId="0FEE3E14" w14:textId="614E4EDF" w:rsidR="0001612D" w:rsidRPr="00DC51E0" w:rsidRDefault="0001612D" w:rsidP="005D1B96">
      <w:pPr>
        <w:pStyle w:val="BoxText"/>
        <w:pBdr>
          <w:top w:val="single" w:sz="4" w:space="8" w:color="007FAD"/>
        </w:pBdr>
      </w:pPr>
      <w:r w:rsidRPr="00DC51E0">
        <w:t>The AusAID</w:t>
      </w:r>
      <w:r w:rsidR="000E36B6">
        <w:rPr>
          <w:rFonts w:cs="Arial"/>
        </w:rPr>
        <w:t>–</w:t>
      </w:r>
      <w:r w:rsidRPr="00DC51E0">
        <w:t xml:space="preserve">World Bank Philippines Development Trust Fund (PH-PTF) is a seven-year strategic partnership established by the Australian </w:t>
      </w:r>
      <w:r>
        <w:t>G</w:t>
      </w:r>
      <w:r w:rsidRPr="00DC51E0">
        <w:t xml:space="preserve">overnment and the World Bank in June 2009 to bring together their </w:t>
      </w:r>
      <w:r w:rsidRPr="00540AA8">
        <w:t>co-financed activities</w:t>
      </w:r>
      <w:r w:rsidRPr="00DC51E0">
        <w:t xml:space="preserve"> in the Philippines under one mechanism. It was set up with overall funding of up to </w:t>
      </w:r>
      <w:r w:rsidRPr="00540AA8">
        <w:t>$50 million provided</w:t>
      </w:r>
      <w:r w:rsidRPr="00DC51E0">
        <w:t xml:space="preserve"> by the Australian Government and administered by the World Bank. The PH-PTF operates as a programmatic or </w:t>
      </w:r>
      <w:r w:rsidR="000E36B6">
        <w:t>‘</w:t>
      </w:r>
      <w:r w:rsidRPr="00DC51E0">
        <w:t>umbrella</w:t>
      </w:r>
      <w:r w:rsidR="000E36B6">
        <w:t>’</w:t>
      </w:r>
      <w:r w:rsidRPr="00DC51E0">
        <w:t xml:space="preserve"> trust fund administered by the World Bank</w:t>
      </w:r>
      <w:r w:rsidR="000E36B6">
        <w:t>.</w:t>
      </w:r>
      <w:r w:rsidRPr="00DC51E0">
        <w:t xml:space="preserve"> </w:t>
      </w:r>
      <w:r w:rsidR="000E36B6">
        <w:t xml:space="preserve">It </w:t>
      </w:r>
      <w:r w:rsidRPr="00DC51E0">
        <w:t>finances multiple grants to support analytical work, technical assistance and investments that contribute to sustained and inclusive growth in the Philippines.</w:t>
      </w:r>
    </w:p>
    <w:p w14:paraId="41D04255" w14:textId="34EC6956" w:rsidR="0001612D" w:rsidRPr="00DC51E0" w:rsidRDefault="0001612D" w:rsidP="005D1B96">
      <w:pPr>
        <w:pStyle w:val="BoxText"/>
        <w:pBdr>
          <w:top w:val="single" w:sz="4" w:space="8" w:color="007FAD"/>
        </w:pBdr>
      </w:pPr>
      <w:r w:rsidRPr="00DC51E0">
        <w:t>The evidence shows that a single</w:t>
      </w:r>
      <w:r w:rsidR="003074EB">
        <w:t>-</w:t>
      </w:r>
      <w:r w:rsidRPr="00DC51E0">
        <w:t>donor trust fund with a multilateral</w:t>
      </w:r>
      <w:r w:rsidR="0065585C">
        <w:t xml:space="preserve"> development bank</w:t>
      </w:r>
      <w:r w:rsidRPr="00DC51E0">
        <w:t xml:space="preserve"> can build partnerships and mutual</w:t>
      </w:r>
      <w:r>
        <w:t>ly beneficial</w:t>
      </w:r>
      <w:r w:rsidRPr="00DC51E0">
        <w:t xml:space="preserve"> working relations between the Australian Government and the </w:t>
      </w:r>
      <w:r w:rsidR="0065585C">
        <w:t>bank</w:t>
      </w:r>
      <w:r w:rsidRPr="00DC51E0">
        <w:t xml:space="preserve">, and </w:t>
      </w:r>
      <w:r w:rsidR="0065585C">
        <w:t>support</w:t>
      </w:r>
      <w:r w:rsidR="000E36B6">
        <w:t xml:space="preserve"> the </w:t>
      </w:r>
      <w:r w:rsidRPr="00DC51E0">
        <w:t xml:space="preserve">pursuit of common policy agendas. In the case of the PH-PTF, the evaluation mentions the key role it has played in social protection (especially cash transfers to the chronically poor) that has in turn led to strong government programs. In public finance management, the </w:t>
      </w:r>
      <w:r w:rsidR="000E36B6">
        <w:t>f</w:t>
      </w:r>
      <w:r w:rsidRPr="00DC51E0">
        <w:t>und has supported public expenditure analysis and critical technical assistance provision. As a result of these trust fund engagements, costing a few hundred thousand dollars, the sector has moved to a fully-fledged program financed separately by Australia</w:t>
      </w:r>
      <w:r w:rsidR="000E36B6">
        <w:rPr>
          <w:rFonts w:cs="Arial"/>
        </w:rPr>
        <w:t>—</w:t>
      </w:r>
      <w:r w:rsidRPr="00DC51E0">
        <w:t>the $30 million Australia</w:t>
      </w:r>
      <w:r w:rsidR="000E36B6">
        <w:rPr>
          <w:rFonts w:cs="Arial"/>
        </w:rPr>
        <w:t>–</w:t>
      </w:r>
      <w:r w:rsidRPr="00DC51E0">
        <w:t xml:space="preserve">Philippines Public Financial Management Program. The Australian </w:t>
      </w:r>
      <w:r w:rsidR="0088507C">
        <w:t>Government</w:t>
      </w:r>
      <w:r w:rsidRPr="00DC51E0">
        <w:t xml:space="preserve"> is now the key player in the </w:t>
      </w:r>
      <w:r w:rsidRPr="00540AA8">
        <w:t>Public Financial Management reform</w:t>
      </w:r>
      <w:r>
        <w:t xml:space="preserve"> </w:t>
      </w:r>
      <w:r w:rsidRPr="00DC51E0">
        <w:t>agenda</w:t>
      </w:r>
      <w:r w:rsidR="0065585C">
        <w:t xml:space="preserve"> in the Philippines</w:t>
      </w:r>
      <w:r w:rsidRPr="00DC51E0">
        <w:t xml:space="preserve">. These </w:t>
      </w:r>
      <w:r w:rsidR="000E36B6">
        <w:t xml:space="preserve">results </w:t>
      </w:r>
      <w:r w:rsidRPr="00DC51E0">
        <w:t>might not have been achieved to the same extent without the PH-PTF. The Australian Government has also gained a ‘seat at the policy table’ with the Philippine</w:t>
      </w:r>
      <w:r w:rsidR="00540AA8">
        <w:t>s</w:t>
      </w:r>
      <w:r w:rsidRPr="00DC51E0">
        <w:t xml:space="preserve"> </w:t>
      </w:r>
      <w:r w:rsidR="00540AA8">
        <w:t>G</w:t>
      </w:r>
      <w:r w:rsidRPr="00DC51E0">
        <w:t>overnment (p</w:t>
      </w:r>
      <w:r w:rsidR="000E36B6">
        <w:t xml:space="preserve">. </w:t>
      </w:r>
      <w:r w:rsidRPr="00DC51E0">
        <w:t>3</w:t>
      </w:r>
      <w:r w:rsidR="0098587E">
        <w:t>.</w:t>
      </w:r>
      <w:r w:rsidRPr="00DC51E0">
        <w:t xml:space="preserve">3). </w:t>
      </w:r>
    </w:p>
    <w:p w14:paraId="7CDC6952" w14:textId="23E60238" w:rsidR="009C375D" w:rsidRPr="00DC51E0" w:rsidRDefault="0001612D" w:rsidP="005D1B96">
      <w:pPr>
        <w:pStyle w:val="BoxText"/>
        <w:pBdr>
          <w:top w:val="single" w:sz="4" w:space="8" w:color="007FAD"/>
        </w:pBdr>
      </w:pPr>
      <w:r w:rsidRPr="00DC51E0">
        <w:t>The PH-PTF also shows that a single</w:t>
      </w:r>
      <w:r w:rsidR="003074EB">
        <w:t>-</w:t>
      </w:r>
      <w:r w:rsidRPr="00DC51E0">
        <w:t xml:space="preserve">donor </w:t>
      </w:r>
      <w:r w:rsidR="000E36B6">
        <w:t>t</w:t>
      </w:r>
      <w:r w:rsidRPr="00DC51E0">
        <w:t xml:space="preserve">rust </w:t>
      </w:r>
      <w:r w:rsidR="000E36B6">
        <w:t>f</w:t>
      </w:r>
      <w:r w:rsidRPr="00DC51E0">
        <w:t xml:space="preserve">und can be efficient in terms of greater simplicity, timeliness and lower overhead costs for the Australian aid program when compared </w:t>
      </w:r>
      <w:r w:rsidR="000E36B6">
        <w:t xml:space="preserve">with </w:t>
      </w:r>
      <w:r w:rsidRPr="00DC51E0">
        <w:t xml:space="preserve">other joint financing arrangements. The PH-PTF has proved to be a workable concept </w:t>
      </w:r>
      <w:r w:rsidRPr="00540AA8">
        <w:t>in</w:t>
      </w:r>
      <w:r w:rsidRPr="00DC51E0">
        <w:t xml:space="preserve"> bringing together co-financing and joint projects of the Australian </w:t>
      </w:r>
      <w:r w:rsidR="0088507C">
        <w:t>Government</w:t>
      </w:r>
      <w:r w:rsidRPr="00DC51E0">
        <w:t xml:space="preserve"> and the World Bank under one mechanism and link</w:t>
      </w:r>
      <w:r w:rsidR="000E36B6">
        <w:t>s</w:t>
      </w:r>
      <w:r w:rsidRPr="00DC51E0">
        <w:t xml:space="preserve"> these effectively with other related programs of the two institutions in support of the </w:t>
      </w:r>
      <w:r w:rsidR="0088507C">
        <w:t>Philippines G</w:t>
      </w:r>
      <w:r w:rsidRPr="00DC51E0">
        <w:t xml:space="preserve">overnment’s development agenda. </w:t>
      </w:r>
      <w:r w:rsidR="000E36B6">
        <w:t xml:space="preserve">It is a </w:t>
      </w:r>
      <w:r w:rsidRPr="00DC51E0">
        <w:t>flexible tool</w:t>
      </w:r>
      <w:r w:rsidR="000E36B6">
        <w:t xml:space="preserve"> that </w:t>
      </w:r>
      <w:r w:rsidRPr="00DC51E0">
        <w:t xml:space="preserve">allows financing of projects—from </w:t>
      </w:r>
      <w:r w:rsidR="000E36B6">
        <w:t xml:space="preserve">World </w:t>
      </w:r>
      <w:r w:rsidRPr="00DC51E0">
        <w:t>Bank</w:t>
      </w:r>
      <w:r w:rsidR="000E36B6">
        <w:t xml:space="preserve"> </w:t>
      </w:r>
      <w:r w:rsidRPr="00DC51E0">
        <w:t xml:space="preserve">executed research to </w:t>
      </w:r>
      <w:r>
        <w:t>r</w:t>
      </w:r>
      <w:r w:rsidRPr="00DC51E0">
        <w:t>ecipient-executed investments—in many sectors, and it can respond quickly to emerging needs (</w:t>
      </w:r>
      <w:r w:rsidR="000F6CDF" w:rsidRPr="00DC51E0">
        <w:t>p</w:t>
      </w:r>
      <w:r w:rsidR="000F6CDF">
        <w:t>p.</w:t>
      </w:r>
      <w:r w:rsidR="000E36B6">
        <w:t xml:space="preserve"> </w:t>
      </w:r>
      <w:r w:rsidRPr="00DC51E0">
        <w:t>4</w:t>
      </w:r>
      <w:r w:rsidR="0098587E">
        <w:t>.</w:t>
      </w:r>
      <w:r w:rsidRPr="00DC51E0">
        <w:t>6</w:t>
      </w:r>
      <w:r w:rsidR="0098587E">
        <w:t>,</w:t>
      </w:r>
      <w:r w:rsidRPr="00DC51E0">
        <w:t xml:space="preserve"> 4</w:t>
      </w:r>
      <w:r w:rsidR="0098587E">
        <w:t>.</w:t>
      </w:r>
      <w:r w:rsidRPr="00DC51E0">
        <w:t xml:space="preserve">10). </w:t>
      </w:r>
      <w:r w:rsidR="0088507C">
        <w:t>Australia has been able to gain access to World Bank expertise and effectively</w:t>
      </w:r>
      <w:r w:rsidRPr="00DC51E0">
        <w:t xml:space="preserve"> leverag</w:t>
      </w:r>
      <w:r w:rsidR="0088507C">
        <w:t>e</w:t>
      </w:r>
      <w:r w:rsidRPr="00DC51E0">
        <w:t xml:space="preserve"> the World Bank</w:t>
      </w:r>
      <w:r w:rsidR="0088507C">
        <w:t>’s</w:t>
      </w:r>
      <w:r w:rsidRPr="00DC51E0">
        <w:t xml:space="preserve"> relationship </w:t>
      </w:r>
      <w:r w:rsidR="0088507C">
        <w:t xml:space="preserve">with the Philippines Government </w:t>
      </w:r>
      <w:r w:rsidRPr="00DC51E0">
        <w:t xml:space="preserve">to build </w:t>
      </w:r>
      <w:r w:rsidR="0088507C">
        <w:t>its own</w:t>
      </w:r>
      <w:r w:rsidRPr="00DC51E0">
        <w:t xml:space="preserve"> relationship with the </w:t>
      </w:r>
      <w:r w:rsidR="0088507C">
        <w:t>Philippines G</w:t>
      </w:r>
      <w:r w:rsidR="009D41AE">
        <w:t>overnment (</w:t>
      </w:r>
      <w:r w:rsidR="000F6CDF">
        <w:t>p</w:t>
      </w:r>
      <w:r w:rsidR="0088507C">
        <w:t>p</w:t>
      </w:r>
      <w:r w:rsidR="000F6CDF">
        <w:t>.</w:t>
      </w:r>
      <w:r w:rsidR="000E36B6">
        <w:t xml:space="preserve"> </w:t>
      </w:r>
      <w:r w:rsidR="009D41AE">
        <w:t>3</w:t>
      </w:r>
      <w:r w:rsidR="0098587E">
        <w:t>.</w:t>
      </w:r>
      <w:r w:rsidRPr="00DC51E0">
        <w:t>4</w:t>
      </w:r>
      <w:r w:rsidR="0088507C">
        <w:t>, 5.3</w:t>
      </w:r>
      <w:r w:rsidRPr="00DC51E0">
        <w:t>)</w:t>
      </w:r>
      <w:r w:rsidR="009D41AE">
        <w:t>.</w:t>
      </w:r>
    </w:p>
    <w:p w14:paraId="6B2C520E" w14:textId="71397205" w:rsidR="0001612D" w:rsidRPr="003C3A2F" w:rsidRDefault="0001612D" w:rsidP="00AD6A55">
      <w:pPr>
        <w:pStyle w:val="BoxText"/>
        <w:pBdr>
          <w:top w:val="single" w:sz="4" w:space="8" w:color="007FAD"/>
        </w:pBdr>
        <w:jc w:val="right"/>
        <w:rPr>
          <w:szCs w:val="18"/>
        </w:rPr>
      </w:pPr>
      <w:r w:rsidRPr="00AD6A55">
        <w:rPr>
          <w:sz w:val="18"/>
          <w:szCs w:val="18"/>
        </w:rPr>
        <w:t>Source: Philippines Development Trust Fund Evaluation, 201</w:t>
      </w:r>
      <w:r w:rsidRPr="0088507C">
        <w:rPr>
          <w:sz w:val="18"/>
          <w:szCs w:val="18"/>
        </w:rPr>
        <w:t>2</w:t>
      </w:r>
      <w:r w:rsidR="00540AA8" w:rsidRPr="0088507C">
        <w:rPr>
          <w:sz w:val="18"/>
          <w:szCs w:val="18"/>
        </w:rPr>
        <w:t>.</w:t>
      </w:r>
    </w:p>
    <w:p w14:paraId="4D494DD9" w14:textId="77777777" w:rsidR="003B6E00" w:rsidRDefault="003B6E00" w:rsidP="003B6E00">
      <w:r w:rsidRPr="00DC51E0">
        <w:t xml:space="preserve">According to the </w:t>
      </w:r>
      <w:r>
        <w:t xml:space="preserve">PH-PTF </w:t>
      </w:r>
      <w:r w:rsidRPr="00DC51E0">
        <w:t xml:space="preserve">evaluation, the trust fund </w:t>
      </w:r>
      <w:r>
        <w:t xml:space="preserve">supported </w:t>
      </w:r>
      <w:r w:rsidRPr="00DC51E0">
        <w:t xml:space="preserve">work in areas of common policy interest </w:t>
      </w:r>
      <w:r>
        <w:t xml:space="preserve">through </w:t>
      </w:r>
      <w:r w:rsidRPr="00384429">
        <w:t xml:space="preserve">technical assistance and research in areas that </w:t>
      </w:r>
      <w:r>
        <w:t xml:space="preserve">the Philippines </w:t>
      </w:r>
      <w:r w:rsidRPr="00540AA8">
        <w:t>Government</w:t>
      </w:r>
      <w:r>
        <w:t xml:space="preserve"> would not be </w:t>
      </w:r>
      <w:r w:rsidRPr="00384429">
        <w:t>willing to borrow for</w:t>
      </w:r>
      <w:r>
        <w:t>.</w:t>
      </w:r>
      <w:r w:rsidRPr="00384429">
        <w:t xml:space="preserve"> </w:t>
      </w:r>
      <w:r>
        <w:t xml:space="preserve">This helped the partners to </w:t>
      </w:r>
      <w:r w:rsidRPr="00DC51E0">
        <w:t>develop common policy agendas</w:t>
      </w:r>
      <w:r w:rsidRPr="00384429">
        <w:t xml:space="preserve"> </w:t>
      </w:r>
      <w:r>
        <w:t xml:space="preserve">and </w:t>
      </w:r>
      <w:r w:rsidRPr="00384429">
        <w:t>build policy dialogue and complementarity (p</w:t>
      </w:r>
      <w:r>
        <w:t xml:space="preserve">. </w:t>
      </w:r>
      <w:r w:rsidRPr="00384429">
        <w:t>4</w:t>
      </w:r>
      <w:r>
        <w:rPr>
          <w:rFonts w:ascii="Cambria" w:hAnsi="Cambria"/>
        </w:rPr>
        <w:t>.</w:t>
      </w:r>
      <w:r w:rsidRPr="00384429">
        <w:t xml:space="preserve">7). </w:t>
      </w:r>
      <w:r w:rsidRPr="00DC51E0">
        <w:t xml:space="preserve">This </w:t>
      </w:r>
      <w:r>
        <w:t xml:space="preserve">also provided </w:t>
      </w:r>
      <w:r w:rsidRPr="00DC51E0">
        <w:t>a lever to scale up Australian aid program involvement into larger and separately managed Australian aid initiatives</w:t>
      </w:r>
      <w:r>
        <w:t>.</w:t>
      </w:r>
    </w:p>
    <w:p w14:paraId="28D039BA" w14:textId="49EFD378" w:rsidR="003B6E00" w:rsidRDefault="003B6E00" w:rsidP="003B6E00">
      <w:r>
        <w:t>The evaluation concluded that as a result of the initiative:</w:t>
      </w:r>
    </w:p>
    <w:p w14:paraId="5743560E" w14:textId="77777777" w:rsidR="003B6E00" w:rsidRPr="000E36B6" w:rsidRDefault="003B6E00" w:rsidP="003B6E00">
      <w:pPr>
        <w:pStyle w:val="Quotetext"/>
      </w:pPr>
      <w:r w:rsidRPr="000E36B6">
        <w:t>AusAID has been able to engage substantively in a wider range of key areas and sectors, where previously it simply gave funds to Bank teams and waited for reports on results</w:t>
      </w:r>
      <w:r>
        <w:t>.</w:t>
      </w:r>
      <w:r w:rsidRPr="000E36B6">
        <w:t xml:space="preserve"> (p</w:t>
      </w:r>
      <w:r>
        <w:t xml:space="preserve">. </w:t>
      </w:r>
      <w:r w:rsidRPr="000E36B6">
        <w:t>4</w:t>
      </w:r>
      <w:r>
        <w:rPr>
          <w:rFonts w:ascii="Cambria" w:hAnsi="Cambria"/>
        </w:rPr>
        <w:t>.</w:t>
      </w:r>
      <w:r w:rsidRPr="000E36B6">
        <w:t>17)</w:t>
      </w:r>
    </w:p>
    <w:p w14:paraId="1E54E158" w14:textId="0BA09E48" w:rsidR="0001612D" w:rsidRPr="003F2815" w:rsidRDefault="0001612D" w:rsidP="009D41AE">
      <w:pPr>
        <w:pStyle w:val="Heading3a"/>
      </w:pPr>
      <w:proofErr w:type="spellStart"/>
      <w:r w:rsidRPr="003F2815">
        <w:t>Multidonor</w:t>
      </w:r>
      <w:proofErr w:type="spellEnd"/>
      <w:r w:rsidRPr="003F2815">
        <w:t xml:space="preserve"> trust funds can provide </w:t>
      </w:r>
      <w:r w:rsidR="004E70DB">
        <w:t>a flexible and</w:t>
      </w:r>
      <w:r w:rsidRPr="003F2815">
        <w:t xml:space="preserve"> efficient means of delivering at scale</w:t>
      </w:r>
      <w:r>
        <w:t>, particularly in fragile or conflict</w:t>
      </w:r>
      <w:r w:rsidR="000E36B6">
        <w:t>-</w:t>
      </w:r>
      <w:r>
        <w:t>affected settings</w:t>
      </w:r>
      <w:r w:rsidRPr="003F2815">
        <w:t xml:space="preserve"> </w:t>
      </w:r>
    </w:p>
    <w:p w14:paraId="3955A2FE" w14:textId="76BFE379" w:rsidR="0001612D" w:rsidRDefault="0001612D" w:rsidP="00B95EEB">
      <w:r>
        <w:t xml:space="preserve">Two evaluations provided evidence that </w:t>
      </w:r>
      <w:proofErr w:type="spellStart"/>
      <w:r>
        <w:t>multidonor</w:t>
      </w:r>
      <w:proofErr w:type="spellEnd"/>
      <w:r>
        <w:t xml:space="preserve"> trust funds can provide a flexible and efficient means of delivery at scale, particularly in fragile or conflict</w:t>
      </w:r>
      <w:r w:rsidR="000E36B6">
        <w:t>-</w:t>
      </w:r>
      <w:r>
        <w:t>affected settings and where government capacity is very low.</w:t>
      </w:r>
      <w:r w:rsidR="00670092">
        <w:t xml:space="preserve"> </w:t>
      </w:r>
    </w:p>
    <w:p w14:paraId="255AC2B1" w14:textId="30EA6047" w:rsidR="0001612D" w:rsidRPr="00DC51E0" w:rsidRDefault="0001612D" w:rsidP="00B95EEB">
      <w:r>
        <w:t xml:space="preserve">One of the evaluations examined </w:t>
      </w:r>
      <w:r w:rsidRPr="00540AA8">
        <w:t>the World Bank’s State and Peace Building Fund (SPF)</w:t>
      </w:r>
      <w:r w:rsidR="000E36B6" w:rsidRPr="00540AA8">
        <w:rPr>
          <w:rFonts w:ascii="Arial" w:hAnsi="Arial"/>
          <w:sz w:val="19"/>
        </w:rPr>
        <w:t>—</w:t>
      </w:r>
      <w:r>
        <w:t xml:space="preserve">a global </w:t>
      </w:r>
      <w:proofErr w:type="spellStart"/>
      <w:r>
        <w:t>multidonor</w:t>
      </w:r>
      <w:proofErr w:type="spellEnd"/>
      <w:r>
        <w:t xml:space="preserve"> trust fund involving</w:t>
      </w:r>
      <w:r w:rsidRPr="00DC51E0">
        <w:t xml:space="preserve"> six donors to support World Bank</w:t>
      </w:r>
      <w:r>
        <w:t>’s</w:t>
      </w:r>
      <w:r w:rsidRPr="00DC51E0">
        <w:t xml:space="preserve"> work in conflict and fragile states. </w:t>
      </w:r>
      <w:r w:rsidRPr="00DC51E0">
        <w:lastRenderedPageBreak/>
        <w:t>From 2009</w:t>
      </w:r>
      <w:r>
        <w:t xml:space="preserve"> to 20</w:t>
      </w:r>
      <w:r w:rsidRPr="00DC51E0">
        <w:t xml:space="preserve">12, 50 projects were funded to a </w:t>
      </w:r>
      <w:r w:rsidRPr="00540AA8">
        <w:t>value of US$134 million</w:t>
      </w:r>
      <w:r w:rsidRPr="00DC51E0">
        <w:t xml:space="preserve">, to which Australia contributed </w:t>
      </w:r>
      <w:r w:rsidR="000E36B6">
        <w:t xml:space="preserve">7 </w:t>
      </w:r>
      <w:r w:rsidRPr="00DC51E0">
        <w:t>per cent.</w:t>
      </w:r>
      <w:r>
        <w:t xml:space="preserve"> </w:t>
      </w:r>
      <w:r w:rsidRPr="00DC51E0">
        <w:t xml:space="preserve">The </w:t>
      </w:r>
      <w:r>
        <w:t>f</w:t>
      </w:r>
      <w:r w:rsidRPr="00DC51E0">
        <w:t xml:space="preserve">und provides </w:t>
      </w:r>
      <w:r w:rsidRPr="00540AA8">
        <w:t>compl</w:t>
      </w:r>
      <w:r w:rsidR="000E36B6" w:rsidRPr="00540AA8">
        <w:t>e</w:t>
      </w:r>
      <w:r w:rsidRPr="00F60123">
        <w:t>mentary financing</w:t>
      </w:r>
      <w:r w:rsidRPr="00DC51E0">
        <w:t xml:space="preserve"> to support interventions that address important causes or consequences of violent conflict </w:t>
      </w:r>
      <w:r w:rsidR="000E36B6">
        <w:t xml:space="preserve">that </w:t>
      </w:r>
      <w:r w:rsidRPr="00DC51E0">
        <w:t xml:space="preserve">are not easily addressed with other mechanisms. </w:t>
      </w:r>
      <w:r>
        <w:t>The evaluation observed that the fund’s</w:t>
      </w:r>
      <w:r w:rsidRPr="00DC51E0">
        <w:t xml:space="preserve"> flexibility to </w:t>
      </w:r>
      <w:r w:rsidR="000E36B6">
        <w:t xml:space="preserve">use </w:t>
      </w:r>
      <w:r w:rsidRPr="00DC51E0">
        <w:t>a diverse set of partnership arrangements and its broad project eligibility criteria ha</w:t>
      </w:r>
      <w:r>
        <w:t>d</w:t>
      </w:r>
      <w:r w:rsidRPr="00DC51E0">
        <w:t xml:space="preserve"> allowed it to support different responses to a wide range of post-conflict and fragile situations. </w:t>
      </w:r>
      <w:r>
        <w:t>On this basis, t</w:t>
      </w:r>
      <w:r w:rsidRPr="00D96748">
        <w:t xml:space="preserve">he evaluation observed </w:t>
      </w:r>
      <w:r w:rsidR="000E36B6">
        <w:t xml:space="preserve">that </w:t>
      </w:r>
      <w:r w:rsidRPr="008C4141">
        <w:rPr>
          <w:i/>
        </w:rPr>
        <w:t xml:space="preserve">‘the SPF is an ideal tool for the Bank to pilot new forms of systematic support for risk taking, rapid response, and working within the wide range of fragile-and conflict-affected situations’ </w:t>
      </w:r>
      <w:r w:rsidRPr="00D96748">
        <w:t>(p</w:t>
      </w:r>
      <w:r w:rsidR="000E36B6">
        <w:t xml:space="preserve">. </w:t>
      </w:r>
      <w:r w:rsidRPr="00D96748">
        <w:t>41).</w:t>
      </w:r>
      <w:r w:rsidR="00670092">
        <w:t xml:space="preserve"> </w:t>
      </w:r>
      <w:r>
        <w:t>However, the evaluation also observed that this potential had not been fully realised. Reflecting an oft</w:t>
      </w:r>
      <w:r w:rsidR="000E36B6">
        <w:t>-</w:t>
      </w:r>
      <w:r>
        <w:t>cited challenge with trust funds that channel aid to multiple countries</w:t>
      </w:r>
      <w:r w:rsidRPr="00166B7A">
        <w:t xml:space="preserve">, </w:t>
      </w:r>
      <w:r>
        <w:t xml:space="preserve">the evaluation </w:t>
      </w:r>
      <w:r w:rsidRPr="00DC51E0">
        <w:t xml:space="preserve">observed that it could have been </w:t>
      </w:r>
      <w:r w:rsidRPr="008C4141">
        <w:rPr>
          <w:i/>
        </w:rPr>
        <w:t>‘more effective if it was more strategically linked to World Bank investments and strategies and was not just one-off interventions: so leverage partnerships, be more focused on lesson learning, do more political economy and conflict analysis’</w:t>
      </w:r>
      <w:r w:rsidRPr="008C4141">
        <w:rPr>
          <w:rFonts w:ascii="Calibri" w:hAnsi="Calibri"/>
          <w:i/>
        </w:rPr>
        <w:t xml:space="preserve"> </w:t>
      </w:r>
      <w:r w:rsidRPr="00B95EEB">
        <w:t>(p</w:t>
      </w:r>
      <w:r w:rsidR="000E36B6" w:rsidRPr="00B95EEB">
        <w:t xml:space="preserve">p. </w:t>
      </w:r>
      <w:r w:rsidRPr="00B95EEB">
        <w:t>39</w:t>
      </w:r>
      <w:r w:rsidR="000E36B6" w:rsidRPr="00B95EEB">
        <w:t>–</w:t>
      </w:r>
      <w:r w:rsidRPr="00B95EEB">
        <w:t>40).</w:t>
      </w:r>
    </w:p>
    <w:p w14:paraId="756999C0" w14:textId="34C255EB" w:rsidR="003B6E00" w:rsidRDefault="0001612D" w:rsidP="00B95EEB">
      <w:bookmarkStart w:id="160" w:name="_Toc372723844"/>
      <w:bookmarkStart w:id="161" w:name="_Toc373304256"/>
      <w:r>
        <w:t xml:space="preserve">Further evidence about the effectiveness of Australia’s contributions to </w:t>
      </w:r>
      <w:proofErr w:type="spellStart"/>
      <w:r>
        <w:t>multidonor</w:t>
      </w:r>
      <w:proofErr w:type="spellEnd"/>
      <w:r>
        <w:t xml:space="preserve"> trust funds comes from the evaluation of the </w:t>
      </w:r>
      <w:r w:rsidRPr="00D96748">
        <w:t>Afghanistan Reconstruction Trust Fund</w:t>
      </w:r>
      <w:r>
        <w:t xml:space="preserve">, </w:t>
      </w:r>
      <w:r w:rsidR="000E36B6">
        <w:t xml:space="preserve">which is </w:t>
      </w:r>
      <w:r>
        <w:t>administered by the World Bank. The evaluation highlights the i</w:t>
      </w:r>
      <w:r w:rsidRPr="00540AA8">
        <w:t xml:space="preserve">mportance of such </w:t>
      </w:r>
      <w:proofErr w:type="spellStart"/>
      <w:r w:rsidRPr="00540AA8">
        <w:t>multidonor</w:t>
      </w:r>
      <w:proofErr w:type="spellEnd"/>
      <w:r>
        <w:t xml:space="preserve"> arrangements in providing a coherent vehicle for donors to support development efforts in fragile or conflict</w:t>
      </w:r>
      <w:r w:rsidR="000E36B6">
        <w:t>-</w:t>
      </w:r>
      <w:r>
        <w:t>affected settings and where government capacity is very low (</w:t>
      </w:r>
      <w:r w:rsidRPr="00DC51E0">
        <w:fldChar w:fldCharType="begin"/>
      </w:r>
      <w:r w:rsidRPr="00DC51E0">
        <w:instrText xml:space="preserve"> REF _Ref372737946 \h  \* MERGEFORMAT </w:instrText>
      </w:r>
      <w:r w:rsidRPr="00DC51E0">
        <w:fldChar w:fldCharType="separate"/>
      </w:r>
      <w:r w:rsidR="00C971DC" w:rsidRPr="00B95EEB">
        <w:t xml:space="preserve">Box </w:t>
      </w:r>
      <w:r w:rsidR="00C971DC">
        <w:rPr>
          <w:noProof/>
        </w:rPr>
        <w:t>9</w:t>
      </w:r>
      <w:r w:rsidRPr="00DC51E0">
        <w:fldChar w:fldCharType="end"/>
      </w:r>
      <w:r>
        <w:t xml:space="preserve">). In particular, the convening power of multilateral organisations (in this case the World Bank) </w:t>
      </w:r>
      <w:r w:rsidR="000E36B6">
        <w:t xml:space="preserve">gave </w:t>
      </w:r>
      <w:r>
        <w:t>Australia (and other donors) a vehicle for providing substantial financing at scale and with efficiencies that it could not have achieved by acting alone.</w:t>
      </w:r>
    </w:p>
    <w:p w14:paraId="604B14B8" w14:textId="77777777" w:rsidR="0001612D" w:rsidRPr="00B95EEB" w:rsidRDefault="0001612D" w:rsidP="00AB14E8">
      <w:pPr>
        <w:pStyle w:val="Boxheading0"/>
      </w:pPr>
      <w:bookmarkStart w:id="162" w:name="_Ref372737946"/>
      <w:bookmarkStart w:id="163" w:name="_Toc372722964"/>
      <w:r w:rsidRPr="00B95EEB">
        <w:t xml:space="preserve">Box </w:t>
      </w:r>
      <w:fldSimple w:instr=" SEQ Box \* ARABIC ">
        <w:r w:rsidR="00C971DC">
          <w:rPr>
            <w:noProof/>
          </w:rPr>
          <w:t>9</w:t>
        </w:r>
      </w:fldSimple>
      <w:bookmarkEnd w:id="162"/>
      <w:r w:rsidRPr="00B95EEB">
        <w:tab/>
        <w:t>Afghanistan Reconstruction Trust Fund</w:t>
      </w:r>
      <w:bookmarkEnd w:id="163"/>
    </w:p>
    <w:p w14:paraId="232E832B" w14:textId="77777777" w:rsidR="00995FD1" w:rsidRPr="000F3D78" w:rsidRDefault="00995FD1" w:rsidP="00995FD1">
      <w:pPr>
        <w:pStyle w:val="BoxText"/>
        <w:rPr>
          <w:sz w:val="2"/>
          <w:szCs w:val="2"/>
        </w:rPr>
      </w:pPr>
    </w:p>
    <w:p w14:paraId="6326125C" w14:textId="5F9C9B42" w:rsidR="000E36B6" w:rsidRDefault="0001612D" w:rsidP="00396D95">
      <w:pPr>
        <w:pStyle w:val="BoxText"/>
      </w:pPr>
      <w:r w:rsidRPr="00DC51E0">
        <w:t xml:space="preserve">The </w:t>
      </w:r>
      <w:r w:rsidR="000E36B6">
        <w:t>Afghanistan Reconstruction Trust Fund (</w:t>
      </w:r>
      <w:r w:rsidRPr="00DC51E0">
        <w:t>ARTF</w:t>
      </w:r>
      <w:r w:rsidR="000E36B6">
        <w:t>)</w:t>
      </w:r>
      <w:r w:rsidRPr="00DC51E0">
        <w:t xml:space="preserve"> is a very large (over </w:t>
      </w:r>
      <w:r w:rsidRPr="00540AA8">
        <w:t>US$6</w:t>
      </w:r>
      <w:r w:rsidR="000E36B6" w:rsidRPr="00540AA8">
        <w:t xml:space="preserve"> </w:t>
      </w:r>
      <w:r w:rsidRPr="00540AA8">
        <w:t xml:space="preserve">billion) </w:t>
      </w:r>
      <w:proofErr w:type="spellStart"/>
      <w:r w:rsidRPr="00540AA8">
        <w:t>multidonor</w:t>
      </w:r>
      <w:proofErr w:type="spellEnd"/>
      <w:r w:rsidRPr="00DC51E0">
        <w:t xml:space="preserve"> trust fund supporting governance, service delivery and reconstruction through government systems.</w:t>
      </w:r>
      <w:r w:rsidR="00670092">
        <w:t xml:space="preserve"> </w:t>
      </w:r>
      <w:r w:rsidRPr="00DC51E0">
        <w:t>The Australian Government provided 7 per cent of ARTF funding in 2013 (A$61.1 million) and had a small staff in-country that</w:t>
      </w:r>
      <w:r w:rsidR="000E36B6">
        <w:t>,</w:t>
      </w:r>
      <w:r w:rsidRPr="00DC51E0">
        <w:t xml:space="preserve"> though active in donor discussions</w:t>
      </w:r>
      <w:r w:rsidR="000E36B6">
        <w:t>,</w:t>
      </w:r>
      <w:r w:rsidRPr="00DC51E0">
        <w:t xml:space="preserve"> would not have had the capacity to directly manage the significant resources disbursed through this large fund, particularly in the context of a very difficult operating environment. </w:t>
      </w:r>
      <w:r w:rsidR="00AD3983">
        <w:t>T</w:t>
      </w:r>
      <w:r w:rsidRPr="00DC51E0">
        <w:t>he evaluation found that</w:t>
      </w:r>
      <w:r w:rsidR="000E36B6">
        <w:t>:</w:t>
      </w:r>
    </w:p>
    <w:p w14:paraId="6082D119" w14:textId="524075DE" w:rsidR="000E36B6" w:rsidRDefault="00B95EEB" w:rsidP="00AD6A55">
      <w:pPr>
        <w:pStyle w:val="BoxQuote"/>
        <w:spacing w:after="120"/>
      </w:pPr>
      <w:r>
        <w:tab/>
      </w:r>
      <w:r w:rsidR="0001612D" w:rsidRPr="00DC51E0">
        <w:t>Funding through this national trust fund, channelled through government and administered by the World Bank, is more efficient than donor projects, as security costs are lower, economies of scale better and other overheads lower</w:t>
      </w:r>
      <w:r w:rsidR="000E36B6">
        <w:t xml:space="preserve">. </w:t>
      </w:r>
      <w:r w:rsidR="0001612D" w:rsidRPr="00DC51E0">
        <w:t>(p</w:t>
      </w:r>
      <w:r w:rsidR="000E36B6">
        <w:t xml:space="preserve">. </w:t>
      </w:r>
      <w:r w:rsidR="0001612D" w:rsidRPr="00DC51E0">
        <w:t>16)</w:t>
      </w:r>
    </w:p>
    <w:p w14:paraId="3B66C451" w14:textId="15FD2C5D" w:rsidR="0001612D" w:rsidRPr="00DC51E0" w:rsidRDefault="000E36B6" w:rsidP="00396D95">
      <w:pPr>
        <w:pStyle w:val="BoxText"/>
      </w:pPr>
      <w:r>
        <w:t>Moreover, t</w:t>
      </w:r>
      <w:r w:rsidR="0001612D" w:rsidRPr="00DC51E0">
        <w:t>ransparency and accountability have been good (p</w:t>
      </w:r>
      <w:r>
        <w:t xml:space="preserve">. </w:t>
      </w:r>
      <w:r w:rsidR="0001612D" w:rsidRPr="00DC51E0">
        <w:t xml:space="preserve">23) and the </w:t>
      </w:r>
      <w:r>
        <w:t>f</w:t>
      </w:r>
      <w:r w:rsidR="0001612D" w:rsidRPr="00DC51E0">
        <w:t xml:space="preserve">und structure and governance has increased </w:t>
      </w:r>
      <w:r w:rsidR="00995FD1">
        <w:t>the</w:t>
      </w:r>
      <w:r w:rsidR="0001612D" w:rsidRPr="00DC51E0">
        <w:t xml:space="preserve"> voice </w:t>
      </w:r>
      <w:r w:rsidR="00995FD1">
        <w:t xml:space="preserve">of the Afghan Government </w:t>
      </w:r>
      <w:r w:rsidR="0001612D" w:rsidRPr="00DC51E0">
        <w:t xml:space="preserve">and provided a well-functioning arena for policy debate and consensus creation. </w:t>
      </w:r>
    </w:p>
    <w:p w14:paraId="7086195C" w14:textId="2C9BA927" w:rsidR="0001612D" w:rsidRPr="00DC51E0" w:rsidRDefault="0001612D" w:rsidP="00B95EEB">
      <w:pPr>
        <w:pStyle w:val="BoxNotes"/>
        <w:jc w:val="right"/>
      </w:pPr>
      <w:r w:rsidRPr="00DC51E0">
        <w:t>Source: Afghanistan Reconstruction Trust Fund Evaluation</w:t>
      </w:r>
      <w:r w:rsidR="000E36B6">
        <w:t xml:space="preserve">, </w:t>
      </w:r>
      <w:r w:rsidR="000E36B6" w:rsidRPr="00DC51E0">
        <w:t>2012</w:t>
      </w:r>
      <w:r w:rsidR="00540AA8">
        <w:t>.</w:t>
      </w:r>
    </w:p>
    <w:bookmarkEnd w:id="160"/>
    <w:bookmarkEnd w:id="161"/>
    <w:p w14:paraId="6387D8A1" w14:textId="330EB5C0" w:rsidR="0001612D" w:rsidRPr="007E01EE" w:rsidRDefault="0001612D" w:rsidP="00396D95">
      <w:pPr>
        <w:pStyle w:val="Heading3a"/>
      </w:pPr>
      <w:r w:rsidRPr="007E01EE">
        <w:t>Support</w:t>
      </w:r>
      <w:r>
        <w:t xml:space="preserve"> to </w:t>
      </w:r>
      <w:r w:rsidRPr="007E01EE">
        <w:t xml:space="preserve">the United Nations </w:t>
      </w:r>
      <w:r w:rsidR="000E36B6">
        <w:t xml:space="preserve">to achieve </w:t>
      </w:r>
      <w:r>
        <w:t>a more unified approach to development efforts has had mixed results</w:t>
      </w:r>
    </w:p>
    <w:p w14:paraId="6D8E7C37" w14:textId="0B7A6400" w:rsidR="0001612D" w:rsidRDefault="0001612D" w:rsidP="00127E58">
      <w:r>
        <w:t>The final category of partnerships with multilateral organisations covered by evaluations in the synthesis covers support to the United Nations</w:t>
      </w:r>
      <w:r w:rsidR="000E36B6">
        <w:t xml:space="preserve"> (UN)</w:t>
      </w:r>
      <w:r>
        <w:t>, both at a global level and through individual country programs to the UN’s Delivering as One agenda. This</w:t>
      </w:r>
      <w:r w:rsidR="00AD3983">
        <w:t xml:space="preserve"> agenda</w:t>
      </w:r>
      <w:r>
        <w:t xml:space="preserve"> aims to make the </w:t>
      </w:r>
      <w:r w:rsidR="000E36B6">
        <w:t xml:space="preserve">UN </w:t>
      </w:r>
      <w:r>
        <w:t>development system more coherent, effective and relevant.</w:t>
      </w:r>
      <w:r w:rsidR="00670092">
        <w:t xml:space="preserve"> </w:t>
      </w:r>
      <w:r>
        <w:t xml:space="preserve">The three evaluations in this category found that the programs </w:t>
      </w:r>
      <w:r w:rsidR="000E36B6">
        <w:t xml:space="preserve">that were </w:t>
      </w:r>
      <w:r>
        <w:t xml:space="preserve">supported </w:t>
      </w:r>
      <w:r w:rsidR="000E36B6">
        <w:t xml:space="preserve">showed </w:t>
      </w:r>
      <w:r>
        <w:t>mixed results:</w:t>
      </w:r>
      <w:r w:rsidR="00670092">
        <w:t xml:space="preserve"> </w:t>
      </w:r>
      <w:r>
        <w:t>they had improved collaboration and coordination between UN agencies in two cases and they had resulted in efficiencies in one case but not another.</w:t>
      </w:r>
    </w:p>
    <w:p w14:paraId="0E40411F" w14:textId="4C189737" w:rsidR="0001612D" w:rsidRPr="00DC51E0" w:rsidRDefault="0001612D" w:rsidP="00127E58">
      <w:r w:rsidRPr="00DC51E0">
        <w:lastRenderedPageBreak/>
        <w:t>Th</w:t>
      </w:r>
      <w:r>
        <w:t>e</w:t>
      </w:r>
      <w:r w:rsidRPr="00DC51E0">
        <w:t xml:space="preserve"> </w:t>
      </w:r>
      <w:r>
        <w:t>‘D</w:t>
      </w:r>
      <w:r w:rsidRPr="00DC51E0">
        <w:t>elivering as One</w:t>
      </w:r>
      <w:r>
        <w:t>’</w:t>
      </w:r>
      <w:r w:rsidRPr="00DC51E0">
        <w:t xml:space="preserve"> global evaluation </w:t>
      </w:r>
      <w:r>
        <w:t xml:space="preserve">examined </w:t>
      </w:r>
      <w:r w:rsidRPr="00DC51E0">
        <w:t>the pilot implementation of the UN Deliver</w:t>
      </w:r>
      <w:r w:rsidR="000E36B6">
        <w:t>ing</w:t>
      </w:r>
      <w:r w:rsidRPr="00DC51E0">
        <w:t xml:space="preserve"> as One agenda in seven countries from 2006</w:t>
      </w:r>
      <w:r>
        <w:t xml:space="preserve"> to 20</w:t>
      </w:r>
      <w:r w:rsidRPr="00DC51E0">
        <w:t xml:space="preserve">11. </w:t>
      </w:r>
      <w:r w:rsidRPr="00540AA8">
        <w:t>The $585 million p</w:t>
      </w:r>
      <w:r w:rsidRPr="00DC51E0">
        <w:t>ilot undertook to reform and streamline UN agency operations</w:t>
      </w:r>
      <w:r>
        <w:t>,</w:t>
      </w:r>
      <w:r w:rsidRPr="00DC51E0">
        <w:t xml:space="preserve"> </w:t>
      </w:r>
      <w:r>
        <w:t xml:space="preserve">with Australia providing </w:t>
      </w:r>
      <w:r w:rsidR="000E36B6">
        <w:t xml:space="preserve">3 </w:t>
      </w:r>
      <w:r w:rsidRPr="00DC51E0">
        <w:t xml:space="preserve">per cent of </w:t>
      </w:r>
      <w:r>
        <w:t xml:space="preserve">donor </w:t>
      </w:r>
      <w:r w:rsidRPr="00DC51E0">
        <w:t xml:space="preserve">funding. The </w:t>
      </w:r>
      <w:r>
        <w:t xml:space="preserve">global </w:t>
      </w:r>
      <w:r w:rsidRPr="00DC51E0">
        <w:t xml:space="preserve">evaluation provides perhaps the most detailed examination of </w:t>
      </w:r>
      <w:r w:rsidR="000E36B6">
        <w:t xml:space="preserve">use of </w:t>
      </w:r>
      <w:r w:rsidRPr="00DC51E0">
        <w:t xml:space="preserve">a global trust fund to support reform within a complex bureaucracy. While </w:t>
      </w:r>
      <w:r>
        <w:t xml:space="preserve">the evaluation concluded that </w:t>
      </w:r>
      <w:r w:rsidRPr="00DC51E0">
        <w:t xml:space="preserve">donor cooperation with the UN and host governments </w:t>
      </w:r>
      <w:r>
        <w:t xml:space="preserve">had </w:t>
      </w:r>
      <w:r w:rsidRPr="00DC51E0">
        <w:t xml:space="preserve">improved and there </w:t>
      </w:r>
      <w:r>
        <w:t xml:space="preserve">had been </w:t>
      </w:r>
      <w:r w:rsidRPr="00DC51E0">
        <w:t>progress on UN common leadership, voice and programming, there was less success on office and business processes and efficiency was poor</w:t>
      </w:r>
      <w:r>
        <w:t>,</w:t>
      </w:r>
      <w:r w:rsidRPr="00DC51E0">
        <w:t xml:space="preserve"> as costs remained high (p</w:t>
      </w:r>
      <w:r w:rsidR="000E36B6">
        <w:t xml:space="preserve">. </w:t>
      </w:r>
      <w:r w:rsidRPr="00DC51E0">
        <w:t>22). Although the objectives of the fund were to</w:t>
      </w:r>
      <w:r>
        <w:t xml:space="preserve"> </w:t>
      </w:r>
      <w:r w:rsidRPr="00DC51E0">
        <w:t xml:space="preserve">improve coordination and delivery, the </w:t>
      </w:r>
      <w:r w:rsidRPr="00540AA8">
        <w:t>rigidities of UN agencies</w:t>
      </w:r>
      <w:r w:rsidR="000E36B6" w:rsidRPr="00540AA8">
        <w:t>’</w:t>
      </w:r>
      <w:r w:rsidRPr="00540AA8">
        <w:t xml:space="preserve"> institutional structures reduced its effectiveness</w:t>
      </w:r>
      <w:r w:rsidRPr="00DC51E0">
        <w:t xml:space="preserve">. </w:t>
      </w:r>
      <w:r w:rsidRPr="00540AA8">
        <w:t xml:space="preserve">The conclusion drawn by the evaluation is that large </w:t>
      </w:r>
      <w:proofErr w:type="spellStart"/>
      <w:r w:rsidRPr="00540AA8">
        <w:t>multidonor</w:t>
      </w:r>
      <w:proofErr w:type="spellEnd"/>
      <w:r w:rsidRPr="00540AA8">
        <w:t xml:space="preserve"> trust funds remain subject to the existing systems and bureaucracies of the host agency.</w:t>
      </w:r>
      <w:r w:rsidR="00670092">
        <w:t xml:space="preserve"> </w:t>
      </w:r>
    </w:p>
    <w:p w14:paraId="520EEE65" w14:textId="6AB50DF0" w:rsidR="0001612D" w:rsidRDefault="0001612D" w:rsidP="00127E58">
      <w:r>
        <w:t>Further support for this view is provided by an evaluation of Australia’s</w:t>
      </w:r>
      <w:r w:rsidRPr="00DC51E0">
        <w:t xml:space="preserve"> support to the </w:t>
      </w:r>
      <w:r>
        <w:t xml:space="preserve">Philippines </w:t>
      </w:r>
      <w:r w:rsidRPr="00DC51E0">
        <w:t>U</w:t>
      </w:r>
      <w:r>
        <w:t xml:space="preserve">nited Nations </w:t>
      </w:r>
      <w:r w:rsidRPr="00DC51E0">
        <w:t>Maternal and Neonatal Mortality Reduction</w:t>
      </w:r>
      <w:r w:rsidRPr="00DC51E0">
        <w:rPr>
          <w:i/>
        </w:rPr>
        <w:t xml:space="preserve"> </w:t>
      </w:r>
      <w:r w:rsidRPr="00DC51E0">
        <w:t>initiative</w:t>
      </w:r>
      <w:r>
        <w:t xml:space="preserve">. Reflecting the objectives of the </w:t>
      </w:r>
      <w:r w:rsidR="000E36B6">
        <w:t xml:space="preserve">UN </w:t>
      </w:r>
      <w:r>
        <w:t>Delivering as One agenda, the initiative</w:t>
      </w:r>
      <w:r w:rsidRPr="00DC51E0">
        <w:rPr>
          <w:i/>
        </w:rPr>
        <w:t xml:space="preserve"> </w:t>
      </w:r>
      <w:r w:rsidRPr="00DC51E0">
        <w:t xml:space="preserve">was </w:t>
      </w:r>
      <w:r>
        <w:t xml:space="preserve">designed as a </w:t>
      </w:r>
      <w:r w:rsidRPr="00DC51E0">
        <w:t xml:space="preserve">jointly planned </w:t>
      </w:r>
      <w:r>
        <w:t xml:space="preserve">and implemented </w:t>
      </w:r>
      <w:r w:rsidRPr="00DC51E0">
        <w:t>program through three UN agencies</w:t>
      </w:r>
      <w:r w:rsidR="000E36B6">
        <w:t>—</w:t>
      </w:r>
      <w:r w:rsidR="00540AA8">
        <w:t>the World Health Organization</w:t>
      </w:r>
      <w:r w:rsidRPr="00540AA8">
        <w:t xml:space="preserve">, </w:t>
      </w:r>
      <w:r w:rsidR="00540AA8">
        <w:t xml:space="preserve">the </w:t>
      </w:r>
      <w:r w:rsidR="00540AA8" w:rsidRPr="00540AA8">
        <w:t xml:space="preserve">United Nations Population Fund </w:t>
      </w:r>
      <w:r w:rsidRPr="00540AA8">
        <w:t xml:space="preserve">and </w:t>
      </w:r>
      <w:r w:rsidR="00540AA8">
        <w:t>the United Nations Children’</w:t>
      </w:r>
      <w:r w:rsidR="00540AA8" w:rsidRPr="00540AA8">
        <w:t xml:space="preserve">s Fund </w:t>
      </w:r>
      <w:r w:rsidR="00540AA8">
        <w:t>(</w:t>
      </w:r>
      <w:r w:rsidRPr="00540AA8">
        <w:t>UNICEF</w:t>
      </w:r>
      <w:r w:rsidR="00540AA8">
        <w:t>)</w:t>
      </w:r>
      <w:r w:rsidR="000E36B6" w:rsidRPr="00540AA8">
        <w:t>—</w:t>
      </w:r>
      <w:r w:rsidRPr="00540AA8">
        <w:t>in part to establish a more effi</w:t>
      </w:r>
      <w:r>
        <w:t xml:space="preserve">cient way of working with the </w:t>
      </w:r>
      <w:r w:rsidR="000E36B6">
        <w:t xml:space="preserve">UN </w:t>
      </w:r>
      <w:r>
        <w:t>system in the Philippines</w:t>
      </w:r>
      <w:r w:rsidRPr="00DC51E0">
        <w:t>.</w:t>
      </w:r>
      <w:r w:rsidR="00670092">
        <w:t xml:space="preserve"> </w:t>
      </w:r>
      <w:r w:rsidR="000E36B6">
        <w:t>However, t</w:t>
      </w:r>
      <w:r w:rsidRPr="00DC51E0">
        <w:t xml:space="preserve">he evaluation observed that progress was badly affected by disagreements between these three agencies, as they were unwilling to plan and execute in a collaborative way. </w:t>
      </w:r>
      <w:r>
        <w:t>This situation appeared to improve a</w:t>
      </w:r>
      <w:r w:rsidRPr="00DC51E0">
        <w:t xml:space="preserve">fter the United Nations Development Program took over the administrative leadership of the program in 2012 under the UN Coordinating Office and within the </w:t>
      </w:r>
      <w:r w:rsidR="00AC09B9">
        <w:t xml:space="preserve">UN </w:t>
      </w:r>
      <w:r w:rsidRPr="00DC51E0">
        <w:t>Deliver</w:t>
      </w:r>
      <w:r w:rsidR="000E36B6">
        <w:t>ing</w:t>
      </w:r>
      <w:r w:rsidRPr="00DC51E0">
        <w:t xml:space="preserve"> as One agenda</w:t>
      </w:r>
      <w:r>
        <w:t>. The evaluation team’s initial impression of this change was that it had ‘</w:t>
      </w:r>
      <w:r w:rsidRPr="00DC51E0">
        <w:t>greatly assisted in bringing more trust, collegiality, collaboration and communication between all three agencies’ (p.</w:t>
      </w:r>
      <w:r w:rsidR="00D05A29">
        <w:t xml:space="preserve"> </w:t>
      </w:r>
      <w:r w:rsidRPr="00DC51E0">
        <w:t>26).</w:t>
      </w:r>
      <w:r w:rsidR="00670092">
        <w:t xml:space="preserve"> </w:t>
      </w:r>
      <w:r w:rsidRPr="00DC51E0">
        <w:t>Th</w:t>
      </w:r>
      <w:r>
        <w:t>is was because th</w:t>
      </w:r>
      <w:r w:rsidRPr="00DC51E0">
        <w:t>e different agencies had to work together collaborative</w:t>
      </w:r>
      <w:r>
        <w:t>ly</w:t>
      </w:r>
      <w:r w:rsidRPr="00DC51E0">
        <w:t xml:space="preserve"> because funding was no longer under their separate control.</w:t>
      </w:r>
    </w:p>
    <w:p w14:paraId="39BD1F00" w14:textId="5ED9075C" w:rsidR="005A759D" w:rsidRDefault="0001612D" w:rsidP="00127E58">
      <w:pPr>
        <w:rPr>
          <w:i/>
        </w:rPr>
      </w:pPr>
      <w:r>
        <w:t xml:space="preserve">Unlike the two evaluations just discussed, </w:t>
      </w:r>
      <w:r w:rsidRPr="00DC51E0">
        <w:t xml:space="preserve">the </w:t>
      </w:r>
      <w:r>
        <w:t xml:space="preserve">evaluation of Australia’s </w:t>
      </w:r>
      <w:r w:rsidRPr="00DC51E0">
        <w:t>$9.4</w:t>
      </w:r>
      <w:r w:rsidR="00293914">
        <w:t xml:space="preserve"> </w:t>
      </w:r>
      <w:r w:rsidRPr="00DC51E0">
        <w:t>m</w:t>
      </w:r>
      <w:r w:rsidR="00293914">
        <w:t>illion</w:t>
      </w:r>
      <w:r w:rsidRPr="00DC51E0">
        <w:t xml:space="preserve"> </w:t>
      </w:r>
      <w:r>
        <w:t xml:space="preserve">support for the </w:t>
      </w:r>
      <w:r w:rsidRPr="00DC51E0">
        <w:t xml:space="preserve">UN Delivering as One agenda </w:t>
      </w:r>
      <w:r>
        <w:t xml:space="preserve">through the </w:t>
      </w:r>
      <w:r w:rsidRPr="00540AA8">
        <w:t>One UN Fund for PNG</w:t>
      </w:r>
      <w:r w:rsidRPr="00540AA8">
        <w:rPr>
          <w:i/>
        </w:rPr>
        <w:t xml:space="preserve"> </w:t>
      </w:r>
      <w:r w:rsidRPr="00540AA8">
        <w:t>project provides</w:t>
      </w:r>
      <w:r>
        <w:t xml:space="preserve"> better grounds for optimism about the prospects for substantive reform of the </w:t>
      </w:r>
      <w:r w:rsidR="00293914">
        <w:t xml:space="preserve">UN </w:t>
      </w:r>
      <w:r>
        <w:t>development system</w:t>
      </w:r>
      <w:r w:rsidRPr="00DC51E0">
        <w:t xml:space="preserve">. </w:t>
      </w:r>
      <w:r>
        <w:t xml:space="preserve">While the evaluation did not </w:t>
      </w:r>
      <w:r w:rsidRPr="00430A73">
        <w:t xml:space="preserve">assess the </w:t>
      </w:r>
      <w:r>
        <w:t>outcomes or impacts</w:t>
      </w:r>
      <w:r w:rsidRPr="00430A73">
        <w:t xml:space="preserve"> o</w:t>
      </w:r>
      <w:r>
        <w:t>f Australia’s investment</w:t>
      </w:r>
      <w:r w:rsidR="00293914">
        <w:t>,</w:t>
      </w:r>
      <w:r w:rsidRPr="00430A73">
        <w:t xml:space="preserve"> </w:t>
      </w:r>
      <w:r>
        <w:t xml:space="preserve">it did find </w:t>
      </w:r>
      <w:r w:rsidRPr="00DC51E0">
        <w:t xml:space="preserve">that the </w:t>
      </w:r>
      <w:r w:rsidR="00293914">
        <w:t>f</w:t>
      </w:r>
      <w:r w:rsidRPr="00DC51E0">
        <w:t>und is</w:t>
      </w:r>
      <w:r w:rsidR="005A759D">
        <w:t>:</w:t>
      </w:r>
    </w:p>
    <w:p w14:paraId="21DC7202" w14:textId="6544561A" w:rsidR="0001612D" w:rsidRPr="00DC51E0" w:rsidRDefault="0001612D" w:rsidP="00127E58">
      <w:pPr>
        <w:pStyle w:val="Quotetext"/>
      </w:pPr>
      <w:r w:rsidRPr="00DC51E0">
        <w:t>more efficient than individual UN agency overheads and in terms of processing time.</w:t>
      </w:r>
      <w:r w:rsidR="00670092">
        <w:t xml:space="preserve"> </w:t>
      </w:r>
      <w:r w:rsidRPr="00DC51E0">
        <w:t>Relating to costs, the total general management service fee payable by AusAID [is] 8%. In most cases, this is significantly less than fees previously charged by individual recipient UN agencies (e.g. WHO’s standard ‘Program Support Cost’ fee is 13</w:t>
      </w:r>
      <w:r>
        <w:t xml:space="preserve"> </w:t>
      </w:r>
      <w:r w:rsidRPr="00DC51E0">
        <w:t>per cent)</w:t>
      </w:r>
      <w:r w:rsidR="00AC09B9">
        <w:rPr>
          <w:rFonts w:ascii="Calibri" w:hAnsi="Calibri"/>
        </w:rPr>
        <w:t>.</w:t>
      </w:r>
      <w:r w:rsidRPr="00DC51E0">
        <w:rPr>
          <w:rFonts w:ascii="Calibri" w:hAnsi="Calibri"/>
        </w:rPr>
        <w:t xml:space="preserve"> (</w:t>
      </w:r>
      <w:r w:rsidRPr="00DC51E0">
        <w:t>p</w:t>
      </w:r>
      <w:r w:rsidR="00293914">
        <w:t xml:space="preserve">. </w:t>
      </w:r>
      <w:r w:rsidRPr="00DC51E0">
        <w:t>10)</w:t>
      </w:r>
      <w:r>
        <w:t xml:space="preserve"> </w:t>
      </w:r>
    </w:p>
    <w:p w14:paraId="4AEB2C90" w14:textId="7C0B4CD7" w:rsidR="00C74C4B" w:rsidRPr="00396D95" w:rsidRDefault="00396D95" w:rsidP="00730969">
      <w:pPr>
        <w:pStyle w:val="Heading2"/>
        <w:rPr>
          <w:rFonts w:eastAsiaTheme="majorEastAsia"/>
        </w:rPr>
      </w:pPr>
      <w:bookmarkStart w:id="164" w:name="_Toc387394602"/>
      <w:r>
        <w:rPr>
          <w:rFonts w:eastAsiaTheme="majorEastAsia"/>
        </w:rPr>
        <w:t>4.2</w:t>
      </w:r>
      <w:r>
        <w:rPr>
          <w:rFonts w:eastAsiaTheme="majorEastAsia"/>
        </w:rPr>
        <w:tab/>
      </w:r>
      <w:r w:rsidR="00C74C4B" w:rsidRPr="00396D95">
        <w:rPr>
          <w:rFonts w:eastAsiaTheme="majorEastAsia"/>
        </w:rPr>
        <w:t xml:space="preserve">Support for civil society is most effective when </w:t>
      </w:r>
      <w:r w:rsidR="004E70DB" w:rsidRPr="00396D95">
        <w:rPr>
          <w:rFonts w:eastAsiaTheme="majorEastAsia"/>
        </w:rPr>
        <w:t>underpinned by longer-term</w:t>
      </w:r>
      <w:r w:rsidR="00C74C4B" w:rsidRPr="00396D95">
        <w:rPr>
          <w:rFonts w:eastAsiaTheme="majorEastAsia"/>
        </w:rPr>
        <w:t xml:space="preserve"> partnerships</w:t>
      </w:r>
      <w:r w:rsidR="004E70DB" w:rsidRPr="00396D95">
        <w:rPr>
          <w:rFonts w:eastAsiaTheme="majorEastAsia"/>
        </w:rPr>
        <w:t xml:space="preserve"> and</w:t>
      </w:r>
      <w:r w:rsidR="00C74C4B" w:rsidRPr="00396D95">
        <w:rPr>
          <w:rFonts w:eastAsiaTheme="majorEastAsia"/>
        </w:rPr>
        <w:t xml:space="preserve"> selective use of core funding</w:t>
      </w:r>
      <w:bookmarkEnd w:id="152"/>
      <w:bookmarkEnd w:id="153"/>
      <w:bookmarkEnd w:id="154"/>
      <w:bookmarkEnd w:id="164"/>
      <w:r w:rsidR="00C74C4B" w:rsidRPr="00396D95">
        <w:rPr>
          <w:rFonts w:eastAsiaTheme="majorEastAsia"/>
        </w:rPr>
        <w:t xml:space="preserve"> </w:t>
      </w:r>
    </w:p>
    <w:p w14:paraId="3B19776A" w14:textId="2D57D88C" w:rsidR="00C74C4B" w:rsidRPr="0066517A" w:rsidRDefault="00C74C4B" w:rsidP="00127E58">
      <w:r>
        <w:t>Support for civil society is an important component of any aid program</w:t>
      </w:r>
      <w:r w:rsidR="00293914">
        <w:t>,</w:t>
      </w:r>
      <w:r>
        <w:t xml:space="preserve"> as a wide range of effective</w:t>
      </w:r>
      <w:r w:rsidR="00F60123">
        <w:t xml:space="preserve"> civil society organisations</w:t>
      </w:r>
      <w:r>
        <w:t xml:space="preserve"> </w:t>
      </w:r>
      <w:r w:rsidR="00F60123" w:rsidRPr="00F60123">
        <w:t>(</w:t>
      </w:r>
      <w:r w:rsidRPr="00F60123">
        <w:t>CSOs</w:t>
      </w:r>
      <w:r w:rsidR="00F60123" w:rsidRPr="00F60123">
        <w:t>)</w:t>
      </w:r>
      <w:r>
        <w:t xml:space="preserve"> can play a part in holding governments to account and </w:t>
      </w:r>
      <w:r w:rsidR="00293914">
        <w:t xml:space="preserve">can </w:t>
      </w:r>
      <w:r>
        <w:t xml:space="preserve">also </w:t>
      </w:r>
      <w:r w:rsidR="00293914">
        <w:t xml:space="preserve">supplement </w:t>
      </w:r>
      <w:r w:rsidRPr="0066517A">
        <w:t>government efforts in some sectors.</w:t>
      </w:r>
      <w:r w:rsidR="00670092">
        <w:t xml:space="preserve"> </w:t>
      </w:r>
      <w:r>
        <w:t>DFAT</w:t>
      </w:r>
      <w:r w:rsidRPr="0066517A">
        <w:t xml:space="preserve"> does not restrict its definition of civil society only </w:t>
      </w:r>
      <w:r w:rsidRPr="00540AA8">
        <w:t xml:space="preserve">to </w:t>
      </w:r>
      <w:r w:rsidR="00540AA8">
        <w:t>n</w:t>
      </w:r>
      <w:r w:rsidRPr="00540AA8">
        <w:t>on-</w:t>
      </w:r>
      <w:r w:rsidR="00540AA8">
        <w:t>g</w:t>
      </w:r>
      <w:r w:rsidRPr="00540AA8">
        <w:t xml:space="preserve">overnment </w:t>
      </w:r>
      <w:r w:rsidR="00540AA8">
        <w:t>o</w:t>
      </w:r>
      <w:r w:rsidRPr="00540AA8">
        <w:t>rganisations (NGOs)</w:t>
      </w:r>
      <w:r w:rsidR="00293914" w:rsidRPr="00540AA8">
        <w:t>;</w:t>
      </w:r>
      <w:r w:rsidRPr="0066517A">
        <w:t xml:space="preserve"> </w:t>
      </w:r>
      <w:r w:rsidR="00293914">
        <w:t xml:space="preserve">it </w:t>
      </w:r>
      <w:r w:rsidRPr="00FC22E6">
        <w:t>also</w:t>
      </w:r>
      <w:r w:rsidRPr="004D5E8C">
        <w:t xml:space="preserve"> includes </w:t>
      </w:r>
      <w:r w:rsidRPr="0066517A">
        <w:t>a wide range of non-government and non-market organisations through which people organise themselves to pursue shared interests or values in public life</w:t>
      </w:r>
      <w:r w:rsidR="00293914">
        <w:rPr>
          <w:rFonts w:ascii="Cambria" w:hAnsi="Cambria"/>
        </w:rPr>
        <w:t>—</w:t>
      </w:r>
      <w:r w:rsidR="00293914">
        <w:t xml:space="preserve">for example, </w:t>
      </w:r>
      <w:r w:rsidRPr="0066517A">
        <w:t xml:space="preserve">faith-based organisations, women’s groups, community and village-based groups, indigenous groups and voluntary associations. </w:t>
      </w:r>
    </w:p>
    <w:p w14:paraId="5B06F4F3" w14:textId="3746DDF8" w:rsidR="00C74C4B" w:rsidRPr="0066517A" w:rsidRDefault="00C74C4B" w:rsidP="00127E58">
      <w:r w:rsidRPr="0066517A">
        <w:lastRenderedPageBreak/>
        <w:t>Support for civil society is an important component of the Australian aid program.</w:t>
      </w:r>
      <w:r w:rsidR="00670092">
        <w:t xml:space="preserve"> </w:t>
      </w:r>
      <w:r w:rsidRPr="0066517A">
        <w:t>In 2011</w:t>
      </w:r>
      <w:r w:rsidR="00293914">
        <w:rPr>
          <w:rFonts w:ascii="Cambria" w:hAnsi="Cambria"/>
        </w:rPr>
        <w:t>–</w:t>
      </w:r>
      <w:r w:rsidRPr="0066517A">
        <w:t xml:space="preserve">12, 360 </w:t>
      </w:r>
      <w:r>
        <w:t>CS</w:t>
      </w:r>
      <w:r w:rsidRPr="0066517A">
        <w:t>Os received $565 million (or 12 per cent) of direct funding managed by the former AusAID</w:t>
      </w:r>
      <w:r w:rsidR="00293914">
        <w:t>.</w:t>
      </w:r>
      <w:r w:rsidRPr="0066517A">
        <w:rPr>
          <w:rStyle w:val="FootnoteReference"/>
          <w:color w:val="000000" w:themeColor="text1"/>
        </w:rPr>
        <w:footnoteReference w:id="14"/>
      </w:r>
      <w:r w:rsidR="00670092">
        <w:t xml:space="preserve"> </w:t>
      </w:r>
      <w:r w:rsidRPr="0066517A">
        <w:t>Much of this support</w:t>
      </w:r>
      <w:r>
        <w:t xml:space="preserve"> to CSOs</w:t>
      </w:r>
      <w:r w:rsidRPr="0066517A">
        <w:t xml:space="preserve"> is designed to assist </w:t>
      </w:r>
      <w:r>
        <w:t>them</w:t>
      </w:r>
      <w:r w:rsidRPr="0066517A">
        <w:t xml:space="preserve"> to undertake specific projects</w:t>
      </w:r>
      <w:r w:rsidR="00293914">
        <w:rPr>
          <w:rFonts w:ascii="Cambria" w:hAnsi="Cambria"/>
        </w:rPr>
        <w:t>—</w:t>
      </w:r>
      <w:r w:rsidRPr="0066517A">
        <w:t>for instance</w:t>
      </w:r>
      <w:r w:rsidR="00293914">
        <w:t>,</w:t>
      </w:r>
      <w:r w:rsidRPr="0066517A">
        <w:t xml:space="preserve"> in water and sanitation, education, and humanitarian activities</w:t>
      </w:r>
      <w:r w:rsidR="00293914">
        <w:rPr>
          <w:rFonts w:ascii="Cambria" w:hAnsi="Cambria"/>
        </w:rPr>
        <w:t>—</w:t>
      </w:r>
      <w:r w:rsidRPr="0066517A">
        <w:t xml:space="preserve">while other initiatives aim to strengthen </w:t>
      </w:r>
      <w:r>
        <w:t>the CSOs themselves</w:t>
      </w:r>
      <w:r w:rsidRPr="0066517A">
        <w:t xml:space="preserve">. </w:t>
      </w:r>
    </w:p>
    <w:p w14:paraId="34EFE725" w14:textId="2A02BA15" w:rsidR="00C74C4B" w:rsidRDefault="00C74C4B" w:rsidP="00127E58">
      <w:r w:rsidRPr="0066517A">
        <w:t xml:space="preserve">The lessons below are drawn from </w:t>
      </w:r>
      <w:r>
        <w:t>13</w:t>
      </w:r>
      <w:r w:rsidRPr="0066517A">
        <w:t xml:space="preserve"> evaluations.</w:t>
      </w:r>
      <w:r w:rsidR="00670092">
        <w:t xml:space="preserve"> </w:t>
      </w:r>
      <w:r>
        <w:t xml:space="preserve">They are also consistent with the findings of ODE’s 2012 evaluation, </w:t>
      </w:r>
      <w:r w:rsidRPr="00D471AE">
        <w:rPr>
          <w:i/>
        </w:rPr>
        <w:t xml:space="preserve">Working </w:t>
      </w:r>
      <w:r w:rsidR="00293914">
        <w:rPr>
          <w:i/>
        </w:rPr>
        <w:t>b</w:t>
      </w:r>
      <w:r w:rsidRPr="00D471AE">
        <w:rPr>
          <w:i/>
        </w:rPr>
        <w:t xml:space="preserve">eyond </w:t>
      </w:r>
      <w:r w:rsidR="00293914">
        <w:rPr>
          <w:i/>
        </w:rPr>
        <w:t>g</w:t>
      </w:r>
      <w:r w:rsidRPr="00D471AE">
        <w:rPr>
          <w:i/>
        </w:rPr>
        <w:t>overnment: Evaluation of AusAID’s engagement with civil society in developing countries</w:t>
      </w:r>
      <w:r>
        <w:t>.</w:t>
      </w:r>
    </w:p>
    <w:p w14:paraId="72833A40" w14:textId="5BC2B57D" w:rsidR="00C74C4B" w:rsidRPr="009F3175" w:rsidRDefault="004E70DB" w:rsidP="00396D95">
      <w:pPr>
        <w:pStyle w:val="Heading3a"/>
      </w:pPr>
      <w:bookmarkStart w:id="165" w:name="_Toc373304258"/>
      <w:bookmarkStart w:id="166" w:name="OLE_LINK2"/>
      <w:r w:rsidRPr="00F60123">
        <w:t>Providing long-term core funding to CSOs to allow them greater flexibility to invest over time in strengthening their own capacity will support more sustainable outcomes</w:t>
      </w:r>
      <w:r w:rsidR="00C74C4B">
        <w:t xml:space="preserve"> </w:t>
      </w:r>
      <w:bookmarkEnd w:id="165"/>
    </w:p>
    <w:bookmarkEnd w:id="166"/>
    <w:p w14:paraId="7E3DCA33" w14:textId="7D8828A6" w:rsidR="00D81C8C" w:rsidRPr="00896E3D" w:rsidRDefault="00C74C4B" w:rsidP="00D81C8C">
      <w:pPr>
        <w:rPr>
          <w:color w:val="000000" w:themeColor="text1"/>
        </w:rPr>
      </w:pPr>
      <w:r w:rsidRPr="00D81C8C">
        <w:rPr>
          <w:color w:val="000000" w:themeColor="text1"/>
        </w:rPr>
        <w:t>CSOs and NGOs offer attractive channels for aid donors</w:t>
      </w:r>
      <w:r w:rsidR="00293914">
        <w:rPr>
          <w:color w:val="000000" w:themeColor="text1"/>
        </w:rPr>
        <w:t>,</w:t>
      </w:r>
      <w:r w:rsidRPr="00D81C8C">
        <w:rPr>
          <w:color w:val="000000" w:themeColor="text1"/>
        </w:rPr>
        <w:t xml:space="preserve"> especially in contexts where there are </w:t>
      </w:r>
      <w:r w:rsidR="00407D39" w:rsidRPr="00D81C8C">
        <w:rPr>
          <w:color w:val="000000" w:themeColor="text1"/>
        </w:rPr>
        <w:t xml:space="preserve">limitations </w:t>
      </w:r>
      <w:r w:rsidRPr="00D81C8C">
        <w:rPr>
          <w:color w:val="000000" w:themeColor="text1"/>
        </w:rPr>
        <w:t>in government service delivery.</w:t>
      </w:r>
      <w:r w:rsidR="00670092">
        <w:rPr>
          <w:color w:val="000000" w:themeColor="text1"/>
        </w:rPr>
        <w:t xml:space="preserve"> </w:t>
      </w:r>
      <w:r w:rsidR="00D81C8C" w:rsidRPr="00D81C8C">
        <w:rPr>
          <w:color w:val="000000" w:themeColor="text1"/>
        </w:rPr>
        <w:t>Several evaluations</w:t>
      </w:r>
      <w:r w:rsidR="00F30FC2" w:rsidRPr="00D81C8C">
        <w:rPr>
          <w:color w:val="000000" w:themeColor="text1"/>
        </w:rPr>
        <w:t xml:space="preserve"> suggest that, rather than engaging with CSOs primarily as contractors for service delivery, providing long-term core funding </w:t>
      </w:r>
      <w:r w:rsidR="00D81C8C" w:rsidRPr="00D81C8C">
        <w:rPr>
          <w:color w:val="000000" w:themeColor="text1"/>
        </w:rPr>
        <w:t xml:space="preserve">to CSOs </w:t>
      </w:r>
      <w:r w:rsidR="00D81C8C" w:rsidRPr="00896E3D">
        <w:rPr>
          <w:color w:val="000000" w:themeColor="text1"/>
        </w:rPr>
        <w:t>(as opposed to short-term</w:t>
      </w:r>
      <w:r w:rsidR="00D81C8C" w:rsidRPr="00D81C8C">
        <w:rPr>
          <w:color w:val="000000" w:themeColor="text1"/>
        </w:rPr>
        <w:t xml:space="preserve"> funding or funding tied to the implementation of specific activities</w:t>
      </w:r>
      <w:r w:rsidR="00D81C8C" w:rsidRPr="00896E3D">
        <w:rPr>
          <w:color w:val="000000" w:themeColor="text1"/>
        </w:rPr>
        <w:t>)</w:t>
      </w:r>
      <w:r w:rsidR="00D81C8C" w:rsidRPr="00D81C8C">
        <w:rPr>
          <w:color w:val="000000" w:themeColor="text1"/>
        </w:rPr>
        <w:t xml:space="preserve"> </w:t>
      </w:r>
      <w:r w:rsidR="00F30FC2" w:rsidRPr="00D81C8C">
        <w:rPr>
          <w:color w:val="000000" w:themeColor="text1"/>
        </w:rPr>
        <w:t>allow</w:t>
      </w:r>
      <w:r w:rsidR="00D81C8C" w:rsidRPr="00D81C8C">
        <w:rPr>
          <w:color w:val="000000" w:themeColor="text1"/>
        </w:rPr>
        <w:t>s</w:t>
      </w:r>
      <w:r w:rsidR="00F30FC2" w:rsidRPr="00D81C8C">
        <w:rPr>
          <w:color w:val="000000" w:themeColor="text1"/>
        </w:rPr>
        <w:t xml:space="preserve"> them greater flexibility to invest over time in strengthening their own organisational capacity to be long</w:t>
      </w:r>
      <w:r w:rsidR="00293914">
        <w:rPr>
          <w:color w:val="000000" w:themeColor="text1"/>
        </w:rPr>
        <w:t>-</w:t>
      </w:r>
      <w:r w:rsidR="00F30FC2" w:rsidRPr="00D81C8C">
        <w:rPr>
          <w:color w:val="000000" w:themeColor="text1"/>
        </w:rPr>
        <w:t>term agents of change</w:t>
      </w:r>
      <w:r w:rsidR="00D81C8C" w:rsidRPr="00D81C8C">
        <w:rPr>
          <w:color w:val="000000" w:themeColor="text1"/>
        </w:rPr>
        <w:t>.</w:t>
      </w:r>
      <w:r w:rsidR="00670092">
        <w:rPr>
          <w:color w:val="000000" w:themeColor="text1"/>
        </w:rPr>
        <w:t xml:space="preserve"> </w:t>
      </w:r>
      <w:r w:rsidR="00D81C8C" w:rsidRPr="00D81C8C">
        <w:rPr>
          <w:color w:val="000000" w:themeColor="text1"/>
        </w:rPr>
        <w:t>C</w:t>
      </w:r>
      <w:r w:rsidR="00D81C8C" w:rsidRPr="00896E3D">
        <w:rPr>
          <w:color w:val="000000" w:themeColor="text1"/>
        </w:rPr>
        <w:t xml:space="preserve">ore funding </w:t>
      </w:r>
      <w:r w:rsidR="00D81C8C" w:rsidRPr="00D81C8C">
        <w:rPr>
          <w:color w:val="000000" w:themeColor="text1"/>
        </w:rPr>
        <w:t xml:space="preserve">also </w:t>
      </w:r>
      <w:r w:rsidR="00D81C8C" w:rsidRPr="00896E3D">
        <w:rPr>
          <w:color w:val="000000" w:themeColor="text1"/>
        </w:rPr>
        <w:t xml:space="preserve">encourages CSOs to plan and implement programs over a longer time scale, and this type of program normally has a greater chance of success than short initiatives. </w:t>
      </w:r>
    </w:p>
    <w:p w14:paraId="4656C7DE" w14:textId="5A675F55" w:rsidR="00D81C8C" w:rsidRPr="00896E3D" w:rsidRDefault="00D81C8C" w:rsidP="00D81C8C">
      <w:pPr>
        <w:rPr>
          <w:color w:val="000000" w:themeColor="text1"/>
        </w:rPr>
      </w:pPr>
      <w:r w:rsidRPr="00896E3D">
        <w:rPr>
          <w:color w:val="000000" w:themeColor="text1"/>
        </w:rPr>
        <w:t>For instance</w:t>
      </w:r>
      <w:r w:rsidR="00293914">
        <w:rPr>
          <w:color w:val="000000" w:themeColor="text1"/>
        </w:rPr>
        <w:t>,</w:t>
      </w:r>
      <w:r w:rsidRPr="00896E3D">
        <w:rPr>
          <w:color w:val="000000" w:themeColor="text1"/>
        </w:rPr>
        <w:t xml:space="preserve"> in Indonesia, Australia supports </w:t>
      </w:r>
      <w:r w:rsidRPr="00F60123">
        <w:rPr>
          <w:color w:val="000000" w:themeColor="text1"/>
        </w:rPr>
        <w:t>SMERU</w:t>
      </w:r>
      <w:r w:rsidR="00293914">
        <w:rPr>
          <w:rFonts w:ascii="Cambria" w:hAnsi="Cambria"/>
        </w:rPr>
        <w:t>—</w:t>
      </w:r>
      <w:r w:rsidRPr="00896E3D">
        <w:rPr>
          <w:color w:val="000000" w:themeColor="text1"/>
        </w:rPr>
        <w:t>a research institute in social and economic analysis. The evaluation found that the core funding to SMERU had allowed it to invest in recruiting and retaining high</w:t>
      </w:r>
      <w:r w:rsidR="003D2B6D">
        <w:rPr>
          <w:color w:val="000000" w:themeColor="text1"/>
        </w:rPr>
        <w:t>-</w:t>
      </w:r>
      <w:r w:rsidRPr="00896E3D">
        <w:rPr>
          <w:color w:val="000000" w:themeColor="text1"/>
        </w:rPr>
        <w:t>quality staff by providing security of employment and competitive remuneration. The core funding had also enabled organisational policies and systems to be strengthened.</w:t>
      </w:r>
      <w:r w:rsidR="00670092">
        <w:rPr>
          <w:color w:val="000000" w:themeColor="text1"/>
        </w:rPr>
        <w:t xml:space="preserve"> </w:t>
      </w:r>
      <w:r w:rsidRPr="00896E3D">
        <w:rPr>
          <w:color w:val="000000" w:themeColor="text1"/>
        </w:rPr>
        <w:t xml:space="preserve">Project-based funding rarely allows for this type of organisational investment. </w:t>
      </w:r>
    </w:p>
    <w:p w14:paraId="2238BE25" w14:textId="1CA63A6F" w:rsidR="003D2B6D" w:rsidRDefault="00D81C8C" w:rsidP="00D81C8C">
      <w:pPr>
        <w:rPr>
          <w:color w:val="000000" w:themeColor="text1"/>
        </w:rPr>
      </w:pPr>
      <w:r w:rsidRPr="00B84BE7">
        <w:rPr>
          <w:color w:val="000000" w:themeColor="text1"/>
        </w:rPr>
        <w:t xml:space="preserve">Further evidence indicating the value of core funding comes from the Civil Society Program in Fiji, which is especially noteworthy </w:t>
      </w:r>
      <w:r w:rsidR="003D2B6D">
        <w:rPr>
          <w:color w:val="000000" w:themeColor="text1"/>
        </w:rPr>
        <w:t xml:space="preserve">given that </w:t>
      </w:r>
      <w:r w:rsidRPr="00B84BE7">
        <w:rPr>
          <w:color w:val="000000" w:themeColor="text1"/>
        </w:rPr>
        <w:t>the evaluation concludes that this fund appears to have been successful even in the context of a fragile state and many serious external constraints.</w:t>
      </w:r>
      <w:r w:rsidR="00670092">
        <w:rPr>
          <w:color w:val="000000" w:themeColor="text1"/>
        </w:rPr>
        <w:t xml:space="preserve"> </w:t>
      </w:r>
      <w:r w:rsidRPr="00B84BE7">
        <w:rPr>
          <w:color w:val="000000" w:themeColor="text1"/>
        </w:rPr>
        <w:t>The evaluation found that:</w:t>
      </w:r>
    </w:p>
    <w:p w14:paraId="3DEB95B0" w14:textId="3A9936E1" w:rsidR="003D2B6D" w:rsidRDefault="00D81C8C" w:rsidP="00396D95">
      <w:pPr>
        <w:pStyle w:val="Quote"/>
      </w:pPr>
      <w:r w:rsidRPr="00B84BE7">
        <w:t>the long term commitment by AusAID to civil society through political upheavals has ensured the survival of this sector in Fiji as well as to the defence of human rights and maintenance of service delivery in areas where public services have withdrawn</w:t>
      </w:r>
      <w:r w:rsidR="003D2B6D" w:rsidRPr="00AC09B9">
        <w:t>.</w:t>
      </w:r>
      <w:r w:rsidRPr="00B84BE7">
        <w:t xml:space="preserve"> (p</w:t>
      </w:r>
      <w:r w:rsidR="003D2B6D">
        <w:t xml:space="preserve">. </w:t>
      </w:r>
      <w:r w:rsidRPr="00B84BE7">
        <w:t xml:space="preserve">36) </w:t>
      </w:r>
    </w:p>
    <w:p w14:paraId="0A3E5BDB" w14:textId="08B2980A" w:rsidR="00D81C8C" w:rsidRPr="00F60123" w:rsidRDefault="00D81C8C" w:rsidP="00D81C8C">
      <w:pPr>
        <w:rPr>
          <w:color w:val="000000" w:themeColor="text1"/>
        </w:rPr>
      </w:pPr>
      <w:r w:rsidRPr="00B84BE7">
        <w:rPr>
          <w:color w:val="000000" w:themeColor="text1"/>
        </w:rPr>
        <w:t>However</w:t>
      </w:r>
      <w:r w:rsidR="003D2B6D">
        <w:rPr>
          <w:color w:val="000000" w:themeColor="text1"/>
        </w:rPr>
        <w:t>,</w:t>
      </w:r>
      <w:r w:rsidRPr="00B84BE7">
        <w:rPr>
          <w:color w:val="000000" w:themeColor="text1"/>
        </w:rPr>
        <w:t xml:space="preserve"> this long</w:t>
      </w:r>
      <w:r w:rsidR="003D2B6D">
        <w:rPr>
          <w:color w:val="000000" w:themeColor="text1"/>
        </w:rPr>
        <w:t>-</w:t>
      </w:r>
      <w:r w:rsidRPr="00B84BE7">
        <w:rPr>
          <w:color w:val="000000" w:themeColor="text1"/>
        </w:rPr>
        <w:t xml:space="preserve">term commitment was not always </w:t>
      </w:r>
      <w:r w:rsidRPr="00F60123">
        <w:rPr>
          <w:color w:val="000000" w:themeColor="text1"/>
        </w:rPr>
        <w:t>evident to the CSOs themselves, and the evaluation suggests that</w:t>
      </w:r>
      <w:r w:rsidR="003D2B6D" w:rsidRPr="00F60123">
        <w:rPr>
          <w:color w:val="000000" w:themeColor="text1"/>
        </w:rPr>
        <w:t>,</w:t>
      </w:r>
      <w:r w:rsidRPr="00F60123">
        <w:rPr>
          <w:color w:val="000000" w:themeColor="text1"/>
        </w:rPr>
        <w:t xml:space="preserve"> from the perspective of the recipient organisations, a multiyear commitment is preferable to a series of shorter grants. </w:t>
      </w:r>
    </w:p>
    <w:p w14:paraId="1556899F" w14:textId="6C530B36" w:rsidR="00D81C8C" w:rsidRPr="005D0B2C" w:rsidRDefault="00D81C8C" w:rsidP="00D81C8C">
      <w:pPr>
        <w:rPr>
          <w:color w:val="000000" w:themeColor="text1"/>
        </w:rPr>
      </w:pPr>
      <w:r w:rsidRPr="00823453">
        <w:rPr>
          <w:color w:val="000000" w:themeColor="text1"/>
        </w:rPr>
        <w:t>Three evaluations of various types of funding agreements with NGOs underline</w:t>
      </w:r>
      <w:r w:rsidRPr="00B84BE7">
        <w:rPr>
          <w:color w:val="000000" w:themeColor="text1"/>
        </w:rPr>
        <w:t xml:space="preserve"> the value of core funding, but the reports also suggest that this potential value can best be realised</w:t>
      </w:r>
      <w:r w:rsidR="00670092">
        <w:rPr>
          <w:color w:val="000000" w:themeColor="text1"/>
        </w:rPr>
        <w:t xml:space="preserve"> </w:t>
      </w:r>
      <w:r w:rsidRPr="00B84BE7">
        <w:rPr>
          <w:color w:val="000000" w:themeColor="text1"/>
        </w:rPr>
        <w:t>if the recipient organisation makes strategic use of this kind of funding: it is not enough just to use this funding to pay recurrent costs.</w:t>
      </w:r>
      <w:r w:rsidR="00670092">
        <w:rPr>
          <w:color w:val="000000" w:themeColor="text1"/>
        </w:rPr>
        <w:t xml:space="preserve"> </w:t>
      </w:r>
      <w:r w:rsidRPr="00B84BE7">
        <w:rPr>
          <w:color w:val="000000" w:themeColor="text1"/>
        </w:rPr>
        <w:t xml:space="preserve">In the case of the three organisations covered here, the evaluations found that core funding did allow the NGOs concerned to plan programs over a longer </w:t>
      </w:r>
      <w:r w:rsidRPr="00F60123">
        <w:rPr>
          <w:color w:val="000000" w:themeColor="text1"/>
        </w:rPr>
        <w:t>timeframe</w:t>
      </w:r>
      <w:r w:rsidRPr="00B84BE7">
        <w:rPr>
          <w:color w:val="000000" w:themeColor="text1"/>
        </w:rPr>
        <w:t xml:space="preserve"> and to make investments in their own capacity and that of their local partners. In </w:t>
      </w:r>
      <w:r w:rsidR="00115622">
        <w:rPr>
          <w:color w:val="000000" w:themeColor="text1"/>
        </w:rPr>
        <w:t>the case of</w:t>
      </w:r>
      <w:r w:rsidRPr="00B84BE7">
        <w:rPr>
          <w:color w:val="000000" w:themeColor="text1"/>
        </w:rPr>
        <w:t xml:space="preserve"> the Australian Red Cross (ARC)</w:t>
      </w:r>
      <w:r w:rsidR="00115622">
        <w:rPr>
          <w:color w:val="000000" w:themeColor="text1"/>
        </w:rPr>
        <w:t>,</w:t>
      </w:r>
      <w:r w:rsidRPr="00B84BE7">
        <w:rPr>
          <w:color w:val="000000" w:themeColor="text1"/>
        </w:rPr>
        <w:t xml:space="preserve"> the evaluation found that there was scope </w:t>
      </w:r>
      <w:r w:rsidR="00115622" w:rsidRPr="00B84BE7">
        <w:rPr>
          <w:color w:val="000000" w:themeColor="text1"/>
        </w:rPr>
        <w:t xml:space="preserve">within the partnership agreement </w:t>
      </w:r>
      <w:r w:rsidRPr="00B84BE7">
        <w:rPr>
          <w:color w:val="000000" w:themeColor="text1"/>
        </w:rPr>
        <w:t>for flexibility in the way funds were used</w:t>
      </w:r>
      <w:r w:rsidR="003D2B6D">
        <w:rPr>
          <w:color w:val="000000" w:themeColor="text1"/>
        </w:rPr>
        <w:t>. T</w:t>
      </w:r>
      <w:r w:rsidRPr="00B84BE7">
        <w:rPr>
          <w:color w:val="000000" w:themeColor="text1"/>
        </w:rPr>
        <w:t>his arrangement allowed the ARC to provide long</w:t>
      </w:r>
      <w:r w:rsidR="00115622">
        <w:rPr>
          <w:color w:val="000000" w:themeColor="text1"/>
        </w:rPr>
        <w:t>er</w:t>
      </w:r>
      <w:r w:rsidR="003D2B6D">
        <w:rPr>
          <w:color w:val="000000" w:themeColor="text1"/>
        </w:rPr>
        <w:t>-</w:t>
      </w:r>
      <w:r w:rsidRPr="00B84BE7">
        <w:rPr>
          <w:color w:val="000000" w:themeColor="text1"/>
        </w:rPr>
        <w:t xml:space="preserve">term funding to build </w:t>
      </w:r>
      <w:r w:rsidRPr="00B84BE7">
        <w:rPr>
          <w:color w:val="000000" w:themeColor="text1"/>
        </w:rPr>
        <w:lastRenderedPageBreak/>
        <w:t>the capacity of its national societies. In the case of Registered Engineers for Disaster Relief (</w:t>
      </w:r>
      <w:proofErr w:type="spellStart"/>
      <w:r w:rsidRPr="00B84BE7">
        <w:rPr>
          <w:color w:val="000000" w:themeColor="text1"/>
        </w:rPr>
        <w:t>RedR</w:t>
      </w:r>
      <w:proofErr w:type="spellEnd"/>
      <w:r w:rsidRPr="00B84BE7">
        <w:rPr>
          <w:color w:val="000000" w:themeColor="text1"/>
        </w:rPr>
        <w:t xml:space="preserve">), the evaluation </w:t>
      </w:r>
      <w:r w:rsidR="00115622">
        <w:rPr>
          <w:color w:val="000000" w:themeColor="text1"/>
        </w:rPr>
        <w:t>suggested that</w:t>
      </w:r>
      <w:r w:rsidRPr="00B84BE7">
        <w:rPr>
          <w:color w:val="000000" w:themeColor="text1"/>
        </w:rPr>
        <w:t xml:space="preserve"> the partnership agreement may have </w:t>
      </w:r>
      <w:r w:rsidR="00115622">
        <w:rPr>
          <w:color w:val="000000" w:themeColor="text1"/>
        </w:rPr>
        <w:t>made</w:t>
      </w:r>
      <w:r w:rsidRPr="00B84BE7">
        <w:rPr>
          <w:color w:val="000000" w:themeColor="text1"/>
        </w:rPr>
        <w:t xml:space="preserve"> </w:t>
      </w:r>
      <w:proofErr w:type="spellStart"/>
      <w:r w:rsidRPr="00B84BE7">
        <w:rPr>
          <w:color w:val="000000" w:themeColor="text1"/>
        </w:rPr>
        <w:t>RedR</w:t>
      </w:r>
      <w:proofErr w:type="spellEnd"/>
      <w:r w:rsidRPr="00B84BE7">
        <w:rPr>
          <w:color w:val="000000" w:themeColor="text1"/>
        </w:rPr>
        <w:t xml:space="preserve"> too dependent on Australian aid funding. The implication of this finding is that</w:t>
      </w:r>
      <w:r w:rsidR="003D2B6D">
        <w:rPr>
          <w:color w:val="000000" w:themeColor="text1"/>
        </w:rPr>
        <w:t>,</w:t>
      </w:r>
      <w:r w:rsidRPr="00B84BE7">
        <w:rPr>
          <w:color w:val="000000" w:themeColor="text1"/>
        </w:rPr>
        <w:t xml:space="preserve"> when offering core funding</w:t>
      </w:r>
      <w:r w:rsidR="003D2B6D">
        <w:rPr>
          <w:color w:val="000000" w:themeColor="text1"/>
        </w:rPr>
        <w:t>,</w:t>
      </w:r>
      <w:r w:rsidRPr="00B84BE7">
        <w:rPr>
          <w:color w:val="000000" w:themeColor="text1"/>
        </w:rPr>
        <w:t xml:space="preserve"> DFAT and the recipient agency need to have a clear understanding about the organi</w:t>
      </w:r>
      <w:r w:rsidR="003D2B6D">
        <w:rPr>
          <w:color w:val="000000" w:themeColor="text1"/>
        </w:rPr>
        <w:t>s</w:t>
      </w:r>
      <w:r w:rsidRPr="00B84BE7">
        <w:rPr>
          <w:color w:val="000000" w:themeColor="text1"/>
        </w:rPr>
        <w:t xml:space="preserve">ational changes this funding is meant to </w:t>
      </w:r>
      <w:r w:rsidR="00115622">
        <w:rPr>
          <w:color w:val="000000" w:themeColor="text1"/>
        </w:rPr>
        <w:t>support</w:t>
      </w:r>
      <w:r w:rsidRPr="00B84BE7">
        <w:rPr>
          <w:color w:val="000000" w:themeColor="text1"/>
        </w:rPr>
        <w:t xml:space="preserve">. One appropriate use of this kind of funding appears to </w:t>
      </w:r>
      <w:r w:rsidR="003D2B6D">
        <w:rPr>
          <w:color w:val="000000" w:themeColor="text1"/>
        </w:rPr>
        <w:t xml:space="preserve">be in </w:t>
      </w:r>
      <w:r w:rsidRPr="00B84BE7">
        <w:rPr>
          <w:color w:val="000000" w:themeColor="text1"/>
        </w:rPr>
        <w:t>help</w:t>
      </w:r>
      <w:r w:rsidR="003D2B6D">
        <w:rPr>
          <w:color w:val="000000" w:themeColor="text1"/>
        </w:rPr>
        <w:t>ing</w:t>
      </w:r>
      <w:r w:rsidRPr="00B84BE7">
        <w:rPr>
          <w:color w:val="000000" w:themeColor="text1"/>
        </w:rPr>
        <w:t xml:space="preserve"> the recipient organisations </w:t>
      </w:r>
      <w:r w:rsidR="003D2B6D">
        <w:rPr>
          <w:color w:val="000000" w:themeColor="text1"/>
        </w:rPr>
        <w:t xml:space="preserve">to </w:t>
      </w:r>
      <w:r w:rsidRPr="00B84BE7">
        <w:rPr>
          <w:color w:val="000000" w:themeColor="text1"/>
        </w:rPr>
        <w:t xml:space="preserve">diversify their funding base, as was done in the case of the </w:t>
      </w:r>
      <w:r w:rsidRPr="00F60123">
        <w:rPr>
          <w:color w:val="000000" w:themeColor="text1"/>
        </w:rPr>
        <w:t>Australia NGO Cooperation Program (ANCP)</w:t>
      </w:r>
      <w:r w:rsidR="00115622">
        <w:rPr>
          <w:color w:val="000000" w:themeColor="text1"/>
        </w:rPr>
        <w:t xml:space="preserve"> (see</w:t>
      </w:r>
      <w:r w:rsidRPr="005D0B2C">
        <w:rPr>
          <w:color w:val="000000" w:themeColor="text1"/>
        </w:rPr>
        <w:t xml:space="preserve"> </w:t>
      </w:r>
      <w:r w:rsidR="00B84BE7" w:rsidRPr="00B84BE7">
        <w:rPr>
          <w:color w:val="000000" w:themeColor="text1"/>
        </w:rPr>
        <w:fldChar w:fldCharType="begin"/>
      </w:r>
      <w:r w:rsidR="00B84BE7" w:rsidRPr="00B84BE7">
        <w:rPr>
          <w:color w:val="000000" w:themeColor="text1"/>
        </w:rPr>
        <w:instrText xml:space="preserve"> REF _Ref384371569 \h </w:instrText>
      </w:r>
      <w:r w:rsidR="00B84BE7" w:rsidRPr="00B84BE7">
        <w:rPr>
          <w:color w:val="000000" w:themeColor="text1"/>
        </w:rPr>
      </w:r>
      <w:r w:rsidR="00B84BE7" w:rsidRPr="00B84BE7">
        <w:rPr>
          <w:color w:val="000000" w:themeColor="text1"/>
        </w:rPr>
        <w:fldChar w:fldCharType="separate"/>
      </w:r>
      <w:r w:rsidR="00C971DC" w:rsidRPr="003C23C9">
        <w:t xml:space="preserve">Box </w:t>
      </w:r>
      <w:r w:rsidR="00C971DC">
        <w:rPr>
          <w:noProof/>
        </w:rPr>
        <w:t>10</w:t>
      </w:r>
      <w:r w:rsidR="00B84BE7" w:rsidRPr="00B84BE7">
        <w:rPr>
          <w:color w:val="000000" w:themeColor="text1"/>
        </w:rPr>
        <w:fldChar w:fldCharType="end"/>
      </w:r>
      <w:r w:rsidR="00115622">
        <w:rPr>
          <w:color w:val="000000" w:themeColor="text1"/>
        </w:rPr>
        <w:t>)</w:t>
      </w:r>
      <w:r w:rsidRPr="005D0B2C">
        <w:rPr>
          <w:color w:val="000000" w:themeColor="text1"/>
        </w:rPr>
        <w:t xml:space="preserve">. </w:t>
      </w:r>
    </w:p>
    <w:p w14:paraId="33EA60EB" w14:textId="6D5B2D22" w:rsidR="00D81C8C" w:rsidRPr="003C23C9" w:rsidRDefault="00D81C8C" w:rsidP="00AB14E8">
      <w:pPr>
        <w:pStyle w:val="Boxheading0"/>
      </w:pPr>
      <w:bookmarkStart w:id="167" w:name="_Ref384371569"/>
      <w:r w:rsidRPr="003C23C9">
        <w:t xml:space="preserve">Box </w:t>
      </w:r>
      <w:fldSimple w:instr=" SEQ Box \* ARABIC ">
        <w:r w:rsidR="00C971DC">
          <w:rPr>
            <w:noProof/>
          </w:rPr>
          <w:t>10</w:t>
        </w:r>
      </w:fldSimple>
      <w:bookmarkEnd w:id="167"/>
      <w:r w:rsidRPr="003C23C9">
        <w:tab/>
        <w:t>The Australia NGO Cooperation Program</w:t>
      </w:r>
    </w:p>
    <w:p w14:paraId="4A6AD965" w14:textId="77777777" w:rsidR="00995FD1" w:rsidRPr="000F3D78" w:rsidRDefault="00995FD1" w:rsidP="00995FD1">
      <w:pPr>
        <w:pStyle w:val="BoxText"/>
        <w:rPr>
          <w:sz w:val="2"/>
          <w:szCs w:val="2"/>
        </w:rPr>
      </w:pPr>
    </w:p>
    <w:p w14:paraId="4194EE23" w14:textId="1F9C1EA1" w:rsidR="00D81C8C" w:rsidRPr="00396D95" w:rsidRDefault="00D81C8C" w:rsidP="00396D95">
      <w:pPr>
        <w:pStyle w:val="BoxText"/>
      </w:pPr>
      <w:r w:rsidRPr="00396D95">
        <w:t xml:space="preserve">The </w:t>
      </w:r>
      <w:r w:rsidR="003D2B6D" w:rsidRPr="00396D95">
        <w:t>Australia NGO Cooperation Program (</w:t>
      </w:r>
      <w:r w:rsidRPr="00396D95">
        <w:t>ANCP</w:t>
      </w:r>
      <w:r w:rsidR="003D2B6D" w:rsidRPr="00396D95">
        <w:t>)</w:t>
      </w:r>
      <w:r w:rsidRPr="00396D95">
        <w:t xml:space="preserve"> is an annual grant program </w:t>
      </w:r>
      <w:r w:rsidR="003D2B6D" w:rsidRPr="00396D95">
        <w:t xml:space="preserve">that </w:t>
      </w:r>
      <w:r w:rsidRPr="00396D95">
        <w:t xml:space="preserve">provides funding to accredited Australian NGOs to deliver their own community development projects. As part of the ANCP, the Australian Government has committed to four-year funding agreements with </w:t>
      </w:r>
      <w:r w:rsidR="003D2B6D" w:rsidRPr="00396D95">
        <w:t xml:space="preserve">10 </w:t>
      </w:r>
      <w:r w:rsidRPr="00396D95">
        <w:t>ANCP Partner NGOs (subject to annual budget processes).</w:t>
      </w:r>
    </w:p>
    <w:p w14:paraId="09809B98" w14:textId="2D684E53" w:rsidR="00D81C8C" w:rsidRPr="00396D95" w:rsidRDefault="00D81C8C" w:rsidP="00396D95">
      <w:pPr>
        <w:pStyle w:val="BoxText"/>
      </w:pPr>
      <w:r w:rsidRPr="00396D95">
        <w:t>The evaluation found that</w:t>
      </w:r>
      <w:r w:rsidR="003D2B6D" w:rsidRPr="00396D95">
        <w:t>,</w:t>
      </w:r>
      <w:r w:rsidRPr="00396D95">
        <w:t xml:space="preserve"> with the long-term flexible funding made available under the partnerships and the recognition of their particular areas of expertise in the partnership agreements, the NGOs have been able to move away from funding individual projects on an annual basis </w:t>
      </w:r>
      <w:r w:rsidR="003D2B6D" w:rsidRPr="00396D95">
        <w:t xml:space="preserve">and towards </w:t>
      </w:r>
      <w:r w:rsidRPr="00396D95">
        <w:t>a programmatic approach looking for synergies and increased impact over the longer term. They have also been able to make use of the predictable long-term partnership funding to leverage and improve other support to increase the impact they are able to have on poverty reduction</w:t>
      </w:r>
      <w:r w:rsidRPr="00396D95" w:rsidDel="00694FE0">
        <w:t xml:space="preserve"> </w:t>
      </w:r>
      <w:r w:rsidRPr="00396D95">
        <w:t>(</w:t>
      </w:r>
      <w:r w:rsidR="000F6CDF" w:rsidRPr="00396D95">
        <w:t>pp.</w:t>
      </w:r>
      <w:r w:rsidR="003D2B6D" w:rsidRPr="00396D95">
        <w:t xml:space="preserve"> </w:t>
      </w:r>
      <w:r w:rsidRPr="00396D95">
        <w:t>12</w:t>
      </w:r>
      <w:r w:rsidR="003D2B6D" w:rsidRPr="00396D95">
        <w:t>,</w:t>
      </w:r>
      <w:r w:rsidRPr="00396D95">
        <w:t xml:space="preserve"> 19).</w:t>
      </w:r>
    </w:p>
    <w:p w14:paraId="25DDD8C2" w14:textId="258AAFB0" w:rsidR="00D81C8C" w:rsidRPr="00B84BE7" w:rsidRDefault="00D81C8C" w:rsidP="00AB14E8">
      <w:pPr>
        <w:pStyle w:val="BoxNotes"/>
        <w:jc w:val="right"/>
        <w:rPr>
          <w:color w:val="000000" w:themeColor="text1"/>
        </w:rPr>
      </w:pPr>
      <w:r w:rsidRPr="00B84BE7">
        <w:rPr>
          <w:color w:val="000000" w:themeColor="text1"/>
        </w:rPr>
        <w:t xml:space="preserve">Source: </w:t>
      </w:r>
      <w:r w:rsidRPr="00F60123">
        <w:rPr>
          <w:color w:val="000000" w:themeColor="text1"/>
        </w:rPr>
        <w:t>Mid Term Review of ANCP Partnership Agreements</w:t>
      </w:r>
      <w:r w:rsidRPr="00B84BE7">
        <w:rPr>
          <w:color w:val="000000" w:themeColor="text1"/>
        </w:rPr>
        <w:t>, 2012</w:t>
      </w:r>
      <w:r w:rsidR="00F60123">
        <w:rPr>
          <w:color w:val="000000" w:themeColor="text1"/>
        </w:rPr>
        <w:t>.</w:t>
      </w:r>
    </w:p>
    <w:p w14:paraId="098D1A46" w14:textId="51984EE9" w:rsidR="00376B71" w:rsidRDefault="003D2B6D" w:rsidP="00C74C4B">
      <w:pPr>
        <w:rPr>
          <w:color w:val="000000" w:themeColor="text1"/>
        </w:rPr>
      </w:pPr>
      <w:r>
        <w:rPr>
          <w:color w:val="000000" w:themeColor="text1"/>
        </w:rPr>
        <w:t xml:space="preserve">The </w:t>
      </w:r>
      <w:r w:rsidR="00C74C4B" w:rsidRPr="005D0B2C">
        <w:rPr>
          <w:color w:val="000000" w:themeColor="text1"/>
        </w:rPr>
        <w:t>Local Governance Innovations for Communities</w:t>
      </w:r>
      <w:r w:rsidR="00115622">
        <w:rPr>
          <w:color w:val="000000" w:themeColor="text1"/>
        </w:rPr>
        <w:t xml:space="preserve"> initiative</w:t>
      </w:r>
      <w:r w:rsidR="00C74C4B" w:rsidRPr="005D0B2C">
        <w:rPr>
          <w:color w:val="000000" w:themeColor="text1"/>
        </w:rPr>
        <w:t xml:space="preserve"> in Aceh (LOGICA2)</w:t>
      </w:r>
      <w:r w:rsidRPr="00AD6A55">
        <w:rPr>
          <w:color w:val="000000" w:themeColor="text1"/>
        </w:rPr>
        <w:t xml:space="preserve"> </w:t>
      </w:r>
      <w:r w:rsidR="00C74C4B" w:rsidRPr="005D0B2C">
        <w:rPr>
          <w:color w:val="000000" w:themeColor="text1"/>
        </w:rPr>
        <w:t xml:space="preserve"> was implemented in the province of Aceh in Indonesia</w:t>
      </w:r>
      <w:r>
        <w:rPr>
          <w:rFonts w:ascii="Cambria" w:hAnsi="Cambria"/>
          <w:color w:val="000000" w:themeColor="text1"/>
        </w:rPr>
        <w:t>—</w:t>
      </w:r>
      <w:r w:rsidR="00C74C4B" w:rsidRPr="005D0B2C">
        <w:rPr>
          <w:color w:val="000000" w:themeColor="text1"/>
        </w:rPr>
        <w:t xml:space="preserve">an area that is now developing rapidly after many years of conflict and the devastating </w:t>
      </w:r>
      <w:r>
        <w:rPr>
          <w:color w:val="000000" w:themeColor="text1"/>
        </w:rPr>
        <w:t>t</w:t>
      </w:r>
      <w:r w:rsidR="00C74C4B" w:rsidRPr="005D0B2C">
        <w:rPr>
          <w:color w:val="000000" w:themeColor="text1"/>
        </w:rPr>
        <w:t>sunami of 2004. The evaluation found that</w:t>
      </w:r>
      <w:r>
        <w:rPr>
          <w:color w:val="000000" w:themeColor="text1"/>
        </w:rPr>
        <w:t>,</w:t>
      </w:r>
      <w:r w:rsidR="00C74C4B" w:rsidRPr="005D0B2C">
        <w:rPr>
          <w:color w:val="000000" w:themeColor="text1"/>
        </w:rPr>
        <w:t xml:space="preserve"> while NGOs that have worked with this initiative directly as contracted partners reported an increased ability in their technical skills and capacities as a result of the funding received and the work that they were required to do under the contract, these same NGOs had inadequate involvement in program design and monitoring. This was seen as a missed opportunity to strengthen their skills in strategy development.</w:t>
      </w:r>
      <w:r w:rsidR="00670092">
        <w:rPr>
          <w:color w:val="000000" w:themeColor="text1"/>
        </w:rPr>
        <w:t xml:space="preserve"> </w:t>
      </w:r>
      <w:r w:rsidR="00C74C4B" w:rsidRPr="005D0B2C">
        <w:rPr>
          <w:color w:val="000000" w:themeColor="text1"/>
        </w:rPr>
        <w:t>This evaluation argues that</w:t>
      </w:r>
      <w:r w:rsidR="00376B71">
        <w:rPr>
          <w:color w:val="000000" w:themeColor="text1"/>
        </w:rPr>
        <w:t>:</w:t>
      </w:r>
    </w:p>
    <w:p w14:paraId="4698154B" w14:textId="68A2E73F" w:rsidR="00376B71" w:rsidRDefault="00C74C4B" w:rsidP="00AB14E8">
      <w:pPr>
        <w:pStyle w:val="Quotetext"/>
      </w:pPr>
      <w:r w:rsidRPr="005D0B2C">
        <w:t>strengthening the capacity of civil society includes attention to their organisational systems and structure.</w:t>
      </w:r>
      <w:r w:rsidR="00670092">
        <w:t xml:space="preserve"> </w:t>
      </w:r>
      <w:r w:rsidRPr="005D0B2C">
        <w:t>However it also includes attention to the ability to monitor, analyse and participate in strategic development of programs and activities</w:t>
      </w:r>
      <w:r w:rsidR="00376B71">
        <w:t>.</w:t>
      </w:r>
      <w:r w:rsidR="00670092">
        <w:t xml:space="preserve"> </w:t>
      </w:r>
      <w:r w:rsidR="00376B71">
        <w:t>(p. 35)</w:t>
      </w:r>
    </w:p>
    <w:p w14:paraId="449F9184" w14:textId="54EDE82F" w:rsidR="00376B71" w:rsidRDefault="00376B71" w:rsidP="00C74C4B">
      <w:pPr>
        <w:rPr>
          <w:color w:val="000000" w:themeColor="text1"/>
        </w:rPr>
      </w:pPr>
      <w:r>
        <w:rPr>
          <w:color w:val="000000" w:themeColor="text1"/>
        </w:rPr>
        <w:t>I</w:t>
      </w:r>
      <w:r w:rsidR="00C74C4B" w:rsidRPr="005D0B2C">
        <w:rPr>
          <w:color w:val="000000" w:themeColor="text1"/>
        </w:rPr>
        <w:t>t found that</w:t>
      </w:r>
      <w:r w:rsidR="00670092">
        <w:rPr>
          <w:color w:val="000000" w:themeColor="text1"/>
        </w:rPr>
        <w:t xml:space="preserve"> </w:t>
      </w:r>
      <w:r w:rsidR="00C74C4B" w:rsidRPr="005D0B2C">
        <w:rPr>
          <w:color w:val="000000" w:themeColor="text1"/>
        </w:rPr>
        <w:t>treating local CSOs and NGOs primarily as contractors rather than partners in the program meant that no focus was given to strengthening their capacity as long</w:t>
      </w:r>
      <w:r>
        <w:rPr>
          <w:color w:val="000000" w:themeColor="text1"/>
        </w:rPr>
        <w:t>-</w:t>
      </w:r>
      <w:r w:rsidR="00C74C4B" w:rsidRPr="005D0B2C">
        <w:rPr>
          <w:color w:val="000000" w:themeColor="text1"/>
        </w:rPr>
        <w:t>term agents for change</w:t>
      </w:r>
      <w:r>
        <w:rPr>
          <w:color w:val="000000" w:themeColor="text1"/>
        </w:rPr>
        <w:t>:</w:t>
      </w:r>
    </w:p>
    <w:p w14:paraId="5A0E218D" w14:textId="0D1A3FF9" w:rsidR="00C74C4B" w:rsidRPr="005D0B2C" w:rsidRDefault="00C74C4B" w:rsidP="00AB14E8">
      <w:pPr>
        <w:pStyle w:val="Quotetext"/>
      </w:pPr>
      <w:r w:rsidRPr="005D0B2C">
        <w:t>Building civil society organisations’ capacity to maintain efforts towards improved service delivery requires a deliberate and sophisticated approach to partnership with those organisations which goes beyond contracting them for service delivery</w:t>
      </w:r>
      <w:r w:rsidR="00376B71" w:rsidRPr="000F7519">
        <w:t>.</w:t>
      </w:r>
      <w:r w:rsidRPr="000F7519">
        <w:t xml:space="preserve"> </w:t>
      </w:r>
      <w:r w:rsidRPr="005D0B2C">
        <w:t>(p</w:t>
      </w:r>
      <w:r w:rsidR="00376B71">
        <w:t xml:space="preserve">. </w:t>
      </w:r>
      <w:r w:rsidRPr="005D0B2C">
        <w:t>35)</w:t>
      </w:r>
    </w:p>
    <w:p w14:paraId="053B8B1B" w14:textId="7DE119B9" w:rsidR="00C74C4B" w:rsidRPr="009F3175" w:rsidRDefault="00F30FC2" w:rsidP="00396D95">
      <w:pPr>
        <w:pStyle w:val="Heading3a"/>
      </w:pPr>
      <w:bookmarkStart w:id="168" w:name="OLE_LINK3"/>
      <w:r>
        <w:t>Local CSOs can be important partners, and more attention should be given to partnering with and strengthening local CSOs</w:t>
      </w:r>
    </w:p>
    <w:bookmarkEnd w:id="168"/>
    <w:p w14:paraId="1694F93A" w14:textId="7BBF42DF" w:rsidR="00B6677D" w:rsidRPr="00B84BE7" w:rsidRDefault="00B84BE7" w:rsidP="00231FB4">
      <w:r>
        <w:t>Another lesson that emerges</w:t>
      </w:r>
      <w:r w:rsidR="006A7A74">
        <w:t xml:space="preserve"> from the evaluations</w:t>
      </w:r>
      <w:r>
        <w:t xml:space="preserve"> is that l</w:t>
      </w:r>
      <w:r w:rsidR="00B6677D" w:rsidRPr="00B84BE7">
        <w:t xml:space="preserve">ocal CSOs </w:t>
      </w:r>
      <w:r w:rsidR="00376B71" w:rsidRPr="00B84BE7">
        <w:t>(as well as larger international NGOs)</w:t>
      </w:r>
      <w:r w:rsidR="00376B71">
        <w:t xml:space="preserve"> </w:t>
      </w:r>
      <w:r w:rsidR="00B6677D" w:rsidRPr="00B84BE7">
        <w:t>can be important partners</w:t>
      </w:r>
      <w:r w:rsidR="00376B71">
        <w:t>,</w:t>
      </w:r>
      <w:r w:rsidR="00B6677D" w:rsidRPr="00B84BE7">
        <w:t xml:space="preserve"> </w:t>
      </w:r>
      <w:r w:rsidR="00376B71">
        <w:t xml:space="preserve">so </w:t>
      </w:r>
      <w:r w:rsidR="00B6677D" w:rsidRPr="00B84BE7">
        <w:t>more attention should be given to partnering with and strengthening local CSOs.</w:t>
      </w:r>
      <w:r w:rsidR="00670092">
        <w:t xml:space="preserve"> </w:t>
      </w:r>
    </w:p>
    <w:p w14:paraId="3024E209" w14:textId="775F8DC3" w:rsidR="00B6677D" w:rsidRPr="00231FB4" w:rsidRDefault="00B6677D" w:rsidP="00231FB4">
      <w:r w:rsidRPr="00B84BE7">
        <w:t xml:space="preserve">The evaluation of the Livelihoods and Food Security Trust Fund (LIFT) in Myanmar, which was established in 2009 as a </w:t>
      </w:r>
      <w:proofErr w:type="spellStart"/>
      <w:r w:rsidRPr="00B84BE7">
        <w:t>multidonor</w:t>
      </w:r>
      <w:proofErr w:type="spellEnd"/>
      <w:r w:rsidRPr="00B84BE7">
        <w:t xml:space="preserve"> trust fund to assist the livelihoods of two million beneficiaries, </w:t>
      </w:r>
      <w:r w:rsidRPr="00B84BE7">
        <w:lastRenderedPageBreak/>
        <w:t xml:space="preserve">found that too much of the </w:t>
      </w:r>
      <w:r w:rsidRPr="00231FB4">
        <w:t>support even in this relatively successful program had been channelled through well-established international NGOs. As a result, opportunities had been missed to support the development and strengthening of local NGOs, which is especially important in the context of the current liberalisation process in Myanmar.</w:t>
      </w:r>
    </w:p>
    <w:p w14:paraId="120048B1" w14:textId="5B1819A8" w:rsidR="00B6677D" w:rsidRDefault="00B6677D" w:rsidP="00231FB4">
      <w:r w:rsidRPr="00231FB4">
        <w:t>A further example of this same lesson emerges from an evaluation of a very different kind of initiative</w:t>
      </w:r>
      <w:r w:rsidR="00376B71">
        <w:t xml:space="preserve">: </w:t>
      </w:r>
      <w:r w:rsidRPr="00231FB4">
        <w:t xml:space="preserve">the Partnership for Knowledge-Based Poverty Reduction (PKPR), </w:t>
      </w:r>
      <w:r w:rsidR="00376B71">
        <w:t xml:space="preserve">which is </w:t>
      </w:r>
      <w:r w:rsidRPr="00231FB4">
        <w:t xml:space="preserve">a World Bank managed program </w:t>
      </w:r>
      <w:r w:rsidR="00376B71">
        <w:t xml:space="preserve">that </w:t>
      </w:r>
      <w:r w:rsidRPr="00231FB4">
        <w:t>aims to improve the evidence base for policy making in Indonesia. The evaluation found that</w:t>
      </w:r>
      <w:r w:rsidR="00376B71">
        <w:t>,</w:t>
      </w:r>
      <w:r w:rsidRPr="00231FB4">
        <w:t xml:space="preserve"> though a well-resourced research program had been established, the program had missed opportunities to include local institutes in knowledge</w:t>
      </w:r>
      <w:r w:rsidR="00376B71">
        <w:t>-</w:t>
      </w:r>
      <w:r w:rsidRPr="00231FB4">
        <w:t>sharing activities because it did not have well</w:t>
      </w:r>
      <w:r w:rsidR="00376B71">
        <w:t>-</w:t>
      </w:r>
      <w:r w:rsidRPr="00231FB4">
        <w:t xml:space="preserve">established links or relationships with them. </w:t>
      </w:r>
      <w:r w:rsidR="006A7A74">
        <w:t>L</w:t>
      </w:r>
      <w:r w:rsidRPr="00231FB4">
        <w:t>ocal research institutes felt that PKPR did not have a broader interest in supporting local policy research capacity.</w:t>
      </w:r>
      <w:r w:rsidR="00670092">
        <w:t xml:space="preserve"> </w:t>
      </w:r>
      <w:r w:rsidRPr="00231FB4">
        <w:t>The report goes on to recommend that</w:t>
      </w:r>
      <w:r w:rsidR="00376B71">
        <w:t>,</w:t>
      </w:r>
      <w:r w:rsidRPr="00231FB4">
        <w:t xml:space="preserve"> when it is</w:t>
      </w:r>
      <w:r w:rsidR="00670092">
        <w:t xml:space="preserve"> </w:t>
      </w:r>
      <w:r w:rsidRPr="00231FB4">
        <w:t>funding similar research agencies in the future</w:t>
      </w:r>
      <w:r w:rsidR="00376B71">
        <w:t>,</w:t>
      </w:r>
      <w:r w:rsidRPr="00231FB4">
        <w:t xml:space="preserve"> the Australian Government needs to ensure these linkages are established at the outset.</w:t>
      </w:r>
    </w:p>
    <w:p w14:paraId="2070BA30" w14:textId="23C63125" w:rsidR="00B84BE7" w:rsidRPr="00231FB4" w:rsidRDefault="00231FB4" w:rsidP="00231FB4">
      <w:r>
        <w:t>The sustainability of development outcomes can be supported by engaging</w:t>
      </w:r>
      <w:r w:rsidR="00B84BE7" w:rsidRPr="00231FB4">
        <w:t xml:space="preserve"> local action groups and undertaking a wide variety of tasks at the local level.</w:t>
      </w:r>
      <w:r w:rsidR="00670092">
        <w:t xml:space="preserve"> </w:t>
      </w:r>
      <w:r w:rsidR="00B84BE7" w:rsidRPr="00231FB4">
        <w:t>This is especially important in water supply and sanitation</w:t>
      </w:r>
      <w:r w:rsidR="00376B71">
        <w:t>,</w:t>
      </w:r>
      <w:r w:rsidR="00B84BE7" w:rsidRPr="00231FB4">
        <w:t xml:space="preserve"> where investments will only supply sustainable benefits if a wide range of CSOs and local authorities can be mobilised to help with maintenance.</w:t>
      </w:r>
      <w:r w:rsidR="00670092">
        <w:t xml:space="preserve"> </w:t>
      </w:r>
      <w:r w:rsidR="00B84BE7" w:rsidRPr="00231FB4">
        <w:t xml:space="preserve">The evaluation of </w:t>
      </w:r>
      <w:r w:rsidR="00823453">
        <w:t xml:space="preserve">the </w:t>
      </w:r>
      <w:r w:rsidR="00B84BE7" w:rsidRPr="00823453">
        <w:t>BESIK</w:t>
      </w:r>
      <w:r w:rsidR="00823453">
        <w:rPr>
          <w:rFonts w:ascii="Cambria" w:hAnsi="Cambria"/>
        </w:rPr>
        <w:t xml:space="preserve"> </w:t>
      </w:r>
      <w:r w:rsidR="00B84BE7" w:rsidRPr="00231FB4">
        <w:t>Rural Water Supply and Sanitation Program in Timor-Leste</w:t>
      </w:r>
      <w:r w:rsidR="00823453">
        <w:rPr>
          <w:rFonts w:ascii="Cambria" w:hAnsi="Cambria"/>
        </w:rPr>
        <w:t xml:space="preserve"> </w:t>
      </w:r>
      <w:r w:rsidR="00B84BE7" w:rsidRPr="00231FB4">
        <w:t>provides useful lessons about the key role of local CSOs in maintaining water and sanitation facilities.</w:t>
      </w:r>
      <w:r w:rsidR="00670092">
        <w:t xml:space="preserve"> </w:t>
      </w:r>
      <w:r w:rsidR="00B84BE7" w:rsidRPr="00231FB4">
        <w:t>The evaluation found that</w:t>
      </w:r>
      <w:r w:rsidR="00376B71">
        <w:t>,</w:t>
      </w:r>
      <w:r w:rsidR="00B84BE7" w:rsidRPr="00231FB4">
        <w:t xml:space="preserve"> even within the difficult context of Timor-Leste, with political insecurity and the continuing challenge to meet both the government’s and people’s expectations, BESIK had been broadly successful in combining immediate service delivery with a range of capacity</w:t>
      </w:r>
      <w:r w:rsidR="00376B71">
        <w:t>-</w:t>
      </w:r>
      <w:r w:rsidR="00B84BE7" w:rsidRPr="00231FB4">
        <w:t xml:space="preserve">building measures for </w:t>
      </w:r>
      <w:r w:rsidR="00376B71" w:rsidRPr="00231FB4">
        <w:t xml:space="preserve">both </w:t>
      </w:r>
      <w:r w:rsidR="00B84BE7" w:rsidRPr="00231FB4">
        <w:t>government departments and CSOs. However</w:t>
      </w:r>
      <w:r w:rsidR="00376B71">
        <w:t>,</w:t>
      </w:r>
      <w:r w:rsidR="00B84BE7" w:rsidRPr="00231FB4">
        <w:t xml:space="preserve"> the evaluation</w:t>
      </w:r>
      <w:r w:rsidR="00670092">
        <w:t xml:space="preserve"> </w:t>
      </w:r>
      <w:r w:rsidR="00B84BE7" w:rsidRPr="00231FB4">
        <w:t>shows that</w:t>
      </w:r>
      <w:r w:rsidR="00376B71">
        <w:t>,</w:t>
      </w:r>
      <w:r w:rsidR="00B84BE7" w:rsidRPr="00231FB4">
        <w:t xml:space="preserve"> while local user groups are vital </w:t>
      </w:r>
      <w:r w:rsidR="00376B71">
        <w:t xml:space="preserve">to </w:t>
      </w:r>
      <w:r w:rsidR="00B84BE7" w:rsidRPr="00231FB4">
        <w:t>ensuring that water and sanitation facilities are maintained, there are also limitations in what these sorts of community groups can achieve in the long term: the emphasis on community planning was found to be essential but was also found to have 'diminishing returns' after the initial stages.</w:t>
      </w:r>
      <w:r w:rsidR="00670092">
        <w:t xml:space="preserve"> </w:t>
      </w:r>
      <w:r w:rsidR="00B84BE7" w:rsidRPr="00231FB4">
        <w:t>The evaluation concludes that community engagements are critical in the initial/mobilisation phases of an intervention, but the initiative also needs to try to create an enabling environment for community-led initiatives to endure in the medium term (p</w:t>
      </w:r>
      <w:r w:rsidR="00376B71">
        <w:t xml:space="preserve">. </w:t>
      </w:r>
      <w:r w:rsidR="00B84BE7" w:rsidRPr="00231FB4">
        <w:t>29). This requires initiatives like BESIK to engage from the outset with a far wider range of actors</w:t>
      </w:r>
      <w:r w:rsidR="00376B71">
        <w:rPr>
          <w:rFonts w:ascii="Cambria" w:hAnsi="Cambria"/>
        </w:rPr>
        <w:t>—</w:t>
      </w:r>
      <w:r w:rsidR="00B84BE7" w:rsidRPr="00231FB4">
        <w:t>both government agencies and CSOs</w:t>
      </w:r>
      <w:r w:rsidR="00376B71">
        <w:rPr>
          <w:rFonts w:ascii="Cambria" w:hAnsi="Cambria"/>
        </w:rPr>
        <w:t>—</w:t>
      </w:r>
      <w:r w:rsidR="00B84BE7" w:rsidRPr="00231FB4">
        <w:t>than has traditionally been the case.</w:t>
      </w:r>
      <w:r w:rsidR="00670092">
        <w:t xml:space="preserve"> </w:t>
      </w:r>
      <w:r w:rsidR="00B84BE7" w:rsidRPr="00231FB4">
        <w:t>A similar lesson is also provided by the Civil Society Water, Sanitation and Hygiene Fund (</w:t>
      </w:r>
      <w:r w:rsidR="00B84BE7" w:rsidRPr="00231FB4">
        <w:fldChar w:fldCharType="begin"/>
      </w:r>
      <w:r w:rsidR="00B84BE7" w:rsidRPr="00231FB4">
        <w:instrText xml:space="preserve"> REF _Ref373305862 \h </w:instrText>
      </w:r>
      <w:r>
        <w:instrText xml:space="preserve"> \* MERGEFORMAT </w:instrText>
      </w:r>
      <w:r w:rsidR="00B84BE7" w:rsidRPr="00231FB4">
        <w:fldChar w:fldCharType="separate"/>
      </w:r>
      <w:r w:rsidR="00C971DC" w:rsidRPr="00231FB4">
        <w:t xml:space="preserve">Box </w:t>
      </w:r>
      <w:r w:rsidR="00C971DC">
        <w:rPr>
          <w:noProof/>
        </w:rPr>
        <w:t>11</w:t>
      </w:r>
      <w:r w:rsidR="00B84BE7" w:rsidRPr="00231FB4">
        <w:fldChar w:fldCharType="end"/>
      </w:r>
      <w:r w:rsidR="00B84BE7" w:rsidRPr="00231FB4">
        <w:t>).</w:t>
      </w:r>
    </w:p>
    <w:p w14:paraId="1FA39350" w14:textId="1B27F199" w:rsidR="00B84BE7" w:rsidRPr="00231FB4" w:rsidRDefault="00B84BE7" w:rsidP="00AB14E8">
      <w:pPr>
        <w:pStyle w:val="Boxheading0"/>
        <w:rPr>
          <w:sz w:val="19"/>
        </w:rPr>
      </w:pPr>
      <w:bookmarkStart w:id="169" w:name="_Ref373305862"/>
      <w:bookmarkStart w:id="170" w:name="_Ref373305853"/>
      <w:r w:rsidRPr="00231FB4">
        <w:t xml:space="preserve">Box </w:t>
      </w:r>
      <w:fldSimple w:instr=" SEQ Box \* ARABIC ">
        <w:r w:rsidR="00C971DC">
          <w:rPr>
            <w:noProof/>
          </w:rPr>
          <w:t>11</w:t>
        </w:r>
      </w:fldSimple>
      <w:bookmarkEnd w:id="169"/>
      <w:r w:rsidRPr="00231FB4">
        <w:tab/>
        <w:t xml:space="preserve">Civil Society Water, Sanitation </w:t>
      </w:r>
      <w:r w:rsidR="00376B71">
        <w:t>and</w:t>
      </w:r>
      <w:r w:rsidRPr="00231FB4">
        <w:t xml:space="preserve"> Hygiene Fund</w:t>
      </w:r>
      <w:bookmarkEnd w:id="170"/>
      <w:r w:rsidRPr="00231FB4">
        <w:rPr>
          <w:sz w:val="19"/>
        </w:rPr>
        <w:t xml:space="preserve"> </w:t>
      </w:r>
    </w:p>
    <w:p w14:paraId="0022CA31" w14:textId="77777777" w:rsidR="00995FD1" w:rsidRPr="000F3D78" w:rsidRDefault="00995FD1" w:rsidP="00995FD1">
      <w:pPr>
        <w:pStyle w:val="BoxText"/>
        <w:rPr>
          <w:sz w:val="2"/>
          <w:szCs w:val="2"/>
        </w:rPr>
      </w:pPr>
    </w:p>
    <w:p w14:paraId="61572FAA" w14:textId="768F1462" w:rsidR="00B84BE7" w:rsidRPr="00231FB4" w:rsidRDefault="00B84BE7" w:rsidP="00231FB4">
      <w:pPr>
        <w:pStyle w:val="BoxText"/>
      </w:pPr>
      <w:r w:rsidRPr="00231FB4">
        <w:t xml:space="preserve">When improving water and sanitation, implementing agencies often feel under pressure from users, local authorities and sometimes donors to complete installations in a tight </w:t>
      </w:r>
      <w:r w:rsidRPr="00823453">
        <w:t>timescale. However</w:t>
      </w:r>
      <w:r w:rsidR="00376B71" w:rsidRPr="00823453">
        <w:t>,</w:t>
      </w:r>
      <w:r w:rsidRPr="00823453">
        <w:t xml:space="preserve"> maintenance is</w:t>
      </w:r>
      <w:r w:rsidRPr="00231FB4">
        <w:t xml:space="preserve"> often left to be managed by communities, local authorities or line ministries. The evaluation of the global Civil Society Water, Sanitation </w:t>
      </w:r>
      <w:r w:rsidR="00376B71">
        <w:t>and</w:t>
      </w:r>
      <w:r w:rsidRPr="00231FB4">
        <w:t xml:space="preserve"> Hygiene Fund found that</w:t>
      </w:r>
      <w:r w:rsidR="00376B71">
        <w:t>,</w:t>
      </w:r>
      <w:r w:rsidRPr="00231FB4">
        <w:t xml:space="preserve"> though this </w:t>
      </w:r>
      <w:r w:rsidR="00376B71">
        <w:t>f</w:t>
      </w:r>
      <w:r w:rsidRPr="00231FB4">
        <w:t>und has helped an estimated 2.3 million people with improved services, the implementing CSOs gave insufficient attention to sustainability. The evaluation suggests that the CSOs receiving this kind of funding need to reconsider their strategy and role in the sector and move beyond simple service delivery type interventions to work with a far wider range of local partners to ensure greater sustainability (p</w:t>
      </w:r>
      <w:r w:rsidR="00376B71">
        <w:t xml:space="preserve">. </w:t>
      </w:r>
      <w:r w:rsidRPr="00231FB4">
        <w:t>iii).</w:t>
      </w:r>
    </w:p>
    <w:p w14:paraId="68CC7129" w14:textId="6F3A1CA7" w:rsidR="00B84BE7" w:rsidRPr="00231FB4" w:rsidRDefault="00B84BE7" w:rsidP="00231FB4">
      <w:pPr>
        <w:pStyle w:val="BoxText"/>
      </w:pPr>
      <w:r w:rsidRPr="00231FB4">
        <w:t xml:space="preserve">This evaluation found that the major </w:t>
      </w:r>
      <w:r w:rsidR="007C60FB">
        <w:t>CSO</w:t>
      </w:r>
      <w:r w:rsidR="007C60FB" w:rsidRPr="00231FB4">
        <w:t xml:space="preserve">s </w:t>
      </w:r>
      <w:r w:rsidRPr="00231FB4">
        <w:t xml:space="preserve">that implemented this </w:t>
      </w:r>
      <w:r w:rsidR="00376B71">
        <w:t>f</w:t>
      </w:r>
      <w:r w:rsidRPr="00231FB4">
        <w:t xml:space="preserve">und, while generally strong on service delivery, were far weaker in building up the capacity of </w:t>
      </w:r>
      <w:r w:rsidR="007C60FB">
        <w:t xml:space="preserve">smaller </w:t>
      </w:r>
      <w:r w:rsidRPr="00231FB4">
        <w:t xml:space="preserve">local </w:t>
      </w:r>
      <w:r w:rsidR="007C60FB">
        <w:t>CSO</w:t>
      </w:r>
      <w:r w:rsidR="007C60FB" w:rsidRPr="00231FB4">
        <w:t xml:space="preserve">s </w:t>
      </w:r>
      <w:r w:rsidRPr="00231FB4">
        <w:t>to hold government service providers to account for the maintenance and continuation of these services (p.</w:t>
      </w:r>
      <w:r w:rsidR="00376B71">
        <w:t xml:space="preserve"> </w:t>
      </w:r>
      <w:r w:rsidRPr="00231FB4">
        <w:t>20).</w:t>
      </w:r>
    </w:p>
    <w:p w14:paraId="061E1B06" w14:textId="6FCDE65C" w:rsidR="00B84BE7" w:rsidRPr="00231FB4" w:rsidRDefault="00B84BE7" w:rsidP="00AD6A55">
      <w:pPr>
        <w:pStyle w:val="BoxNotes"/>
        <w:jc w:val="right"/>
      </w:pPr>
      <w:r w:rsidRPr="00231FB4">
        <w:rPr>
          <w:lang w:eastAsia="en-US"/>
        </w:rPr>
        <w:t xml:space="preserve">Source: Civil Society Water, Sanitation </w:t>
      </w:r>
      <w:r w:rsidR="00376B71">
        <w:rPr>
          <w:lang w:eastAsia="en-US"/>
        </w:rPr>
        <w:t>and</w:t>
      </w:r>
      <w:r w:rsidRPr="00231FB4">
        <w:rPr>
          <w:lang w:eastAsia="en-US"/>
        </w:rPr>
        <w:t xml:space="preserve"> Hygiene Fund</w:t>
      </w:r>
      <w:r w:rsidR="00670092">
        <w:rPr>
          <w:lang w:eastAsia="en-US"/>
        </w:rPr>
        <w:t xml:space="preserve"> </w:t>
      </w:r>
      <w:r w:rsidRPr="00231FB4">
        <w:rPr>
          <w:lang w:eastAsia="en-US"/>
        </w:rPr>
        <w:t>Evaluation</w:t>
      </w:r>
      <w:r w:rsidR="00376B71">
        <w:rPr>
          <w:lang w:eastAsia="en-US"/>
        </w:rPr>
        <w:t>,</w:t>
      </w:r>
      <w:r w:rsidR="006A7A74">
        <w:rPr>
          <w:lang w:eastAsia="en-US"/>
        </w:rPr>
        <w:t xml:space="preserve"> 2012.</w:t>
      </w:r>
    </w:p>
    <w:p w14:paraId="23312CE2" w14:textId="241B562B" w:rsidR="00B84BE7" w:rsidRPr="00231FB4" w:rsidRDefault="00231FB4" w:rsidP="00231FB4">
      <w:r>
        <w:lastRenderedPageBreak/>
        <w:t xml:space="preserve">Even in very large infrastructure initiatives, local </w:t>
      </w:r>
      <w:r w:rsidR="00B84BE7" w:rsidRPr="00231FB4">
        <w:t>CSOs can play a valuable role in encouraging government agencies to improve their performance.</w:t>
      </w:r>
      <w:r w:rsidR="00670092">
        <w:t xml:space="preserve"> </w:t>
      </w:r>
      <w:r w:rsidR="00B84BE7" w:rsidRPr="00231FB4">
        <w:t xml:space="preserve">The Eastern Indonesia Roads Improvement Program is a large program of road construction funded by a loan </w:t>
      </w:r>
      <w:r w:rsidR="00B84BE7" w:rsidRPr="00823453">
        <w:t>of $300 million</w:t>
      </w:r>
      <w:r w:rsidR="00B84BE7" w:rsidRPr="00231FB4">
        <w:t xml:space="preserve"> from the Australian Government, but</w:t>
      </w:r>
      <w:r w:rsidR="00670092">
        <w:t xml:space="preserve"> </w:t>
      </w:r>
      <w:r w:rsidR="00B84BE7" w:rsidRPr="00231FB4">
        <w:t>the counterpart agency</w:t>
      </w:r>
      <w:r w:rsidR="00536B44">
        <w:rPr>
          <w:rFonts w:ascii="Cambria" w:hAnsi="Cambria"/>
        </w:rPr>
        <w:t>—</w:t>
      </w:r>
      <w:r w:rsidR="00B84BE7" w:rsidRPr="00231FB4">
        <w:t>the Directorate of Highways in Indonesia</w:t>
      </w:r>
      <w:r w:rsidR="00536B44">
        <w:rPr>
          <w:rFonts w:ascii="Cambria" w:hAnsi="Cambria"/>
        </w:rPr>
        <w:t>—</w:t>
      </w:r>
      <w:r w:rsidR="00B84BE7" w:rsidRPr="00231FB4">
        <w:t>has a generally poor record in undertaking routine maintenance.</w:t>
      </w:r>
      <w:r w:rsidR="00670092">
        <w:t xml:space="preserve"> </w:t>
      </w:r>
      <w:r w:rsidR="00B84BE7" w:rsidRPr="00231FB4">
        <w:t xml:space="preserve">The evaluation of this initiative argues that </w:t>
      </w:r>
      <w:r w:rsidR="00536B44">
        <w:t xml:space="preserve">just </w:t>
      </w:r>
      <w:r w:rsidR="00B84BE7" w:rsidRPr="00231FB4">
        <w:t>building roads is not enough and that</w:t>
      </w:r>
      <w:r w:rsidR="00536B44">
        <w:t>,</w:t>
      </w:r>
      <w:r w:rsidR="00B84BE7" w:rsidRPr="00231FB4">
        <w:t xml:space="preserve"> without major improvements in maintenance, the benefits of the Australian Government’s large investment will not be felt in the long term. This report suggests that engineering projects like road construction will only provide long</w:t>
      </w:r>
      <w:r w:rsidR="00536B44">
        <w:t>-</w:t>
      </w:r>
      <w:r w:rsidR="00B84BE7" w:rsidRPr="00231FB4">
        <w:t>term benefits if they are supported by interventions on the ‘demand’ side</w:t>
      </w:r>
      <w:r w:rsidR="00536B44">
        <w:rPr>
          <w:rFonts w:ascii="Cambria" w:hAnsi="Cambria"/>
        </w:rPr>
        <w:t>—</w:t>
      </w:r>
      <w:r w:rsidR="00B84BE7" w:rsidRPr="00231FB4">
        <w:t>for instance</w:t>
      </w:r>
      <w:r w:rsidR="00536B44">
        <w:t>,</w:t>
      </w:r>
      <w:r w:rsidR="00B84BE7" w:rsidRPr="00231FB4">
        <w:t xml:space="preserve"> supporting </w:t>
      </w:r>
      <w:r>
        <w:t xml:space="preserve">local </w:t>
      </w:r>
      <w:r w:rsidR="00B84BE7" w:rsidRPr="00231FB4">
        <w:t>CSOs working to hold government agencies to account (p</w:t>
      </w:r>
      <w:r w:rsidR="00536B44">
        <w:t xml:space="preserve">. </w:t>
      </w:r>
      <w:r w:rsidR="00B84BE7" w:rsidRPr="00231FB4">
        <w:t>29).</w:t>
      </w:r>
      <w:r w:rsidR="00670092">
        <w:t xml:space="preserve"> </w:t>
      </w:r>
      <w:r w:rsidR="00B84BE7" w:rsidRPr="00231FB4">
        <w:t>The evaluation argues that in democracies like Indonesia the best hope for improving the performance of the government agency responsible</w:t>
      </w:r>
      <w:r w:rsidR="00536B44">
        <w:rPr>
          <w:rFonts w:ascii="Cambria" w:hAnsi="Cambria"/>
        </w:rPr>
        <w:t>—</w:t>
      </w:r>
      <w:r w:rsidR="00B84BE7" w:rsidRPr="00231FB4">
        <w:t>the Directorate of Highways</w:t>
      </w:r>
      <w:r w:rsidR="00536B44">
        <w:rPr>
          <w:rFonts w:ascii="Cambria" w:hAnsi="Cambria"/>
        </w:rPr>
        <w:t>—</w:t>
      </w:r>
      <w:r w:rsidR="00B84BE7" w:rsidRPr="00231FB4">
        <w:t>is</w:t>
      </w:r>
      <w:r w:rsidR="00670092">
        <w:t xml:space="preserve"> </w:t>
      </w:r>
      <w:r w:rsidR="00B84BE7" w:rsidRPr="00231FB4">
        <w:t xml:space="preserve">through increased public pressure articulated through strong </w:t>
      </w:r>
      <w:r>
        <w:t xml:space="preserve">local </w:t>
      </w:r>
      <w:r w:rsidR="00B84BE7" w:rsidRPr="00231FB4">
        <w:t xml:space="preserve">CSOs. </w:t>
      </w:r>
    </w:p>
    <w:p w14:paraId="6D654137" w14:textId="381F897C" w:rsidR="00C74C4B" w:rsidRPr="00396D95" w:rsidRDefault="00396D95" w:rsidP="00730969">
      <w:pPr>
        <w:pStyle w:val="Heading2"/>
        <w:rPr>
          <w:rFonts w:eastAsiaTheme="majorEastAsia"/>
        </w:rPr>
      </w:pPr>
      <w:bookmarkStart w:id="171" w:name="_Toc378060000"/>
      <w:bookmarkStart w:id="172" w:name="_Toc378922883"/>
      <w:bookmarkStart w:id="173" w:name="_Toc387394603"/>
      <w:r>
        <w:rPr>
          <w:rFonts w:eastAsiaTheme="majorEastAsia"/>
        </w:rPr>
        <w:t>4.3</w:t>
      </w:r>
      <w:r>
        <w:rPr>
          <w:rFonts w:eastAsiaTheme="majorEastAsia"/>
        </w:rPr>
        <w:tab/>
      </w:r>
      <w:r w:rsidR="00C74C4B" w:rsidRPr="00396D95">
        <w:rPr>
          <w:rFonts w:eastAsiaTheme="majorEastAsia"/>
        </w:rPr>
        <w:t>Regional initiatives require flexible funding, a strategic agenda and effective engagement of partners</w:t>
      </w:r>
      <w:bookmarkEnd w:id="155"/>
      <w:bookmarkEnd w:id="171"/>
      <w:bookmarkEnd w:id="172"/>
      <w:bookmarkEnd w:id="173"/>
      <w:r w:rsidR="00C74C4B" w:rsidRPr="00396D95">
        <w:rPr>
          <w:rFonts w:eastAsiaTheme="majorEastAsia"/>
        </w:rPr>
        <w:t xml:space="preserve"> </w:t>
      </w:r>
      <w:bookmarkEnd w:id="156"/>
      <w:bookmarkEnd w:id="157"/>
    </w:p>
    <w:p w14:paraId="3A20F26A" w14:textId="0A81F9DE" w:rsidR="00C74C4B" w:rsidRDefault="00C74C4B" w:rsidP="00C74C4B">
      <w:r>
        <w:t xml:space="preserve">Supporting regional agencies can be a complex and highly political task. This is especially so </w:t>
      </w:r>
      <w:r w:rsidRPr="007C1C4F">
        <w:t>in the Pacific,</w:t>
      </w:r>
      <w:r>
        <w:rPr>
          <w:i/>
        </w:rPr>
        <w:t xml:space="preserve"> </w:t>
      </w:r>
      <w:r>
        <w:t>where the size of the region</w:t>
      </w:r>
      <w:r w:rsidR="00407D39">
        <w:t xml:space="preserve"> and</w:t>
      </w:r>
      <w:r>
        <w:t xml:space="preserve"> variation in development </w:t>
      </w:r>
      <w:r w:rsidR="009B7EC9">
        <w:t xml:space="preserve">contexts </w:t>
      </w:r>
      <w:r>
        <w:t>make the challenge even greater.</w:t>
      </w:r>
      <w:r w:rsidR="00670092">
        <w:t xml:space="preserve"> </w:t>
      </w:r>
      <w:r>
        <w:t xml:space="preserve">The Pacific </w:t>
      </w:r>
      <w:r w:rsidR="009D41B4">
        <w:t xml:space="preserve">island </w:t>
      </w:r>
      <w:r>
        <w:t xml:space="preserve">states </w:t>
      </w:r>
      <w:r w:rsidRPr="005D687C">
        <w:t>are spread across a region roughly four times the size of China (36 million square kilometres), 98.5</w:t>
      </w:r>
      <w:r>
        <w:t xml:space="preserve"> per cent</w:t>
      </w:r>
      <w:r w:rsidRPr="005D687C">
        <w:t xml:space="preserve"> of which is covered by ocean and only 1.5</w:t>
      </w:r>
      <w:r>
        <w:t xml:space="preserve"> per cent</w:t>
      </w:r>
      <w:r w:rsidRPr="005D687C">
        <w:t xml:space="preserve"> by land</w:t>
      </w:r>
      <w:r>
        <w:t>, and the region is characterised by s</w:t>
      </w:r>
      <w:r w:rsidRPr="005D687C">
        <w:t xml:space="preserve">mall populations, geographical isolation, difficulties in transportation and communication, narrow economic bases and high unit costs for goods and services. </w:t>
      </w:r>
      <w:r>
        <w:t>T</w:t>
      </w:r>
      <w:r w:rsidRPr="005D687C">
        <w:t xml:space="preserve">he </w:t>
      </w:r>
      <w:r w:rsidRPr="00823453">
        <w:t>global economic crisis</w:t>
      </w:r>
      <w:r w:rsidRPr="005D687C">
        <w:t xml:space="preserve"> has imposed additional burdens</w:t>
      </w:r>
      <w:r w:rsidR="006434EB">
        <w:t>. T</w:t>
      </w:r>
      <w:r w:rsidRPr="005D687C">
        <w:t>he region remains very vulnerable to natural disasters</w:t>
      </w:r>
      <w:r w:rsidR="006434EB">
        <w:rPr>
          <w:rFonts w:ascii="Cambria" w:hAnsi="Cambria"/>
        </w:rPr>
        <w:t>—</w:t>
      </w:r>
      <w:r w:rsidRPr="005D687C">
        <w:t>a challenge that is likely to be exacerbated by climate change</w:t>
      </w:r>
      <w:r>
        <w:t>.</w:t>
      </w:r>
      <w:r>
        <w:rPr>
          <w:rStyle w:val="FootnoteReference"/>
        </w:rPr>
        <w:footnoteReference w:id="15"/>
      </w:r>
    </w:p>
    <w:p w14:paraId="1D00AA78" w14:textId="2C1CD864" w:rsidR="00C74C4B" w:rsidRDefault="007E48E2" w:rsidP="00C74C4B">
      <w:r>
        <w:t xml:space="preserve">Our </w:t>
      </w:r>
      <w:r w:rsidR="00C74C4B">
        <w:t xml:space="preserve">lessons </w:t>
      </w:r>
      <w:r w:rsidR="009D41B4">
        <w:t xml:space="preserve">on </w:t>
      </w:r>
      <w:r w:rsidR="00C74C4B">
        <w:t xml:space="preserve">Australian support for the work of regional initiatives </w:t>
      </w:r>
      <w:r w:rsidR="009D41B4">
        <w:t xml:space="preserve">come from evidence </w:t>
      </w:r>
      <w:r w:rsidR="00C74C4B">
        <w:t>from five evaluations</w:t>
      </w:r>
      <w:r w:rsidR="006434EB">
        <w:rPr>
          <w:rFonts w:ascii="Cambria" w:hAnsi="Cambria"/>
        </w:rPr>
        <w:t>—</w:t>
      </w:r>
      <w:r w:rsidR="00C74C4B">
        <w:t xml:space="preserve">four covering Pacific </w:t>
      </w:r>
      <w:r w:rsidR="009D41B4">
        <w:t xml:space="preserve">island states </w:t>
      </w:r>
      <w:r w:rsidR="00C74C4B">
        <w:t>and one from support to the ASEAN Secretariat.</w:t>
      </w:r>
    </w:p>
    <w:p w14:paraId="5FD64882" w14:textId="71F18BDF" w:rsidR="009B7EC9" w:rsidRDefault="009B7EC9" w:rsidP="00396D95">
      <w:pPr>
        <w:pStyle w:val="Heading3a"/>
      </w:pPr>
      <w:bookmarkStart w:id="174" w:name="_Toc372723846"/>
      <w:bookmarkStart w:id="175" w:name="_Toc373304261"/>
      <w:r>
        <w:t>While regional initiatives require flexible funding, this should not be at the expense of strategic and coherent programming</w:t>
      </w:r>
    </w:p>
    <w:bookmarkEnd w:id="174"/>
    <w:bookmarkEnd w:id="175"/>
    <w:p w14:paraId="20AE9DBE" w14:textId="3CBF1F88" w:rsidR="00C74C4B" w:rsidRDefault="00C74C4B" w:rsidP="00C74C4B">
      <w:r w:rsidRPr="00823453">
        <w:t>The</w:t>
      </w:r>
      <w:r w:rsidRPr="00823453">
        <w:rPr>
          <w:i/>
        </w:rPr>
        <w:t xml:space="preserve"> </w:t>
      </w:r>
      <w:r w:rsidRPr="009101E7">
        <w:t>Pacific Leadership Program (PLP)</w:t>
      </w:r>
      <w:r>
        <w:t xml:space="preserve"> is a major initiative</w:t>
      </w:r>
      <w:r w:rsidR="00632898">
        <w:t xml:space="preserve"> </w:t>
      </w:r>
      <w:r w:rsidR="007E48E2">
        <w:t>to strengthen political governance in the Pacific, which came out of</w:t>
      </w:r>
      <w:r>
        <w:t xml:space="preserve"> the 2005 </w:t>
      </w:r>
      <w:r w:rsidR="00F25357">
        <w:t>w</w:t>
      </w:r>
      <w:r>
        <w:t xml:space="preserve">hite </w:t>
      </w:r>
      <w:r w:rsidR="00F25357">
        <w:t>p</w:t>
      </w:r>
      <w:r>
        <w:t>aper on the Australian aid program.</w:t>
      </w:r>
      <w:r>
        <w:rPr>
          <w:rStyle w:val="FootnoteReference"/>
        </w:rPr>
        <w:footnoteReference w:id="16"/>
      </w:r>
      <w:r>
        <w:t xml:space="preserve"> It works through regional governments and other key regional actors to improve governance by building capacity and promot</w:t>
      </w:r>
      <w:r w:rsidR="00F25357">
        <w:t>ing</w:t>
      </w:r>
      <w:r>
        <w:t xml:space="preserve"> learning on leadership. The evaluation </w:t>
      </w:r>
      <w:r w:rsidR="007E48E2">
        <w:t xml:space="preserve">of the initiative </w:t>
      </w:r>
      <w:r>
        <w:t>noted that t</w:t>
      </w:r>
      <w:r w:rsidRPr="005D687C">
        <w:t xml:space="preserve">here is a tension between flexible funding and overall </w:t>
      </w:r>
      <w:r>
        <w:t>program coherence and strategy</w:t>
      </w:r>
      <w:r w:rsidRPr="005D687C">
        <w:t>.</w:t>
      </w:r>
      <w:r w:rsidR="00670092">
        <w:t xml:space="preserve"> </w:t>
      </w:r>
      <w:r w:rsidRPr="005D687C">
        <w:t>These need to be reconciled for flexible funding to be more than simply ad hoc su</w:t>
      </w:r>
      <w:r>
        <w:t>pport to disparate initiatives:</w:t>
      </w:r>
    </w:p>
    <w:p w14:paraId="65E63E7D" w14:textId="0B297568" w:rsidR="00C74C4B" w:rsidRDefault="00C74C4B" w:rsidP="00AB14E8">
      <w:pPr>
        <w:pStyle w:val="Quotetext"/>
      </w:pPr>
      <w:r w:rsidRPr="007D53F7">
        <w:t>In supporting a large and diverse range of organisations the program can appear</w:t>
      </w:r>
      <w:r>
        <w:t>,</w:t>
      </w:r>
      <w:r w:rsidRPr="007D53F7">
        <w:t xml:space="preserve"> from the outside at least</w:t>
      </w:r>
      <w:r>
        <w:t>,</w:t>
      </w:r>
      <w:r w:rsidRPr="007D53F7">
        <w:t xml:space="preserve"> rather ad hoc.</w:t>
      </w:r>
      <w:r w:rsidR="00670092">
        <w:t xml:space="preserve"> </w:t>
      </w:r>
      <w:r w:rsidRPr="007D53F7">
        <w:t xml:space="preserve">A number of respondents posed the question </w:t>
      </w:r>
      <w:r w:rsidRPr="00823453">
        <w:t>‘</w:t>
      </w:r>
      <w:r w:rsidRPr="007D53F7">
        <w:t xml:space="preserve">what doesn’t PLP do?’ </w:t>
      </w:r>
      <w:r>
        <w:t xml:space="preserve">and they </w:t>
      </w:r>
      <w:r w:rsidRPr="007D53F7">
        <w:t xml:space="preserve">saw risks in </w:t>
      </w:r>
      <w:r>
        <w:t xml:space="preserve">it </w:t>
      </w:r>
      <w:r w:rsidRPr="007D53F7">
        <w:t>being perceived as ‘all things.’ The program’s flexibility is recognised and largely appreciated but it appears to lack coherence, given the range of its engagements and its opportunistic approach to exploiting new openings</w:t>
      </w:r>
      <w:r w:rsidR="009101E7">
        <w:t xml:space="preserve"> </w:t>
      </w:r>
      <w:r w:rsidRPr="007D53F7">
        <w:t>…</w:t>
      </w:r>
      <w:r w:rsidR="009101E7">
        <w:t xml:space="preserve"> </w:t>
      </w:r>
      <w:r w:rsidRPr="007D53F7">
        <w:t>Having a clearer rationale for different partnerships and their potential impact on poverty could help in developing a strategic perspective of the …</w:t>
      </w:r>
      <w:r w:rsidR="00F25357">
        <w:t xml:space="preserve"> </w:t>
      </w:r>
      <w:r w:rsidRPr="007D53F7">
        <w:t>overall portfolio</w:t>
      </w:r>
      <w:r w:rsidR="00F25357" w:rsidRPr="00F25357">
        <w:t>.</w:t>
      </w:r>
      <w:r w:rsidRPr="00396D95">
        <w:t xml:space="preserve"> </w:t>
      </w:r>
      <w:r w:rsidRPr="005D687C">
        <w:t>(p</w:t>
      </w:r>
      <w:r w:rsidR="00F25357">
        <w:t xml:space="preserve">. </w:t>
      </w:r>
      <w:r w:rsidRPr="005D687C">
        <w:t>11)</w:t>
      </w:r>
    </w:p>
    <w:p w14:paraId="4CF831A7" w14:textId="5329603D" w:rsidR="00C74C4B" w:rsidRDefault="00C74C4B" w:rsidP="00C74C4B">
      <w:r>
        <w:lastRenderedPageBreak/>
        <w:t xml:space="preserve">The ASEAN </w:t>
      </w:r>
      <w:r w:rsidRPr="0003254D">
        <w:t>Australia Development Cooperation</w:t>
      </w:r>
      <w:r>
        <w:t xml:space="preserve"> Program supports the ASEAN Secretariat in its work to build ASEAN integration through policy advice, technical assistance and other mechanisms. The </w:t>
      </w:r>
      <w:r w:rsidR="00F25357">
        <w:t>s</w:t>
      </w:r>
      <w:r>
        <w:t>ecretariat has faced disruption, work overload and high staff turnover since its creation. But</w:t>
      </w:r>
      <w:r>
        <w:rPr>
          <w:i/>
        </w:rPr>
        <w:t xml:space="preserve"> </w:t>
      </w:r>
      <w:r>
        <w:t>the evaluation noted that the work of the ASEAN Secretariat proved more effective when it adopted</w:t>
      </w:r>
      <w:r w:rsidRPr="00250C58">
        <w:t xml:space="preserve"> </w:t>
      </w:r>
      <w:r>
        <w:t>a more st</w:t>
      </w:r>
      <w:r w:rsidRPr="00250C58">
        <w:t xml:space="preserve">rategic direction </w:t>
      </w:r>
      <w:r w:rsidR="00F25357">
        <w:t xml:space="preserve">by </w:t>
      </w:r>
      <w:r w:rsidRPr="00250C58">
        <w:t xml:space="preserve">introducing work streams, </w:t>
      </w:r>
      <w:r>
        <w:t xml:space="preserve">a </w:t>
      </w:r>
      <w:r w:rsidRPr="00250C58">
        <w:t xml:space="preserve">strong </w:t>
      </w:r>
      <w:r>
        <w:t>management unit</w:t>
      </w:r>
      <w:r w:rsidRPr="00250C58">
        <w:t xml:space="preserve"> </w:t>
      </w:r>
      <w:r>
        <w:t xml:space="preserve">and a </w:t>
      </w:r>
      <w:r w:rsidRPr="00250C58">
        <w:t>relevant portfolio of projects (p.</w:t>
      </w:r>
      <w:r w:rsidR="00F25357">
        <w:t xml:space="preserve"> </w:t>
      </w:r>
      <w:r w:rsidRPr="00250C58">
        <w:t>14).</w:t>
      </w:r>
      <w:r w:rsidR="00670092">
        <w:t xml:space="preserve"> </w:t>
      </w:r>
      <w:r w:rsidR="00894E2B">
        <w:t>The evaluation highlighted lessons on t</w:t>
      </w:r>
      <w:r>
        <w:t>he need for greater use of Australia’s practical expertise in dealing with challenges of integration and in donor coordination.</w:t>
      </w:r>
    </w:p>
    <w:p w14:paraId="6895B140" w14:textId="3D5B5A5C" w:rsidR="00C74C4B" w:rsidRDefault="00C74C4B" w:rsidP="00C74C4B">
      <w:r>
        <w:t xml:space="preserve">The </w:t>
      </w:r>
      <w:r w:rsidRPr="00EC7AD5">
        <w:t xml:space="preserve">Secretariat of </w:t>
      </w:r>
      <w:r>
        <w:t xml:space="preserve">the </w:t>
      </w:r>
      <w:r w:rsidRPr="00EC7AD5">
        <w:t>Pacific</w:t>
      </w:r>
      <w:r>
        <w:t xml:space="preserve"> Community</w:t>
      </w:r>
      <w:r w:rsidRPr="00EC7AD5">
        <w:t xml:space="preserve"> </w:t>
      </w:r>
      <w:r>
        <w:t>(</w:t>
      </w:r>
      <w:r w:rsidRPr="00D86ED0">
        <w:t>SPC</w:t>
      </w:r>
      <w:r>
        <w:t xml:space="preserve">) also has a large remit covering all 22 Pacific island territories and is the premier provider of technical assistance to the region. Australian aid supplies </w:t>
      </w:r>
      <w:r w:rsidR="00F25357">
        <w:t>one-</w:t>
      </w:r>
      <w:r>
        <w:t>third of the annual budget of around US$100</w:t>
      </w:r>
      <w:r w:rsidR="00F25357">
        <w:t xml:space="preserve"> </w:t>
      </w:r>
      <w:r>
        <w:t>million to support its work. The evaluation found that</w:t>
      </w:r>
      <w:r w:rsidR="00F25357">
        <w:t>,</w:t>
      </w:r>
      <w:r w:rsidRPr="007A32CE">
        <w:t xml:space="preserve"> </w:t>
      </w:r>
      <w:r>
        <w:t xml:space="preserve">while the SPC had grown substantially in staff and resources, its level of strategic engagement with Pacific island governments had not kept pace. It observed that </w:t>
      </w:r>
      <w:r w:rsidRPr="00FF754F">
        <w:t>the present imbalance between core resources and project funding has limited SPC's flexibility to strategically allocate its core budget resources across divisions and programs</w:t>
      </w:r>
      <w:r>
        <w:t xml:space="preserve">. The SPC has become increasingly reliant on project funding to fund some of its core administrative functions. </w:t>
      </w:r>
      <w:r w:rsidRPr="007A32CE">
        <w:t>Management structures</w:t>
      </w:r>
      <w:r>
        <w:t xml:space="preserve"> needed to be</w:t>
      </w:r>
      <w:r w:rsidRPr="007A32CE">
        <w:t xml:space="preserve"> adjusted to deal with the larger size and scope of the </w:t>
      </w:r>
      <w:r w:rsidR="00F25357">
        <w:t>s</w:t>
      </w:r>
      <w:r>
        <w:t>ecretariat’s remit and financing needs to be more stable and predictable</w:t>
      </w:r>
      <w:r w:rsidRPr="007A32CE">
        <w:t>.</w:t>
      </w:r>
      <w:r>
        <w:t xml:space="preserve"> </w:t>
      </w:r>
    </w:p>
    <w:p w14:paraId="51BDDF6E" w14:textId="2BE4E01D" w:rsidR="00C74C4B" w:rsidRPr="00D86ED0" w:rsidRDefault="009B7EC9" w:rsidP="00396D95">
      <w:pPr>
        <w:pStyle w:val="Heading3a"/>
      </w:pPr>
      <w:bookmarkStart w:id="176" w:name="_Toc370827933"/>
      <w:bookmarkStart w:id="177" w:name="_Toc372723847"/>
      <w:r>
        <w:t xml:space="preserve">In engaging with its regional partners, the </w:t>
      </w:r>
      <w:bookmarkEnd w:id="176"/>
      <w:bookmarkEnd w:id="177"/>
      <w:r>
        <w:t>Australian Government should invest in building strong relationships over time and take account of the differing needs of different partners</w:t>
      </w:r>
    </w:p>
    <w:p w14:paraId="3225D848" w14:textId="7445C654" w:rsidR="009B7EC9" w:rsidRDefault="009B7EC9" w:rsidP="00C74C4B">
      <w:r>
        <w:t>Several evaluations highlighted that, to engage most effectively with its regional partners, the Australian Government should invest in building trust and strong relationships over time and take account of the differing needs and capacities of the various partners.</w:t>
      </w:r>
    </w:p>
    <w:p w14:paraId="1CFAED4B" w14:textId="77777777" w:rsidR="003B6E00" w:rsidRDefault="005D039D" w:rsidP="00C74C4B">
      <w:r>
        <w:t>M</w:t>
      </w:r>
      <w:r w:rsidR="0094548A">
        <w:t xml:space="preserve">uch can be </w:t>
      </w:r>
      <w:r w:rsidR="00C74C4B">
        <w:t>learn</w:t>
      </w:r>
      <w:r w:rsidR="0094548A">
        <w:t>ed</w:t>
      </w:r>
      <w:r w:rsidR="00C74C4B">
        <w:t xml:space="preserve"> about effective engagement from the success of </w:t>
      </w:r>
      <w:r w:rsidR="00C74C4B" w:rsidRPr="009101E7">
        <w:t xml:space="preserve">the </w:t>
      </w:r>
      <w:r w:rsidR="00C74C4B" w:rsidRPr="00642298">
        <w:t>Regional Rights Resource Team (RRRT) Program</w:t>
      </w:r>
      <w:r w:rsidR="00F25357" w:rsidRPr="00642298">
        <w:t>:</w:t>
      </w:r>
      <w:r w:rsidR="00C74C4B">
        <w:t xml:space="preserve"> according to the evaluation</w:t>
      </w:r>
      <w:r w:rsidR="00F25357">
        <w:t>,</w:t>
      </w:r>
      <w:r w:rsidR="00C74C4B">
        <w:t xml:space="preserve"> </w:t>
      </w:r>
      <w:r w:rsidR="00F25357">
        <w:t xml:space="preserve">the program has shown </w:t>
      </w:r>
      <w:r w:rsidR="009B7EC9">
        <w:t>satisfactory progress towards</w:t>
      </w:r>
      <w:r w:rsidR="00C74C4B" w:rsidRPr="00434851">
        <w:t xml:space="preserve"> </w:t>
      </w:r>
      <w:r w:rsidR="00C74C4B">
        <w:t xml:space="preserve">its </w:t>
      </w:r>
      <w:r w:rsidR="00C74C4B" w:rsidRPr="00434851">
        <w:t>objectives</w:t>
      </w:r>
      <w:r w:rsidR="00C74C4B">
        <w:t xml:space="preserve"> of improving human rights and governance in the region. Its</w:t>
      </w:r>
      <w:r w:rsidR="00C74C4B">
        <w:rPr>
          <w:i/>
        </w:rPr>
        <w:t xml:space="preserve"> </w:t>
      </w:r>
      <w:r w:rsidR="00C74C4B">
        <w:t>success</w:t>
      </w:r>
      <w:r w:rsidR="009B7EC9">
        <w:t>es</w:t>
      </w:r>
      <w:r w:rsidR="00C74C4B">
        <w:t xml:space="preserve"> ha</w:t>
      </w:r>
      <w:r w:rsidR="009B7EC9">
        <w:t>ve</w:t>
      </w:r>
      <w:r w:rsidR="00C74C4B">
        <w:t xml:space="preserve"> been achieved in the highly sensitive area of human rights</w:t>
      </w:r>
      <w:r w:rsidR="00F25357">
        <w:t>,</w:t>
      </w:r>
      <w:r w:rsidR="00C74C4B">
        <w:t xml:space="preserve"> partly because of its local origins and its influence on l</w:t>
      </w:r>
      <w:r w:rsidR="00C74C4B" w:rsidRPr="007E7334">
        <w:t>ocal leadership</w:t>
      </w:r>
      <w:r w:rsidR="00C74C4B">
        <w:t xml:space="preserve"> (</w:t>
      </w:r>
      <w:r w:rsidR="00C74C4B">
        <w:fldChar w:fldCharType="begin"/>
      </w:r>
      <w:r w:rsidR="00C74C4B">
        <w:instrText xml:space="preserve"> REF _Ref372734059 \h  \* MERGEFORMAT </w:instrText>
      </w:r>
      <w:r w:rsidR="00C74C4B">
        <w:fldChar w:fldCharType="separate"/>
      </w:r>
      <w:r w:rsidR="00C971DC">
        <w:t xml:space="preserve">Box </w:t>
      </w:r>
      <w:r w:rsidR="00C971DC">
        <w:rPr>
          <w:noProof/>
        </w:rPr>
        <w:t>12</w:t>
      </w:r>
      <w:r w:rsidR="00C74C4B">
        <w:fldChar w:fldCharType="end"/>
      </w:r>
      <w:r w:rsidR="00C74C4B">
        <w:t>).</w:t>
      </w:r>
    </w:p>
    <w:p w14:paraId="40EEB934" w14:textId="7763CCBB" w:rsidR="00F25357" w:rsidRDefault="005D039D" w:rsidP="005D039D">
      <w:r>
        <w:t>Some regional bodies supported by the Australian aid program were found to be too distant from their members and their work would have been more effective through more regular contact at the right level. For the Secretariat of the Pacific community, the evaluation recommended</w:t>
      </w:r>
      <w:r w:rsidR="00F25357">
        <w:t>:</w:t>
      </w:r>
    </w:p>
    <w:p w14:paraId="6DE6D46B" w14:textId="066C6121" w:rsidR="005D039D" w:rsidRDefault="00396D95" w:rsidP="00396D95">
      <w:pPr>
        <w:pStyle w:val="Quote"/>
      </w:pPr>
      <w:r>
        <w:t xml:space="preserve">… </w:t>
      </w:r>
      <w:r w:rsidR="005D039D" w:rsidRPr="00917F91">
        <w:t xml:space="preserve">more continuous interactions with the </w:t>
      </w:r>
      <w:r w:rsidR="005D039D">
        <w:t>[</w:t>
      </w:r>
      <w:r w:rsidR="005D039D" w:rsidRPr="00917F91">
        <w:t>members</w:t>
      </w:r>
      <w:r w:rsidR="005D039D">
        <w:t>]</w:t>
      </w:r>
      <w:r w:rsidR="005D039D" w:rsidRPr="00917F91">
        <w:t xml:space="preserve"> and a program of interaction that ensures </w:t>
      </w:r>
      <w:r w:rsidR="005D039D">
        <w:t xml:space="preserve">that the </w:t>
      </w:r>
      <w:r w:rsidR="005D039D" w:rsidRPr="00917F91">
        <w:t xml:space="preserve">SPC’s contributions to the Pacific and member </w:t>
      </w:r>
      <w:r w:rsidR="005D039D">
        <w:t xml:space="preserve">states </w:t>
      </w:r>
      <w:r w:rsidR="005D039D" w:rsidRPr="00917F91">
        <w:t>are fully understood by members. The D</w:t>
      </w:r>
      <w:r w:rsidR="005D039D">
        <w:t xml:space="preserve">irector </w:t>
      </w:r>
      <w:r w:rsidR="005D039D" w:rsidRPr="00917F91">
        <w:t>G</w:t>
      </w:r>
      <w:r w:rsidR="005D039D">
        <w:t>eneral</w:t>
      </w:r>
      <w:r w:rsidR="005D039D" w:rsidRPr="00917F91">
        <w:t xml:space="preserve"> should make annual visits to members</w:t>
      </w:r>
      <w:r w:rsidR="005D039D" w:rsidRPr="007E0B15">
        <w:t>. (</w:t>
      </w:r>
      <w:r w:rsidR="000F6CDF" w:rsidRPr="007E0B15">
        <w:t>p</w:t>
      </w:r>
      <w:r w:rsidR="000F6CDF">
        <w:t>p.</w:t>
      </w:r>
      <w:r w:rsidR="00F25357">
        <w:t xml:space="preserve"> </w:t>
      </w:r>
      <w:r w:rsidR="005D039D" w:rsidRPr="007E0B15">
        <w:t>21</w:t>
      </w:r>
      <w:r w:rsidR="00F25357">
        <w:t>,</w:t>
      </w:r>
      <w:r w:rsidR="005D039D" w:rsidRPr="007E0B15">
        <w:t xml:space="preserve"> 26)</w:t>
      </w:r>
    </w:p>
    <w:p w14:paraId="168A44D2" w14:textId="09DD53CD" w:rsidR="00F25357" w:rsidRDefault="005D039D" w:rsidP="005D039D">
      <w:r>
        <w:t xml:space="preserve">Similarly, the evaluation of the </w:t>
      </w:r>
      <w:r w:rsidRPr="0003254D">
        <w:t>Pacific Islands Forum Secretariat (PIF</w:t>
      </w:r>
      <w:r>
        <w:t>S</w:t>
      </w:r>
      <w:r w:rsidRPr="0003254D">
        <w:t>)</w:t>
      </w:r>
      <w:r>
        <w:t xml:space="preserve"> observed that members felt the </w:t>
      </w:r>
      <w:r w:rsidR="00F25357">
        <w:t>s</w:t>
      </w:r>
      <w:r>
        <w:t>ecretariat was too remote and that its meetings and communication strategy had had limited effect.</w:t>
      </w:r>
      <w:r w:rsidR="00670092">
        <w:t xml:space="preserve"> </w:t>
      </w:r>
      <w:r>
        <w:t xml:space="preserve">As the leading Pacific regional organisation with 16 member states, and </w:t>
      </w:r>
      <w:r w:rsidR="00F25357">
        <w:t xml:space="preserve">an organisation that </w:t>
      </w:r>
      <w:r>
        <w:t xml:space="preserve">provides a locus </w:t>
      </w:r>
      <w:r w:rsidR="00F25357">
        <w:t xml:space="preserve">for </w:t>
      </w:r>
      <w:r>
        <w:t xml:space="preserve">leaders </w:t>
      </w:r>
      <w:r w:rsidR="00F25357">
        <w:t xml:space="preserve">to </w:t>
      </w:r>
      <w:r>
        <w:t>meet and determine the collective regional political agenda, i</w:t>
      </w:r>
      <w:r w:rsidRPr="004237B5">
        <w:t>ts effectiveness</w:t>
      </w:r>
      <w:r>
        <w:rPr>
          <w:i/>
        </w:rPr>
        <w:t xml:space="preserve"> </w:t>
      </w:r>
      <w:r>
        <w:t>depends on maintaining a strong relationship of trust with member states.</w:t>
      </w:r>
      <w:r w:rsidR="00670092">
        <w:t xml:space="preserve"> </w:t>
      </w:r>
      <w:r>
        <w:t>The evaluation noted that</w:t>
      </w:r>
      <w:r w:rsidR="00F25357">
        <w:t>:</w:t>
      </w:r>
    </w:p>
    <w:p w14:paraId="6489C6A8" w14:textId="42E10881" w:rsidR="00F25357" w:rsidRDefault="005D039D" w:rsidP="00396D95">
      <w:pPr>
        <w:pStyle w:val="Quote"/>
      </w:pPr>
      <w:r w:rsidRPr="00D86ED0">
        <w:t>A regional organisation needs regular contact with members if it is to understand their issues and represent them well</w:t>
      </w:r>
      <w:r w:rsidRPr="007E0B15">
        <w:t>. (p</w:t>
      </w:r>
      <w:r w:rsidR="00F25357">
        <w:t xml:space="preserve">. </w:t>
      </w:r>
      <w:r w:rsidRPr="007E0B15">
        <w:t>27)</w:t>
      </w:r>
      <w:r>
        <w:t xml:space="preserve"> </w:t>
      </w:r>
    </w:p>
    <w:p w14:paraId="4B6FF10D" w14:textId="1496FE3D" w:rsidR="005D039D" w:rsidRDefault="005D039D" w:rsidP="005D039D">
      <w:r>
        <w:lastRenderedPageBreak/>
        <w:t>The evaluation recommended that the PIFS should broaden its face-to-face engagement and ensure that its messages and requirements are more broadly communicated within the governments of member states.</w:t>
      </w:r>
    </w:p>
    <w:p w14:paraId="7FD94D32" w14:textId="77777777" w:rsidR="001951A9" w:rsidRDefault="001951A9" w:rsidP="001951A9">
      <w:pPr>
        <w:pStyle w:val="Boxheading0"/>
      </w:pPr>
      <w:bookmarkStart w:id="178" w:name="_Ref372734059"/>
      <w:bookmarkStart w:id="179" w:name="_Toc372722965"/>
      <w:r>
        <w:t xml:space="preserve">Box </w:t>
      </w:r>
      <w:fldSimple w:instr=" SEQ Box \* ARABIC ">
        <w:r w:rsidR="00C971DC">
          <w:rPr>
            <w:noProof/>
          </w:rPr>
          <w:t>12</w:t>
        </w:r>
      </w:fldSimple>
      <w:bookmarkEnd w:id="178"/>
      <w:r>
        <w:tab/>
        <w:t xml:space="preserve">Leadership and engagement in the </w:t>
      </w:r>
      <w:r w:rsidRPr="00FE60F8">
        <w:t>Regional Rig</w:t>
      </w:r>
      <w:r>
        <w:t>hts Resource Team</w:t>
      </w:r>
      <w:bookmarkEnd w:id="179"/>
    </w:p>
    <w:p w14:paraId="4E7373D8" w14:textId="77777777" w:rsidR="001951A9" w:rsidRPr="000F3D78" w:rsidRDefault="001951A9" w:rsidP="001951A9">
      <w:pPr>
        <w:pStyle w:val="BoxText"/>
        <w:rPr>
          <w:sz w:val="2"/>
          <w:szCs w:val="2"/>
        </w:rPr>
      </w:pPr>
    </w:p>
    <w:p w14:paraId="3E3008E6" w14:textId="77777777" w:rsidR="001951A9" w:rsidRDefault="001951A9" w:rsidP="001951A9">
      <w:pPr>
        <w:pStyle w:val="BoxText"/>
      </w:pPr>
      <w:r w:rsidRPr="006D64F2">
        <w:t>The Pacific Regional Rights Resource Team (RRRT) has been supported by the Australian Government since 2006 to provide policy advice, technical support and training on human rights, governance, democracy and the rule of law. Its effectiveness has been enhanced by the Pacific origins of the RRRT and its staff</w:t>
      </w:r>
      <w:r>
        <w:t xml:space="preserve">: </w:t>
      </w:r>
    </w:p>
    <w:p w14:paraId="53D23AD1" w14:textId="77777777" w:rsidR="001951A9" w:rsidRDefault="001951A9" w:rsidP="001951A9">
      <w:pPr>
        <w:pStyle w:val="BoxQuote"/>
        <w:spacing w:after="120"/>
      </w:pPr>
      <w:r>
        <w:tab/>
      </w:r>
      <w:r w:rsidRPr="00396D95">
        <w:t xml:space="preserve">Pacific staff are seen as especially legitimate communicators of international human rights and are skilled in applying human rights concepts to local circumstances in ways that are culturally appropriate and understandable. </w:t>
      </w:r>
      <w:r w:rsidRPr="006D64F2">
        <w:t>(p</w:t>
      </w:r>
      <w:r>
        <w:t xml:space="preserve">. </w:t>
      </w:r>
      <w:r w:rsidRPr="006D64F2">
        <w:t xml:space="preserve">23) </w:t>
      </w:r>
    </w:p>
    <w:p w14:paraId="432746E8" w14:textId="77777777" w:rsidR="001951A9" w:rsidRDefault="001951A9" w:rsidP="001951A9">
      <w:pPr>
        <w:pStyle w:val="BoxText"/>
      </w:pPr>
      <w:r w:rsidRPr="006D64F2">
        <w:t>Moreover, engaging at different levels has proved effective for the RRRT. This covers</w:t>
      </w:r>
      <w:r>
        <w:t>:</w:t>
      </w:r>
    </w:p>
    <w:p w14:paraId="54D80A19" w14:textId="77777777" w:rsidR="001951A9" w:rsidRDefault="001951A9" w:rsidP="001951A9">
      <w:pPr>
        <w:pStyle w:val="BoxBullet"/>
      </w:pPr>
      <w:r w:rsidRPr="006D64F2">
        <w:t>macro-level capacity development for decision makers such as members of parliament, judges and senior public servants</w:t>
      </w:r>
    </w:p>
    <w:p w14:paraId="7F08366C" w14:textId="77777777" w:rsidR="001951A9" w:rsidRDefault="001951A9" w:rsidP="001951A9">
      <w:pPr>
        <w:pStyle w:val="BoxBullet"/>
      </w:pPr>
      <w:proofErr w:type="spellStart"/>
      <w:r w:rsidRPr="006D64F2">
        <w:t>meso</w:t>
      </w:r>
      <w:proofErr w:type="spellEnd"/>
      <w:r w:rsidRPr="006D64F2">
        <w:t>-level training for service providers such as magistrates, mid-level public officials, local authorities, the police, social welfare and women’s interest officers, teachers and health workers</w:t>
      </w:r>
    </w:p>
    <w:p w14:paraId="791CC92A" w14:textId="77777777" w:rsidR="001951A9" w:rsidRDefault="001951A9" w:rsidP="001951A9">
      <w:pPr>
        <w:pStyle w:val="BoxBullet"/>
      </w:pPr>
      <w:r w:rsidRPr="006D64F2">
        <w:t xml:space="preserve">micro-level training that targets community groups and NGOs. </w:t>
      </w:r>
    </w:p>
    <w:p w14:paraId="605E3ABB" w14:textId="77777777" w:rsidR="001951A9" w:rsidRDefault="001951A9" w:rsidP="001951A9">
      <w:pPr>
        <w:pStyle w:val="BoxText"/>
      </w:pPr>
      <w:r w:rsidRPr="006D64F2">
        <w:t>In particular</w:t>
      </w:r>
      <w:r>
        <w:t>:</w:t>
      </w:r>
      <w:r w:rsidRPr="006D64F2">
        <w:t xml:space="preserve"> </w:t>
      </w:r>
    </w:p>
    <w:p w14:paraId="19FFF61F" w14:textId="77777777" w:rsidR="001951A9" w:rsidRDefault="001951A9" w:rsidP="001951A9">
      <w:pPr>
        <w:pStyle w:val="BoxQuote"/>
        <w:spacing w:after="120"/>
      </w:pPr>
      <w:r>
        <w:tab/>
      </w:r>
      <w:r w:rsidRPr="00396D95">
        <w:t xml:space="preserve">targeting human rights training across three levels (macro, </w:t>
      </w:r>
      <w:proofErr w:type="spellStart"/>
      <w:r w:rsidRPr="00396D95">
        <w:t>meso</w:t>
      </w:r>
      <w:proofErr w:type="spellEnd"/>
      <w:r w:rsidRPr="00396D95">
        <w:t xml:space="preserve"> and micro) has engendered credibility. The breadth of participants who have been trained has broadened awareness and acceptance of rights standards. </w:t>
      </w:r>
      <w:r w:rsidRPr="006D64F2">
        <w:t>(p</w:t>
      </w:r>
      <w:r>
        <w:t xml:space="preserve">. </w:t>
      </w:r>
      <w:r w:rsidRPr="006D64F2">
        <w:t>24).</w:t>
      </w:r>
      <w:r>
        <w:t xml:space="preserve"> </w:t>
      </w:r>
    </w:p>
    <w:p w14:paraId="0B91C31B" w14:textId="77777777" w:rsidR="001951A9" w:rsidRDefault="001951A9" w:rsidP="001951A9">
      <w:pPr>
        <w:pStyle w:val="BoxNotes"/>
        <w:spacing w:before="120"/>
        <w:jc w:val="right"/>
      </w:pPr>
      <w:r>
        <w:t>Source: Regional Rights Resource Team Evaluation, 2012.</w:t>
      </w:r>
    </w:p>
    <w:p w14:paraId="70D57F31" w14:textId="7E4B61EB" w:rsidR="00115CC4" w:rsidRDefault="00EC0590" w:rsidP="00EC0590">
      <w:r>
        <w:t xml:space="preserve">The evaluation of the </w:t>
      </w:r>
      <w:r w:rsidR="009101E7">
        <w:t xml:space="preserve">PLP </w:t>
      </w:r>
      <w:r>
        <w:t>found that much of its</w:t>
      </w:r>
      <w:r w:rsidR="00115CC4">
        <w:t xml:space="preserve"> </w:t>
      </w:r>
      <w:r>
        <w:t xml:space="preserve">success was due to </w:t>
      </w:r>
      <w:r w:rsidR="00C74C4B">
        <w:t xml:space="preserve">its ability to </w:t>
      </w:r>
      <w:r>
        <w:t>build</w:t>
      </w:r>
      <w:r w:rsidR="00C74C4B">
        <w:t xml:space="preserve"> strong partnerships</w:t>
      </w:r>
      <w:r>
        <w:t xml:space="preserve"> </w:t>
      </w:r>
      <w:r w:rsidR="00060DFD">
        <w:t xml:space="preserve">over time </w:t>
      </w:r>
      <w:r>
        <w:t>based on trust</w:t>
      </w:r>
      <w:r w:rsidR="00C74C4B">
        <w:t>.</w:t>
      </w:r>
      <w:r w:rsidR="00670092">
        <w:t xml:space="preserve"> </w:t>
      </w:r>
      <w:r>
        <w:t>Part of this involved moving away from conventional donor approaches to mana</w:t>
      </w:r>
      <w:r w:rsidR="00115CC4">
        <w:t>ging and monitoring initiatives (</w:t>
      </w:r>
      <w:r w:rsidR="00115CC4">
        <w:fldChar w:fldCharType="begin"/>
      </w:r>
      <w:r w:rsidR="00115CC4">
        <w:instrText xml:space="preserve"> REF _Ref372734081 \h  \* MERGEFORMAT </w:instrText>
      </w:r>
      <w:r w:rsidR="00115CC4">
        <w:fldChar w:fldCharType="separate"/>
      </w:r>
      <w:r w:rsidR="00C971DC">
        <w:t xml:space="preserve">Box </w:t>
      </w:r>
      <w:r w:rsidR="00C971DC">
        <w:rPr>
          <w:noProof/>
        </w:rPr>
        <w:t>13</w:t>
      </w:r>
      <w:r w:rsidR="00115CC4">
        <w:fldChar w:fldCharType="end"/>
      </w:r>
      <w:r w:rsidR="00115CC4">
        <w:t>).</w:t>
      </w:r>
      <w:r w:rsidR="00670092">
        <w:t xml:space="preserve"> </w:t>
      </w:r>
    </w:p>
    <w:p w14:paraId="4C452BDC" w14:textId="1A9CA4A1" w:rsidR="00C74C4B" w:rsidRDefault="00C74C4B" w:rsidP="00670D47">
      <w:pPr>
        <w:pStyle w:val="Boxheading0"/>
      </w:pPr>
      <w:bookmarkStart w:id="180" w:name="_Ref372734081"/>
      <w:bookmarkStart w:id="181" w:name="_Toc372722966"/>
      <w:r>
        <w:t xml:space="preserve">Box </w:t>
      </w:r>
      <w:fldSimple w:instr=" SEQ Box \* ARABIC ">
        <w:r w:rsidR="00C971DC">
          <w:rPr>
            <w:noProof/>
          </w:rPr>
          <w:t>13</w:t>
        </w:r>
      </w:fldSimple>
      <w:bookmarkEnd w:id="180"/>
      <w:r>
        <w:tab/>
      </w:r>
      <w:r w:rsidRPr="00E95749">
        <w:t>Pacific Leadership Program</w:t>
      </w:r>
      <w:bookmarkEnd w:id="181"/>
    </w:p>
    <w:p w14:paraId="6B5FEF5F" w14:textId="77777777" w:rsidR="00995FD1" w:rsidRPr="000F3D78" w:rsidRDefault="00995FD1" w:rsidP="00995FD1">
      <w:pPr>
        <w:pStyle w:val="BoxText"/>
        <w:rPr>
          <w:sz w:val="2"/>
          <w:szCs w:val="2"/>
        </w:rPr>
      </w:pPr>
    </w:p>
    <w:p w14:paraId="242C0C18" w14:textId="51C3CF10" w:rsidR="00115CC4" w:rsidRDefault="00C74C4B" w:rsidP="00115CC4">
      <w:pPr>
        <w:pStyle w:val="BoxText"/>
      </w:pPr>
      <w:r w:rsidRPr="007D53F7">
        <w:t xml:space="preserve">The </w:t>
      </w:r>
      <w:r w:rsidRPr="009101E7">
        <w:t xml:space="preserve">Pacific Leadership Program </w:t>
      </w:r>
      <w:r w:rsidR="00060DFD" w:rsidRPr="009101E7">
        <w:t xml:space="preserve">(PLP) </w:t>
      </w:r>
      <w:r w:rsidRPr="009101E7">
        <w:t>is u</w:t>
      </w:r>
      <w:r w:rsidRPr="00642298">
        <w:t>nusual in a number of respects: organisationally, it is delivered jointly by staff from the Australian Government and Cardno, the managing contractor, through a co-located team in Suva</w:t>
      </w:r>
      <w:r w:rsidRPr="007D53F7">
        <w:t xml:space="preserve"> and advised by a panel of eminent Pacific leaders; </w:t>
      </w:r>
      <w:r>
        <w:t xml:space="preserve">and </w:t>
      </w:r>
      <w:r w:rsidRPr="007D53F7">
        <w:t xml:space="preserve">the funding modality allows the </w:t>
      </w:r>
      <w:r w:rsidR="00060DFD">
        <w:t>p</w:t>
      </w:r>
      <w:r w:rsidRPr="007D53F7">
        <w:t xml:space="preserve">rogram significant flexibility to respond to requests and pursue opportunities. However, unlike other small grants programs, the </w:t>
      </w:r>
      <w:r w:rsidR="00060DFD">
        <w:t xml:space="preserve">PLP </w:t>
      </w:r>
      <w:r w:rsidRPr="007D53F7">
        <w:t>has a high degree of engagement with key actors in the region and is involved in close partnerships with selected organisations.</w:t>
      </w:r>
      <w:r w:rsidR="00670092">
        <w:t xml:space="preserve"> </w:t>
      </w:r>
      <w:r w:rsidRPr="007D53F7">
        <w:t xml:space="preserve">As a regional initiative, the </w:t>
      </w:r>
      <w:r w:rsidR="00060DFD">
        <w:t xml:space="preserve">PLP </w:t>
      </w:r>
      <w:r w:rsidRPr="007D53F7">
        <w:t>is not unique in facing challenges achieving linkages and complementarities with bilateral programs</w:t>
      </w:r>
      <w:r w:rsidR="00060DFD">
        <w:t xml:space="preserve">; </w:t>
      </w:r>
      <w:r>
        <w:t>nevertheless</w:t>
      </w:r>
      <w:r w:rsidR="00060DFD">
        <w:t>,</w:t>
      </w:r>
      <w:r>
        <w:t xml:space="preserve"> it was able to overcome these and build trust and ownership:</w:t>
      </w:r>
      <w:r w:rsidRPr="007D53F7">
        <w:t xml:space="preserve"> </w:t>
      </w:r>
    </w:p>
    <w:p w14:paraId="4FD17B49" w14:textId="7F05CD42" w:rsidR="00C74C4B" w:rsidRDefault="00670D47" w:rsidP="00396D95">
      <w:pPr>
        <w:pStyle w:val="BoxQuote"/>
      </w:pPr>
      <w:r>
        <w:tab/>
      </w:r>
      <w:r w:rsidR="00C74C4B" w:rsidRPr="00396D95">
        <w:t>In virtually every case, partners identified the high degree of ownership fostered and high levels of trust and mutual respect un</w:t>
      </w:r>
      <w:r w:rsidR="00C74C4B" w:rsidRPr="00060DFD">
        <w:t>derpinning the relationship [with PLP].</w:t>
      </w:r>
      <w:r w:rsidR="00670092" w:rsidRPr="00060DFD">
        <w:t xml:space="preserve"> </w:t>
      </w:r>
      <w:r w:rsidR="00C74C4B" w:rsidRPr="00060DFD">
        <w:t>The positive experience</w:t>
      </w:r>
      <w:r w:rsidR="00060DFD" w:rsidRPr="00060DFD">
        <w:t xml:space="preserve"> </w:t>
      </w:r>
      <w:r w:rsidR="00C74C4B" w:rsidRPr="00060DFD">
        <w:t>…</w:t>
      </w:r>
      <w:r w:rsidR="00060DFD" w:rsidRPr="00060DFD">
        <w:t xml:space="preserve"> </w:t>
      </w:r>
      <w:r w:rsidR="00C74C4B" w:rsidRPr="00060DFD">
        <w:t>was consistently contrasted with the more contractual relationships and lower organisational impact of other donor programs.</w:t>
      </w:r>
      <w:r w:rsidR="00670092" w:rsidRPr="00060DFD">
        <w:t xml:space="preserve"> </w:t>
      </w:r>
      <w:r w:rsidR="00C74C4B" w:rsidRPr="00060DFD">
        <w:t>Even where other donors had provided core funding, respondents highlighted time consuming and bespoke reporting and accounting requirements which did little to leave the organisation stronger</w:t>
      </w:r>
      <w:r w:rsidR="00060DFD" w:rsidRPr="00060DFD">
        <w:t>.</w:t>
      </w:r>
      <w:r w:rsidR="00C74C4B" w:rsidRPr="00396D95">
        <w:t xml:space="preserve"> </w:t>
      </w:r>
      <w:r w:rsidR="00C74C4B" w:rsidRPr="007D53F7">
        <w:t>(p</w:t>
      </w:r>
      <w:r w:rsidR="00060DFD">
        <w:t xml:space="preserve">. </w:t>
      </w:r>
      <w:r w:rsidR="00C74C4B" w:rsidRPr="007D53F7">
        <w:t>12)</w:t>
      </w:r>
    </w:p>
    <w:p w14:paraId="327391A3" w14:textId="73A6DF71" w:rsidR="00C74C4B" w:rsidRDefault="00C74C4B" w:rsidP="00AD6A55">
      <w:pPr>
        <w:pStyle w:val="BoxNotes"/>
        <w:spacing w:before="120"/>
        <w:jc w:val="right"/>
      </w:pPr>
      <w:r>
        <w:t xml:space="preserve">Source: </w:t>
      </w:r>
      <w:r w:rsidR="00060DFD" w:rsidRPr="009101E7">
        <w:t xml:space="preserve">Pacific Leadership Program </w:t>
      </w:r>
      <w:r w:rsidRPr="009101E7">
        <w:t>Evaluation</w:t>
      </w:r>
      <w:r>
        <w:t>, 2012</w:t>
      </w:r>
      <w:r w:rsidR="004B6E7A">
        <w:t>.</w:t>
      </w:r>
    </w:p>
    <w:p w14:paraId="0ED84CE8" w14:textId="65BA0C6D" w:rsidR="00060DFD" w:rsidRDefault="00C74C4B" w:rsidP="00C74C4B">
      <w:pPr>
        <w:rPr>
          <w:i/>
        </w:rPr>
      </w:pPr>
      <w:r>
        <w:t xml:space="preserve">This concern over donor requirements and a need to change the approach was echoed in the </w:t>
      </w:r>
      <w:r w:rsidRPr="00AE7CD4">
        <w:t>ASEAN Australia Development Cooperation</w:t>
      </w:r>
      <w:r w:rsidR="00431095">
        <w:t xml:space="preserve"> program</w:t>
      </w:r>
      <w:r>
        <w:rPr>
          <w:i/>
        </w:rPr>
        <w:t xml:space="preserve"> </w:t>
      </w:r>
      <w:r w:rsidRPr="00822DAB">
        <w:t>evaluation</w:t>
      </w:r>
      <w:r>
        <w:t xml:space="preserve">. The evaluation found that the Australia aid program’s support for the ASEAN Secretariat (ASEC) built trust by recruiting a strong management unit </w:t>
      </w:r>
      <w:r>
        <w:lastRenderedPageBreak/>
        <w:t xml:space="preserve">and embedding program staff who have developed productive relationships within ASEC and earned the trust and respect of ASEC management and officers. Trust was also improved by sharing authority and decision-making, working through partner systems and strengthening </w:t>
      </w:r>
      <w:r w:rsidR="00060DFD">
        <w:t xml:space="preserve">those systems </w:t>
      </w:r>
      <w:r>
        <w:t xml:space="preserve">where needed, </w:t>
      </w:r>
      <w:r w:rsidR="00060DFD">
        <w:t xml:space="preserve">thus </w:t>
      </w:r>
      <w:r>
        <w:t>promoting transparency and joint learning</w:t>
      </w:r>
      <w:r w:rsidR="00060DFD">
        <w:t xml:space="preserve">. </w:t>
      </w:r>
      <w:r>
        <w:t xml:space="preserve">The result was that </w:t>
      </w:r>
      <w:r w:rsidR="00060DFD" w:rsidRPr="00431095">
        <w:rPr>
          <w:i/>
        </w:rPr>
        <w:t>‘</w:t>
      </w:r>
      <w:r w:rsidRPr="00917F91">
        <w:rPr>
          <w:i/>
        </w:rPr>
        <w:t>the most important achievement of the program is that it has developed a working partnership with high levels of acceptance and trust</w:t>
      </w:r>
      <w:r w:rsidR="00060DFD">
        <w:rPr>
          <w:i/>
        </w:rPr>
        <w:t xml:space="preserve">’ </w:t>
      </w:r>
      <w:r w:rsidR="00060DFD" w:rsidRPr="00431095">
        <w:t xml:space="preserve">(p. </w:t>
      </w:r>
      <w:r w:rsidR="004B6E7A">
        <w:t>16</w:t>
      </w:r>
      <w:r w:rsidR="00060DFD" w:rsidRPr="00431095">
        <w:t>).</w:t>
      </w:r>
      <w:r w:rsidR="00670092" w:rsidRPr="00431095">
        <w:t xml:space="preserve"> </w:t>
      </w:r>
    </w:p>
    <w:p w14:paraId="1BD9C6B0" w14:textId="15AF4672" w:rsidR="00C74C4B" w:rsidRDefault="00C74C4B" w:rsidP="00C74C4B">
      <w:r>
        <w:t xml:space="preserve">However, these steps take additional time and resources: </w:t>
      </w:r>
      <w:r w:rsidR="00060DFD">
        <w:rPr>
          <w:i/>
        </w:rPr>
        <w:t>‘</w:t>
      </w:r>
      <w:r w:rsidRPr="00917F91">
        <w:rPr>
          <w:i/>
        </w:rPr>
        <w:t>there is a cost in terms of time and money: resources</w:t>
      </w:r>
      <w:r w:rsidR="00060DFD">
        <w:rPr>
          <w:i/>
        </w:rPr>
        <w:t xml:space="preserve"> </w:t>
      </w:r>
      <w:r w:rsidRPr="00917F91">
        <w:rPr>
          <w:i/>
        </w:rPr>
        <w:t>… will naturally be diverted into strengthening the partner’s necessary policy, practice and/or capacity</w:t>
      </w:r>
      <w:r w:rsidR="00060DFD">
        <w:rPr>
          <w:i/>
        </w:rPr>
        <w:t>.’</w:t>
      </w:r>
      <w:r w:rsidRPr="00822DAB">
        <w:t xml:space="preserve"> (p</w:t>
      </w:r>
      <w:r w:rsidR="00060DFD">
        <w:t xml:space="preserve">. </w:t>
      </w:r>
      <w:r w:rsidRPr="00822DAB">
        <w:t>17)</w:t>
      </w:r>
      <w:r w:rsidR="00670092">
        <w:t xml:space="preserve"> </w:t>
      </w:r>
    </w:p>
    <w:p w14:paraId="0E9152A5" w14:textId="79BD810B" w:rsidR="00060DFD" w:rsidRDefault="00C74C4B" w:rsidP="00C74C4B">
      <w:r>
        <w:t>The lesson here for DFAT is that</w:t>
      </w:r>
      <w:r w:rsidR="00060DFD">
        <w:t>,</w:t>
      </w:r>
      <w:r>
        <w:t xml:space="preserve"> in order to build partnerships at the regional level</w:t>
      </w:r>
      <w:r w:rsidR="00060DFD">
        <w:t>,</w:t>
      </w:r>
      <w:r>
        <w:t xml:space="preserve"> it is necessary to adopt a patient and flexible approach and allow implementation to take place at a pace suited</w:t>
      </w:r>
      <w:r w:rsidR="00670092">
        <w:t xml:space="preserve"> </w:t>
      </w:r>
      <w:r>
        <w:t>to the partner’s capacity. The evaluation expresses it in the following way:</w:t>
      </w:r>
      <w:r w:rsidR="00670092">
        <w:t xml:space="preserve"> </w:t>
      </w:r>
    </w:p>
    <w:p w14:paraId="0CA7FC19" w14:textId="0E3A67BF" w:rsidR="00C74C4B" w:rsidRPr="00FE60F8" w:rsidRDefault="00C74C4B" w:rsidP="00396D95">
      <w:pPr>
        <w:pStyle w:val="Quote"/>
      </w:pPr>
      <w:r w:rsidRPr="00AE7CD4">
        <w:t>giving a commitment to partnership, but also applying normal AusAID ‘standards’ of direction (control), strategic planning, M&amp;E and other factors will lead to frustration. The partnership inherently means that progress in these areas can only take place, if, and at a rate, the partner agrees and develops its associated absorptive capacity</w:t>
      </w:r>
      <w:r>
        <w:t>.</w:t>
      </w:r>
      <w:r w:rsidR="00670092">
        <w:t xml:space="preserve"> </w:t>
      </w:r>
      <w:r>
        <w:t>(</w:t>
      </w:r>
      <w:r w:rsidRPr="00822DAB">
        <w:t>p</w:t>
      </w:r>
      <w:r w:rsidR="00060DFD">
        <w:t xml:space="preserve">. </w:t>
      </w:r>
      <w:r w:rsidRPr="00822DAB">
        <w:t>27</w:t>
      </w:r>
      <w:r>
        <w:t>)</w:t>
      </w:r>
    </w:p>
    <w:p w14:paraId="62F62888" w14:textId="3AB8D01C" w:rsidR="00C74C4B" w:rsidRDefault="00C74C4B" w:rsidP="00C74C4B">
      <w:pPr>
        <w:rPr>
          <w:noProof/>
          <w:lang w:val="en-GB" w:eastAsia="en-GB"/>
        </w:rPr>
      </w:pPr>
      <w:r>
        <w:rPr>
          <w:noProof/>
          <w:lang w:val="en-GB" w:eastAsia="en-GB"/>
        </w:rPr>
        <w:br w:type="page"/>
      </w:r>
    </w:p>
    <w:bookmarkStart w:id="182" w:name="_Toc372723872"/>
    <w:bookmarkStart w:id="183" w:name="_Toc378060016"/>
    <w:bookmarkStart w:id="184" w:name="_Toc387394604"/>
    <w:bookmarkEnd w:id="95"/>
    <w:p w14:paraId="4A6BA9D3" w14:textId="5F148E39" w:rsidR="00E57F60" w:rsidRPr="008C7811" w:rsidRDefault="00670D47" w:rsidP="009C43CF">
      <w:pPr>
        <w:pStyle w:val="Heading1"/>
      </w:pPr>
      <w:r>
        <w:rPr>
          <w:noProof/>
        </w:rPr>
        <w:lastRenderedPageBreak/>
        <mc:AlternateContent>
          <mc:Choice Requires="wps">
            <w:drawing>
              <wp:anchor distT="0" distB="0" distL="114300" distR="114300" simplePos="0" relativeHeight="251661824" behindDoc="1" locked="0" layoutInCell="1" allowOverlap="1" wp14:anchorId="1BC01BCD" wp14:editId="6AF2FD5C">
                <wp:simplePos x="0" y="0"/>
                <wp:positionH relativeFrom="page">
                  <wp:align>left</wp:align>
                </wp:positionH>
                <wp:positionV relativeFrom="paragraph">
                  <wp:posOffset>-144145</wp:posOffset>
                </wp:positionV>
                <wp:extent cx="7610400" cy="1468800"/>
                <wp:effectExtent l="0" t="0" r="0" b="0"/>
                <wp:wrapNone/>
                <wp:docPr id="4" name="Rectangle 4"/>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11.35pt;width:599.25pt;height:115.65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mUlQIAAIY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" fillcolor="#124486" stroked="f" strokeweight="2pt">
                <w10:wrap anchorx="page"/>
              </v:rect>
            </w:pict>
          </mc:Fallback>
        </mc:AlternateContent>
      </w:r>
      <w:r w:rsidR="00E57F60" w:rsidRPr="008C7811">
        <w:t>Annex 1: Terms of Reference</w:t>
      </w:r>
      <w:bookmarkEnd w:id="182"/>
      <w:bookmarkEnd w:id="183"/>
      <w:bookmarkEnd w:id="184"/>
    </w:p>
    <w:p w14:paraId="7890E4F5" w14:textId="77777777" w:rsidR="003B3916" w:rsidRDefault="003B3916" w:rsidP="000F2448">
      <w:pPr>
        <w:rPr>
          <w:rFonts w:eastAsia="Calibri"/>
          <w:noProof/>
        </w:rPr>
      </w:pPr>
    </w:p>
    <w:p w14:paraId="5C463AF0" w14:textId="4ACE24F4" w:rsidR="00DB0348" w:rsidRDefault="000F2448" w:rsidP="000F2448">
      <w:pPr>
        <w:rPr>
          <w:rFonts w:eastAsia="Calibri"/>
          <w:noProof/>
        </w:rPr>
      </w:pPr>
      <w:r>
        <w:rPr>
          <w:rFonts w:eastAsia="Calibri"/>
          <w:noProof/>
        </w:rPr>
        <w:t>[</w:t>
      </w:r>
      <w:r w:rsidRPr="00B81C2E">
        <w:rPr>
          <w:rFonts w:eastAsia="Calibri"/>
          <w:b/>
          <w:noProof/>
        </w:rPr>
        <w:t xml:space="preserve">These Terms of Reference were finalised </w:t>
      </w:r>
      <w:r w:rsidR="00DB0348" w:rsidRPr="00B81C2E">
        <w:rPr>
          <w:rFonts w:eastAsia="Calibri"/>
          <w:b/>
          <w:noProof/>
        </w:rPr>
        <w:t>in</w:t>
      </w:r>
      <w:r w:rsidRPr="00B81C2E">
        <w:rPr>
          <w:rFonts w:eastAsia="Calibri"/>
          <w:b/>
          <w:noProof/>
        </w:rPr>
        <w:t xml:space="preserve"> March 2013, before the absorption of the former AusAID into the Department of Foreign Affairs and Trade.</w:t>
      </w:r>
    </w:p>
    <w:p w14:paraId="1F5ED10E" w14:textId="307B9BCF" w:rsidR="000F2448" w:rsidRDefault="00DB0348" w:rsidP="000F2448">
      <w:pPr>
        <w:rPr>
          <w:rFonts w:eastAsia="Calibri"/>
          <w:noProof/>
        </w:rPr>
      </w:pPr>
      <w:r>
        <w:rPr>
          <w:rFonts w:eastAsia="Calibri"/>
          <w:b/>
          <w:noProof/>
        </w:rPr>
        <w:t>S</w:t>
      </w:r>
      <w:r w:rsidRPr="004A242D">
        <w:rPr>
          <w:rFonts w:eastAsia="Calibri"/>
          <w:b/>
          <w:noProof/>
        </w:rPr>
        <w:t>ubsequent to the finalisation of these Terms of Reference, the proposed rev</w:t>
      </w:r>
      <w:r w:rsidR="00B112F0">
        <w:rPr>
          <w:rFonts w:eastAsia="Calibri"/>
          <w:b/>
          <w:noProof/>
        </w:rPr>
        <w:t>iew</w:t>
      </w:r>
      <w:r w:rsidRPr="004A242D">
        <w:rPr>
          <w:rFonts w:eastAsia="Calibri"/>
          <w:b/>
          <w:noProof/>
        </w:rPr>
        <w:t xml:space="preserve"> was split into two separate reports:</w:t>
      </w:r>
      <w:r w:rsidR="00670092">
        <w:rPr>
          <w:rFonts w:eastAsia="Calibri"/>
          <w:b/>
          <w:noProof/>
        </w:rPr>
        <w:t xml:space="preserve"> </w:t>
      </w:r>
      <w:r w:rsidRPr="004A242D">
        <w:rPr>
          <w:rFonts w:eastAsia="Calibri"/>
          <w:b/>
          <w:i/>
          <w:noProof/>
        </w:rPr>
        <w:t xml:space="preserve">Quality of Australian </w:t>
      </w:r>
      <w:r w:rsidR="00060DFD">
        <w:rPr>
          <w:rFonts w:eastAsia="Calibri"/>
          <w:b/>
          <w:i/>
          <w:noProof/>
        </w:rPr>
        <w:t>a</w:t>
      </w:r>
      <w:r w:rsidRPr="004A242D">
        <w:rPr>
          <w:rFonts w:eastAsia="Calibri"/>
          <w:b/>
          <w:i/>
          <w:noProof/>
        </w:rPr>
        <w:t xml:space="preserve">id </w:t>
      </w:r>
      <w:r w:rsidR="00060DFD">
        <w:rPr>
          <w:rFonts w:eastAsia="Calibri"/>
          <w:b/>
          <w:i/>
          <w:noProof/>
        </w:rPr>
        <w:t>o</w:t>
      </w:r>
      <w:r w:rsidRPr="004A242D">
        <w:rPr>
          <w:rFonts w:eastAsia="Calibri"/>
          <w:b/>
          <w:i/>
          <w:noProof/>
        </w:rPr>
        <w:t xml:space="preserve">perational </w:t>
      </w:r>
      <w:r w:rsidR="00060DFD">
        <w:rPr>
          <w:rFonts w:eastAsia="Calibri"/>
          <w:b/>
          <w:i/>
          <w:noProof/>
        </w:rPr>
        <w:t>e</w:t>
      </w:r>
      <w:r w:rsidRPr="004A242D">
        <w:rPr>
          <w:rFonts w:eastAsia="Calibri"/>
          <w:b/>
          <w:i/>
          <w:noProof/>
        </w:rPr>
        <w:t>valuations</w:t>
      </w:r>
      <w:r w:rsidRPr="004A242D">
        <w:rPr>
          <w:rFonts w:eastAsia="Calibri"/>
          <w:b/>
          <w:noProof/>
        </w:rPr>
        <w:t xml:space="preserve"> and </w:t>
      </w:r>
      <w:r w:rsidR="00D6418B">
        <w:rPr>
          <w:rFonts w:eastAsia="Calibri"/>
          <w:b/>
          <w:i/>
          <w:noProof/>
        </w:rPr>
        <w:t>Learning from</w:t>
      </w:r>
      <w:r w:rsidRPr="004A242D">
        <w:rPr>
          <w:rFonts w:eastAsia="Calibri"/>
          <w:b/>
          <w:i/>
          <w:noProof/>
        </w:rPr>
        <w:t xml:space="preserve"> Australian </w:t>
      </w:r>
      <w:r w:rsidR="00060DFD">
        <w:rPr>
          <w:rFonts w:eastAsia="Calibri"/>
          <w:b/>
          <w:i/>
          <w:noProof/>
        </w:rPr>
        <w:t>a</w:t>
      </w:r>
      <w:r w:rsidRPr="004A242D">
        <w:rPr>
          <w:rFonts w:eastAsia="Calibri"/>
          <w:b/>
          <w:i/>
          <w:noProof/>
        </w:rPr>
        <w:t xml:space="preserve">id </w:t>
      </w:r>
      <w:r w:rsidR="00060DFD">
        <w:rPr>
          <w:rFonts w:eastAsia="Calibri"/>
          <w:b/>
          <w:i/>
          <w:noProof/>
        </w:rPr>
        <w:t>o</w:t>
      </w:r>
      <w:r w:rsidRPr="004A242D">
        <w:rPr>
          <w:rFonts w:eastAsia="Calibri"/>
          <w:b/>
          <w:i/>
          <w:noProof/>
        </w:rPr>
        <w:t xml:space="preserve">perational </w:t>
      </w:r>
      <w:r w:rsidR="00060DFD">
        <w:rPr>
          <w:rFonts w:eastAsia="Calibri"/>
          <w:b/>
          <w:i/>
          <w:noProof/>
        </w:rPr>
        <w:t>e</w:t>
      </w:r>
      <w:r w:rsidRPr="004A242D">
        <w:rPr>
          <w:rFonts w:eastAsia="Calibri"/>
          <w:b/>
          <w:i/>
          <w:noProof/>
        </w:rPr>
        <w:t>valuations</w:t>
      </w:r>
      <w:r w:rsidRPr="004A242D">
        <w:rPr>
          <w:rFonts w:eastAsia="Calibri"/>
          <w:b/>
          <w:noProof/>
        </w:rPr>
        <w:t>.</w:t>
      </w:r>
      <w:r w:rsidR="000F2448">
        <w:rPr>
          <w:rFonts w:eastAsia="Calibri"/>
          <w:noProof/>
        </w:rPr>
        <w:t>]</w:t>
      </w:r>
    </w:p>
    <w:p w14:paraId="1386D1EB" w14:textId="46FA732B" w:rsidR="00E57F60" w:rsidRPr="00E57F60" w:rsidRDefault="00E57F60" w:rsidP="000F2448">
      <w:pPr>
        <w:rPr>
          <w:noProof/>
        </w:rPr>
      </w:pPr>
      <w:r w:rsidRPr="00E57F60">
        <w:rPr>
          <w:rFonts w:eastAsia="Calibri"/>
          <w:noProof/>
        </w:rPr>
        <w:t>The Office of Development Effectiveness (ODE) and the Program Effectiveness and Performance Division (PEPD) of AusAID will jointly manage a review of the quality and synthesise the findings of independent evaluations commissioned by AusAID of aid initiatives. This topic (</w:t>
      </w:r>
      <w:r w:rsidR="00544674">
        <w:rPr>
          <w:rFonts w:eastAsia="Calibri"/>
          <w:noProof/>
        </w:rPr>
        <w:t>s</w:t>
      </w:r>
      <w:r w:rsidR="00544674" w:rsidRPr="00E57F60">
        <w:rPr>
          <w:rFonts w:eastAsia="Calibri"/>
          <w:noProof/>
        </w:rPr>
        <w:t xml:space="preserve">ynthesis </w:t>
      </w:r>
      <w:r w:rsidRPr="00E57F60">
        <w:rPr>
          <w:rFonts w:eastAsia="Calibri"/>
          <w:noProof/>
        </w:rPr>
        <w:t>of AusAID evaluations) is included in ODE’s forward work plan which was endorsed by the Independent Evaluation Committee (IEC) and approved by the Development Effectiveness Steering Committee</w:t>
      </w:r>
      <w:r w:rsidRPr="00E57F60">
        <w:rPr>
          <w:noProof/>
        </w:rPr>
        <w:t>.</w:t>
      </w:r>
    </w:p>
    <w:p w14:paraId="362FD0F4" w14:textId="110D1602" w:rsidR="00E57F60" w:rsidRPr="00BD0294" w:rsidRDefault="00465E68" w:rsidP="00AD6A55">
      <w:pPr>
        <w:spacing w:before="480" w:after="120" w:line="240" w:lineRule="auto"/>
        <w:ind w:left="720" w:hanging="720"/>
      </w:pPr>
      <w:bookmarkStart w:id="185" w:name="_Toc366500435"/>
      <w:bookmarkStart w:id="186" w:name="_Toc373303728"/>
      <w:bookmarkStart w:id="187" w:name="_Toc373304295"/>
      <w:bookmarkStart w:id="188" w:name="_Toc378059922"/>
      <w:bookmarkStart w:id="189" w:name="_Toc378060017"/>
      <w:r w:rsidRPr="00AD6A55">
        <w:rPr>
          <w:rFonts w:ascii="Arial" w:hAnsi="Arial" w:cs="Arial"/>
          <w:b/>
          <w:color w:val="124486"/>
          <w:sz w:val="28"/>
          <w:szCs w:val="28"/>
        </w:rPr>
        <w:t>1</w:t>
      </w:r>
      <w:r w:rsidRPr="00AD6A55">
        <w:rPr>
          <w:rFonts w:ascii="Arial" w:hAnsi="Arial" w:cs="Arial"/>
          <w:b/>
          <w:color w:val="124486"/>
          <w:sz w:val="28"/>
          <w:szCs w:val="28"/>
        </w:rPr>
        <w:tab/>
      </w:r>
      <w:r w:rsidR="00E57F60" w:rsidRPr="00AD6A55">
        <w:rPr>
          <w:rFonts w:ascii="Arial" w:hAnsi="Arial" w:cs="Arial"/>
          <w:b/>
          <w:color w:val="124486"/>
          <w:sz w:val="28"/>
          <w:szCs w:val="28"/>
        </w:rPr>
        <w:t>Background</w:t>
      </w:r>
      <w:bookmarkEnd w:id="185"/>
      <w:bookmarkEnd w:id="186"/>
      <w:bookmarkEnd w:id="187"/>
      <w:bookmarkEnd w:id="188"/>
      <w:bookmarkEnd w:id="189"/>
    </w:p>
    <w:p w14:paraId="636FFD66" w14:textId="0DD19B1A" w:rsidR="00E57F60" w:rsidRPr="00E57F60" w:rsidRDefault="00E57F60" w:rsidP="00EE7CFC">
      <w:r w:rsidRPr="00E57F60">
        <w:t>Independent Evaluation at AusAID is undertaken at several levels and managed by different areas. ODE undertakes evaluations of broad strategic relevance in line with its evaluation policy and three year rolling work program. Thematic areas commission sector evaluations (such as the Mid-Term Review of the Development for All Strategy, 2012) and geographic areas also commission evaluations (such as the Review of the PNG</w:t>
      </w:r>
      <w:r w:rsidR="00060DFD">
        <w:rPr>
          <w:rFonts w:ascii="Cambria" w:hAnsi="Cambria"/>
        </w:rPr>
        <w:t>–</w:t>
      </w:r>
      <w:r w:rsidRPr="00E57F60">
        <w:t>Australia Development Cooperation Treaty, 2010).</w:t>
      </w:r>
      <w:r w:rsidR="00670092">
        <w:t xml:space="preserve"> </w:t>
      </w:r>
      <w:r w:rsidRPr="00E57F60">
        <w:t>However, the bulk of independent evaluations are undertaken at initiative level. In accordance with AusAID’s Performance Management and Evaluation Policy (PMEP), every monitored initiative</w:t>
      </w:r>
      <w:r w:rsidRPr="00E57F60">
        <w:rPr>
          <w:szCs w:val="14"/>
          <w:vertAlign w:val="superscript"/>
        </w:rPr>
        <w:footnoteReference w:id="17"/>
      </w:r>
      <w:r w:rsidRPr="00E57F60">
        <w:t xml:space="preserve"> is required to undertake an independent evaluation at least once over its life, at the time and for the purpose most useful for program management. (This replaces an earlier policy that distinguished between Independent Progress Reports (IPRs) and Independent Completion Reports (ICRs)).</w:t>
      </w:r>
      <w:r w:rsidR="00670092">
        <w:t xml:space="preserve"> </w:t>
      </w:r>
      <w:r w:rsidRPr="00E57F60">
        <w:t xml:space="preserve">The purposes of these independent evaluations are: </w:t>
      </w:r>
    </w:p>
    <w:p w14:paraId="5A592D4F" w14:textId="16D092AF" w:rsidR="00E57F60" w:rsidRPr="00E57F60" w:rsidRDefault="00E57F60" w:rsidP="007602B6">
      <w:pPr>
        <w:pStyle w:val="Bullet"/>
      </w:pPr>
      <w:r w:rsidRPr="00730969">
        <w:rPr>
          <w:b/>
        </w:rPr>
        <w:t xml:space="preserve">Management: </w:t>
      </w:r>
      <w:r w:rsidRPr="00E57F60">
        <w:t xml:space="preserve">Independent evaluations help managers to understand what is working, what is not and why, and feed directly into improved management by informing initiative </w:t>
      </w:r>
      <w:r w:rsidR="00544674">
        <w:t>q</w:t>
      </w:r>
      <w:r w:rsidR="00544674" w:rsidRPr="00E57F60">
        <w:t xml:space="preserve">uality </w:t>
      </w:r>
      <w:r w:rsidRPr="00E57F60">
        <w:t xml:space="preserve">at </w:t>
      </w:r>
      <w:r w:rsidR="00544674">
        <w:t>i</w:t>
      </w:r>
      <w:r w:rsidR="00544674" w:rsidRPr="00E57F60">
        <w:t xml:space="preserve">mplementation </w:t>
      </w:r>
      <w:r w:rsidRPr="00E57F60">
        <w:t xml:space="preserve">assessments and </w:t>
      </w:r>
      <w:r w:rsidR="00544674">
        <w:t>a</w:t>
      </w:r>
      <w:r w:rsidR="00544674" w:rsidRPr="00E57F60">
        <w:t xml:space="preserve">nnual </w:t>
      </w:r>
      <w:r w:rsidR="00544674">
        <w:t>p</w:t>
      </w:r>
      <w:r w:rsidR="00544674" w:rsidRPr="00E57F60">
        <w:t xml:space="preserve">rogram </w:t>
      </w:r>
      <w:r w:rsidR="00544674">
        <w:t>p</w:t>
      </w:r>
      <w:r w:rsidR="00544674" w:rsidRPr="00E57F60">
        <w:t xml:space="preserve">erformance </w:t>
      </w:r>
      <w:r w:rsidR="00544674">
        <w:t>r</w:t>
      </w:r>
      <w:r w:rsidR="00544674" w:rsidRPr="00E57F60">
        <w:t>eports</w:t>
      </w:r>
      <w:r w:rsidRPr="00E57F60">
        <w:t xml:space="preserve">, the ODE </w:t>
      </w:r>
      <w:r w:rsidR="00544674">
        <w:t>s</w:t>
      </w:r>
      <w:r w:rsidR="00544674" w:rsidRPr="00E57F60">
        <w:t xml:space="preserve">ynthesis </w:t>
      </w:r>
      <w:r w:rsidRPr="00E57F60">
        <w:t xml:space="preserve">of </w:t>
      </w:r>
      <w:r w:rsidR="00544674">
        <w:t>e</w:t>
      </w:r>
      <w:r w:rsidR="00544674" w:rsidRPr="00E57F60">
        <w:t xml:space="preserve">valuations </w:t>
      </w:r>
      <w:r w:rsidRPr="00E57F60">
        <w:t xml:space="preserve">and </w:t>
      </w:r>
      <w:r w:rsidR="00544674">
        <w:t>q</w:t>
      </w:r>
      <w:r w:rsidR="00544674" w:rsidRPr="00E57F60">
        <w:t xml:space="preserve">uality </w:t>
      </w:r>
      <w:r w:rsidR="00544674">
        <w:t>a</w:t>
      </w:r>
      <w:r w:rsidR="00544674" w:rsidRPr="00E57F60">
        <w:t xml:space="preserve">ssurance </w:t>
      </w:r>
      <w:r w:rsidR="00544674">
        <w:t>r</w:t>
      </w:r>
      <w:r w:rsidR="00544674" w:rsidRPr="00E57F60">
        <w:t xml:space="preserve">eport </w:t>
      </w:r>
      <w:r w:rsidRPr="00E57F60">
        <w:t xml:space="preserve">and the </w:t>
      </w:r>
      <w:r w:rsidRPr="00AD6A55">
        <w:rPr>
          <w:i/>
        </w:rPr>
        <w:t>Annual Review of Aid Effectiveness</w:t>
      </w:r>
      <w:r w:rsidR="009101E7">
        <w:t>.</w:t>
      </w:r>
    </w:p>
    <w:p w14:paraId="2A2C2830" w14:textId="383D702C" w:rsidR="00E57F60" w:rsidRPr="00E57F60" w:rsidRDefault="00E57F60" w:rsidP="007602B6">
      <w:pPr>
        <w:pStyle w:val="Bullet"/>
      </w:pPr>
      <w:r w:rsidRPr="00730969">
        <w:rPr>
          <w:b/>
        </w:rPr>
        <w:t xml:space="preserve">Accountability: </w:t>
      </w:r>
      <w:r w:rsidRPr="00E57F60">
        <w:t>Independent evaluations are a key source of information on the effectiveness of the aid program to key stakeholders, such as the Australian public, partner governments, implementing partners and the communities that AusAID works with</w:t>
      </w:r>
      <w:r w:rsidR="009101E7">
        <w:t>.</w:t>
      </w:r>
    </w:p>
    <w:p w14:paraId="7B0E6FE8" w14:textId="77777777" w:rsidR="00E57F60" w:rsidRPr="00364B53" w:rsidRDefault="00E57F60" w:rsidP="007602B6">
      <w:pPr>
        <w:pStyle w:val="BulletLast"/>
      </w:pPr>
      <w:r w:rsidRPr="00730969">
        <w:rPr>
          <w:b/>
        </w:rPr>
        <w:lastRenderedPageBreak/>
        <w:t>Learning</w:t>
      </w:r>
      <w:r w:rsidRPr="00C40B57">
        <w:t xml:space="preserve">: </w:t>
      </w:r>
      <w:r w:rsidRPr="00364B53">
        <w:t xml:space="preserve">Independent evaluations provide important information about what does or does not work in a particular context and why. This information may inform country and thematic strategies, design of new activities, management of existing ones, and provide learning to the global community. </w:t>
      </w:r>
    </w:p>
    <w:p w14:paraId="73E81981" w14:textId="77777777" w:rsidR="00E57F60" w:rsidRPr="00E57F60" w:rsidRDefault="00E57F60" w:rsidP="00EE7CFC">
      <w:pPr>
        <w:rPr>
          <w:noProof/>
        </w:rPr>
      </w:pPr>
      <w:r w:rsidRPr="00E57F60">
        <w:rPr>
          <w:noProof/>
        </w:rPr>
        <w:t>For initiatives that are co-financed with other donors or implemented through partners, AusAID encourages joint or partner-led evaluations to be undertaken to share learning across all partners, and to avoid over-burdening implementing partners and beneficiaries with multiple evaluation processes. These evaluations are regarded as meeting AusAID’s requirement to undertake an independent evaluation, and are expected to be published on the AusAID website.</w:t>
      </w:r>
    </w:p>
    <w:p w14:paraId="2A275E3B" w14:textId="1E3F79B7" w:rsidR="00E57F60" w:rsidRPr="00E57F60" w:rsidRDefault="00E57F60" w:rsidP="00EE7CFC">
      <w:pPr>
        <w:rPr>
          <w:noProof/>
        </w:rPr>
      </w:pPr>
      <w:r w:rsidRPr="00E57F60">
        <w:rPr>
          <w:noProof/>
        </w:rPr>
        <w:t xml:space="preserve">With the exception of </w:t>
      </w:r>
      <w:r w:rsidR="00444C57">
        <w:rPr>
          <w:noProof/>
        </w:rPr>
        <w:t>the Australian Centre for International Agricultural Research (</w:t>
      </w:r>
      <w:r w:rsidRPr="00E57F60">
        <w:rPr>
          <w:noProof/>
        </w:rPr>
        <w:t>ACIAR</w:t>
      </w:r>
      <w:r w:rsidR="00444C57">
        <w:rPr>
          <w:noProof/>
        </w:rPr>
        <w:t>)</w:t>
      </w:r>
      <w:r w:rsidRPr="00E57F60">
        <w:rPr>
          <w:noProof/>
        </w:rPr>
        <w:t>, for most other Australian Government departments delivering the aid program, little data is available on evaluations conducted. In cases where those departments are funded through AusAID’s budget, they are required to comply with AusAID’s PMEP. Departments who directly appropriate aid funding follow their own performance management processes. In 2013 the Development Effectiveness Steering Committee (DESC) endorsed Whole of Government Uniform Standards for the aid program, including a standard on performance management under which all Australian Government departments must conduct an independent evaluation at least once over the life of every aid project.</w:t>
      </w:r>
      <w:r w:rsidRPr="00E57F60">
        <w:rPr>
          <w:rFonts w:cs="Calibri"/>
          <w:noProof/>
          <w:szCs w:val="14"/>
          <w:vertAlign w:val="superscript"/>
        </w:rPr>
        <w:footnoteReference w:id="18"/>
      </w:r>
      <w:r w:rsidR="00670092">
        <w:rPr>
          <w:noProof/>
        </w:rPr>
        <w:t xml:space="preserve"> </w:t>
      </w:r>
    </w:p>
    <w:p w14:paraId="4356B45B" w14:textId="77777777" w:rsidR="00E57F60" w:rsidRPr="00E57F60" w:rsidRDefault="00E57F60" w:rsidP="00EE7CFC">
      <w:pPr>
        <w:rPr>
          <w:rFonts w:eastAsia="Calibri"/>
          <w:szCs w:val="21"/>
          <w:lang w:val="en-US" w:eastAsia="en-US"/>
        </w:rPr>
      </w:pPr>
      <w:r w:rsidRPr="00E57F60">
        <w:rPr>
          <w:rFonts w:eastAsia="Calibri"/>
          <w:szCs w:val="21"/>
          <w:lang w:val="en-US" w:eastAsia="en-US"/>
        </w:rPr>
        <w:t xml:space="preserve">There are three drivers for this review of independent, initiative-level evaluations: </w:t>
      </w:r>
    </w:p>
    <w:p w14:paraId="7051E65D" w14:textId="69DF584A" w:rsidR="00E57F60" w:rsidRPr="000F2448" w:rsidRDefault="00465E68" w:rsidP="00730969">
      <w:pPr>
        <w:pStyle w:val="Heading3"/>
      </w:pPr>
      <w:bookmarkStart w:id="190" w:name="_Toc366500436"/>
      <w:bookmarkStart w:id="191" w:name="_Toc366506450"/>
      <w:r>
        <w:t>1.1</w:t>
      </w:r>
      <w:r>
        <w:tab/>
      </w:r>
      <w:r w:rsidR="00E57F60" w:rsidRPr="000F2448">
        <w:t>The need for effectiveness reporting on the Australian aid program to draw on a body of credible evidence</w:t>
      </w:r>
      <w:bookmarkEnd w:id="190"/>
      <w:bookmarkEnd w:id="191"/>
    </w:p>
    <w:p w14:paraId="10FF7FCA" w14:textId="3D37F6FB" w:rsidR="00E57F60" w:rsidRPr="00E57F60" w:rsidRDefault="00E57F60" w:rsidP="00EE7CFC">
      <w:pPr>
        <w:rPr>
          <w:noProof/>
        </w:rPr>
      </w:pPr>
      <w:r w:rsidRPr="00E57F60">
        <w:rPr>
          <w:noProof/>
        </w:rPr>
        <w:t>An Effective Aid Program for Australia states that Australia’s approach will be based on ‘concrete evidence of what works best on the ground to produce results’</w:t>
      </w:r>
      <w:r w:rsidR="00060DFD">
        <w:rPr>
          <w:noProof/>
        </w:rPr>
        <w:t>.</w:t>
      </w:r>
      <w:r w:rsidRPr="00E57F60">
        <w:rPr>
          <w:noProof/>
        </w:rPr>
        <w:t xml:space="preserve"> Evaluations are central to this aid effectiveness and results agenda, in driving ongoing learning which informs the direction, design and management of the aid program. Independent evaluations also play an important accountability role in AusAID’s performance management systems. They complement annual performance management processes which are based on self-assessment, and provide an independent perspective of the quality and results achieved through the Australian aid program.</w:t>
      </w:r>
      <w:r w:rsidR="00670092">
        <w:rPr>
          <w:noProof/>
        </w:rPr>
        <w:t xml:space="preserve"> </w:t>
      </w:r>
    </w:p>
    <w:p w14:paraId="34D6218E" w14:textId="2A157FD1" w:rsidR="00E57F60" w:rsidRPr="00E57F60" w:rsidRDefault="00E57F60" w:rsidP="00EE7CFC">
      <w:pPr>
        <w:rPr>
          <w:noProof/>
        </w:rPr>
      </w:pPr>
      <w:r w:rsidRPr="00E57F60">
        <w:rPr>
          <w:noProof/>
        </w:rPr>
        <w:t xml:space="preserve">In line with recommendations in the </w:t>
      </w:r>
      <w:r w:rsidRPr="00AD6A55">
        <w:rPr>
          <w:i/>
          <w:noProof/>
        </w:rPr>
        <w:t xml:space="preserve">Independent </w:t>
      </w:r>
      <w:r w:rsidR="00544674">
        <w:rPr>
          <w:i/>
          <w:noProof/>
        </w:rPr>
        <w:t>r</w:t>
      </w:r>
      <w:r w:rsidR="00544674" w:rsidRPr="00AD6A55">
        <w:rPr>
          <w:i/>
          <w:noProof/>
        </w:rPr>
        <w:t xml:space="preserve">eview </w:t>
      </w:r>
      <w:r w:rsidRPr="00AD6A55">
        <w:rPr>
          <w:i/>
          <w:noProof/>
        </w:rPr>
        <w:t xml:space="preserve">of </w:t>
      </w:r>
      <w:r w:rsidR="00544674">
        <w:rPr>
          <w:i/>
          <w:noProof/>
        </w:rPr>
        <w:t>a</w:t>
      </w:r>
      <w:r w:rsidR="00544674" w:rsidRPr="00AD6A55">
        <w:rPr>
          <w:i/>
          <w:noProof/>
        </w:rPr>
        <w:t xml:space="preserve">id </w:t>
      </w:r>
      <w:r w:rsidR="00544674">
        <w:rPr>
          <w:i/>
          <w:noProof/>
        </w:rPr>
        <w:t>e</w:t>
      </w:r>
      <w:r w:rsidR="00544674" w:rsidRPr="00AD6A55">
        <w:rPr>
          <w:i/>
          <w:noProof/>
        </w:rPr>
        <w:t>ffectiveness</w:t>
      </w:r>
      <w:r w:rsidR="00544674" w:rsidRPr="00E57F60">
        <w:rPr>
          <w:noProof/>
        </w:rPr>
        <w:t xml:space="preserve"> </w:t>
      </w:r>
      <w:r w:rsidRPr="00E57F60">
        <w:rPr>
          <w:noProof/>
        </w:rPr>
        <w:t>to strengthen initiative and program evaluation in AusAID, the government committed in Effective Aid to producing a smaller number of high</w:t>
      </w:r>
      <w:r w:rsidR="00060DFD">
        <w:rPr>
          <w:noProof/>
        </w:rPr>
        <w:t>-</w:t>
      </w:r>
      <w:r w:rsidRPr="00E57F60">
        <w:rPr>
          <w:noProof/>
        </w:rPr>
        <w:t>quality evaluations. Under the Transparency Charter, it is expected that evaluations will be published.</w:t>
      </w:r>
    </w:p>
    <w:p w14:paraId="15D20EC5" w14:textId="384B0F2A" w:rsidR="00E57F60" w:rsidRPr="00E57F60" w:rsidRDefault="00465E68" w:rsidP="00730969">
      <w:pPr>
        <w:pStyle w:val="Heading3"/>
      </w:pPr>
      <w:bookmarkStart w:id="192" w:name="_Toc366500437"/>
      <w:bookmarkStart w:id="193" w:name="_Toc366506451"/>
      <w:r>
        <w:t>1.2</w:t>
      </w:r>
      <w:r>
        <w:tab/>
      </w:r>
      <w:r w:rsidR="00E57F60" w:rsidRPr="00E57F60">
        <w:t>The need to improve the quality of the aid program’s independent evaluations</w:t>
      </w:r>
      <w:bookmarkEnd w:id="192"/>
      <w:bookmarkEnd w:id="193"/>
      <w:r w:rsidR="00E57F60" w:rsidRPr="00E57F60">
        <w:t xml:space="preserve"> </w:t>
      </w:r>
    </w:p>
    <w:p w14:paraId="368D484D" w14:textId="77777777" w:rsidR="00E57F60" w:rsidRPr="00E57F60" w:rsidRDefault="00E57F60" w:rsidP="00364B53">
      <w:pPr>
        <w:rPr>
          <w:rFonts w:eastAsia="Calibri"/>
          <w:lang w:val="en-US" w:eastAsia="en-US"/>
        </w:rPr>
      </w:pPr>
      <w:r w:rsidRPr="00E57F60">
        <w:rPr>
          <w:rFonts w:eastAsia="Calibri"/>
          <w:lang w:val="en-US" w:eastAsia="en-US"/>
        </w:rPr>
        <w:t xml:space="preserve">Previous meta-evaluations of AusAID’s independent evaluations have found issues with compliance with agency evaluation requirements, and the quality of initiative-level evaluations. </w:t>
      </w:r>
    </w:p>
    <w:p w14:paraId="651B764E" w14:textId="67500531" w:rsidR="00E57F60" w:rsidRPr="00E57F60" w:rsidRDefault="00E57F60" w:rsidP="00364B53">
      <w:pPr>
        <w:rPr>
          <w:rFonts w:eastAsia="Calibri"/>
          <w:lang w:val="en-US" w:eastAsia="en-US"/>
        </w:rPr>
      </w:pPr>
      <w:r w:rsidRPr="00E57F60">
        <w:rPr>
          <w:rFonts w:eastAsia="Calibri"/>
          <w:lang w:val="en-US" w:eastAsia="en-US"/>
        </w:rPr>
        <w:t>In response to issues identified in ODE’s 2007</w:t>
      </w:r>
      <w:r w:rsidRPr="00E57F60">
        <w:rPr>
          <w:rFonts w:eastAsia="Calibri"/>
          <w:i/>
          <w:lang w:val="en-US" w:eastAsia="en-US"/>
        </w:rPr>
        <w:t xml:space="preserve"> Review of AusAID’s </w:t>
      </w:r>
      <w:r w:rsidR="00060DFD">
        <w:rPr>
          <w:rFonts w:eastAsia="Calibri"/>
          <w:i/>
          <w:lang w:val="en-US" w:eastAsia="en-US"/>
        </w:rPr>
        <w:t>a</w:t>
      </w:r>
      <w:r w:rsidRPr="00E57F60">
        <w:rPr>
          <w:rFonts w:eastAsia="Calibri"/>
          <w:i/>
          <w:lang w:val="en-US" w:eastAsia="en-US"/>
        </w:rPr>
        <w:t xml:space="preserve">pproach to </w:t>
      </w:r>
      <w:r w:rsidR="00060DFD">
        <w:rPr>
          <w:rFonts w:eastAsia="Calibri"/>
          <w:i/>
          <w:lang w:val="en-US" w:eastAsia="en-US"/>
        </w:rPr>
        <w:t>e</w:t>
      </w:r>
      <w:r w:rsidRPr="00E57F60">
        <w:rPr>
          <w:rFonts w:eastAsia="Calibri"/>
          <w:i/>
          <w:lang w:val="en-US" w:eastAsia="en-US"/>
        </w:rPr>
        <w:t>valuation</w:t>
      </w:r>
      <w:r w:rsidRPr="00E57F60">
        <w:rPr>
          <w:rFonts w:eastAsia="Calibri"/>
          <w:lang w:val="en-US" w:eastAsia="en-US"/>
        </w:rPr>
        <w:t xml:space="preserve">, an Evaluation Review Panel was established by ODE in September 2008 to improve the quality of evaluations in AusAID, and also to build the capacity of AusAID officers to </w:t>
      </w:r>
      <w:proofErr w:type="spellStart"/>
      <w:r w:rsidRPr="00E57F60">
        <w:rPr>
          <w:rFonts w:eastAsia="Calibri"/>
          <w:lang w:val="en-US" w:eastAsia="en-US"/>
        </w:rPr>
        <w:t>recognise</w:t>
      </w:r>
      <w:proofErr w:type="spellEnd"/>
      <w:r w:rsidRPr="00E57F60">
        <w:rPr>
          <w:rFonts w:eastAsia="Calibri"/>
          <w:lang w:val="en-US" w:eastAsia="en-US"/>
        </w:rPr>
        <w:t xml:space="preserve"> the quality or otherwise of independent evaluations. A blind technical review process was used where consultants were asked to review and provide a technical rating for draft evaluation reports. Over 70 evaluations </w:t>
      </w:r>
      <w:r w:rsidRPr="00E57F60">
        <w:rPr>
          <w:rFonts w:eastAsia="Calibri"/>
          <w:lang w:val="en-US" w:eastAsia="en-US"/>
        </w:rPr>
        <w:lastRenderedPageBreak/>
        <w:t>underwent technical review via this process between 2008 and 2010.</w:t>
      </w:r>
      <w:r w:rsidR="00670092">
        <w:rPr>
          <w:rFonts w:eastAsia="Calibri"/>
          <w:lang w:val="en-US" w:eastAsia="en-US"/>
        </w:rPr>
        <w:t xml:space="preserve"> </w:t>
      </w:r>
      <w:r w:rsidRPr="00E57F60">
        <w:rPr>
          <w:rFonts w:eastAsia="Calibri"/>
          <w:lang w:val="en-US" w:eastAsia="en-US"/>
        </w:rPr>
        <w:t>An evaluation of the process</w:t>
      </w:r>
      <w:r w:rsidRPr="00E57F60">
        <w:rPr>
          <w:rFonts w:eastAsia="Calibri"/>
          <w:szCs w:val="14"/>
          <w:vertAlign w:val="superscript"/>
          <w:lang w:val="en-US" w:eastAsia="en-US"/>
        </w:rPr>
        <w:footnoteReference w:id="19"/>
      </w:r>
      <w:r w:rsidRPr="00E57F60">
        <w:rPr>
          <w:rFonts w:eastAsia="Calibri"/>
          <w:lang w:val="en-US" w:eastAsia="en-US"/>
        </w:rPr>
        <w:t xml:space="preserve"> found that the technical review could be improved, but should be continued.</w:t>
      </w:r>
      <w:r w:rsidR="00670092">
        <w:rPr>
          <w:rFonts w:eastAsia="Calibri"/>
          <w:lang w:val="en-US" w:eastAsia="en-US"/>
        </w:rPr>
        <w:t xml:space="preserve"> </w:t>
      </w:r>
      <w:r w:rsidRPr="00E57F60">
        <w:rPr>
          <w:rFonts w:eastAsia="Calibri"/>
          <w:lang w:val="en-US" w:eastAsia="en-US"/>
        </w:rPr>
        <w:t xml:space="preserve">Nonetheless, the Technical Review Panel was discontinued in 2011. Since then, quality assurance of evaluation findings/reports has been through peer review, rather than the previous two-step technical review plus peer review system. </w:t>
      </w:r>
    </w:p>
    <w:p w14:paraId="4DED2C91" w14:textId="30095B2C" w:rsidR="00E57F60" w:rsidRPr="00E57F60" w:rsidRDefault="00E57F60" w:rsidP="00364B53">
      <w:pPr>
        <w:rPr>
          <w:rFonts w:eastAsia="Calibri"/>
          <w:lang w:val="en-US" w:eastAsia="en-US"/>
        </w:rPr>
      </w:pPr>
      <w:r w:rsidRPr="00E57F60">
        <w:rPr>
          <w:rFonts w:eastAsia="Calibri"/>
          <w:lang w:val="en-US" w:eastAsia="en-US"/>
        </w:rPr>
        <w:t xml:space="preserve">The March 2011 </w:t>
      </w:r>
      <w:r w:rsidRPr="00E57F60">
        <w:rPr>
          <w:rFonts w:eastAsia="Calibri"/>
          <w:i/>
          <w:lang w:val="en-US" w:eastAsia="en-US"/>
        </w:rPr>
        <w:t xml:space="preserve">Study of </w:t>
      </w:r>
      <w:r w:rsidR="003074EB">
        <w:rPr>
          <w:rFonts w:eastAsia="Calibri"/>
          <w:i/>
          <w:lang w:val="en-US" w:eastAsia="en-US"/>
        </w:rPr>
        <w:t>i</w:t>
      </w:r>
      <w:r w:rsidRPr="00E57F60">
        <w:rPr>
          <w:rFonts w:eastAsia="Calibri"/>
          <w:i/>
          <w:lang w:val="en-US" w:eastAsia="en-US"/>
        </w:rPr>
        <w:t xml:space="preserve">ndependent </w:t>
      </w:r>
      <w:r w:rsidR="003074EB">
        <w:rPr>
          <w:rFonts w:eastAsia="Calibri"/>
          <w:i/>
          <w:lang w:val="en-US" w:eastAsia="en-US"/>
        </w:rPr>
        <w:t>c</w:t>
      </w:r>
      <w:r w:rsidRPr="00E57F60">
        <w:rPr>
          <w:rFonts w:eastAsia="Calibri"/>
          <w:i/>
          <w:lang w:val="en-US" w:eastAsia="en-US"/>
        </w:rPr>
        <w:t xml:space="preserve">ompletion </w:t>
      </w:r>
      <w:r w:rsidR="003074EB">
        <w:rPr>
          <w:rFonts w:eastAsia="Calibri"/>
          <w:i/>
          <w:lang w:val="en-US" w:eastAsia="en-US"/>
        </w:rPr>
        <w:t>r</w:t>
      </w:r>
      <w:r w:rsidRPr="00E57F60">
        <w:rPr>
          <w:rFonts w:eastAsia="Calibri"/>
          <w:i/>
          <w:lang w:val="en-US" w:eastAsia="en-US"/>
        </w:rPr>
        <w:t>eports and other evaluation documents</w:t>
      </w:r>
      <w:r w:rsidRPr="00E57F60">
        <w:rPr>
          <w:rFonts w:eastAsia="Calibri"/>
          <w:lang w:val="en-US" w:eastAsia="en-US"/>
        </w:rPr>
        <w:t xml:space="preserve"> (the Bazeley study)</w:t>
      </w:r>
      <w:r w:rsidRPr="00465E68">
        <w:rPr>
          <w:rStyle w:val="FootnoteReference"/>
          <w:rFonts w:eastAsia="Calibri"/>
        </w:rPr>
        <w:footnoteReference w:id="20"/>
      </w:r>
      <w:r w:rsidRPr="00465E68">
        <w:rPr>
          <w:rStyle w:val="FootnoteReference"/>
          <w:rFonts w:eastAsia="Calibri"/>
        </w:rPr>
        <w:t xml:space="preserve"> </w:t>
      </w:r>
      <w:r w:rsidRPr="00E57F60">
        <w:rPr>
          <w:rFonts w:eastAsia="Calibri"/>
          <w:lang w:val="en-US" w:eastAsia="en-US"/>
        </w:rPr>
        <w:t>raised concerns regarding compliance with agency evaluation requirements, and with the quality of evaluations.</w:t>
      </w:r>
      <w:r w:rsidR="00670092">
        <w:rPr>
          <w:rFonts w:eastAsia="Calibri"/>
          <w:lang w:val="en-US" w:eastAsia="en-US"/>
        </w:rPr>
        <w:t xml:space="preserve"> </w:t>
      </w:r>
      <w:r w:rsidRPr="00E57F60">
        <w:rPr>
          <w:rFonts w:eastAsia="Calibri"/>
          <w:lang w:val="en-US" w:eastAsia="en-US"/>
        </w:rPr>
        <w:t>For example, Bazeley found that evaluations were undertaken primarily for accountability</w:t>
      </w:r>
      <w:r w:rsidR="007B067D">
        <w:rPr>
          <w:rFonts w:eastAsia="Calibri"/>
          <w:lang w:val="en-US" w:eastAsia="en-US"/>
        </w:rPr>
        <w:t xml:space="preserve"> </w:t>
      </w:r>
      <w:r w:rsidRPr="00E57F60">
        <w:rPr>
          <w:rFonts w:eastAsia="Calibri"/>
          <w:lang w:val="en-US" w:eastAsia="en-US"/>
        </w:rPr>
        <w:t xml:space="preserve">purposes and not for learning or management, </w:t>
      </w:r>
      <w:r w:rsidRPr="00E57F60">
        <w:rPr>
          <w:rFonts w:eastAsia="Calibri"/>
          <w:bCs/>
          <w:lang w:val="en-US" w:eastAsia="en-US"/>
        </w:rPr>
        <w:t>poor underlying data</w:t>
      </w:r>
      <w:r w:rsidRPr="00E57F60">
        <w:rPr>
          <w:rFonts w:eastAsia="Calibri"/>
          <w:lang w:val="en-US" w:eastAsia="en-US"/>
        </w:rPr>
        <w:t xml:space="preserve"> from M&amp;E systems, and the average time allowed (23 days) was minimal given evaluation expectations.</w:t>
      </w:r>
    </w:p>
    <w:p w14:paraId="1ED38C79" w14:textId="77777777" w:rsidR="00E57F60" w:rsidRPr="00E57F60" w:rsidRDefault="00E57F60" w:rsidP="00364B53">
      <w:pPr>
        <w:rPr>
          <w:rFonts w:eastAsia="Calibri"/>
          <w:lang w:val="en-US" w:eastAsia="en-US"/>
        </w:rPr>
      </w:pPr>
      <w:r w:rsidRPr="00E57F60">
        <w:rPr>
          <w:rFonts w:eastAsia="Calibri"/>
          <w:lang w:val="en-US" w:eastAsia="en-US"/>
        </w:rPr>
        <w:t xml:space="preserve">Since April 2011 there have been no further meta-evaluations of the quality of AusAID evaluations or the evaluation process. </w:t>
      </w:r>
    </w:p>
    <w:p w14:paraId="34C0B09C" w14:textId="55709404" w:rsidR="00E57F60" w:rsidRPr="00E57F60" w:rsidRDefault="00465E68" w:rsidP="00544674">
      <w:pPr>
        <w:pStyle w:val="Heading3"/>
      </w:pPr>
      <w:bookmarkStart w:id="194" w:name="_Toc366500438"/>
      <w:bookmarkStart w:id="195" w:name="_Toc366506452"/>
      <w:r>
        <w:t>1.3</w:t>
      </w:r>
      <w:r>
        <w:tab/>
      </w:r>
      <w:r w:rsidR="00E57F60" w:rsidRPr="00E57F60">
        <w:t xml:space="preserve">The increasing importance of evaluation across the Australian </w:t>
      </w:r>
      <w:r w:rsidR="00060DFD">
        <w:t>P</w:t>
      </w:r>
      <w:r w:rsidR="00E57F60" w:rsidRPr="00E57F60">
        <w:t xml:space="preserve">ublic </w:t>
      </w:r>
      <w:r w:rsidR="00060DFD">
        <w:t>S</w:t>
      </w:r>
      <w:r w:rsidR="00E57F60" w:rsidRPr="00E57F60">
        <w:t>ervice</w:t>
      </w:r>
      <w:bookmarkEnd w:id="194"/>
      <w:bookmarkEnd w:id="195"/>
    </w:p>
    <w:p w14:paraId="5F44226B" w14:textId="0382E6F1" w:rsidR="00E57F60" w:rsidRPr="00E57F60" w:rsidRDefault="00E57F60" w:rsidP="00EE7CFC">
      <w:pPr>
        <w:rPr>
          <w:rFonts w:eastAsia="Calibri"/>
          <w:lang w:val="en-US" w:eastAsia="en-US"/>
        </w:rPr>
      </w:pPr>
      <w:r w:rsidRPr="00E57F60">
        <w:rPr>
          <w:rFonts w:eastAsia="Calibri"/>
          <w:lang w:val="en-US" w:eastAsia="en-US"/>
        </w:rPr>
        <w:t>The Department of Finance and Deregulation is overseeing a process of renewing evaluation processes across the Australian Public Service as part of the Commonwealth Financial Accountability Review (CFAR).</w:t>
      </w:r>
      <w:r w:rsidR="00670092">
        <w:rPr>
          <w:rFonts w:eastAsia="Calibri"/>
          <w:lang w:val="en-US" w:eastAsia="en-US"/>
        </w:rPr>
        <w:t xml:space="preserve"> </w:t>
      </w:r>
      <w:r w:rsidRPr="00E57F60">
        <w:rPr>
          <w:rFonts w:eastAsia="Calibri"/>
          <w:lang w:val="en-US" w:eastAsia="en-US"/>
        </w:rPr>
        <w:t>ODE is a member of the inter-departmental committee advising on this issue.</w:t>
      </w:r>
      <w:r w:rsidR="00670092">
        <w:rPr>
          <w:rFonts w:eastAsia="Calibri"/>
          <w:lang w:val="en-US" w:eastAsia="en-US"/>
        </w:rPr>
        <w:t xml:space="preserve"> </w:t>
      </w:r>
      <w:r w:rsidRPr="00E57F60">
        <w:rPr>
          <w:rFonts w:eastAsia="Calibri"/>
          <w:lang w:val="en-US" w:eastAsia="en-US"/>
        </w:rPr>
        <w:t xml:space="preserve">As the new financial accountability framework comes into place across the Australian </w:t>
      </w:r>
      <w:r w:rsidR="00060DFD">
        <w:rPr>
          <w:rFonts w:eastAsia="Calibri"/>
          <w:lang w:val="en-US" w:eastAsia="en-US"/>
        </w:rPr>
        <w:t>P</w:t>
      </w:r>
      <w:r w:rsidRPr="00E57F60">
        <w:rPr>
          <w:rFonts w:eastAsia="Calibri"/>
          <w:lang w:val="en-US" w:eastAsia="en-US"/>
        </w:rPr>
        <w:t xml:space="preserve">ublic </w:t>
      </w:r>
      <w:r w:rsidR="00060DFD">
        <w:rPr>
          <w:rFonts w:eastAsia="Calibri"/>
          <w:lang w:val="en-US" w:eastAsia="en-US"/>
        </w:rPr>
        <w:t>S</w:t>
      </w:r>
      <w:r w:rsidRPr="00E57F60">
        <w:rPr>
          <w:rFonts w:eastAsia="Calibri"/>
          <w:lang w:val="en-US" w:eastAsia="en-US"/>
        </w:rPr>
        <w:t>ervice, it will be important for the aid program and AusAID, including ODE, to maintain a high</w:t>
      </w:r>
      <w:r w:rsidR="00060DFD">
        <w:rPr>
          <w:rFonts w:eastAsia="Calibri"/>
          <w:lang w:val="en-US" w:eastAsia="en-US"/>
        </w:rPr>
        <w:t>-</w:t>
      </w:r>
      <w:r w:rsidRPr="00E57F60">
        <w:rPr>
          <w:rFonts w:eastAsia="Calibri"/>
          <w:lang w:val="en-US" w:eastAsia="en-US"/>
        </w:rPr>
        <w:t xml:space="preserve">quality and systematic program of evaluations. This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will help to position the role of evaluations across the aid program.</w:t>
      </w:r>
    </w:p>
    <w:p w14:paraId="53E9433A" w14:textId="38BC16AA" w:rsidR="00E57F60" w:rsidRPr="00BD0294" w:rsidRDefault="00465E68" w:rsidP="00AD6A55">
      <w:pPr>
        <w:spacing w:before="480" w:after="120" w:line="240" w:lineRule="auto"/>
        <w:ind w:left="720" w:hanging="720"/>
      </w:pPr>
      <w:bookmarkStart w:id="196" w:name="_Toc366500439"/>
      <w:bookmarkStart w:id="197" w:name="_Toc373303729"/>
      <w:bookmarkStart w:id="198" w:name="_Toc373304296"/>
      <w:bookmarkStart w:id="199" w:name="_Toc378059923"/>
      <w:bookmarkStart w:id="200" w:name="_Toc378060018"/>
      <w:r w:rsidRPr="00AD6A55">
        <w:rPr>
          <w:rFonts w:ascii="Arial" w:hAnsi="Arial" w:cs="Arial"/>
          <w:b/>
          <w:color w:val="124486"/>
          <w:sz w:val="28"/>
          <w:szCs w:val="28"/>
        </w:rPr>
        <w:t>2</w:t>
      </w:r>
      <w:r w:rsidRPr="00AD6A55">
        <w:rPr>
          <w:rFonts w:ascii="Arial" w:hAnsi="Arial" w:cs="Arial"/>
          <w:b/>
          <w:color w:val="124486"/>
          <w:sz w:val="28"/>
          <w:szCs w:val="28"/>
        </w:rPr>
        <w:tab/>
      </w:r>
      <w:r w:rsidR="00E57F60" w:rsidRPr="00AD6A55">
        <w:rPr>
          <w:rFonts w:ascii="Arial" w:hAnsi="Arial" w:cs="Arial"/>
          <w:b/>
          <w:color w:val="124486"/>
          <w:sz w:val="28"/>
          <w:szCs w:val="28"/>
        </w:rPr>
        <w:t>Scope</w:t>
      </w:r>
      <w:bookmarkEnd w:id="196"/>
      <w:bookmarkEnd w:id="197"/>
      <w:bookmarkEnd w:id="198"/>
      <w:bookmarkEnd w:id="199"/>
      <w:bookmarkEnd w:id="200"/>
    </w:p>
    <w:p w14:paraId="36C4F88A" w14:textId="3324E895" w:rsidR="00E57F60" w:rsidRPr="00E57F60" w:rsidRDefault="00E57F60" w:rsidP="00EE7CFC">
      <w:pPr>
        <w:rPr>
          <w:rFonts w:eastAsia="Calibri"/>
          <w:lang w:val="en-US" w:eastAsia="en-US"/>
        </w:rPr>
      </w:pPr>
      <w:r w:rsidRPr="00E57F60">
        <w:rPr>
          <w:rFonts w:eastAsia="Calibri"/>
          <w:lang w:val="en-US" w:eastAsia="en-US"/>
        </w:rPr>
        <w:t xml:space="preserve">The 2013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will consider all independent evaluations of initiatives completed by AusAID and/or partners (where that evaluation is used for AusAID internal purposes) in the 2012 calendar year.</w:t>
      </w:r>
      <w:r w:rsidR="00670092">
        <w:rPr>
          <w:rFonts w:eastAsia="Calibri"/>
          <w:lang w:val="en-US" w:eastAsia="en-US"/>
        </w:rPr>
        <w:t xml:space="preserve"> </w:t>
      </w:r>
    </w:p>
    <w:p w14:paraId="3D7F9243" w14:textId="7B6CBFB1" w:rsidR="00E57F60" w:rsidRPr="00E57F60" w:rsidRDefault="00E57F60" w:rsidP="00EE7CFC">
      <w:pPr>
        <w:rPr>
          <w:rFonts w:eastAsia="Calibri"/>
          <w:lang w:val="en-US" w:eastAsia="en-US"/>
        </w:rPr>
      </w:pPr>
      <w:r w:rsidRPr="00E57F60">
        <w:rPr>
          <w:rFonts w:eastAsia="Calibri"/>
          <w:lang w:val="en-US" w:eastAsia="en-US"/>
        </w:rPr>
        <w:t>Under the current Performance Management and Evaluation Policy, AusAID expects approximately 111 initiative evaluations to be undertaken each year.</w:t>
      </w:r>
      <w:r w:rsidRPr="00E57F60">
        <w:rPr>
          <w:rFonts w:eastAsia="Calibri" w:cs="Arial"/>
          <w:szCs w:val="14"/>
          <w:vertAlign w:val="superscript"/>
          <w:lang w:val="en-US" w:eastAsia="en-US"/>
        </w:rPr>
        <w:footnoteReference w:id="21"/>
      </w:r>
      <w:r w:rsidR="00670092">
        <w:rPr>
          <w:rFonts w:eastAsia="Calibri"/>
          <w:lang w:val="en-US" w:eastAsia="en-US"/>
        </w:rPr>
        <w:t xml:space="preserve"> </w:t>
      </w:r>
      <w:r w:rsidRPr="00E57F60">
        <w:rPr>
          <w:rFonts w:eastAsia="Calibri"/>
          <w:lang w:val="en-US" w:eastAsia="en-US"/>
        </w:rPr>
        <w:t xml:space="preserve">A recent </w:t>
      </w:r>
      <w:proofErr w:type="spellStart"/>
      <w:r w:rsidRPr="00E57F60">
        <w:rPr>
          <w:rFonts w:eastAsia="Calibri"/>
          <w:lang w:val="en-US" w:eastAsia="en-US"/>
        </w:rPr>
        <w:t>stocktake</w:t>
      </w:r>
      <w:proofErr w:type="spellEnd"/>
      <w:r w:rsidRPr="00E57F60">
        <w:rPr>
          <w:rFonts w:eastAsia="Calibri"/>
          <w:lang w:val="en-US" w:eastAsia="en-US"/>
        </w:rPr>
        <w:t xml:space="preserve"> of evaluations conducted for the 12 months ending October 2012</w:t>
      </w:r>
      <w:r w:rsidRPr="00E57F60">
        <w:rPr>
          <w:rFonts w:eastAsia="Calibri"/>
          <w:szCs w:val="14"/>
          <w:vertAlign w:val="superscript"/>
          <w:lang w:val="en-US" w:eastAsia="en-US"/>
        </w:rPr>
        <w:footnoteReference w:id="22"/>
      </w:r>
      <w:r w:rsidRPr="00E57F60">
        <w:rPr>
          <w:rFonts w:eastAsia="Calibri"/>
          <w:lang w:val="en-US" w:eastAsia="en-US"/>
        </w:rPr>
        <w:t xml:space="preserve"> identified 103 independent evaluations having been undertaken during that period, excluding ODE, thematic and geographic</w:t>
      </w:r>
      <w:r w:rsidR="00060DFD">
        <w:rPr>
          <w:rFonts w:eastAsia="Calibri"/>
          <w:lang w:val="en-US" w:eastAsia="en-US"/>
        </w:rPr>
        <w:t>-</w:t>
      </w:r>
      <w:r w:rsidRPr="00E57F60">
        <w:rPr>
          <w:rFonts w:eastAsia="Calibri"/>
          <w:lang w:val="en-US" w:eastAsia="en-US"/>
        </w:rPr>
        <w:t>based evaluations.</w:t>
      </w:r>
      <w:r w:rsidR="00670092">
        <w:rPr>
          <w:rFonts w:eastAsia="Calibri"/>
          <w:lang w:val="en-US" w:eastAsia="en-US"/>
        </w:rPr>
        <w:t xml:space="preserve"> </w:t>
      </w:r>
      <w:r w:rsidRPr="00E57F60">
        <w:rPr>
          <w:rFonts w:eastAsia="Calibri"/>
          <w:lang w:val="en-US" w:eastAsia="en-US"/>
        </w:rPr>
        <w:t>A relatively small number have been published.</w:t>
      </w:r>
    </w:p>
    <w:p w14:paraId="621ADCCB" w14:textId="633E3051" w:rsidR="00E57F60" w:rsidRPr="00E57F60" w:rsidRDefault="00E57F60" w:rsidP="00EE7CFC">
      <w:pPr>
        <w:rPr>
          <w:rFonts w:eastAsia="Calibri"/>
          <w:lang w:val="en-US" w:eastAsia="en-US"/>
        </w:rPr>
      </w:pPr>
      <w:r w:rsidRPr="00E57F60">
        <w:rPr>
          <w:rFonts w:eastAsia="Calibri"/>
          <w:lang w:val="en-US" w:eastAsia="en-US"/>
        </w:rPr>
        <w:t xml:space="preserve">Future </w:t>
      </w:r>
      <w:r w:rsidR="00544674">
        <w:rPr>
          <w:rFonts w:eastAsia="Calibri"/>
          <w:lang w:val="en-US" w:eastAsia="en-US"/>
        </w:rPr>
        <w:t>r</w:t>
      </w:r>
      <w:r w:rsidR="00544674" w:rsidRPr="00E57F60">
        <w:rPr>
          <w:rFonts w:eastAsia="Calibri"/>
          <w:lang w:val="en-US" w:eastAsia="en-US"/>
        </w:rPr>
        <w:t xml:space="preserve">eviews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may move to a financial year reporting period to align with other corporate reporting processes.</w:t>
      </w:r>
      <w:r w:rsidR="00670092">
        <w:rPr>
          <w:rFonts w:eastAsia="Calibri"/>
          <w:lang w:val="en-US" w:eastAsia="en-US"/>
        </w:rPr>
        <w:t xml:space="preserve"> </w:t>
      </w:r>
      <w:r w:rsidRPr="00E57F60">
        <w:rPr>
          <w:rFonts w:eastAsia="Calibri"/>
          <w:lang w:val="en-US" w:eastAsia="en-US"/>
        </w:rPr>
        <w:t xml:space="preserve">Future </w:t>
      </w:r>
      <w:r w:rsidR="00544674">
        <w:rPr>
          <w:rFonts w:eastAsia="Calibri"/>
          <w:lang w:val="en-US" w:eastAsia="en-US"/>
        </w:rPr>
        <w:t>r</w:t>
      </w:r>
      <w:r w:rsidR="00544674" w:rsidRPr="00E57F60">
        <w:rPr>
          <w:rFonts w:eastAsia="Calibri"/>
          <w:lang w:val="en-US" w:eastAsia="en-US"/>
        </w:rPr>
        <w:t xml:space="preserve">eviews </w:t>
      </w:r>
      <w:r w:rsidRPr="00E57F60">
        <w:rPr>
          <w:rFonts w:eastAsia="Calibri"/>
          <w:lang w:val="en-US" w:eastAsia="en-US"/>
        </w:rPr>
        <w:t xml:space="preserve">may also look at other types of evaluations (e.g. thematic evaluations, ODE evaluations, evaluations by other government departments). For the </w:t>
      </w:r>
      <w:r w:rsidRPr="00E57F60">
        <w:rPr>
          <w:rFonts w:eastAsia="Calibri"/>
          <w:lang w:val="en-US" w:eastAsia="en-US"/>
        </w:rPr>
        <w:lastRenderedPageBreak/>
        <w:t>purposes of this review, the basic characteristics of these other evaluations will be briefly considered by way of context.</w:t>
      </w:r>
    </w:p>
    <w:p w14:paraId="3B954A63" w14:textId="3A5D8048" w:rsidR="00E57F60" w:rsidRPr="00E57F60" w:rsidRDefault="00E57F60" w:rsidP="00EE7CFC">
      <w:pPr>
        <w:rPr>
          <w:rFonts w:eastAsia="Calibri"/>
          <w:lang w:val="en-US" w:eastAsia="en-US"/>
        </w:rPr>
      </w:pPr>
      <w:r w:rsidRPr="00E57F60">
        <w:rPr>
          <w:rFonts w:eastAsia="Calibri"/>
          <w:lang w:val="en-US" w:eastAsia="en-US"/>
        </w:rPr>
        <w:t xml:space="preserve">All evaluations will be included in the </w:t>
      </w:r>
      <w:r w:rsidR="00544674">
        <w:rPr>
          <w:rFonts w:eastAsia="Calibri"/>
          <w:lang w:val="en-US" w:eastAsia="en-US"/>
        </w:rPr>
        <w:t>q</w:t>
      </w:r>
      <w:r w:rsidR="00544674" w:rsidRPr="00E57F60">
        <w:rPr>
          <w:rFonts w:eastAsia="Calibri"/>
          <w:lang w:val="en-US" w:eastAsia="en-US"/>
        </w:rPr>
        <w:t xml:space="preserve">uality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component of the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valuations</w:t>
      </w:r>
      <w:r w:rsidRPr="00E57F60">
        <w:rPr>
          <w:rFonts w:eastAsia="Calibri"/>
          <w:lang w:val="en-US" w:eastAsia="en-US"/>
        </w:rPr>
        <w:t xml:space="preserve">. A selection of these evaluations will be used in the </w:t>
      </w:r>
      <w:r w:rsidR="00544674">
        <w:rPr>
          <w:rFonts w:eastAsia="Calibri"/>
          <w:lang w:val="en-US" w:eastAsia="en-US"/>
        </w:rPr>
        <w:t>s</w:t>
      </w:r>
      <w:r w:rsidR="00544674" w:rsidRPr="00E57F60">
        <w:rPr>
          <w:rFonts w:eastAsia="Calibri"/>
          <w:lang w:val="en-US" w:eastAsia="en-US"/>
        </w:rPr>
        <w:t xml:space="preserve">ynthesis </w:t>
      </w:r>
      <w:r w:rsidRPr="00E57F60">
        <w:rPr>
          <w:rFonts w:eastAsia="Calibri"/>
          <w:lang w:val="en-US" w:eastAsia="en-US"/>
        </w:rPr>
        <w:t xml:space="preserve">component. </w:t>
      </w:r>
    </w:p>
    <w:p w14:paraId="70FADB03" w14:textId="3EB1BA9B" w:rsidR="00B36C12" w:rsidRPr="00BD0294" w:rsidRDefault="00B36C12" w:rsidP="00AD6A55">
      <w:pPr>
        <w:spacing w:before="480" w:after="120" w:line="240" w:lineRule="auto"/>
        <w:ind w:left="720" w:hanging="720"/>
      </w:pPr>
      <w:bookmarkStart w:id="201" w:name="_Toc366500440"/>
      <w:bookmarkStart w:id="202" w:name="_Toc373303730"/>
      <w:bookmarkStart w:id="203" w:name="_Toc373304297"/>
      <w:bookmarkStart w:id="204" w:name="_Toc378059924"/>
      <w:bookmarkStart w:id="205" w:name="_Toc378060019"/>
      <w:r w:rsidRPr="00AD6A55">
        <w:rPr>
          <w:rFonts w:ascii="Arial" w:hAnsi="Arial" w:cs="Arial"/>
          <w:b/>
          <w:color w:val="124486"/>
          <w:sz w:val="28"/>
          <w:szCs w:val="28"/>
        </w:rPr>
        <w:t>3</w:t>
      </w:r>
      <w:r w:rsidRPr="00AD6A55">
        <w:rPr>
          <w:rFonts w:ascii="Arial" w:hAnsi="Arial" w:cs="Arial"/>
          <w:b/>
          <w:color w:val="124486"/>
          <w:sz w:val="28"/>
          <w:szCs w:val="28"/>
        </w:rPr>
        <w:tab/>
        <w:t>Objectives</w:t>
      </w:r>
      <w:bookmarkEnd w:id="201"/>
      <w:bookmarkEnd w:id="202"/>
      <w:bookmarkEnd w:id="203"/>
      <w:bookmarkEnd w:id="204"/>
      <w:bookmarkEnd w:id="205"/>
      <w:r w:rsidRPr="00AD6A55">
        <w:rPr>
          <w:rFonts w:ascii="Arial" w:hAnsi="Arial" w:cs="Arial"/>
          <w:b/>
          <w:color w:val="124486"/>
          <w:sz w:val="28"/>
          <w:szCs w:val="28"/>
        </w:rPr>
        <w:t xml:space="preserve"> </w:t>
      </w:r>
    </w:p>
    <w:p w14:paraId="62B0E96A" w14:textId="1734BCF1" w:rsidR="00B36C12" w:rsidRPr="00E57F60" w:rsidRDefault="00B36C12" w:rsidP="00B90BFF">
      <w:pPr>
        <w:rPr>
          <w:rFonts w:eastAsia="Calibri"/>
          <w:lang w:val="en-US" w:eastAsia="en-US"/>
        </w:rPr>
      </w:pPr>
      <w:r w:rsidRPr="00E57F60">
        <w:rPr>
          <w:rFonts w:eastAsia="Calibri"/>
          <w:lang w:val="en-US" w:eastAsia="en-US"/>
        </w:rPr>
        <w:t xml:space="preserve">In line with the purposes of evaluation in AusAID, and the quality issues highlighted in the meta-evaluations outlined above, this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has two objectives:</w:t>
      </w:r>
    </w:p>
    <w:p w14:paraId="37F773EE" w14:textId="77777777" w:rsidR="00B36C12" w:rsidRPr="007602B6" w:rsidRDefault="00B36C12" w:rsidP="007602B6">
      <w:pPr>
        <w:pStyle w:val="Bullet"/>
      </w:pPr>
      <w:r w:rsidRPr="007602B6">
        <w:t>to promote good quality independent evaluations (including appropriate coverage)</w:t>
      </w:r>
    </w:p>
    <w:p w14:paraId="6BCB9B4B" w14:textId="2B2744EF" w:rsidR="00E57F60" w:rsidRPr="00465E68" w:rsidRDefault="00B36C12" w:rsidP="00544674">
      <w:pPr>
        <w:pStyle w:val="BulletLast"/>
      </w:pPr>
      <w:r>
        <w:t>t</w:t>
      </w:r>
      <w:r w:rsidRPr="00697CBC">
        <w:t xml:space="preserve">o inform the Minister, public, partners and aid program staff of overarching lessons emerging from </w:t>
      </w:r>
      <w:r>
        <w:t>T</w:t>
      </w:r>
      <w:r w:rsidR="00E57F60" w:rsidRPr="00465E68">
        <w:t>he findings of independent evaluations.</w:t>
      </w:r>
    </w:p>
    <w:p w14:paraId="7D1186E6" w14:textId="6657A8C3" w:rsidR="00E57F60" w:rsidRPr="00E57F60" w:rsidRDefault="00E57F60" w:rsidP="007602B6">
      <w:pPr>
        <w:rPr>
          <w:rFonts w:eastAsia="Calibri"/>
          <w:lang w:val="en-US" w:eastAsia="en-US"/>
        </w:rPr>
      </w:pPr>
      <w:r w:rsidRPr="00E57F60">
        <w:rPr>
          <w:rFonts w:eastAsia="Calibri"/>
          <w:lang w:val="en-US" w:eastAsia="en-US"/>
        </w:rPr>
        <w:t xml:space="preserve">The findings from the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 xml:space="preserve">will also provide input for ODE’s 2014 </w:t>
      </w:r>
      <w:r w:rsidR="00544674">
        <w:rPr>
          <w:rFonts w:eastAsia="Calibri"/>
          <w:lang w:val="en-US" w:eastAsia="en-US"/>
        </w:rPr>
        <w:t>s</w:t>
      </w:r>
      <w:r w:rsidR="00544674" w:rsidRPr="00E57F60">
        <w:rPr>
          <w:rFonts w:eastAsia="Calibri"/>
          <w:lang w:val="en-US" w:eastAsia="en-US"/>
        </w:rPr>
        <w:t xml:space="preserve">ynthesis </w:t>
      </w:r>
      <w:r w:rsidRPr="00E57F60">
        <w:rPr>
          <w:rFonts w:eastAsia="Calibri"/>
          <w:lang w:val="en-US" w:eastAsia="en-US"/>
        </w:rPr>
        <w:t xml:space="preserve">of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 xml:space="preserve">and </w:t>
      </w:r>
      <w:r w:rsidR="00544674">
        <w:rPr>
          <w:rFonts w:eastAsia="Calibri"/>
          <w:lang w:val="en-US" w:eastAsia="en-US"/>
        </w:rPr>
        <w:t>q</w:t>
      </w:r>
      <w:r w:rsidR="00544674" w:rsidRPr="00E57F60">
        <w:rPr>
          <w:rFonts w:eastAsia="Calibri"/>
          <w:lang w:val="en-US" w:eastAsia="en-US"/>
        </w:rPr>
        <w:t xml:space="preserve">uality </w:t>
      </w:r>
      <w:r w:rsidR="00544674">
        <w:rPr>
          <w:rFonts w:eastAsia="Calibri"/>
          <w:lang w:val="en-US" w:eastAsia="en-US"/>
        </w:rPr>
        <w:t>a</w:t>
      </w:r>
      <w:r w:rsidR="00544674" w:rsidRPr="00E57F60">
        <w:rPr>
          <w:rFonts w:eastAsia="Calibri"/>
          <w:lang w:val="en-US" w:eastAsia="en-US"/>
        </w:rPr>
        <w:t xml:space="preserve">ssurance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and the 2014 </w:t>
      </w:r>
      <w:r w:rsidRPr="00AD6A55">
        <w:rPr>
          <w:rFonts w:eastAsia="Calibri"/>
          <w:i/>
          <w:lang w:val="en-US" w:eastAsia="en-US"/>
        </w:rPr>
        <w:t>Annual Review of Aid Effectiveness</w:t>
      </w:r>
      <w:r w:rsidRPr="00E57F60">
        <w:rPr>
          <w:rFonts w:eastAsia="Calibri"/>
          <w:lang w:val="en-US" w:eastAsia="en-US"/>
        </w:rPr>
        <w:t>.</w:t>
      </w:r>
      <w:r w:rsidR="00670092">
        <w:rPr>
          <w:rFonts w:eastAsia="Calibri"/>
          <w:lang w:val="en-US" w:eastAsia="en-US"/>
        </w:rPr>
        <w:t xml:space="preserve"> </w:t>
      </w:r>
      <w:r w:rsidRPr="00E57F60">
        <w:rPr>
          <w:rFonts w:eastAsia="Calibri"/>
          <w:lang w:val="en-US" w:eastAsia="en-US"/>
        </w:rPr>
        <w:t xml:space="preserve">It is anticipated that the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will become a regular product and this will be reflected in the agency’s PMEP.</w:t>
      </w:r>
    </w:p>
    <w:p w14:paraId="24713319" w14:textId="351D820E" w:rsidR="00E57F60" w:rsidRPr="00BD0294" w:rsidRDefault="005774E5" w:rsidP="00AD6A55">
      <w:pPr>
        <w:spacing w:before="480" w:after="120" w:line="240" w:lineRule="auto"/>
        <w:ind w:left="720" w:hanging="720"/>
      </w:pPr>
      <w:bookmarkStart w:id="206" w:name="_Toc366500441"/>
      <w:bookmarkStart w:id="207" w:name="_Toc373303731"/>
      <w:bookmarkStart w:id="208" w:name="_Toc373304298"/>
      <w:bookmarkStart w:id="209" w:name="_Toc378059925"/>
      <w:bookmarkStart w:id="210" w:name="_Toc378060020"/>
      <w:r w:rsidRPr="00AD6A55">
        <w:rPr>
          <w:rFonts w:ascii="Arial" w:hAnsi="Arial" w:cs="Arial"/>
          <w:b/>
          <w:color w:val="124486"/>
          <w:sz w:val="28"/>
          <w:szCs w:val="28"/>
        </w:rPr>
        <w:t>4</w:t>
      </w:r>
      <w:r w:rsidRPr="00AD6A55">
        <w:rPr>
          <w:rFonts w:ascii="Arial" w:hAnsi="Arial" w:cs="Arial"/>
          <w:b/>
          <w:color w:val="124486"/>
          <w:sz w:val="28"/>
          <w:szCs w:val="28"/>
        </w:rPr>
        <w:tab/>
      </w:r>
      <w:r w:rsidR="00E57F60" w:rsidRPr="00AD6A55">
        <w:rPr>
          <w:rFonts w:ascii="Arial" w:hAnsi="Arial" w:cs="Arial"/>
          <w:b/>
          <w:color w:val="124486"/>
          <w:sz w:val="28"/>
          <w:szCs w:val="28"/>
        </w:rPr>
        <w:t xml:space="preserve">Focus </w:t>
      </w:r>
      <w:r w:rsidR="001D2AFC" w:rsidRPr="00AD6A55">
        <w:rPr>
          <w:rFonts w:ascii="Arial" w:hAnsi="Arial" w:cs="Arial"/>
          <w:b/>
          <w:color w:val="124486"/>
          <w:sz w:val="28"/>
          <w:szCs w:val="28"/>
        </w:rPr>
        <w:t>q</w:t>
      </w:r>
      <w:r w:rsidR="00E57F60" w:rsidRPr="00AD6A55">
        <w:rPr>
          <w:rFonts w:ascii="Arial" w:hAnsi="Arial" w:cs="Arial"/>
          <w:b/>
          <w:color w:val="124486"/>
          <w:sz w:val="28"/>
          <w:szCs w:val="28"/>
        </w:rPr>
        <w:t>uestions</w:t>
      </w:r>
      <w:bookmarkEnd w:id="206"/>
      <w:bookmarkEnd w:id="207"/>
      <w:bookmarkEnd w:id="208"/>
      <w:bookmarkEnd w:id="209"/>
      <w:bookmarkEnd w:id="210"/>
    </w:p>
    <w:p w14:paraId="25C1FE35" w14:textId="4A92AE9B" w:rsidR="00E57F60" w:rsidRPr="00E57F60" w:rsidRDefault="00E57F60" w:rsidP="007602B6">
      <w:pPr>
        <w:rPr>
          <w:rFonts w:eastAsia="Calibri"/>
          <w:lang w:val="en-US" w:eastAsia="en-US"/>
        </w:rPr>
      </w:pPr>
      <w:r w:rsidRPr="00E57F60">
        <w:rPr>
          <w:rFonts w:eastAsia="Calibri"/>
          <w:lang w:val="en-US" w:eastAsia="en-US"/>
        </w:rPr>
        <w:t xml:space="preserve">The </w:t>
      </w:r>
      <w:r w:rsidR="00544674">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will seek to an</w:t>
      </w:r>
      <w:r w:rsidR="005774E5">
        <w:rPr>
          <w:rFonts w:eastAsia="Calibri"/>
          <w:lang w:val="en-US" w:eastAsia="en-US"/>
        </w:rPr>
        <w:t>swer the following questions.</w:t>
      </w:r>
    </w:p>
    <w:p w14:paraId="1E41EC9B" w14:textId="4ED5CF71" w:rsidR="00E57F60" w:rsidRPr="000F2448" w:rsidRDefault="00E57F60" w:rsidP="005774E5">
      <w:pPr>
        <w:pStyle w:val="Heading3a"/>
        <w:rPr>
          <w:rFonts w:eastAsia="Calibri"/>
          <w:lang w:val="en-US" w:eastAsia="en-US"/>
        </w:rPr>
      </w:pPr>
      <w:r w:rsidRPr="000F2448">
        <w:rPr>
          <w:rFonts w:eastAsia="Calibri"/>
          <w:lang w:val="en-US" w:eastAsia="en-US"/>
        </w:rPr>
        <w:t xml:space="preserve">Quality </w:t>
      </w:r>
      <w:r w:rsidR="001D2AFC">
        <w:rPr>
          <w:rFonts w:eastAsia="Calibri"/>
          <w:lang w:val="en-US" w:eastAsia="en-US"/>
        </w:rPr>
        <w:t>r</w:t>
      </w:r>
      <w:r w:rsidRPr="000F2448">
        <w:rPr>
          <w:rFonts w:eastAsia="Calibri"/>
          <w:lang w:val="en-US" w:eastAsia="en-US"/>
        </w:rPr>
        <w:t>eview</w:t>
      </w:r>
    </w:p>
    <w:p w14:paraId="621EB65F" w14:textId="77777777" w:rsidR="00E57F60" w:rsidRPr="00E57F60" w:rsidRDefault="00E57F60" w:rsidP="007602B6">
      <w:pPr>
        <w:pStyle w:val="Numberlist0"/>
      </w:pPr>
      <w:r w:rsidRPr="00E57F60">
        <w:t>1.</w:t>
      </w:r>
      <w:r w:rsidRPr="00E57F60">
        <w:tab/>
        <w:t>What are the basic characteristics of different levels of independent evaluation in the aid program and the history and nature of independent evaluation at the initiative level?</w:t>
      </w:r>
    </w:p>
    <w:p w14:paraId="4F473FF7" w14:textId="77777777" w:rsidR="00E57F60" w:rsidRPr="00E57F60" w:rsidRDefault="00E57F60" w:rsidP="007602B6">
      <w:pPr>
        <w:pStyle w:val="Numberlist0"/>
      </w:pPr>
      <w:r w:rsidRPr="00E57F60">
        <w:t>2.</w:t>
      </w:r>
      <w:r w:rsidRPr="00E57F60">
        <w:tab/>
        <w:t>To what degree do independent evaluations</w:t>
      </w:r>
      <w:r w:rsidRPr="00E57F60">
        <w:rPr>
          <w:szCs w:val="21"/>
          <w:vertAlign w:val="superscript"/>
        </w:rPr>
        <w:footnoteReference w:id="23"/>
      </w:r>
      <w:r w:rsidRPr="00E57F60">
        <w:t xml:space="preserve"> provide a credible source of evidence for the effectiveness of the Australian aid program?</w:t>
      </w:r>
    </w:p>
    <w:p w14:paraId="7B6DBE51" w14:textId="77777777" w:rsidR="00E57F60" w:rsidRPr="00E57F60" w:rsidRDefault="00E57F60" w:rsidP="007602B6">
      <w:pPr>
        <w:pStyle w:val="Numberlist0"/>
      </w:pPr>
      <w:r w:rsidRPr="00E57F60">
        <w:t>3.</w:t>
      </w:r>
      <w:r w:rsidRPr="00E57F60">
        <w:tab/>
        <w:t>What are the major strengths and weaknesses of independent evaluations conducted for AusAID?</w:t>
      </w:r>
    </w:p>
    <w:p w14:paraId="3C2B3697" w14:textId="77777777" w:rsidR="00E57F60" w:rsidRPr="00E57F60" w:rsidRDefault="00E57F60" w:rsidP="007602B6">
      <w:pPr>
        <w:pStyle w:val="Numberlist0"/>
      </w:pPr>
      <w:r w:rsidRPr="00E57F60">
        <w:t>4.</w:t>
      </w:r>
      <w:r w:rsidRPr="00E57F60">
        <w:tab/>
        <w:t xml:space="preserve">What are the factors that contribute to their quality? </w:t>
      </w:r>
    </w:p>
    <w:p w14:paraId="60DA20C9" w14:textId="77777777" w:rsidR="00E57F60" w:rsidRPr="00E57F60" w:rsidRDefault="00E57F60" w:rsidP="007602B6">
      <w:pPr>
        <w:pStyle w:val="Numberlist0"/>
      </w:pPr>
      <w:r w:rsidRPr="00E57F60">
        <w:t>5.</w:t>
      </w:r>
      <w:r w:rsidRPr="00E57F60">
        <w:tab/>
        <w:t>What actions should be taken to improve the quality and/or coverage of independent evaluations?</w:t>
      </w:r>
    </w:p>
    <w:p w14:paraId="2B28A85F" w14:textId="77777777" w:rsidR="00E57F60" w:rsidRPr="000F2448" w:rsidRDefault="00E57F60" w:rsidP="005774E5">
      <w:pPr>
        <w:pStyle w:val="Heading3a"/>
      </w:pPr>
      <w:r w:rsidRPr="000F2448">
        <w:t>Synthesis</w:t>
      </w:r>
    </w:p>
    <w:p w14:paraId="51D006D3" w14:textId="77777777" w:rsidR="00E57F60" w:rsidRPr="00E57F60" w:rsidRDefault="00E57F60" w:rsidP="007602B6">
      <w:pPr>
        <w:pStyle w:val="Numberlist0"/>
      </w:pPr>
      <w:r w:rsidRPr="00E57F60">
        <w:t>1.</w:t>
      </w:r>
      <w:r w:rsidRPr="00E57F60">
        <w:tab/>
        <w:t>What are the main lessons for the aid program emerging from the findings of independent evaluations?</w:t>
      </w:r>
    </w:p>
    <w:p w14:paraId="34A29CFA" w14:textId="49EC658D" w:rsidR="00E57F60" w:rsidRPr="00E57F60" w:rsidRDefault="00E57F60" w:rsidP="007602B6">
      <w:pPr>
        <w:pStyle w:val="Numberlist0"/>
      </w:pPr>
      <w:r w:rsidRPr="00E57F60">
        <w:t>2.</w:t>
      </w:r>
      <w:r w:rsidRPr="00E57F60">
        <w:tab/>
        <w:t>Are there any trends or patterns regarding the effectiveness, relevance, sustainability or other characteristics of evaluated initiatives?</w:t>
      </w:r>
      <w:r w:rsidR="005F670E">
        <w:rPr>
          <w:rStyle w:val="FootnoteReference"/>
          <w:rFonts w:ascii="Cambria" w:hAnsi="Cambria"/>
        </w:rPr>
        <w:footnoteReference w:id="24"/>
      </w:r>
    </w:p>
    <w:p w14:paraId="5D6CF1DE" w14:textId="332EAF82" w:rsidR="00E57F60" w:rsidRPr="00BD0294" w:rsidRDefault="005774E5" w:rsidP="00AD6A55">
      <w:pPr>
        <w:spacing w:before="480" w:after="120" w:line="240" w:lineRule="auto"/>
        <w:ind w:left="720" w:hanging="720"/>
      </w:pPr>
      <w:bookmarkStart w:id="211" w:name="_Toc366500442"/>
      <w:bookmarkStart w:id="212" w:name="_Toc373303732"/>
      <w:bookmarkStart w:id="213" w:name="_Toc373304299"/>
      <w:bookmarkStart w:id="214" w:name="_Toc378059926"/>
      <w:bookmarkStart w:id="215" w:name="_Toc378060021"/>
      <w:r w:rsidRPr="00AD6A55">
        <w:rPr>
          <w:rFonts w:ascii="Arial" w:hAnsi="Arial" w:cs="Arial"/>
          <w:b/>
          <w:color w:val="124486"/>
          <w:sz w:val="28"/>
          <w:szCs w:val="28"/>
        </w:rPr>
        <w:lastRenderedPageBreak/>
        <w:t>5</w:t>
      </w:r>
      <w:r w:rsidRPr="00AD6A55">
        <w:rPr>
          <w:rFonts w:ascii="Arial" w:hAnsi="Arial" w:cs="Arial"/>
          <w:b/>
          <w:color w:val="124486"/>
          <w:sz w:val="28"/>
          <w:szCs w:val="28"/>
        </w:rPr>
        <w:tab/>
      </w:r>
      <w:r w:rsidR="00E57F60" w:rsidRPr="00AD6A55">
        <w:rPr>
          <w:rFonts w:ascii="Arial" w:hAnsi="Arial" w:cs="Arial"/>
          <w:b/>
          <w:color w:val="124486"/>
          <w:sz w:val="28"/>
          <w:szCs w:val="28"/>
        </w:rPr>
        <w:t>Approach</w:t>
      </w:r>
      <w:bookmarkEnd w:id="211"/>
      <w:bookmarkEnd w:id="212"/>
      <w:bookmarkEnd w:id="213"/>
      <w:bookmarkEnd w:id="214"/>
      <w:bookmarkEnd w:id="215"/>
      <w:r w:rsidR="00E57F60" w:rsidRPr="00AD6A55">
        <w:rPr>
          <w:rFonts w:ascii="Arial" w:hAnsi="Arial" w:cs="Arial"/>
          <w:b/>
          <w:color w:val="124486"/>
          <w:sz w:val="28"/>
          <w:szCs w:val="28"/>
        </w:rPr>
        <w:t xml:space="preserve"> </w:t>
      </w:r>
    </w:p>
    <w:p w14:paraId="3787C3B1" w14:textId="2965CFA8" w:rsidR="00E57F60" w:rsidRPr="00E57F60" w:rsidRDefault="00E57F60" w:rsidP="007602B6">
      <w:pPr>
        <w:rPr>
          <w:rFonts w:eastAsia="Calibri"/>
          <w:lang w:val="en-US" w:eastAsia="en-US"/>
        </w:rPr>
      </w:pPr>
      <w:r w:rsidRPr="00E57F60">
        <w:rPr>
          <w:rFonts w:eastAsia="Calibri"/>
          <w:lang w:val="en-US" w:eastAsia="en-US"/>
        </w:rPr>
        <w:t xml:space="preserve">The </w:t>
      </w:r>
      <w:r w:rsidR="000D41A7">
        <w:rPr>
          <w:rFonts w:eastAsia="Calibri"/>
          <w:lang w:val="en-US" w:eastAsia="en-US"/>
        </w:rPr>
        <w:t>r</w:t>
      </w:r>
      <w:r w:rsidR="00544674" w:rsidRPr="00E57F60">
        <w:rPr>
          <w:rFonts w:eastAsia="Calibri"/>
          <w:lang w:val="en-US" w:eastAsia="en-US"/>
        </w:rPr>
        <w:t xml:space="preserve">eview </w:t>
      </w:r>
      <w:r w:rsidRPr="00E57F60">
        <w:rPr>
          <w:rFonts w:eastAsia="Calibri"/>
          <w:lang w:val="en-US" w:eastAsia="en-US"/>
        </w:rPr>
        <w:t xml:space="preserve">of </w:t>
      </w:r>
      <w:r w:rsidR="00544674">
        <w:rPr>
          <w:rFonts w:eastAsia="Calibri"/>
          <w:lang w:val="en-US" w:eastAsia="en-US"/>
        </w:rPr>
        <w:t>o</w:t>
      </w:r>
      <w:r w:rsidR="00544674" w:rsidRPr="00E57F60">
        <w:rPr>
          <w:rFonts w:eastAsia="Calibri"/>
          <w:lang w:val="en-US" w:eastAsia="en-US"/>
        </w:rPr>
        <w:t xml:space="preserve">perational </w:t>
      </w:r>
      <w:r w:rsidR="00544674">
        <w:rPr>
          <w:rFonts w:eastAsia="Calibri"/>
          <w:lang w:val="en-US" w:eastAsia="en-US"/>
        </w:rPr>
        <w:t>e</w:t>
      </w:r>
      <w:r w:rsidR="00544674" w:rsidRPr="00E57F60">
        <w:rPr>
          <w:rFonts w:eastAsia="Calibri"/>
          <w:lang w:val="en-US" w:eastAsia="en-US"/>
        </w:rPr>
        <w:t xml:space="preserve">valuations </w:t>
      </w:r>
      <w:r w:rsidRPr="00E57F60">
        <w:rPr>
          <w:rFonts w:eastAsia="Calibri"/>
          <w:lang w:val="en-US" w:eastAsia="en-US"/>
        </w:rPr>
        <w:t>will be conducted by a small team of consultants, and jointly managed by ODE and PEPD (Quality Performance and Results Branch), with input from a reference group comprised of AusAID senior management/advisers.</w:t>
      </w:r>
      <w:r w:rsidR="00670092">
        <w:rPr>
          <w:rFonts w:eastAsia="Calibri"/>
          <w:lang w:val="en-US" w:eastAsia="en-US"/>
        </w:rPr>
        <w:t xml:space="preserve"> </w:t>
      </w:r>
      <w:r w:rsidRPr="00E57F60">
        <w:rPr>
          <w:rFonts w:eastAsia="Calibri"/>
          <w:lang w:val="en-US" w:eastAsia="en-US"/>
        </w:rPr>
        <w:t>The review will be overseen by the IEC.</w:t>
      </w:r>
    </w:p>
    <w:p w14:paraId="6E6B224F" w14:textId="7B1037A5" w:rsidR="00E57F60" w:rsidRPr="00E57F60" w:rsidRDefault="00E57F60" w:rsidP="005774E5">
      <w:pPr>
        <w:pStyle w:val="Heading3a"/>
      </w:pPr>
      <w:bookmarkStart w:id="216" w:name="_Toc366500443"/>
      <w:bookmarkStart w:id="217" w:name="_Toc366506453"/>
      <w:r w:rsidRPr="00E57F60">
        <w:t xml:space="preserve">Preparatory </w:t>
      </w:r>
      <w:r w:rsidR="001D2AFC">
        <w:t>p</w:t>
      </w:r>
      <w:r w:rsidRPr="00E57F60">
        <w:t>hase</w:t>
      </w:r>
      <w:bookmarkEnd w:id="216"/>
      <w:bookmarkEnd w:id="217"/>
    </w:p>
    <w:p w14:paraId="1F1015B4" w14:textId="1E7B9C24" w:rsidR="00E57F60" w:rsidRPr="00E57F60" w:rsidRDefault="00E57F60" w:rsidP="007602B6">
      <w:pPr>
        <w:rPr>
          <w:rFonts w:eastAsia="Calibri"/>
          <w:lang w:val="en-US" w:eastAsia="en-US"/>
        </w:rPr>
      </w:pPr>
      <w:r w:rsidRPr="00E57F60">
        <w:rPr>
          <w:rFonts w:eastAsia="Calibri"/>
          <w:lang w:val="en-US" w:eastAsia="en-US"/>
        </w:rPr>
        <w:t>PEPD will look at the population of monitorable initiatives and conduct a compliance check against the evaluation requirements set out in the PMEP.</w:t>
      </w:r>
      <w:r w:rsidR="00670092">
        <w:rPr>
          <w:rFonts w:eastAsia="Calibri"/>
          <w:lang w:val="en-US" w:eastAsia="en-US"/>
        </w:rPr>
        <w:t xml:space="preserve"> </w:t>
      </w:r>
      <w:r w:rsidRPr="00E57F60">
        <w:rPr>
          <w:rFonts w:eastAsia="Calibri"/>
          <w:lang w:val="en-US" w:eastAsia="en-US"/>
        </w:rPr>
        <w:t>PEPD will collate a list of all independent evaluations which have been completed (i.e. the date of the final evaluation report) in the 2012 calendar year.</w:t>
      </w:r>
      <w:r w:rsidR="00670092">
        <w:rPr>
          <w:rFonts w:eastAsia="Calibri"/>
          <w:lang w:val="en-US" w:eastAsia="en-US"/>
        </w:rPr>
        <w:t xml:space="preserve"> </w:t>
      </w:r>
    </w:p>
    <w:p w14:paraId="471D6E89" w14:textId="367A2AA5" w:rsidR="00E57F60" w:rsidRPr="00E57F60" w:rsidRDefault="00E57F60" w:rsidP="007602B6">
      <w:pPr>
        <w:rPr>
          <w:rFonts w:eastAsia="Calibri"/>
          <w:lang w:val="en-US" w:eastAsia="en-US"/>
        </w:rPr>
      </w:pPr>
      <w:r w:rsidRPr="00E57F60">
        <w:rPr>
          <w:rFonts w:eastAsia="Calibri"/>
          <w:lang w:val="en-US" w:eastAsia="en-US"/>
        </w:rPr>
        <w:t xml:space="preserve">To identify any patterns in coverage or compliance, PEPD/ODE will </w:t>
      </w:r>
      <w:proofErr w:type="spellStart"/>
      <w:r w:rsidRPr="00E57F60">
        <w:rPr>
          <w:rFonts w:eastAsia="Calibri"/>
          <w:lang w:val="en-US" w:eastAsia="en-US"/>
        </w:rPr>
        <w:t>analyse</w:t>
      </w:r>
      <w:proofErr w:type="spellEnd"/>
      <w:r w:rsidRPr="00E57F60">
        <w:rPr>
          <w:rFonts w:eastAsia="Calibri"/>
          <w:lang w:val="en-US" w:eastAsia="en-US"/>
        </w:rPr>
        <w:t xml:space="preserve"> </w:t>
      </w:r>
      <w:proofErr w:type="spellStart"/>
      <w:r w:rsidRPr="00E57F60">
        <w:rPr>
          <w:rFonts w:eastAsia="Calibri"/>
          <w:lang w:val="en-US" w:eastAsia="en-US"/>
        </w:rPr>
        <w:t>AidWorks</w:t>
      </w:r>
      <w:proofErr w:type="spellEnd"/>
      <w:r w:rsidRPr="00E57F60">
        <w:rPr>
          <w:rFonts w:eastAsia="Calibri"/>
          <w:lang w:val="en-US" w:eastAsia="en-US"/>
        </w:rPr>
        <w:t xml:space="preserve"> data to compare the characteristics of the initiatives for which independent evaluations have been completed (including</w:t>
      </w:r>
      <w:r w:rsidR="00452FB9">
        <w:rPr>
          <w:rFonts w:eastAsia="Calibri"/>
          <w:lang w:val="en-US" w:eastAsia="en-US"/>
        </w:rPr>
        <w:t>,</w:t>
      </w:r>
      <w:r w:rsidRPr="00E57F60">
        <w:rPr>
          <w:rFonts w:eastAsia="Calibri"/>
          <w:lang w:val="en-US" w:eastAsia="en-US"/>
        </w:rPr>
        <w:t xml:space="preserve"> for example, stage of implementation, value, location, sector, implementing partner, modality) with those for which they haven’t been completed (including those for which exemptions were granted).</w:t>
      </w:r>
      <w:r w:rsidR="00670092">
        <w:rPr>
          <w:rFonts w:eastAsia="Calibri"/>
          <w:lang w:val="en-US" w:eastAsia="en-US"/>
        </w:rPr>
        <w:t xml:space="preserve"> </w:t>
      </w:r>
      <w:r w:rsidRPr="00E57F60">
        <w:rPr>
          <w:rFonts w:eastAsia="Calibri"/>
          <w:lang w:val="en-US" w:eastAsia="en-US"/>
        </w:rPr>
        <w:t xml:space="preserve">This analysis will feed into the </w:t>
      </w:r>
      <w:r w:rsidR="00544674">
        <w:rPr>
          <w:rFonts w:eastAsia="Calibri"/>
          <w:lang w:val="en-US" w:eastAsia="en-US"/>
        </w:rPr>
        <w:t>q</w:t>
      </w:r>
      <w:r w:rsidR="00544674" w:rsidRPr="00E57F60">
        <w:rPr>
          <w:rFonts w:eastAsia="Calibri"/>
          <w:lang w:val="en-US" w:eastAsia="en-US"/>
        </w:rPr>
        <w:t xml:space="preserve">uality </w:t>
      </w:r>
      <w:r w:rsidR="00544674">
        <w:rPr>
          <w:rFonts w:eastAsia="Calibri"/>
          <w:lang w:val="en-US" w:eastAsia="en-US"/>
        </w:rPr>
        <w:t>r</w:t>
      </w:r>
      <w:r w:rsidR="00544674" w:rsidRPr="00E57F60">
        <w:rPr>
          <w:rFonts w:eastAsia="Calibri"/>
          <w:lang w:val="en-US" w:eastAsia="en-US"/>
        </w:rPr>
        <w:t>eview</w:t>
      </w:r>
      <w:r w:rsidRPr="00E57F60">
        <w:rPr>
          <w:rFonts w:eastAsia="Calibri"/>
          <w:lang w:val="en-US" w:eastAsia="en-US"/>
        </w:rPr>
        <w:t>.</w:t>
      </w:r>
    </w:p>
    <w:p w14:paraId="4F2656EF" w14:textId="56F51DD2" w:rsidR="00E57F60" w:rsidRPr="00E57F60" w:rsidRDefault="00E57F60" w:rsidP="007602B6">
      <w:pPr>
        <w:rPr>
          <w:rFonts w:eastAsia="Calibri"/>
          <w:lang w:val="en-US" w:eastAsia="en-US"/>
        </w:rPr>
      </w:pPr>
      <w:r w:rsidRPr="00E57F60">
        <w:rPr>
          <w:rFonts w:eastAsia="Calibri"/>
          <w:lang w:val="en-US" w:eastAsia="en-US"/>
        </w:rPr>
        <w:t>In addition, the number and characteristics of thematically-based evaluations completed in the 2012 calendar year (i.e. the date of the final evaluation report) will be identified.</w:t>
      </w:r>
      <w:r w:rsidR="00670092">
        <w:rPr>
          <w:rFonts w:eastAsia="Calibri"/>
          <w:lang w:val="en-US" w:eastAsia="en-US"/>
        </w:rPr>
        <w:t xml:space="preserve"> </w:t>
      </w:r>
      <w:r w:rsidRPr="00E57F60">
        <w:rPr>
          <w:rFonts w:eastAsia="Calibri"/>
          <w:lang w:val="en-US" w:eastAsia="en-US"/>
        </w:rPr>
        <w:t xml:space="preserve">This data will inform the </w:t>
      </w:r>
      <w:r w:rsidR="00544674">
        <w:rPr>
          <w:rFonts w:eastAsia="Calibri"/>
          <w:lang w:val="en-US" w:eastAsia="en-US"/>
        </w:rPr>
        <w:t>q</w:t>
      </w:r>
      <w:r w:rsidR="00544674" w:rsidRPr="00E57F60">
        <w:rPr>
          <w:rFonts w:eastAsia="Calibri"/>
          <w:lang w:val="en-US" w:eastAsia="en-US"/>
        </w:rPr>
        <w:t xml:space="preserve">uality </w:t>
      </w:r>
      <w:r w:rsidR="00544674">
        <w:rPr>
          <w:rFonts w:eastAsia="Calibri"/>
          <w:lang w:val="en-US" w:eastAsia="en-US"/>
        </w:rPr>
        <w:t>r</w:t>
      </w:r>
      <w:r w:rsidR="00544674" w:rsidRPr="00E57F60">
        <w:rPr>
          <w:rFonts w:eastAsia="Calibri"/>
          <w:lang w:val="en-US" w:eastAsia="en-US"/>
        </w:rPr>
        <w:t>eview</w:t>
      </w:r>
      <w:r w:rsidR="00452FB9">
        <w:rPr>
          <w:rFonts w:eastAsia="Calibri"/>
          <w:lang w:val="en-US" w:eastAsia="en-US"/>
        </w:rPr>
        <w:t>;</w:t>
      </w:r>
      <w:r w:rsidRPr="00E57F60">
        <w:rPr>
          <w:rFonts w:eastAsia="Calibri"/>
          <w:lang w:val="en-US" w:eastAsia="en-US"/>
        </w:rPr>
        <w:t xml:space="preserve"> however, these evaluations will not themselves be quality reviewed.</w:t>
      </w:r>
    </w:p>
    <w:p w14:paraId="0CE1EE83" w14:textId="03900137" w:rsidR="00E57F60" w:rsidRPr="00E57F60" w:rsidRDefault="00E57F60" w:rsidP="007602B6">
      <w:pPr>
        <w:rPr>
          <w:rFonts w:eastAsia="Calibri"/>
          <w:lang w:val="en-US" w:eastAsia="en-US"/>
        </w:rPr>
      </w:pPr>
      <w:r w:rsidRPr="00E57F60">
        <w:rPr>
          <w:rFonts w:eastAsia="Calibri"/>
          <w:lang w:val="en-US" w:eastAsia="en-US"/>
        </w:rPr>
        <w:t xml:space="preserve">A review plan </w:t>
      </w:r>
      <w:r w:rsidRPr="00E57F60">
        <w:rPr>
          <w:rFonts w:eastAsia="MS Mincho"/>
          <w:lang w:val="en-US" w:eastAsia="en-US"/>
        </w:rPr>
        <w:t xml:space="preserve">providing details on the agreed methodology and how the </w:t>
      </w:r>
      <w:r w:rsidR="00544674">
        <w:rPr>
          <w:rFonts w:eastAsia="MS Mincho"/>
          <w:lang w:val="en-US" w:eastAsia="en-US"/>
        </w:rPr>
        <w:t>r</w:t>
      </w:r>
      <w:r w:rsidR="00544674" w:rsidRPr="00E57F60">
        <w:rPr>
          <w:rFonts w:eastAsia="MS Mincho"/>
          <w:lang w:val="en-US" w:eastAsia="en-US"/>
        </w:rPr>
        <w:t xml:space="preserve">eview </w:t>
      </w:r>
      <w:r w:rsidRPr="00E57F60">
        <w:rPr>
          <w:rFonts w:eastAsia="MS Mincho"/>
          <w:lang w:val="en-US" w:eastAsia="en-US"/>
        </w:rPr>
        <w:t xml:space="preserve">will be implemented </w:t>
      </w:r>
      <w:r w:rsidRPr="00E57F60">
        <w:rPr>
          <w:rFonts w:eastAsia="Calibri"/>
          <w:lang w:val="en-US" w:eastAsia="en-US"/>
        </w:rPr>
        <w:t>will be prepared, and endorsement sought from the IEC.</w:t>
      </w:r>
      <w:r w:rsidR="00670092">
        <w:rPr>
          <w:rFonts w:eastAsia="Calibri"/>
          <w:lang w:val="en-US" w:eastAsia="en-US"/>
        </w:rPr>
        <w:t xml:space="preserve"> </w:t>
      </w:r>
      <w:r w:rsidRPr="00E57F60">
        <w:rPr>
          <w:rFonts w:eastAsia="Calibri"/>
          <w:lang w:val="en-US" w:eastAsia="en-US"/>
        </w:rPr>
        <w:t xml:space="preserve">This review plan will be revised before the commencement of </w:t>
      </w:r>
      <w:r w:rsidR="000D41A7">
        <w:rPr>
          <w:rFonts w:eastAsia="Calibri"/>
          <w:lang w:val="en-US" w:eastAsia="en-US"/>
        </w:rPr>
        <w:t>p</w:t>
      </w:r>
      <w:r w:rsidR="000D41A7" w:rsidRPr="00E57F60">
        <w:rPr>
          <w:rFonts w:eastAsia="Calibri"/>
          <w:lang w:val="en-US" w:eastAsia="en-US"/>
        </w:rPr>
        <w:t xml:space="preserve">art </w:t>
      </w:r>
      <w:r w:rsidRPr="00E57F60">
        <w:rPr>
          <w:rFonts w:eastAsia="Calibri"/>
          <w:lang w:val="en-US" w:eastAsia="en-US"/>
        </w:rPr>
        <w:t>2</w:t>
      </w:r>
      <w:r w:rsidR="000D41A7">
        <w:rPr>
          <w:rFonts w:eastAsia="Calibri"/>
          <w:lang w:val="en-US" w:eastAsia="en-US"/>
        </w:rPr>
        <w:t>:</w:t>
      </w:r>
      <w:r w:rsidRPr="00E57F60">
        <w:rPr>
          <w:rFonts w:eastAsia="Calibri"/>
          <w:lang w:val="en-US" w:eastAsia="en-US"/>
        </w:rPr>
        <w:t xml:space="preserve"> </w:t>
      </w:r>
      <w:r w:rsidR="00544674">
        <w:rPr>
          <w:rFonts w:eastAsia="Calibri"/>
          <w:lang w:val="en-US" w:eastAsia="en-US"/>
        </w:rPr>
        <w:t>s</w:t>
      </w:r>
      <w:r w:rsidR="00544674" w:rsidRPr="00E57F60">
        <w:rPr>
          <w:rFonts w:eastAsia="Calibri"/>
          <w:lang w:val="en-US" w:eastAsia="en-US"/>
        </w:rPr>
        <w:t>ynthesis</w:t>
      </w:r>
      <w:r w:rsidRPr="00E57F60">
        <w:rPr>
          <w:rFonts w:eastAsia="Calibri"/>
          <w:lang w:val="en-US" w:eastAsia="en-US"/>
        </w:rPr>
        <w:t>.</w:t>
      </w:r>
    </w:p>
    <w:p w14:paraId="5287C957" w14:textId="445FE766" w:rsidR="00E57F60" w:rsidRPr="00E57F60" w:rsidRDefault="00E57F60" w:rsidP="005774E5">
      <w:pPr>
        <w:pStyle w:val="Heading3a"/>
      </w:pPr>
      <w:bookmarkStart w:id="218" w:name="_Toc366500444"/>
      <w:bookmarkStart w:id="219" w:name="_Toc366506454"/>
      <w:r w:rsidRPr="00E57F60">
        <w:t xml:space="preserve">Part 1: Quality </w:t>
      </w:r>
      <w:r w:rsidR="00452FB9">
        <w:t>r</w:t>
      </w:r>
      <w:r w:rsidRPr="00E57F60">
        <w:t>eview</w:t>
      </w:r>
      <w:bookmarkEnd w:id="218"/>
      <w:bookmarkEnd w:id="219"/>
    </w:p>
    <w:p w14:paraId="3E43FFD3" w14:textId="1B22D6D0" w:rsidR="00E57F60" w:rsidRPr="00E57F60" w:rsidRDefault="00E57F60" w:rsidP="007602B6">
      <w:r w:rsidRPr="00E57F60">
        <w:t xml:space="preserve">Part 1 of the </w:t>
      </w:r>
      <w:r w:rsidR="00544674">
        <w:t>r</w:t>
      </w:r>
      <w:r w:rsidR="00544674" w:rsidRPr="00E57F60">
        <w:t xml:space="preserve">eview </w:t>
      </w:r>
      <w:r w:rsidRPr="00E57F60">
        <w:t xml:space="preserve">of </w:t>
      </w:r>
      <w:r w:rsidR="00544674">
        <w:t>o</w:t>
      </w:r>
      <w:r w:rsidR="00544674" w:rsidRPr="00E57F60">
        <w:t xml:space="preserve">perational </w:t>
      </w:r>
      <w:r w:rsidR="00544674">
        <w:t>e</w:t>
      </w:r>
      <w:r w:rsidR="00544674" w:rsidRPr="00E57F60">
        <w:t xml:space="preserve">valuations </w:t>
      </w:r>
      <w:r w:rsidRPr="00E57F60">
        <w:t xml:space="preserve">is a meta-evaluation to assess the credibility and quality of evaluation reports, including the major strengths and weaknesses of independent evaluations and contributing factors. It will also identify actions that should be taken to improve the quality and/or coverage of independent evaluations. </w:t>
      </w:r>
    </w:p>
    <w:p w14:paraId="51BA06BC" w14:textId="77777777" w:rsidR="00E57F60" w:rsidRPr="00E57F60" w:rsidRDefault="00E57F60" w:rsidP="00050A3C">
      <w:pPr>
        <w:pStyle w:val="NormalBeforeBullet"/>
      </w:pPr>
      <w:r w:rsidRPr="00E57F60">
        <w:t>Key activities will include:</w:t>
      </w:r>
    </w:p>
    <w:p w14:paraId="68A14644" w14:textId="5FCCD6B8" w:rsidR="00E57F60" w:rsidRPr="00E57F60" w:rsidRDefault="00452FB9" w:rsidP="007602B6">
      <w:pPr>
        <w:pStyle w:val="Bullet"/>
      </w:pPr>
      <w:r>
        <w:t>a</w:t>
      </w:r>
      <w:r w:rsidR="00E57F60" w:rsidRPr="00E57F60">
        <w:t>ssessing each evaluation against the OECD</w:t>
      </w:r>
      <w:r>
        <w:rPr>
          <w:rFonts w:ascii="Cambria" w:hAnsi="Cambria"/>
        </w:rPr>
        <w:t>–</w:t>
      </w:r>
      <w:r w:rsidR="00E57F60" w:rsidRPr="00E57F60">
        <w:t>DAC evaluation criteria and a selection of the 2013 AusAID M&amp;E Standards. A clear method and pro forma will be developed to assess the credibility and quality of each evaluation’s assessments against each of the criteria</w:t>
      </w:r>
      <w:r w:rsidR="00E57F60" w:rsidRPr="009101E7">
        <w:rPr>
          <w:szCs w:val="21"/>
          <w:vertAlign w:val="superscript"/>
        </w:rPr>
        <w:footnoteReference w:id="25"/>
      </w:r>
    </w:p>
    <w:p w14:paraId="0E119518" w14:textId="1443122A" w:rsidR="00E57F60" w:rsidRPr="00E57F60" w:rsidRDefault="00452FB9" w:rsidP="007602B6">
      <w:pPr>
        <w:pStyle w:val="Bullet"/>
      </w:pPr>
      <w:r>
        <w:t>c</w:t>
      </w:r>
      <w:r w:rsidR="00E57F60" w:rsidRPr="00E57F60">
        <w:t>onducting analysis to determine whether there are any correlations between the quality of evaluations and the characteristics of the initiative (for example, value, location, sector, implementing partner, modality), or between the quality of evaluations and the characteristics of the evaluation (for example, stage of implementation, length of evaluation, time taken for evaluation fieldwork and reporting, focus on project or sector issues, degree of country-specific analysis</w:t>
      </w:r>
      <w:r w:rsidR="00E57F60" w:rsidRPr="009101E7">
        <w:t>)</w:t>
      </w:r>
    </w:p>
    <w:p w14:paraId="53916CE5" w14:textId="6C1C8B6E" w:rsidR="00E57F60" w:rsidRPr="00E57F60" w:rsidRDefault="00452FB9" w:rsidP="007602B6">
      <w:pPr>
        <w:pStyle w:val="BulletLast"/>
      </w:pPr>
      <w:r>
        <w:t>c</w:t>
      </w:r>
      <w:r w:rsidR="00E57F60" w:rsidRPr="00E57F60">
        <w:t>onducting interviews with evaluators and program managers from a sample of evaluations to help identify the factors contributing to stronger or weaker evaluations, primarily focusing on using an ‘appreciative inquiry’ approach.</w:t>
      </w:r>
    </w:p>
    <w:p w14:paraId="0D0B695B" w14:textId="42AF808F" w:rsidR="00E57F60" w:rsidRPr="00E57F60" w:rsidRDefault="00E57F60" w:rsidP="00050A3C">
      <w:pPr>
        <w:rPr>
          <w:rFonts w:eastAsia="Calibri"/>
          <w:lang w:val="en-US" w:eastAsia="en-US"/>
        </w:rPr>
      </w:pPr>
      <w:r w:rsidRPr="00E57F60">
        <w:rPr>
          <w:rFonts w:eastAsia="Calibri"/>
          <w:lang w:val="en-US" w:eastAsia="en-US"/>
        </w:rPr>
        <w:lastRenderedPageBreak/>
        <w:t>During the quality review, approximately six (6) examples of ‘good practice’ evaluation products (</w:t>
      </w:r>
      <w:r w:rsidR="00544674">
        <w:rPr>
          <w:rFonts w:eastAsia="Calibri"/>
          <w:lang w:val="en-US" w:eastAsia="en-US"/>
        </w:rPr>
        <w:t>t</w:t>
      </w:r>
      <w:r w:rsidR="00544674" w:rsidRPr="00E57F60">
        <w:rPr>
          <w:rFonts w:eastAsia="Calibri"/>
          <w:lang w:val="en-US" w:eastAsia="en-US"/>
        </w:rPr>
        <w:t xml:space="preserve">erms </w:t>
      </w:r>
      <w:r w:rsidRPr="00E57F60">
        <w:rPr>
          <w:rFonts w:eastAsia="Calibri"/>
          <w:lang w:val="en-US" w:eastAsia="en-US"/>
        </w:rPr>
        <w:t xml:space="preserve">of </w:t>
      </w:r>
      <w:r w:rsidR="00544674">
        <w:rPr>
          <w:rFonts w:eastAsia="Calibri"/>
          <w:lang w:val="en-US" w:eastAsia="en-US"/>
        </w:rPr>
        <w:t>r</w:t>
      </w:r>
      <w:r w:rsidR="00544674" w:rsidRPr="00E57F60">
        <w:rPr>
          <w:rFonts w:eastAsia="Calibri"/>
          <w:lang w:val="en-US" w:eastAsia="en-US"/>
        </w:rPr>
        <w:t>eference</w:t>
      </w:r>
      <w:r w:rsidRPr="00E57F60">
        <w:rPr>
          <w:rFonts w:eastAsia="Calibri"/>
          <w:lang w:val="en-US" w:eastAsia="en-US"/>
        </w:rPr>
        <w:t xml:space="preserve">, </w:t>
      </w:r>
      <w:r w:rsidR="00544674">
        <w:rPr>
          <w:rFonts w:eastAsia="Calibri"/>
          <w:lang w:val="en-US" w:eastAsia="en-US"/>
        </w:rPr>
        <w:t>e</w:t>
      </w:r>
      <w:r w:rsidR="00544674" w:rsidRPr="00E57F60">
        <w:rPr>
          <w:rFonts w:eastAsia="Calibri"/>
          <w:lang w:val="en-US" w:eastAsia="en-US"/>
        </w:rPr>
        <w:t xml:space="preserve">valuation </w:t>
      </w:r>
      <w:r w:rsidR="00544674">
        <w:rPr>
          <w:rFonts w:eastAsia="Calibri"/>
          <w:lang w:val="en-US" w:eastAsia="en-US"/>
        </w:rPr>
        <w:t>p</w:t>
      </w:r>
      <w:r w:rsidR="00544674" w:rsidRPr="00E57F60">
        <w:rPr>
          <w:rFonts w:eastAsia="Calibri"/>
          <w:lang w:val="en-US" w:eastAsia="en-US"/>
        </w:rPr>
        <w:t>lans</w:t>
      </w:r>
      <w:r w:rsidRPr="00E57F60">
        <w:rPr>
          <w:rFonts w:eastAsia="Calibri"/>
          <w:lang w:val="en-US" w:eastAsia="en-US"/>
        </w:rPr>
        <w:t xml:space="preserve">, and </w:t>
      </w:r>
      <w:r w:rsidR="00544674">
        <w:rPr>
          <w:rFonts w:eastAsia="Calibri"/>
          <w:lang w:val="en-US" w:eastAsia="en-US"/>
        </w:rPr>
        <w:t>e</w:t>
      </w:r>
      <w:r w:rsidR="00544674" w:rsidRPr="00E57F60">
        <w:rPr>
          <w:rFonts w:eastAsia="Calibri"/>
          <w:lang w:val="en-US" w:eastAsia="en-US"/>
        </w:rPr>
        <w:t xml:space="preserve">valuation </w:t>
      </w:r>
      <w:r w:rsidR="00544674">
        <w:rPr>
          <w:rFonts w:eastAsia="Calibri"/>
          <w:lang w:val="en-US" w:eastAsia="en-US"/>
        </w:rPr>
        <w:t>r</w:t>
      </w:r>
      <w:r w:rsidR="00544674" w:rsidRPr="00E57F60">
        <w:rPr>
          <w:rFonts w:eastAsia="Calibri"/>
          <w:lang w:val="en-US" w:eastAsia="en-US"/>
        </w:rPr>
        <w:t>eports</w:t>
      </w:r>
      <w:r w:rsidRPr="00E57F60">
        <w:rPr>
          <w:rFonts w:eastAsia="Calibri"/>
          <w:lang w:val="en-US" w:eastAsia="en-US"/>
        </w:rPr>
        <w:t>) will be identified.</w:t>
      </w:r>
      <w:r w:rsidR="00670092">
        <w:rPr>
          <w:rFonts w:eastAsia="Calibri"/>
          <w:lang w:val="en-US" w:eastAsia="en-US"/>
        </w:rPr>
        <w:t xml:space="preserve"> </w:t>
      </w:r>
      <w:r w:rsidRPr="00E57F60">
        <w:rPr>
          <w:rFonts w:eastAsia="Calibri"/>
          <w:lang w:val="en-US" w:eastAsia="en-US"/>
        </w:rPr>
        <w:t>These examples illustrating ‘good practices’ identified during the quality review of the evaluation population will be discussed in an annex to the final report, with a focus on providing learning to AusAID staff.</w:t>
      </w:r>
      <w:r w:rsidR="00670092">
        <w:rPr>
          <w:rFonts w:eastAsia="Calibri"/>
          <w:lang w:val="en-US" w:eastAsia="en-US"/>
        </w:rPr>
        <w:t xml:space="preserve"> </w:t>
      </w:r>
      <w:r w:rsidRPr="00E57F60">
        <w:rPr>
          <w:rFonts w:eastAsia="Calibri"/>
          <w:lang w:val="en-US" w:eastAsia="en-US"/>
        </w:rPr>
        <w:t>At least two good quality examples of each type of evaluation product will be sought.</w:t>
      </w:r>
    </w:p>
    <w:p w14:paraId="09D58B93" w14:textId="37BC8481" w:rsidR="00E57F60" w:rsidRPr="00E57F60" w:rsidRDefault="00E57F60" w:rsidP="00050A3C">
      <w:pPr>
        <w:rPr>
          <w:rFonts w:eastAsia="Calibri"/>
          <w:lang w:val="en-US" w:eastAsia="en-US"/>
        </w:rPr>
      </w:pPr>
      <w:r w:rsidRPr="00E57F60">
        <w:rPr>
          <w:rFonts w:eastAsia="Calibri"/>
          <w:lang w:val="en-US" w:eastAsia="en-US"/>
        </w:rPr>
        <w:t>Following an approach yet to be decided, feedback on the assessment of individual evaluations will be provided to initiative/program managers.</w:t>
      </w:r>
      <w:r w:rsidR="00670092">
        <w:rPr>
          <w:rFonts w:eastAsia="Calibri"/>
          <w:lang w:val="en-US" w:eastAsia="en-US"/>
        </w:rPr>
        <w:t xml:space="preserve"> </w:t>
      </w:r>
    </w:p>
    <w:p w14:paraId="60582CC4" w14:textId="298E8047" w:rsidR="00E57F60" w:rsidRPr="00E57F60" w:rsidRDefault="00E57F60" w:rsidP="00050A3C">
      <w:pPr>
        <w:rPr>
          <w:rFonts w:eastAsia="Calibri"/>
          <w:lang w:val="en-US" w:eastAsia="en-US"/>
        </w:rPr>
      </w:pPr>
      <w:r w:rsidRPr="00E57F60">
        <w:rPr>
          <w:rFonts w:eastAsia="Calibri"/>
          <w:lang w:val="en-US" w:eastAsia="en-US"/>
        </w:rPr>
        <w:t>In the case that the consultants in the review team have been involved in undertaking an evaluation that is subject to quality review, or in designing or implementing that initiative, they will be recused from conducting the quality assessment for that evaluation to avoid a conflict of interest.</w:t>
      </w:r>
      <w:r w:rsidR="00670092">
        <w:rPr>
          <w:rFonts w:eastAsia="Calibri"/>
          <w:lang w:val="en-US" w:eastAsia="en-US"/>
        </w:rPr>
        <w:t xml:space="preserve"> </w:t>
      </w:r>
      <w:r w:rsidRPr="00E57F60">
        <w:rPr>
          <w:rFonts w:eastAsia="Calibri"/>
          <w:lang w:val="en-US" w:eastAsia="en-US"/>
        </w:rPr>
        <w:t>The AusAID management team will identify a suitable substitute quality reviewer for the evaluation in question, and this will be acknowledged in the report.</w:t>
      </w:r>
    </w:p>
    <w:p w14:paraId="31BA350B" w14:textId="77777777" w:rsidR="00E57F60" w:rsidRPr="00E57F60" w:rsidRDefault="00E57F60" w:rsidP="005774E5">
      <w:pPr>
        <w:pStyle w:val="Heading3a"/>
      </w:pPr>
      <w:bookmarkStart w:id="220" w:name="_Toc366500445"/>
      <w:bookmarkStart w:id="221" w:name="_Toc366506455"/>
      <w:r w:rsidRPr="00E57F60">
        <w:t>Part 2: Synthesis</w:t>
      </w:r>
      <w:bookmarkEnd w:id="220"/>
      <w:bookmarkEnd w:id="221"/>
    </w:p>
    <w:p w14:paraId="4F91B8AB" w14:textId="36635DEB" w:rsidR="00E57F60" w:rsidRPr="00E57F60" w:rsidRDefault="00E57F60" w:rsidP="00EE7CFC">
      <w:r w:rsidRPr="00E57F60">
        <w:t xml:space="preserve">Part 2 of the </w:t>
      </w:r>
      <w:r w:rsidR="00544674">
        <w:t>r</w:t>
      </w:r>
      <w:r w:rsidR="00544674" w:rsidRPr="00E57F60">
        <w:t xml:space="preserve">eview </w:t>
      </w:r>
      <w:r w:rsidRPr="00E57F60">
        <w:t xml:space="preserve">of </w:t>
      </w:r>
      <w:r w:rsidR="00544674">
        <w:t>o</w:t>
      </w:r>
      <w:r w:rsidR="00544674" w:rsidRPr="00E57F60">
        <w:t xml:space="preserve">perational </w:t>
      </w:r>
      <w:r w:rsidR="00544674">
        <w:t>e</w:t>
      </w:r>
      <w:r w:rsidR="00544674" w:rsidRPr="00E57F60">
        <w:t xml:space="preserve">valuations </w:t>
      </w:r>
      <w:r w:rsidRPr="00E57F60">
        <w:t xml:space="preserve">will be a synthesis of insightful and useful lessons from a selection of evaluations with particular characteristics (for example, sector, location, implementing partner, modality). </w:t>
      </w:r>
    </w:p>
    <w:p w14:paraId="24665183" w14:textId="77777777" w:rsidR="00E57F60" w:rsidRPr="00E57F60" w:rsidRDefault="00E57F60" w:rsidP="00EE7CFC">
      <w:r w:rsidRPr="00E57F60">
        <w:t>The following approach will be taken:</w:t>
      </w:r>
    </w:p>
    <w:p w14:paraId="0451DCD2" w14:textId="3F7E5B4A" w:rsidR="00E57F60" w:rsidRPr="00050A3C" w:rsidRDefault="00E57F60" w:rsidP="00050A3C">
      <w:pPr>
        <w:pStyle w:val="Bullet"/>
      </w:pPr>
      <w:r w:rsidRPr="00050A3C">
        <w:t xml:space="preserve">Using a methodology to be developed in consultation with the consultants, the synthesis focus and sample will be determined, drawing on the analysis of the characteristics of evaluations during the </w:t>
      </w:r>
      <w:r w:rsidR="000D41A7">
        <w:t>q</w:t>
      </w:r>
      <w:r w:rsidR="000D41A7" w:rsidRPr="00050A3C">
        <w:t xml:space="preserve">uality </w:t>
      </w:r>
      <w:r w:rsidR="000D41A7">
        <w:t>r</w:t>
      </w:r>
      <w:r w:rsidR="000D41A7" w:rsidRPr="00050A3C">
        <w:t xml:space="preserve">eview </w:t>
      </w:r>
      <w:r w:rsidRPr="00050A3C">
        <w:t xml:space="preserve">and discussion regarding possible focus areas with the reference group and relevant program/thematic areas. Through this process, more specific evaluation questions will be developed for the </w:t>
      </w:r>
      <w:r w:rsidR="000D41A7">
        <w:t>s</w:t>
      </w:r>
      <w:r w:rsidR="000D41A7" w:rsidRPr="00050A3C">
        <w:t xml:space="preserve">ynthesis </w:t>
      </w:r>
      <w:r w:rsidRPr="00050A3C">
        <w:t xml:space="preserve">and the final sample selected on the basis of these questions. </w:t>
      </w:r>
    </w:p>
    <w:p w14:paraId="539109AD" w14:textId="77777777" w:rsidR="00E57F60" w:rsidRPr="00050A3C" w:rsidRDefault="00E57F60" w:rsidP="00050A3C">
      <w:pPr>
        <w:pStyle w:val="Bullet"/>
      </w:pPr>
      <w:r w:rsidRPr="00050A3C">
        <w:t>It is anticipated that a maximum of 60 evaluation reports will be included in the synthesis.</w:t>
      </w:r>
    </w:p>
    <w:p w14:paraId="7E2D242F" w14:textId="77777777" w:rsidR="00E57F60" w:rsidRPr="00050A3C" w:rsidRDefault="00E57F60" w:rsidP="00050A3C">
      <w:pPr>
        <w:pStyle w:val="Bullet"/>
      </w:pPr>
      <w:r w:rsidRPr="00050A3C">
        <w:t xml:space="preserve">Findings from the individual evaluations which fall within the synthesis sample will be </w:t>
      </w:r>
      <w:proofErr w:type="spellStart"/>
      <w:r w:rsidRPr="00050A3C">
        <w:t>analysed</w:t>
      </w:r>
      <w:proofErr w:type="spellEnd"/>
      <w:r w:rsidRPr="00050A3C">
        <w:t xml:space="preserve"> and </w:t>
      </w:r>
      <w:proofErr w:type="spellStart"/>
      <w:r w:rsidRPr="00050A3C">
        <w:t>synthesised</w:t>
      </w:r>
      <w:proofErr w:type="spellEnd"/>
      <w:r w:rsidRPr="00050A3C">
        <w:t xml:space="preserve">. This may include interviews with key specialist staff and/or seeking to compare the </w:t>
      </w:r>
      <w:proofErr w:type="spellStart"/>
      <w:r w:rsidRPr="00050A3C">
        <w:t>synthesised</w:t>
      </w:r>
      <w:proofErr w:type="spellEnd"/>
      <w:r w:rsidRPr="00050A3C">
        <w:t xml:space="preserve"> findings with findings from other international evidence sources (particularly if there is clear contradiction or correlation) in order to explore particular issues in more depth.</w:t>
      </w:r>
    </w:p>
    <w:p w14:paraId="24D22652" w14:textId="77777777" w:rsidR="00E57F60" w:rsidRPr="00E57F60" w:rsidRDefault="00E57F60" w:rsidP="00050A3C">
      <w:pPr>
        <w:pStyle w:val="BulletLast"/>
      </w:pPr>
      <w:r w:rsidRPr="00E57F60">
        <w:t>The findings of the synthesis will be tested through peer review with the reference group and other subject matter specialists, country specialists or modality specialists (depending on the focus areas covered).</w:t>
      </w:r>
    </w:p>
    <w:p w14:paraId="2D14EC62" w14:textId="78A34878" w:rsidR="00E57F60" w:rsidRPr="00BD0294" w:rsidRDefault="005774E5" w:rsidP="00AD6A55">
      <w:pPr>
        <w:spacing w:before="480" w:after="120" w:line="240" w:lineRule="auto"/>
        <w:ind w:left="720" w:hanging="720"/>
      </w:pPr>
      <w:bookmarkStart w:id="222" w:name="_Toc366500446"/>
      <w:bookmarkStart w:id="223" w:name="_Toc373303733"/>
      <w:bookmarkStart w:id="224" w:name="_Toc373304300"/>
      <w:bookmarkStart w:id="225" w:name="_Toc378059927"/>
      <w:bookmarkStart w:id="226" w:name="_Toc378060022"/>
      <w:r w:rsidRPr="00AD6A55">
        <w:rPr>
          <w:rFonts w:ascii="Arial" w:hAnsi="Arial" w:cs="Arial"/>
          <w:b/>
          <w:color w:val="124486"/>
          <w:sz w:val="28"/>
          <w:szCs w:val="28"/>
        </w:rPr>
        <w:t>6</w:t>
      </w:r>
      <w:r w:rsidRPr="00AD6A55">
        <w:rPr>
          <w:rFonts w:ascii="Arial" w:hAnsi="Arial" w:cs="Arial"/>
          <w:b/>
          <w:color w:val="124486"/>
          <w:sz w:val="28"/>
          <w:szCs w:val="28"/>
        </w:rPr>
        <w:tab/>
      </w:r>
      <w:r w:rsidR="00E57F60" w:rsidRPr="00AD6A55">
        <w:rPr>
          <w:rFonts w:ascii="Arial" w:hAnsi="Arial" w:cs="Arial"/>
          <w:b/>
          <w:color w:val="124486"/>
          <w:sz w:val="28"/>
          <w:szCs w:val="28"/>
        </w:rPr>
        <w:t>Outputs</w:t>
      </w:r>
      <w:bookmarkEnd w:id="222"/>
      <w:bookmarkEnd w:id="223"/>
      <w:bookmarkEnd w:id="224"/>
      <w:bookmarkEnd w:id="225"/>
      <w:bookmarkEnd w:id="226"/>
    </w:p>
    <w:p w14:paraId="16BD4837" w14:textId="4029420F" w:rsidR="00E57F60" w:rsidRPr="00E57F60" w:rsidRDefault="00E57F60" w:rsidP="000D41A7">
      <w:r w:rsidRPr="00E57F60">
        <w:t xml:space="preserve">A </w:t>
      </w:r>
      <w:r w:rsidRPr="00E57F60">
        <w:rPr>
          <w:b/>
        </w:rPr>
        <w:t>review plan</w:t>
      </w:r>
      <w:r w:rsidRPr="00E57F60">
        <w:t xml:space="preserve"> will provide details on the methodology to be used and how the </w:t>
      </w:r>
      <w:r w:rsidR="000D41A7">
        <w:t>r</w:t>
      </w:r>
      <w:r w:rsidR="000D41A7" w:rsidRPr="00E57F60">
        <w:t xml:space="preserve">eview </w:t>
      </w:r>
      <w:r w:rsidRPr="00E57F60">
        <w:t>will be implemented.</w:t>
      </w:r>
      <w:r w:rsidR="00670092">
        <w:t xml:space="preserve"> </w:t>
      </w:r>
      <w:r w:rsidRPr="00E57F60">
        <w:t xml:space="preserve">The review plan will be prepared by the review team (consultants), and will be endorsed by the IEC prior to the </w:t>
      </w:r>
      <w:r w:rsidR="000D41A7">
        <w:t>q</w:t>
      </w:r>
      <w:r w:rsidR="000D41A7" w:rsidRPr="00E57F60">
        <w:t xml:space="preserve">uality </w:t>
      </w:r>
      <w:r w:rsidR="000D41A7">
        <w:t>r</w:t>
      </w:r>
      <w:r w:rsidR="000D41A7" w:rsidRPr="00E57F60">
        <w:t xml:space="preserve">eview </w:t>
      </w:r>
      <w:r w:rsidRPr="00E57F60">
        <w:t>commencing.</w:t>
      </w:r>
      <w:r w:rsidR="00670092">
        <w:t xml:space="preserve"> </w:t>
      </w:r>
      <w:r w:rsidRPr="00E57F60">
        <w:t xml:space="preserve">This review plan will be reviewed after </w:t>
      </w:r>
      <w:r w:rsidR="000D41A7">
        <w:t>p</w:t>
      </w:r>
      <w:r w:rsidR="000D41A7" w:rsidRPr="00E57F60">
        <w:t xml:space="preserve">art </w:t>
      </w:r>
      <w:r w:rsidRPr="00E57F60">
        <w:t xml:space="preserve">1: </w:t>
      </w:r>
      <w:r w:rsidR="000D41A7">
        <w:t>q</w:t>
      </w:r>
      <w:r w:rsidR="000D41A7" w:rsidRPr="00E57F60">
        <w:t xml:space="preserve">uality </w:t>
      </w:r>
      <w:r w:rsidR="000D41A7">
        <w:t>r</w:t>
      </w:r>
      <w:r w:rsidR="000D41A7" w:rsidRPr="00E57F60">
        <w:t xml:space="preserve">eview </w:t>
      </w:r>
      <w:r w:rsidRPr="00E57F60">
        <w:t>has been completed.</w:t>
      </w:r>
    </w:p>
    <w:p w14:paraId="76882CEF" w14:textId="3C891D45" w:rsidR="00E57F60" w:rsidRPr="00E57F60" w:rsidRDefault="00E57F60" w:rsidP="000D41A7">
      <w:r w:rsidRPr="00E57F60">
        <w:t xml:space="preserve">The key output will be a </w:t>
      </w:r>
      <w:r w:rsidRPr="00E57F60">
        <w:rPr>
          <w:b/>
        </w:rPr>
        <w:t xml:space="preserve">final report </w:t>
      </w:r>
      <w:r w:rsidRPr="00E57F60">
        <w:t xml:space="preserve">presenting the findings of the </w:t>
      </w:r>
      <w:r w:rsidR="000D41A7">
        <w:t>q</w:t>
      </w:r>
      <w:r w:rsidR="000D41A7" w:rsidRPr="00E57F60">
        <w:t xml:space="preserve">uality </w:t>
      </w:r>
      <w:r w:rsidR="000D41A7">
        <w:t>r</w:t>
      </w:r>
      <w:r w:rsidR="000D41A7" w:rsidRPr="00E57F60">
        <w:t xml:space="preserve">eview </w:t>
      </w:r>
      <w:r w:rsidRPr="00E57F60">
        <w:t xml:space="preserve">and the </w:t>
      </w:r>
      <w:r w:rsidR="000D41A7">
        <w:t>s</w:t>
      </w:r>
      <w:r w:rsidR="000D41A7" w:rsidRPr="00E57F60">
        <w:t>ynthesis</w:t>
      </w:r>
      <w:r w:rsidRPr="00E57F60">
        <w:t>.</w:t>
      </w:r>
      <w:r w:rsidR="00670092">
        <w:t xml:space="preserve"> </w:t>
      </w:r>
      <w:r w:rsidRPr="00E57F60">
        <w:t>This report will summarise the evidence collected, present analysis and findings, and make recommendations where appropriate.</w:t>
      </w:r>
      <w:r w:rsidR="00670092">
        <w:t xml:space="preserve"> </w:t>
      </w:r>
      <w:r w:rsidRPr="00E57F60">
        <w:t>The report will be approximately 30</w:t>
      </w:r>
      <w:r w:rsidR="00452FB9">
        <w:rPr>
          <w:rFonts w:ascii="Cambria" w:hAnsi="Cambria"/>
        </w:rPr>
        <w:t>–</w:t>
      </w:r>
      <w:r w:rsidRPr="00E57F60">
        <w:t xml:space="preserve">35 pages in length (plus 4-page executive summary), and will include a </w:t>
      </w:r>
      <w:r w:rsidR="000D41A7">
        <w:t>q</w:t>
      </w:r>
      <w:r w:rsidR="000D41A7" w:rsidRPr="00E57F60">
        <w:t xml:space="preserve">uality </w:t>
      </w:r>
      <w:r w:rsidR="000D41A7">
        <w:t>r</w:t>
      </w:r>
      <w:r w:rsidR="000D41A7" w:rsidRPr="00E57F60">
        <w:t xml:space="preserve">eview </w:t>
      </w:r>
      <w:r w:rsidRPr="00E57F60">
        <w:t xml:space="preserve">section of a maximum of 15 pages and a </w:t>
      </w:r>
      <w:r w:rsidR="000D41A7">
        <w:t>s</w:t>
      </w:r>
      <w:r w:rsidR="000D41A7" w:rsidRPr="00E57F60">
        <w:t xml:space="preserve">ynthesis </w:t>
      </w:r>
      <w:r w:rsidRPr="00E57F60">
        <w:t>report of maximum 15 pages.</w:t>
      </w:r>
      <w:r w:rsidR="00670092">
        <w:t xml:space="preserve"> </w:t>
      </w:r>
      <w:r w:rsidRPr="00E57F60">
        <w:t xml:space="preserve">The report will include a context section that describes the characteristics of different types of independent evaluation conducted at different levels of the aid </w:t>
      </w:r>
      <w:r w:rsidRPr="00E57F60">
        <w:lastRenderedPageBreak/>
        <w:t>program (ODE, thematic, geographically based, other government department and initiative level) before focusing in more detail on the history and nature of initiative-level independent evaluations since about 2006.</w:t>
      </w:r>
      <w:r w:rsidR="00670092">
        <w:t xml:space="preserve"> </w:t>
      </w:r>
      <w:r w:rsidRPr="00E57F60">
        <w:t xml:space="preserve">The report will be prepared by the review team (consultants) in two separate parts, and will be reviewed by ODE, PEPD, the reference group, </w:t>
      </w:r>
      <w:r w:rsidR="000D41A7">
        <w:t>p</w:t>
      </w:r>
      <w:r w:rsidR="000D41A7" w:rsidRPr="00E57F60">
        <w:t xml:space="preserve">eer </w:t>
      </w:r>
      <w:r w:rsidR="000D41A7">
        <w:t>r</w:t>
      </w:r>
      <w:r w:rsidR="000D41A7" w:rsidRPr="00E57F60">
        <w:t xml:space="preserve">eviewers </w:t>
      </w:r>
      <w:r w:rsidRPr="00E57F60">
        <w:t>(</w:t>
      </w:r>
      <w:r w:rsidR="000D41A7">
        <w:t>p</w:t>
      </w:r>
      <w:r w:rsidR="000D41A7" w:rsidRPr="00E57F60">
        <w:t xml:space="preserve">art </w:t>
      </w:r>
      <w:r w:rsidRPr="00E57F60">
        <w:t>2</w:t>
      </w:r>
      <w:r w:rsidR="000D41A7">
        <w:t>:</w:t>
      </w:r>
      <w:r w:rsidRPr="00E57F60">
        <w:t xml:space="preserve"> </w:t>
      </w:r>
      <w:r w:rsidR="000D41A7">
        <w:t>s</w:t>
      </w:r>
      <w:r w:rsidR="000D41A7" w:rsidRPr="00E57F60">
        <w:t xml:space="preserve">ynthesis </w:t>
      </w:r>
      <w:r w:rsidRPr="00E57F60">
        <w:t>only) and the IEC.</w:t>
      </w:r>
      <w:r w:rsidR="00670092">
        <w:t xml:space="preserve"> </w:t>
      </w:r>
    </w:p>
    <w:p w14:paraId="6130CD8D" w14:textId="6EE129B1" w:rsidR="00E57F60" w:rsidRPr="00E57F60" w:rsidRDefault="00E57F60" w:rsidP="000D41A7">
      <w:r w:rsidRPr="00E57F60">
        <w:t xml:space="preserve">Approximately six (6) </w:t>
      </w:r>
      <w:r w:rsidRPr="00E57F60">
        <w:rPr>
          <w:b/>
        </w:rPr>
        <w:t>examples of ‘good practice’ evaluation products</w:t>
      </w:r>
      <w:r w:rsidRPr="00E57F60">
        <w:t xml:space="preserve"> will be identified and discussed in an annex to the final report.</w:t>
      </w:r>
      <w:r w:rsidR="00670092">
        <w:t xml:space="preserve"> </w:t>
      </w:r>
      <w:r w:rsidRPr="00E57F60">
        <w:t>If possible, the examples chosen will be from initiatives with diverse characteristics (e.g. sectors, geography, implementing partner).</w:t>
      </w:r>
      <w:r w:rsidR="00670092">
        <w:t xml:space="preserve"> </w:t>
      </w:r>
      <w:r w:rsidRPr="00E57F60">
        <w:t xml:space="preserve">The examples should include at least two (2) examples of each of a range of good practice products (e.g. </w:t>
      </w:r>
      <w:r w:rsidR="000D41A7">
        <w:t>t</w:t>
      </w:r>
      <w:r w:rsidR="000D41A7" w:rsidRPr="00E57F60">
        <w:t xml:space="preserve">erms </w:t>
      </w:r>
      <w:r w:rsidRPr="00E57F60">
        <w:t xml:space="preserve">of </w:t>
      </w:r>
      <w:r w:rsidR="000D41A7">
        <w:t>r</w:t>
      </w:r>
      <w:r w:rsidR="000D41A7" w:rsidRPr="00E57F60">
        <w:t>eference</w:t>
      </w:r>
      <w:r w:rsidRPr="00E57F60">
        <w:t xml:space="preserve">, </w:t>
      </w:r>
      <w:r w:rsidR="000D41A7">
        <w:t>e</w:t>
      </w:r>
      <w:r w:rsidR="000D41A7" w:rsidRPr="00E57F60">
        <w:t xml:space="preserve">valuation </w:t>
      </w:r>
      <w:r w:rsidR="000D41A7">
        <w:t>p</w:t>
      </w:r>
      <w:r w:rsidR="000D41A7" w:rsidRPr="00E57F60">
        <w:t>lans</w:t>
      </w:r>
      <w:r w:rsidRPr="00E57F60">
        <w:t xml:space="preserve">, </w:t>
      </w:r>
      <w:r w:rsidR="000D41A7">
        <w:t>e</w:t>
      </w:r>
      <w:r w:rsidR="000D41A7" w:rsidRPr="00E57F60">
        <w:t xml:space="preserve">valuation </w:t>
      </w:r>
      <w:r w:rsidR="000D41A7">
        <w:t>r</w:t>
      </w:r>
      <w:r w:rsidR="000D41A7" w:rsidRPr="00E57F60">
        <w:t>eports</w:t>
      </w:r>
      <w:r w:rsidRPr="00E57F60">
        <w:t>).</w:t>
      </w:r>
      <w:r w:rsidR="00670092">
        <w:t xml:space="preserve"> </w:t>
      </w:r>
    </w:p>
    <w:p w14:paraId="284A7650" w14:textId="77777777" w:rsidR="00E57F60" w:rsidRPr="00E57F60" w:rsidRDefault="00E57F60" w:rsidP="000D41A7">
      <w:r w:rsidRPr="00E57F60">
        <w:rPr>
          <w:b/>
        </w:rPr>
        <w:t>Detailed records of all evidence collected or analysis undertaken</w:t>
      </w:r>
      <w:r w:rsidRPr="00E57F60">
        <w:t xml:space="preserve"> (including records of the quality assessments, interview notes, spreadsheets containing raw data) will be retained by ODE and PEPD for possible future analysis, but will not be included in the report.</w:t>
      </w:r>
    </w:p>
    <w:p w14:paraId="4BA9979B" w14:textId="5161BCFE" w:rsidR="00E57F60" w:rsidRPr="00440EA0" w:rsidRDefault="005774E5" w:rsidP="00AD6A55">
      <w:pPr>
        <w:spacing w:before="480" w:after="120" w:line="240" w:lineRule="auto"/>
        <w:ind w:left="720" w:hanging="720"/>
        <w:rPr>
          <w:bCs/>
          <w:iCs/>
        </w:rPr>
      </w:pPr>
      <w:bookmarkStart w:id="227" w:name="_Toc366500447"/>
      <w:bookmarkStart w:id="228" w:name="_Toc373303734"/>
      <w:bookmarkStart w:id="229" w:name="_Toc373304301"/>
      <w:bookmarkStart w:id="230" w:name="_Toc378059928"/>
      <w:bookmarkStart w:id="231" w:name="_Toc378060023"/>
      <w:r w:rsidRPr="00AD6A55">
        <w:rPr>
          <w:rFonts w:ascii="Arial" w:hAnsi="Arial" w:cs="Arial"/>
          <w:b/>
          <w:color w:val="124486"/>
          <w:sz w:val="28"/>
          <w:szCs w:val="28"/>
        </w:rPr>
        <w:t>7</w:t>
      </w:r>
      <w:r w:rsidRPr="00440EA0">
        <w:rPr>
          <w:rFonts w:ascii="Arial" w:hAnsi="Arial" w:cs="Arial"/>
          <w:b/>
          <w:color w:val="124486"/>
          <w:sz w:val="28"/>
          <w:szCs w:val="28"/>
        </w:rPr>
        <w:tab/>
      </w:r>
      <w:r w:rsidR="00E57F60" w:rsidRPr="00440EA0">
        <w:rPr>
          <w:rFonts w:ascii="Arial" w:hAnsi="Arial" w:cs="Arial"/>
          <w:b/>
          <w:color w:val="124486"/>
          <w:sz w:val="28"/>
          <w:szCs w:val="28"/>
        </w:rPr>
        <w:t xml:space="preserve">Roles and </w:t>
      </w:r>
      <w:r w:rsidR="00452FB9" w:rsidRPr="00440EA0">
        <w:rPr>
          <w:rFonts w:ascii="Arial" w:hAnsi="Arial" w:cs="Arial"/>
          <w:b/>
          <w:color w:val="124486"/>
          <w:sz w:val="28"/>
          <w:szCs w:val="28"/>
        </w:rPr>
        <w:t>r</w:t>
      </w:r>
      <w:r w:rsidR="00E57F60" w:rsidRPr="00440EA0">
        <w:rPr>
          <w:rFonts w:ascii="Arial" w:hAnsi="Arial" w:cs="Arial"/>
          <w:b/>
          <w:color w:val="124486"/>
          <w:sz w:val="28"/>
          <w:szCs w:val="28"/>
        </w:rPr>
        <w:t>esponsibilities</w:t>
      </w:r>
      <w:bookmarkEnd w:id="227"/>
      <w:bookmarkEnd w:id="228"/>
      <w:bookmarkEnd w:id="229"/>
      <w:bookmarkEnd w:id="230"/>
      <w:bookmarkEnd w:id="231"/>
    </w:p>
    <w:p w14:paraId="4429E628" w14:textId="4A758987" w:rsidR="00E57F60" w:rsidRPr="00E57F60" w:rsidRDefault="00E57F60" w:rsidP="00050A3C">
      <w:pPr>
        <w:rPr>
          <w:rFonts w:eastAsia="Calibri"/>
          <w:lang w:val="en-US" w:eastAsia="en-US"/>
        </w:rPr>
      </w:pPr>
      <w:r w:rsidRPr="00E57F60">
        <w:rPr>
          <w:rFonts w:eastAsia="Calibri"/>
          <w:lang w:val="en-US" w:eastAsia="en-US"/>
        </w:rPr>
        <w:t xml:space="preserve">An </w:t>
      </w:r>
      <w:r w:rsidRPr="00E57F60">
        <w:rPr>
          <w:rFonts w:eastAsia="Calibri"/>
          <w:b/>
          <w:lang w:val="en-US" w:eastAsia="en-US"/>
        </w:rPr>
        <w:t>AusAID management team</w:t>
      </w:r>
      <w:r w:rsidRPr="00E57F60">
        <w:rPr>
          <w:rFonts w:eastAsia="Calibri"/>
          <w:lang w:val="en-US" w:eastAsia="en-US"/>
        </w:rPr>
        <w:t xml:space="preserve"> comprising one Director and one manager from ODE and one Director and one manager from PEPD will collaboratively manage the </w:t>
      </w:r>
      <w:r w:rsidR="000D41A7">
        <w:rPr>
          <w:rFonts w:eastAsia="Calibri"/>
          <w:lang w:val="en-US" w:eastAsia="en-US"/>
        </w:rPr>
        <w:t>r</w:t>
      </w:r>
      <w:r w:rsidR="000D41A7" w:rsidRPr="00E57F60">
        <w:rPr>
          <w:rFonts w:eastAsia="Calibri"/>
          <w:lang w:val="en-US" w:eastAsia="en-US"/>
        </w:rPr>
        <w:t xml:space="preserve">eview </w:t>
      </w:r>
      <w:r w:rsidRPr="00E57F60">
        <w:rPr>
          <w:rFonts w:eastAsia="Calibri"/>
          <w:lang w:val="en-US" w:eastAsia="en-US"/>
        </w:rPr>
        <w:t xml:space="preserve">of </w:t>
      </w:r>
      <w:r w:rsidR="000D41A7">
        <w:rPr>
          <w:rFonts w:eastAsia="Calibri"/>
          <w:lang w:val="en-US" w:eastAsia="en-US"/>
        </w:rPr>
        <w:t>o</w:t>
      </w:r>
      <w:r w:rsidR="000D41A7" w:rsidRPr="00E57F60">
        <w:rPr>
          <w:rFonts w:eastAsia="Calibri"/>
          <w:lang w:val="en-US" w:eastAsia="en-US"/>
        </w:rPr>
        <w:t xml:space="preserve">perational </w:t>
      </w:r>
      <w:r w:rsidR="000D41A7">
        <w:rPr>
          <w:rFonts w:eastAsia="Calibri"/>
          <w:lang w:val="en-US" w:eastAsia="en-US"/>
        </w:rPr>
        <w:t>e</w:t>
      </w:r>
      <w:r w:rsidR="000D41A7" w:rsidRPr="00E57F60">
        <w:rPr>
          <w:rFonts w:eastAsia="Calibri"/>
          <w:lang w:val="en-US" w:eastAsia="en-US"/>
        </w:rPr>
        <w:t>valuations</w:t>
      </w:r>
      <w:r w:rsidRPr="00E57F60">
        <w:rPr>
          <w:rFonts w:eastAsia="Calibri"/>
          <w:lang w:val="en-US" w:eastAsia="en-US"/>
        </w:rPr>
        <w:t>.</w:t>
      </w:r>
      <w:r w:rsidR="00670092">
        <w:rPr>
          <w:rFonts w:eastAsia="Calibri"/>
          <w:lang w:val="en-US" w:eastAsia="en-US"/>
        </w:rPr>
        <w:t xml:space="preserve"> </w:t>
      </w:r>
      <w:r w:rsidRPr="00E57F60">
        <w:rPr>
          <w:rFonts w:eastAsia="Calibri"/>
          <w:lang w:val="en-US" w:eastAsia="en-US"/>
        </w:rPr>
        <w:t>During the preparatory phase, this team will collate the independent evaluations for review, and undertake analysis of AidWorks data, subject to the availability of resources.</w:t>
      </w:r>
      <w:r w:rsidR="00670092">
        <w:rPr>
          <w:rFonts w:eastAsia="Calibri"/>
          <w:lang w:val="en-US" w:eastAsia="en-US"/>
        </w:rPr>
        <w:t xml:space="preserve"> </w:t>
      </w:r>
      <w:r w:rsidRPr="00E57F60">
        <w:rPr>
          <w:rFonts w:eastAsia="Calibri"/>
          <w:lang w:val="en-US" w:eastAsia="en-US"/>
        </w:rPr>
        <w:t>The team will agree on methodology and comment on reports from the consultants.</w:t>
      </w:r>
      <w:r w:rsidR="00670092">
        <w:rPr>
          <w:rFonts w:eastAsia="Calibri"/>
          <w:lang w:val="en-US" w:eastAsia="en-US"/>
        </w:rPr>
        <w:t xml:space="preserve"> </w:t>
      </w:r>
      <w:r w:rsidRPr="00E57F60">
        <w:rPr>
          <w:rFonts w:eastAsia="Calibri"/>
          <w:lang w:val="en-US" w:eastAsia="en-US"/>
        </w:rPr>
        <w:t>If the team cannot agree through a collaborative approach, issues may be taken to the reference group for resolution.</w:t>
      </w:r>
      <w:r w:rsidR="00670092">
        <w:rPr>
          <w:rFonts w:eastAsia="Calibri"/>
          <w:lang w:val="en-US" w:eastAsia="en-US"/>
        </w:rPr>
        <w:t xml:space="preserve"> </w:t>
      </w:r>
      <w:r w:rsidRPr="00E57F60">
        <w:rPr>
          <w:rFonts w:eastAsia="Calibri"/>
          <w:lang w:val="en-US" w:eastAsia="en-US"/>
        </w:rPr>
        <w:t>However, in the case of any issue arising that cannot be resolved collaboratively, the Assistant Direct</w:t>
      </w:r>
      <w:r w:rsidR="000D41A7">
        <w:rPr>
          <w:rFonts w:eastAsia="Calibri"/>
          <w:lang w:val="en-US" w:eastAsia="en-US"/>
        </w:rPr>
        <w:t>or</w:t>
      </w:r>
      <w:r w:rsidRPr="00E57F60">
        <w:rPr>
          <w:rFonts w:eastAsia="Calibri"/>
          <w:lang w:val="en-US" w:eastAsia="en-US"/>
        </w:rPr>
        <w:t xml:space="preserve"> General ODE will make a determination.</w:t>
      </w:r>
    </w:p>
    <w:p w14:paraId="166F6600" w14:textId="71897384" w:rsidR="00E57F60" w:rsidRPr="00E57F60" w:rsidRDefault="00E57F60" w:rsidP="00050A3C">
      <w:pPr>
        <w:rPr>
          <w:rFonts w:eastAsia="Calibri"/>
          <w:lang w:val="en-US" w:eastAsia="en-US"/>
        </w:rPr>
      </w:pPr>
      <w:r w:rsidRPr="00E57F60">
        <w:rPr>
          <w:rFonts w:eastAsia="Calibri"/>
          <w:lang w:val="en-US" w:eastAsia="en-US"/>
        </w:rPr>
        <w:t xml:space="preserve">A </w:t>
      </w:r>
      <w:r w:rsidRPr="00E57F60">
        <w:rPr>
          <w:rFonts w:eastAsia="Calibri"/>
          <w:b/>
          <w:lang w:val="en-US" w:eastAsia="en-US"/>
        </w:rPr>
        <w:t>review team</w:t>
      </w:r>
      <w:r w:rsidRPr="00E57F60">
        <w:rPr>
          <w:rFonts w:eastAsia="Calibri"/>
          <w:lang w:val="en-US" w:eastAsia="en-US"/>
        </w:rPr>
        <w:t xml:space="preserve"> of up to four consultants with skills in evaluation, analysis and report writing will prepare the review plan, undertake the </w:t>
      </w:r>
      <w:r w:rsidR="000D41A7">
        <w:rPr>
          <w:rFonts w:eastAsia="Calibri"/>
          <w:lang w:val="en-US" w:eastAsia="en-US"/>
        </w:rPr>
        <w:t>q</w:t>
      </w:r>
      <w:r w:rsidR="000D41A7" w:rsidRPr="00E57F60">
        <w:rPr>
          <w:rFonts w:eastAsia="Calibri"/>
          <w:lang w:val="en-US" w:eastAsia="en-US"/>
        </w:rPr>
        <w:t xml:space="preserve">uality </w:t>
      </w:r>
      <w:r w:rsidR="000D41A7">
        <w:rPr>
          <w:rFonts w:eastAsia="Calibri"/>
          <w:lang w:val="en-US" w:eastAsia="en-US"/>
        </w:rPr>
        <w:t>a</w:t>
      </w:r>
      <w:r w:rsidR="000D41A7" w:rsidRPr="00E57F60">
        <w:rPr>
          <w:rFonts w:eastAsia="Calibri"/>
          <w:lang w:val="en-US" w:eastAsia="en-US"/>
        </w:rPr>
        <w:t xml:space="preserve">nalysis </w:t>
      </w:r>
      <w:r w:rsidRPr="00E57F60">
        <w:rPr>
          <w:rFonts w:eastAsia="Calibri"/>
          <w:lang w:val="en-US" w:eastAsia="en-US"/>
        </w:rPr>
        <w:t xml:space="preserve">and the </w:t>
      </w:r>
      <w:r w:rsidR="000D41A7">
        <w:rPr>
          <w:rFonts w:eastAsia="Calibri"/>
          <w:lang w:val="en-US" w:eastAsia="en-US"/>
        </w:rPr>
        <w:t>s</w:t>
      </w:r>
      <w:r w:rsidR="000D41A7" w:rsidRPr="00E57F60">
        <w:rPr>
          <w:rFonts w:eastAsia="Calibri"/>
          <w:lang w:val="en-US" w:eastAsia="en-US"/>
        </w:rPr>
        <w:t xml:space="preserve">ynthesis </w:t>
      </w:r>
      <w:r w:rsidRPr="00E57F60">
        <w:rPr>
          <w:rFonts w:eastAsia="Calibri"/>
          <w:lang w:val="en-US" w:eastAsia="en-US"/>
        </w:rPr>
        <w:t>using a methodology agreed with the AusAID management team, and prepare the draft report.</w:t>
      </w:r>
    </w:p>
    <w:p w14:paraId="4AA8BCD4" w14:textId="77777777" w:rsidR="00E57F60" w:rsidRPr="00E57F60" w:rsidRDefault="00E57F60" w:rsidP="00050A3C">
      <w:pPr>
        <w:rPr>
          <w:rFonts w:eastAsia="Calibri"/>
          <w:lang w:val="en-US" w:eastAsia="en-US"/>
        </w:rPr>
      </w:pPr>
      <w:r w:rsidRPr="00E57F60">
        <w:rPr>
          <w:rFonts w:eastAsia="Calibri"/>
          <w:lang w:val="en-US" w:eastAsia="en-US"/>
        </w:rPr>
        <w:t xml:space="preserve">A small </w:t>
      </w:r>
      <w:r w:rsidRPr="00E57F60">
        <w:rPr>
          <w:rFonts w:eastAsia="Calibri"/>
          <w:b/>
          <w:lang w:val="en-US" w:eastAsia="en-US"/>
        </w:rPr>
        <w:t>reference group</w:t>
      </w:r>
      <w:r w:rsidRPr="00E57F60">
        <w:rPr>
          <w:rFonts w:eastAsia="Calibri"/>
          <w:lang w:val="en-US" w:eastAsia="en-US"/>
        </w:rPr>
        <w:t xml:space="preserve"> comprised of AusAID senior management/advisers will be consulted at key decision points.</w:t>
      </w:r>
    </w:p>
    <w:p w14:paraId="4660FF03" w14:textId="648D0D9F" w:rsidR="00E57F60" w:rsidRPr="00E57F60" w:rsidRDefault="00E57F60" w:rsidP="00050A3C">
      <w:pPr>
        <w:rPr>
          <w:rFonts w:eastAsia="Calibri"/>
          <w:lang w:val="en-US" w:eastAsia="en-US"/>
        </w:rPr>
      </w:pPr>
      <w:r w:rsidRPr="00E57F60">
        <w:rPr>
          <w:rFonts w:eastAsia="Calibri"/>
          <w:lang w:val="en-US" w:eastAsia="en-US"/>
        </w:rPr>
        <w:t xml:space="preserve">The </w:t>
      </w:r>
      <w:r w:rsidRPr="00E57F60">
        <w:rPr>
          <w:rFonts w:eastAsia="Calibri"/>
          <w:b/>
          <w:lang w:val="en-US" w:eastAsia="en-US"/>
        </w:rPr>
        <w:t>Independent Evaluation Committee (IEC)</w:t>
      </w:r>
      <w:r w:rsidRPr="00E57F60">
        <w:rPr>
          <w:rFonts w:eastAsia="Calibri"/>
          <w:lang w:val="en-US" w:eastAsia="en-US"/>
        </w:rPr>
        <w:t xml:space="preserve"> will provide technical oversight of the </w:t>
      </w:r>
      <w:r w:rsidR="000D41A7">
        <w:rPr>
          <w:rFonts w:eastAsia="Calibri"/>
          <w:lang w:val="en-US" w:eastAsia="en-US"/>
        </w:rPr>
        <w:t>r</w:t>
      </w:r>
      <w:r w:rsidR="000D41A7" w:rsidRPr="00E57F60">
        <w:rPr>
          <w:rFonts w:eastAsia="Calibri"/>
          <w:lang w:val="en-US" w:eastAsia="en-US"/>
        </w:rPr>
        <w:t xml:space="preserve">eview </w:t>
      </w:r>
      <w:r w:rsidRPr="00E57F60">
        <w:rPr>
          <w:rFonts w:eastAsia="Calibri"/>
          <w:lang w:val="en-US" w:eastAsia="en-US"/>
        </w:rPr>
        <w:t xml:space="preserve">of </w:t>
      </w:r>
      <w:r w:rsidR="000D41A7">
        <w:rPr>
          <w:rFonts w:eastAsia="Calibri"/>
          <w:lang w:val="en-US" w:eastAsia="en-US"/>
        </w:rPr>
        <w:t>o</w:t>
      </w:r>
      <w:r w:rsidR="000D41A7" w:rsidRPr="00E57F60">
        <w:rPr>
          <w:rFonts w:eastAsia="Calibri"/>
          <w:lang w:val="en-US" w:eastAsia="en-US"/>
        </w:rPr>
        <w:t xml:space="preserve">perational </w:t>
      </w:r>
      <w:r w:rsidR="000D41A7">
        <w:rPr>
          <w:rFonts w:eastAsia="Calibri"/>
          <w:lang w:val="en-US" w:eastAsia="en-US"/>
        </w:rPr>
        <w:t>e</w:t>
      </w:r>
      <w:r w:rsidR="000D41A7" w:rsidRPr="00E57F60">
        <w:rPr>
          <w:rFonts w:eastAsia="Calibri"/>
          <w:lang w:val="en-US" w:eastAsia="en-US"/>
        </w:rPr>
        <w:t>valuations</w:t>
      </w:r>
      <w:r w:rsidRPr="00E57F60">
        <w:rPr>
          <w:rFonts w:eastAsia="Calibri"/>
          <w:lang w:val="en-US" w:eastAsia="en-US"/>
        </w:rPr>
        <w:t>.</w:t>
      </w:r>
      <w:r w:rsidR="00670092">
        <w:rPr>
          <w:rFonts w:eastAsia="Calibri"/>
          <w:lang w:val="en-US" w:eastAsia="en-US"/>
        </w:rPr>
        <w:t xml:space="preserve"> </w:t>
      </w:r>
      <w:r w:rsidRPr="00E57F60">
        <w:rPr>
          <w:rFonts w:eastAsia="Calibri"/>
          <w:lang w:val="en-US" w:eastAsia="en-US"/>
        </w:rPr>
        <w:t>The final report will be made public as an ODE product.</w:t>
      </w:r>
    </w:p>
    <w:p w14:paraId="2F9E4B40" w14:textId="77777777" w:rsidR="00B65798" w:rsidRDefault="00B65798">
      <w:pPr>
        <w:spacing w:before="0" w:after="0" w:line="240" w:lineRule="auto"/>
        <w:rPr>
          <w:rFonts w:ascii="Arial" w:hAnsi="Arial" w:cs="Arial"/>
          <w:b/>
          <w:color w:val="124486"/>
          <w:sz w:val="28"/>
          <w:szCs w:val="28"/>
        </w:rPr>
      </w:pPr>
      <w:bookmarkStart w:id="232" w:name="_Toc366500448"/>
      <w:bookmarkStart w:id="233" w:name="_Toc373303735"/>
      <w:bookmarkStart w:id="234" w:name="_Toc373304302"/>
      <w:bookmarkStart w:id="235" w:name="_Toc378059929"/>
      <w:bookmarkStart w:id="236" w:name="_Toc378060024"/>
      <w:r>
        <w:rPr>
          <w:rFonts w:ascii="Arial" w:hAnsi="Arial" w:cs="Arial"/>
          <w:b/>
          <w:color w:val="124486"/>
          <w:sz w:val="28"/>
          <w:szCs w:val="28"/>
        </w:rPr>
        <w:br w:type="page"/>
      </w:r>
    </w:p>
    <w:p w14:paraId="1223E272" w14:textId="688E213F" w:rsidR="00E57F60" w:rsidRDefault="005774E5" w:rsidP="00AD6A55">
      <w:pPr>
        <w:spacing w:before="480" w:after="120" w:line="240" w:lineRule="auto"/>
        <w:ind w:left="720" w:hanging="720"/>
      </w:pPr>
      <w:r w:rsidRPr="00AD6A55">
        <w:rPr>
          <w:rFonts w:ascii="Arial" w:hAnsi="Arial" w:cs="Arial"/>
          <w:b/>
          <w:color w:val="124486"/>
          <w:sz w:val="28"/>
          <w:szCs w:val="28"/>
        </w:rPr>
        <w:lastRenderedPageBreak/>
        <w:t>8</w:t>
      </w:r>
      <w:r w:rsidRPr="00AD6A55">
        <w:rPr>
          <w:rFonts w:ascii="Arial" w:hAnsi="Arial" w:cs="Arial"/>
          <w:b/>
          <w:color w:val="124486"/>
          <w:sz w:val="28"/>
          <w:szCs w:val="28"/>
        </w:rPr>
        <w:tab/>
      </w:r>
      <w:r w:rsidR="00E57F60" w:rsidRPr="00AD6A55">
        <w:rPr>
          <w:rFonts w:ascii="Arial" w:hAnsi="Arial" w:cs="Arial"/>
          <w:b/>
          <w:color w:val="124486"/>
          <w:sz w:val="28"/>
          <w:szCs w:val="28"/>
        </w:rPr>
        <w:t>Timeframes</w:t>
      </w:r>
      <w:bookmarkEnd w:id="232"/>
      <w:bookmarkEnd w:id="233"/>
      <w:bookmarkEnd w:id="234"/>
      <w:bookmarkEnd w:id="235"/>
      <w:bookmarkEnd w:id="236"/>
    </w:p>
    <w:tbl>
      <w:tblPr>
        <w:tblW w:w="5000" w:type="pct"/>
        <w:tblBorders>
          <w:top w:val="single" w:sz="6" w:space="0" w:color="007C92"/>
          <w:bottom w:val="single" w:sz="6" w:space="0" w:color="007C92"/>
          <w:insideH w:val="single" w:sz="6" w:space="0" w:color="007C92"/>
        </w:tblBorders>
        <w:tblLayout w:type="fixed"/>
        <w:tblCellMar>
          <w:top w:w="85" w:type="dxa"/>
          <w:bottom w:w="85" w:type="dxa"/>
        </w:tblCellMar>
        <w:tblLook w:val="04A0" w:firstRow="1" w:lastRow="0" w:firstColumn="1" w:lastColumn="0" w:noHBand="0" w:noVBand="1"/>
      </w:tblPr>
      <w:tblGrid>
        <w:gridCol w:w="2041"/>
        <w:gridCol w:w="4874"/>
        <w:gridCol w:w="2327"/>
      </w:tblGrid>
      <w:tr w:rsidR="00350B92" w:rsidRPr="000D41A7" w14:paraId="660185E4" w14:textId="77777777" w:rsidTr="00B65798">
        <w:trPr>
          <w:trHeight w:hRule="exact" w:val="673"/>
        </w:trPr>
        <w:tc>
          <w:tcPr>
            <w:tcW w:w="2041" w:type="dxa"/>
            <w:tcBorders>
              <w:top w:val="nil"/>
              <w:left w:val="nil"/>
              <w:bottom w:val="nil"/>
              <w:right w:val="nil"/>
            </w:tcBorders>
            <w:shd w:val="clear" w:color="auto" w:fill="007FAD"/>
          </w:tcPr>
          <w:p w14:paraId="7450F20C" w14:textId="77777777" w:rsidR="00350B92" w:rsidRPr="00AD6A55" w:rsidRDefault="00350B92" w:rsidP="00AD6A55">
            <w:pPr>
              <w:pStyle w:val="TableHeading21"/>
              <w:rPr>
                <w:i w:val="0"/>
              </w:rPr>
            </w:pPr>
            <w:r w:rsidRPr="00AD6A55">
              <w:rPr>
                <w:i w:val="0"/>
              </w:rPr>
              <w:t>Date</w:t>
            </w:r>
          </w:p>
        </w:tc>
        <w:tc>
          <w:tcPr>
            <w:tcW w:w="4874" w:type="dxa"/>
            <w:tcBorders>
              <w:top w:val="nil"/>
              <w:left w:val="nil"/>
              <w:bottom w:val="nil"/>
              <w:right w:val="nil"/>
            </w:tcBorders>
            <w:shd w:val="clear" w:color="auto" w:fill="007FAD"/>
          </w:tcPr>
          <w:p w14:paraId="6062A76D" w14:textId="77777777" w:rsidR="00350B92" w:rsidRPr="00AD6A55" w:rsidRDefault="00350B92" w:rsidP="00AD6A55">
            <w:pPr>
              <w:pStyle w:val="TableHeading21"/>
              <w:rPr>
                <w:i w:val="0"/>
              </w:rPr>
            </w:pPr>
            <w:r w:rsidRPr="00AD6A55">
              <w:rPr>
                <w:i w:val="0"/>
              </w:rPr>
              <w:t>Activity</w:t>
            </w:r>
          </w:p>
        </w:tc>
        <w:tc>
          <w:tcPr>
            <w:tcW w:w="2327" w:type="dxa"/>
            <w:tcBorders>
              <w:top w:val="nil"/>
              <w:left w:val="nil"/>
              <w:bottom w:val="nil"/>
              <w:right w:val="nil"/>
            </w:tcBorders>
            <w:shd w:val="clear" w:color="auto" w:fill="007FAD"/>
          </w:tcPr>
          <w:p w14:paraId="43BDDE2F" w14:textId="77777777" w:rsidR="00350B92" w:rsidRPr="00AD6A55" w:rsidRDefault="00350B92" w:rsidP="00AD6A55">
            <w:pPr>
              <w:pStyle w:val="TableHeading21"/>
              <w:rPr>
                <w:i w:val="0"/>
              </w:rPr>
            </w:pPr>
            <w:r w:rsidRPr="00AD6A55">
              <w:rPr>
                <w:i w:val="0"/>
              </w:rPr>
              <w:t>Primary responsibility</w:t>
            </w:r>
          </w:p>
        </w:tc>
      </w:tr>
      <w:tr w:rsidR="00350B92" w:rsidRPr="000D41A7" w14:paraId="6AC1A9EC" w14:textId="77777777" w:rsidTr="00B65798">
        <w:tc>
          <w:tcPr>
            <w:tcW w:w="9242" w:type="dxa"/>
            <w:gridSpan w:val="3"/>
            <w:shd w:val="clear" w:color="auto" w:fill="FFFFFF"/>
          </w:tcPr>
          <w:p w14:paraId="637A6D58" w14:textId="77777777" w:rsidR="00350B92" w:rsidRPr="000D41A7" w:rsidRDefault="00350B92" w:rsidP="00AD6A55">
            <w:pPr>
              <w:pStyle w:val="TableText0"/>
              <w:rPr>
                <w:b/>
              </w:rPr>
            </w:pPr>
            <w:r w:rsidRPr="000D41A7">
              <w:rPr>
                <w:b/>
              </w:rPr>
              <w:t xml:space="preserve">Preparatory phase </w:t>
            </w:r>
          </w:p>
        </w:tc>
      </w:tr>
      <w:tr w:rsidR="00350B92" w:rsidRPr="000D41A7" w14:paraId="4FFB6EBF" w14:textId="77777777" w:rsidTr="00B65798">
        <w:tc>
          <w:tcPr>
            <w:tcW w:w="2041" w:type="dxa"/>
            <w:shd w:val="clear" w:color="auto" w:fill="FFFFFF"/>
          </w:tcPr>
          <w:p w14:paraId="22A0C496" w14:textId="77777777" w:rsidR="00350B92" w:rsidRPr="000D41A7" w:rsidRDefault="00350B92" w:rsidP="00AD6A55">
            <w:pPr>
              <w:pStyle w:val="TableText0"/>
            </w:pPr>
            <w:r w:rsidRPr="000D41A7">
              <w:t>April - May 2013</w:t>
            </w:r>
          </w:p>
        </w:tc>
        <w:tc>
          <w:tcPr>
            <w:tcW w:w="4874" w:type="dxa"/>
            <w:shd w:val="clear" w:color="auto" w:fill="FFFFFF"/>
          </w:tcPr>
          <w:p w14:paraId="0CA28005" w14:textId="77777777" w:rsidR="00350B92" w:rsidRPr="000D41A7" w:rsidRDefault="00350B92" w:rsidP="00AD6A55">
            <w:pPr>
              <w:pStyle w:val="TableText0"/>
            </w:pPr>
            <w:r w:rsidRPr="000D41A7">
              <w:t>Collate independent evaluations and conduct preliminary analysis</w:t>
            </w:r>
          </w:p>
        </w:tc>
        <w:tc>
          <w:tcPr>
            <w:tcW w:w="2327" w:type="dxa"/>
            <w:shd w:val="clear" w:color="auto" w:fill="FFFFFF"/>
          </w:tcPr>
          <w:p w14:paraId="5115E4E8" w14:textId="77777777" w:rsidR="00350B92" w:rsidRPr="000D41A7" w:rsidRDefault="00350B92" w:rsidP="00AD6A55">
            <w:pPr>
              <w:pStyle w:val="TableText0"/>
            </w:pPr>
            <w:r w:rsidRPr="000D41A7">
              <w:t>AusAID management team</w:t>
            </w:r>
          </w:p>
        </w:tc>
      </w:tr>
      <w:tr w:rsidR="00350B92" w:rsidRPr="000D41A7" w14:paraId="28A11767" w14:textId="77777777" w:rsidTr="00B65798">
        <w:tc>
          <w:tcPr>
            <w:tcW w:w="2041" w:type="dxa"/>
            <w:shd w:val="clear" w:color="auto" w:fill="FFFFFF"/>
          </w:tcPr>
          <w:p w14:paraId="7BD486C0" w14:textId="77777777" w:rsidR="00350B92" w:rsidRPr="000D41A7" w:rsidRDefault="00350B92" w:rsidP="00AD6A55">
            <w:pPr>
              <w:pStyle w:val="TableText0"/>
            </w:pPr>
            <w:r w:rsidRPr="000D41A7">
              <w:t>May 2013</w:t>
            </w:r>
          </w:p>
        </w:tc>
        <w:tc>
          <w:tcPr>
            <w:tcW w:w="4874" w:type="dxa"/>
            <w:shd w:val="clear" w:color="auto" w:fill="FFFFFF"/>
          </w:tcPr>
          <w:p w14:paraId="23426D23" w14:textId="77777777" w:rsidR="00350B92" w:rsidRPr="000D41A7" w:rsidRDefault="00350B92" w:rsidP="00AD6A55">
            <w:pPr>
              <w:pStyle w:val="TableText0"/>
            </w:pPr>
            <w:r w:rsidRPr="000D41A7">
              <w:t>Prepare review plan (Parts 1 and 2)</w:t>
            </w:r>
          </w:p>
        </w:tc>
        <w:tc>
          <w:tcPr>
            <w:tcW w:w="2327" w:type="dxa"/>
            <w:shd w:val="clear" w:color="auto" w:fill="FFFFFF"/>
          </w:tcPr>
          <w:p w14:paraId="46619515" w14:textId="77777777" w:rsidR="00350B92" w:rsidRPr="000D41A7" w:rsidRDefault="00350B92" w:rsidP="00AD6A55">
            <w:pPr>
              <w:pStyle w:val="TableText0"/>
            </w:pPr>
            <w:r w:rsidRPr="000D41A7">
              <w:t>Review team</w:t>
            </w:r>
          </w:p>
        </w:tc>
      </w:tr>
      <w:tr w:rsidR="00350B92" w:rsidRPr="000D41A7" w14:paraId="1F99846C" w14:textId="77777777" w:rsidTr="00B65798">
        <w:tc>
          <w:tcPr>
            <w:tcW w:w="2041" w:type="dxa"/>
            <w:shd w:val="clear" w:color="auto" w:fill="FFFFFF"/>
          </w:tcPr>
          <w:p w14:paraId="470B9CEA" w14:textId="77777777" w:rsidR="00350B92" w:rsidRPr="000D41A7" w:rsidRDefault="00350B92" w:rsidP="00AD6A55">
            <w:pPr>
              <w:pStyle w:val="TableText0"/>
            </w:pPr>
            <w:r w:rsidRPr="000D41A7">
              <w:t>May 2013</w:t>
            </w:r>
          </w:p>
        </w:tc>
        <w:tc>
          <w:tcPr>
            <w:tcW w:w="4874" w:type="dxa"/>
            <w:shd w:val="clear" w:color="auto" w:fill="FFFFFF"/>
          </w:tcPr>
          <w:p w14:paraId="238F9653" w14:textId="77777777" w:rsidR="00350B92" w:rsidRPr="000D41A7" w:rsidRDefault="00350B92" w:rsidP="00AD6A55">
            <w:pPr>
              <w:pStyle w:val="TableText0"/>
            </w:pPr>
            <w:r w:rsidRPr="000D41A7">
              <w:t>Finalise review plan (Parts 1 and 2) (including endorsement by IEC)</w:t>
            </w:r>
          </w:p>
        </w:tc>
        <w:tc>
          <w:tcPr>
            <w:tcW w:w="2327" w:type="dxa"/>
            <w:shd w:val="clear" w:color="auto" w:fill="FFFFFF"/>
          </w:tcPr>
          <w:p w14:paraId="5686B568" w14:textId="77777777" w:rsidR="00350B92" w:rsidRPr="000D41A7" w:rsidRDefault="00350B92" w:rsidP="00AD6A55">
            <w:pPr>
              <w:pStyle w:val="TableText0"/>
            </w:pPr>
            <w:r w:rsidRPr="000D41A7">
              <w:t xml:space="preserve">AusAID management team </w:t>
            </w:r>
          </w:p>
          <w:p w14:paraId="08EA4D06" w14:textId="77777777" w:rsidR="00350B92" w:rsidRPr="000D41A7" w:rsidRDefault="00350B92" w:rsidP="00AD6A55">
            <w:pPr>
              <w:pStyle w:val="TableText0"/>
            </w:pPr>
            <w:r w:rsidRPr="000D41A7">
              <w:t>reference group</w:t>
            </w:r>
          </w:p>
        </w:tc>
      </w:tr>
      <w:tr w:rsidR="00350B92" w:rsidRPr="000D41A7" w14:paraId="61C4238D" w14:textId="77777777" w:rsidTr="00B65798">
        <w:tc>
          <w:tcPr>
            <w:tcW w:w="9242" w:type="dxa"/>
            <w:gridSpan w:val="3"/>
            <w:shd w:val="clear" w:color="auto" w:fill="FFFFFF"/>
          </w:tcPr>
          <w:p w14:paraId="5F79E146" w14:textId="77777777" w:rsidR="00350B92" w:rsidRPr="000D41A7" w:rsidRDefault="00350B92" w:rsidP="00AD6A55">
            <w:pPr>
              <w:pStyle w:val="TableText0"/>
              <w:rPr>
                <w:b/>
              </w:rPr>
            </w:pPr>
            <w:r w:rsidRPr="000D41A7">
              <w:rPr>
                <w:b/>
              </w:rPr>
              <w:t xml:space="preserve">Part 1: Quality review </w:t>
            </w:r>
          </w:p>
        </w:tc>
      </w:tr>
      <w:tr w:rsidR="00350B92" w:rsidRPr="000D41A7" w14:paraId="40DC3D4E" w14:textId="77777777" w:rsidTr="00B65798">
        <w:tc>
          <w:tcPr>
            <w:tcW w:w="2041" w:type="dxa"/>
            <w:shd w:val="clear" w:color="auto" w:fill="FFFFFF"/>
          </w:tcPr>
          <w:p w14:paraId="3C94D25B" w14:textId="77777777" w:rsidR="00350B92" w:rsidRPr="000D41A7" w:rsidRDefault="00350B92" w:rsidP="00AD6A55">
            <w:pPr>
              <w:pStyle w:val="TableText0"/>
            </w:pPr>
            <w:r w:rsidRPr="000D41A7">
              <w:t>May –July 2013</w:t>
            </w:r>
          </w:p>
        </w:tc>
        <w:tc>
          <w:tcPr>
            <w:tcW w:w="4874" w:type="dxa"/>
            <w:shd w:val="clear" w:color="auto" w:fill="FFFFFF"/>
          </w:tcPr>
          <w:p w14:paraId="3456C9BF" w14:textId="4A58A6D1" w:rsidR="00350B92" w:rsidRPr="000D41A7" w:rsidRDefault="00350B92" w:rsidP="00AD6A55">
            <w:pPr>
              <w:pStyle w:val="TableText0"/>
            </w:pPr>
            <w:r w:rsidRPr="000D41A7">
              <w:t xml:space="preserve">Conduct </w:t>
            </w:r>
            <w:r>
              <w:t>q</w:t>
            </w:r>
            <w:r w:rsidRPr="000D41A7">
              <w:t xml:space="preserve">uality </w:t>
            </w:r>
            <w:r>
              <w:t>a</w:t>
            </w:r>
            <w:r w:rsidRPr="000D41A7">
              <w:t>nalysis and prepare draft report (Part 1)</w:t>
            </w:r>
          </w:p>
        </w:tc>
        <w:tc>
          <w:tcPr>
            <w:tcW w:w="2327" w:type="dxa"/>
            <w:shd w:val="clear" w:color="auto" w:fill="FFFFFF"/>
          </w:tcPr>
          <w:p w14:paraId="00867251" w14:textId="77777777" w:rsidR="00350B92" w:rsidRPr="000D41A7" w:rsidRDefault="00350B92" w:rsidP="00AD6A55">
            <w:pPr>
              <w:pStyle w:val="TableText0"/>
            </w:pPr>
            <w:r w:rsidRPr="000D41A7">
              <w:t>Review team</w:t>
            </w:r>
          </w:p>
        </w:tc>
      </w:tr>
      <w:tr w:rsidR="00350B92" w:rsidRPr="000D41A7" w14:paraId="525F1260" w14:textId="77777777" w:rsidTr="00B65798">
        <w:tc>
          <w:tcPr>
            <w:tcW w:w="2041" w:type="dxa"/>
            <w:shd w:val="clear" w:color="auto" w:fill="FFFFFF"/>
          </w:tcPr>
          <w:p w14:paraId="5C28B5CC" w14:textId="77777777" w:rsidR="00350B92" w:rsidRPr="000D41A7" w:rsidRDefault="00350B92" w:rsidP="00AD6A55">
            <w:pPr>
              <w:pStyle w:val="TableText0"/>
            </w:pPr>
            <w:r w:rsidRPr="000D41A7">
              <w:t>July 2013</w:t>
            </w:r>
          </w:p>
        </w:tc>
        <w:tc>
          <w:tcPr>
            <w:tcW w:w="4874" w:type="dxa"/>
            <w:shd w:val="clear" w:color="auto" w:fill="FFFFFF"/>
          </w:tcPr>
          <w:p w14:paraId="20D33DF6" w14:textId="77777777" w:rsidR="00350B92" w:rsidRPr="000D41A7" w:rsidRDefault="00350B92" w:rsidP="00AD6A55">
            <w:pPr>
              <w:pStyle w:val="TableText0"/>
            </w:pPr>
            <w:r w:rsidRPr="000D41A7">
              <w:t>Review draft report (Part 1) (including review by IEC)</w:t>
            </w:r>
          </w:p>
        </w:tc>
        <w:tc>
          <w:tcPr>
            <w:tcW w:w="2327" w:type="dxa"/>
            <w:shd w:val="clear" w:color="auto" w:fill="FFFFFF"/>
          </w:tcPr>
          <w:p w14:paraId="62FCBA97" w14:textId="77777777" w:rsidR="00350B92" w:rsidRPr="000D41A7" w:rsidRDefault="00350B92" w:rsidP="00AD6A55">
            <w:pPr>
              <w:pStyle w:val="TableText0"/>
            </w:pPr>
            <w:r w:rsidRPr="000D41A7">
              <w:t>AusAID management team</w:t>
            </w:r>
          </w:p>
          <w:p w14:paraId="148F23DA" w14:textId="77777777" w:rsidR="00350B92" w:rsidRPr="000D41A7" w:rsidRDefault="00350B92" w:rsidP="00AD6A55">
            <w:pPr>
              <w:pStyle w:val="TableText0"/>
            </w:pPr>
            <w:r w:rsidRPr="000D41A7">
              <w:t>reference group</w:t>
            </w:r>
          </w:p>
        </w:tc>
      </w:tr>
      <w:tr w:rsidR="00350B92" w:rsidRPr="000D41A7" w14:paraId="48B659BB" w14:textId="77777777" w:rsidTr="00B65798">
        <w:tc>
          <w:tcPr>
            <w:tcW w:w="9242" w:type="dxa"/>
            <w:gridSpan w:val="3"/>
            <w:shd w:val="clear" w:color="auto" w:fill="FFFFFF"/>
          </w:tcPr>
          <w:p w14:paraId="2450BED9" w14:textId="77777777" w:rsidR="00350B92" w:rsidRPr="000D41A7" w:rsidRDefault="00350B92" w:rsidP="00AD6A55">
            <w:pPr>
              <w:pStyle w:val="TableText0"/>
              <w:rPr>
                <w:b/>
              </w:rPr>
            </w:pPr>
            <w:r w:rsidRPr="000D41A7">
              <w:rPr>
                <w:b/>
              </w:rPr>
              <w:t xml:space="preserve">Part 2: Synthesis </w:t>
            </w:r>
          </w:p>
        </w:tc>
      </w:tr>
      <w:tr w:rsidR="00350B92" w:rsidRPr="000D41A7" w14:paraId="2382DF40" w14:textId="77777777" w:rsidTr="00B65798">
        <w:tc>
          <w:tcPr>
            <w:tcW w:w="2041" w:type="dxa"/>
            <w:shd w:val="clear" w:color="auto" w:fill="FFFFFF"/>
          </w:tcPr>
          <w:p w14:paraId="169D3F0A" w14:textId="77777777" w:rsidR="00350B92" w:rsidRPr="000D41A7" w:rsidRDefault="00350B92" w:rsidP="00AD6A55">
            <w:pPr>
              <w:pStyle w:val="TableText0"/>
            </w:pPr>
            <w:r w:rsidRPr="000D41A7">
              <w:t>July 2013</w:t>
            </w:r>
          </w:p>
        </w:tc>
        <w:tc>
          <w:tcPr>
            <w:tcW w:w="4874" w:type="dxa"/>
            <w:shd w:val="clear" w:color="auto" w:fill="FFFFFF"/>
          </w:tcPr>
          <w:p w14:paraId="29882FE3" w14:textId="77777777" w:rsidR="00350B92" w:rsidRPr="000D41A7" w:rsidRDefault="00350B92" w:rsidP="00AD6A55">
            <w:pPr>
              <w:pStyle w:val="TableText0"/>
            </w:pPr>
            <w:r w:rsidRPr="000D41A7">
              <w:t>Revise review plan (Part 2)</w:t>
            </w:r>
          </w:p>
        </w:tc>
        <w:tc>
          <w:tcPr>
            <w:tcW w:w="2327" w:type="dxa"/>
            <w:shd w:val="clear" w:color="auto" w:fill="FFFFFF"/>
          </w:tcPr>
          <w:p w14:paraId="68A1D55A" w14:textId="77777777" w:rsidR="00350B92" w:rsidRPr="000D41A7" w:rsidRDefault="00350B92" w:rsidP="00AD6A55">
            <w:pPr>
              <w:pStyle w:val="TableText0"/>
            </w:pPr>
            <w:r w:rsidRPr="000D41A7">
              <w:t>Review team</w:t>
            </w:r>
          </w:p>
        </w:tc>
      </w:tr>
      <w:tr w:rsidR="00350B92" w:rsidRPr="000D41A7" w14:paraId="16436925" w14:textId="77777777" w:rsidTr="00B65798">
        <w:tc>
          <w:tcPr>
            <w:tcW w:w="2041" w:type="dxa"/>
            <w:shd w:val="clear" w:color="auto" w:fill="FFFFFF"/>
          </w:tcPr>
          <w:p w14:paraId="6EBB4FE5" w14:textId="77777777" w:rsidR="00350B92" w:rsidRPr="000D41A7" w:rsidRDefault="00350B92" w:rsidP="00AD6A55">
            <w:pPr>
              <w:pStyle w:val="TableText0"/>
            </w:pPr>
            <w:r w:rsidRPr="000D41A7">
              <w:t>July 2013</w:t>
            </w:r>
          </w:p>
        </w:tc>
        <w:tc>
          <w:tcPr>
            <w:tcW w:w="4874" w:type="dxa"/>
            <w:shd w:val="clear" w:color="auto" w:fill="FFFFFF"/>
          </w:tcPr>
          <w:p w14:paraId="22F5067E" w14:textId="77777777" w:rsidR="00350B92" w:rsidRPr="000D41A7" w:rsidRDefault="00350B92" w:rsidP="00AD6A55">
            <w:pPr>
              <w:pStyle w:val="TableText0"/>
            </w:pPr>
            <w:r w:rsidRPr="000D41A7">
              <w:t>Finalise revised review plan (Part 2) (including endorsement by IEC)</w:t>
            </w:r>
          </w:p>
        </w:tc>
        <w:tc>
          <w:tcPr>
            <w:tcW w:w="2327" w:type="dxa"/>
            <w:shd w:val="clear" w:color="auto" w:fill="FFFFFF"/>
          </w:tcPr>
          <w:p w14:paraId="2D06E4D2" w14:textId="77777777" w:rsidR="00350B92" w:rsidRPr="000D41A7" w:rsidRDefault="00350B92" w:rsidP="00AD6A55">
            <w:pPr>
              <w:pStyle w:val="TableText0"/>
            </w:pPr>
            <w:r w:rsidRPr="000D41A7">
              <w:t>AusAID management team</w:t>
            </w:r>
          </w:p>
          <w:p w14:paraId="7C8505FB" w14:textId="77777777" w:rsidR="00350B92" w:rsidRPr="000D41A7" w:rsidRDefault="00350B92" w:rsidP="00AD6A55">
            <w:pPr>
              <w:pStyle w:val="TableText0"/>
            </w:pPr>
            <w:r w:rsidRPr="000D41A7">
              <w:t>reference group</w:t>
            </w:r>
          </w:p>
        </w:tc>
      </w:tr>
      <w:tr w:rsidR="00350B92" w:rsidRPr="000D41A7" w14:paraId="67FCAEE5" w14:textId="77777777" w:rsidTr="00B65798">
        <w:tc>
          <w:tcPr>
            <w:tcW w:w="2041" w:type="dxa"/>
            <w:shd w:val="clear" w:color="auto" w:fill="FFFFFF"/>
          </w:tcPr>
          <w:p w14:paraId="332566C4" w14:textId="77777777" w:rsidR="00350B92" w:rsidRPr="000D41A7" w:rsidRDefault="00350B92" w:rsidP="00AD6A55">
            <w:pPr>
              <w:pStyle w:val="TableText0"/>
            </w:pPr>
            <w:r w:rsidRPr="000D41A7">
              <w:t>July – September 2013</w:t>
            </w:r>
          </w:p>
        </w:tc>
        <w:tc>
          <w:tcPr>
            <w:tcW w:w="4874" w:type="dxa"/>
            <w:shd w:val="clear" w:color="auto" w:fill="FFFFFF"/>
          </w:tcPr>
          <w:p w14:paraId="3CE43B21" w14:textId="46046BAE" w:rsidR="00350B92" w:rsidRPr="000D41A7" w:rsidRDefault="00350B92" w:rsidP="00AD6A55">
            <w:pPr>
              <w:pStyle w:val="TableText0"/>
            </w:pPr>
            <w:r w:rsidRPr="000D41A7">
              <w:t xml:space="preserve">Conduct </w:t>
            </w:r>
            <w:r>
              <w:t>s</w:t>
            </w:r>
            <w:r w:rsidRPr="000D41A7">
              <w:t>ynthesis and prepare draft report (Part 2)</w:t>
            </w:r>
          </w:p>
        </w:tc>
        <w:tc>
          <w:tcPr>
            <w:tcW w:w="2327" w:type="dxa"/>
            <w:shd w:val="clear" w:color="auto" w:fill="FFFFFF"/>
          </w:tcPr>
          <w:p w14:paraId="1ABD373C" w14:textId="77777777" w:rsidR="00350B92" w:rsidRPr="000D41A7" w:rsidRDefault="00350B92" w:rsidP="00AD6A55">
            <w:pPr>
              <w:pStyle w:val="TableText0"/>
            </w:pPr>
            <w:r w:rsidRPr="000D41A7">
              <w:t>Review team</w:t>
            </w:r>
          </w:p>
        </w:tc>
      </w:tr>
      <w:tr w:rsidR="00350B92" w:rsidRPr="000D41A7" w14:paraId="52AA8FC3" w14:textId="77777777" w:rsidTr="00B65798">
        <w:tc>
          <w:tcPr>
            <w:tcW w:w="2041" w:type="dxa"/>
            <w:shd w:val="clear" w:color="auto" w:fill="FFFFFF"/>
          </w:tcPr>
          <w:p w14:paraId="63CE6693" w14:textId="77777777" w:rsidR="00350B92" w:rsidRPr="000D41A7" w:rsidRDefault="00350B92" w:rsidP="00AD6A55">
            <w:pPr>
              <w:pStyle w:val="TableText0"/>
            </w:pPr>
            <w:r w:rsidRPr="000D41A7">
              <w:t>September – October 2013</w:t>
            </w:r>
          </w:p>
        </w:tc>
        <w:tc>
          <w:tcPr>
            <w:tcW w:w="4874" w:type="dxa"/>
            <w:shd w:val="clear" w:color="auto" w:fill="FFFFFF"/>
          </w:tcPr>
          <w:p w14:paraId="0041F803" w14:textId="77777777" w:rsidR="00350B92" w:rsidRPr="000D41A7" w:rsidRDefault="00350B92" w:rsidP="00AD6A55">
            <w:pPr>
              <w:pStyle w:val="TableText0"/>
            </w:pPr>
            <w:r w:rsidRPr="000D41A7">
              <w:t>Peer review of draft report (Part 2)</w:t>
            </w:r>
          </w:p>
        </w:tc>
        <w:tc>
          <w:tcPr>
            <w:tcW w:w="2327" w:type="dxa"/>
            <w:shd w:val="clear" w:color="auto" w:fill="FFFFFF"/>
          </w:tcPr>
          <w:p w14:paraId="7DD44010" w14:textId="77777777" w:rsidR="00350B92" w:rsidRPr="000D41A7" w:rsidRDefault="00350B92" w:rsidP="00AD6A55">
            <w:pPr>
              <w:pStyle w:val="TableText0"/>
            </w:pPr>
            <w:r>
              <w:t>R</w:t>
            </w:r>
            <w:r w:rsidRPr="000D41A7">
              <w:t>eference group plus additional stakeholders/experts</w:t>
            </w:r>
          </w:p>
        </w:tc>
      </w:tr>
      <w:tr w:rsidR="00350B92" w:rsidRPr="000D41A7" w14:paraId="3193BE4E" w14:textId="77777777" w:rsidTr="00B65798">
        <w:tc>
          <w:tcPr>
            <w:tcW w:w="2041" w:type="dxa"/>
            <w:shd w:val="clear" w:color="auto" w:fill="FFFFFF"/>
          </w:tcPr>
          <w:p w14:paraId="745A0DEB" w14:textId="77777777" w:rsidR="00350B92" w:rsidRPr="000D41A7" w:rsidRDefault="00350B92" w:rsidP="00AD6A55">
            <w:pPr>
              <w:pStyle w:val="TableText0"/>
            </w:pPr>
            <w:r w:rsidRPr="000D41A7">
              <w:t>October – November 2013</w:t>
            </w:r>
          </w:p>
        </w:tc>
        <w:tc>
          <w:tcPr>
            <w:tcW w:w="4874" w:type="dxa"/>
            <w:shd w:val="clear" w:color="auto" w:fill="FFFFFF"/>
          </w:tcPr>
          <w:p w14:paraId="3DD4E7A8" w14:textId="77777777" w:rsidR="00350B92" w:rsidRPr="000D41A7" w:rsidRDefault="00350B92" w:rsidP="00AD6A55">
            <w:pPr>
              <w:pStyle w:val="TableText0"/>
            </w:pPr>
            <w:r w:rsidRPr="000D41A7">
              <w:t>Prepare proposed final report (Parts 1 and 2)</w:t>
            </w:r>
          </w:p>
        </w:tc>
        <w:tc>
          <w:tcPr>
            <w:tcW w:w="2327" w:type="dxa"/>
            <w:shd w:val="clear" w:color="auto" w:fill="FFFFFF"/>
          </w:tcPr>
          <w:p w14:paraId="2BC7F877" w14:textId="77777777" w:rsidR="00350B92" w:rsidRPr="000D41A7" w:rsidRDefault="00350B92" w:rsidP="00AD6A55">
            <w:pPr>
              <w:pStyle w:val="TableText0"/>
            </w:pPr>
            <w:r w:rsidRPr="000D41A7">
              <w:t>Review team</w:t>
            </w:r>
          </w:p>
        </w:tc>
      </w:tr>
      <w:tr w:rsidR="00350B92" w:rsidRPr="000D41A7" w14:paraId="3E61C49D" w14:textId="77777777" w:rsidTr="00B65798">
        <w:tc>
          <w:tcPr>
            <w:tcW w:w="9242" w:type="dxa"/>
            <w:gridSpan w:val="3"/>
            <w:shd w:val="clear" w:color="auto" w:fill="FFFFFF"/>
          </w:tcPr>
          <w:p w14:paraId="27568CBC" w14:textId="77777777" w:rsidR="00350B92" w:rsidRPr="000D41A7" w:rsidRDefault="00350B92" w:rsidP="00AD6A55">
            <w:pPr>
              <w:pStyle w:val="TableText0"/>
              <w:rPr>
                <w:b/>
              </w:rPr>
            </w:pPr>
            <w:r w:rsidRPr="000D41A7">
              <w:rPr>
                <w:b/>
              </w:rPr>
              <w:t>Finalisation</w:t>
            </w:r>
          </w:p>
        </w:tc>
      </w:tr>
      <w:tr w:rsidR="00350B92" w:rsidRPr="000D41A7" w14:paraId="5A8E8AE3" w14:textId="77777777" w:rsidTr="00B65798">
        <w:tc>
          <w:tcPr>
            <w:tcW w:w="2041" w:type="dxa"/>
            <w:shd w:val="clear" w:color="auto" w:fill="FFFFFF"/>
          </w:tcPr>
          <w:p w14:paraId="47C09D57" w14:textId="77777777" w:rsidR="00350B92" w:rsidRPr="000D41A7" w:rsidRDefault="00350B92" w:rsidP="00AD6A55">
            <w:pPr>
              <w:pStyle w:val="TableText0"/>
            </w:pPr>
            <w:r w:rsidRPr="000D41A7">
              <w:t>November 2013</w:t>
            </w:r>
          </w:p>
        </w:tc>
        <w:tc>
          <w:tcPr>
            <w:tcW w:w="4874" w:type="dxa"/>
            <w:shd w:val="clear" w:color="auto" w:fill="FFFFFF"/>
          </w:tcPr>
          <w:p w14:paraId="4360F86F" w14:textId="77777777" w:rsidR="00350B92" w:rsidRPr="000D41A7" w:rsidRDefault="00350B92" w:rsidP="00AD6A55">
            <w:pPr>
              <w:pStyle w:val="TableText0"/>
            </w:pPr>
            <w:r w:rsidRPr="000D41A7">
              <w:t>Provide comments on proposed final report</w:t>
            </w:r>
          </w:p>
        </w:tc>
        <w:tc>
          <w:tcPr>
            <w:tcW w:w="2327" w:type="dxa"/>
            <w:shd w:val="clear" w:color="auto" w:fill="FFFFFF"/>
          </w:tcPr>
          <w:p w14:paraId="7A278E64" w14:textId="77777777" w:rsidR="00350B92" w:rsidRPr="000D41A7" w:rsidRDefault="00350B92" w:rsidP="00AD6A55">
            <w:pPr>
              <w:pStyle w:val="TableText0"/>
            </w:pPr>
            <w:r w:rsidRPr="000D41A7">
              <w:t>IEC</w:t>
            </w:r>
          </w:p>
        </w:tc>
      </w:tr>
      <w:tr w:rsidR="00350B92" w:rsidRPr="000D41A7" w14:paraId="1FE5284C" w14:textId="77777777" w:rsidTr="00B65798">
        <w:tc>
          <w:tcPr>
            <w:tcW w:w="2041" w:type="dxa"/>
            <w:shd w:val="clear" w:color="auto" w:fill="FFFFFF"/>
          </w:tcPr>
          <w:p w14:paraId="29730A59" w14:textId="77777777" w:rsidR="00350B92" w:rsidRPr="000D41A7" w:rsidRDefault="00350B92" w:rsidP="00AD6A55">
            <w:pPr>
              <w:pStyle w:val="TableText0"/>
            </w:pPr>
            <w:r w:rsidRPr="000D41A7">
              <w:t xml:space="preserve">December 2013 </w:t>
            </w:r>
          </w:p>
        </w:tc>
        <w:tc>
          <w:tcPr>
            <w:tcW w:w="4874" w:type="dxa"/>
            <w:shd w:val="clear" w:color="auto" w:fill="FFFFFF"/>
          </w:tcPr>
          <w:p w14:paraId="3D60B0AE" w14:textId="77777777" w:rsidR="00350B92" w:rsidRPr="000D41A7" w:rsidRDefault="00350B92" w:rsidP="00AD6A55">
            <w:pPr>
              <w:pStyle w:val="TableText0"/>
            </w:pPr>
            <w:r w:rsidRPr="000D41A7">
              <w:t>Prepare final version of final report</w:t>
            </w:r>
          </w:p>
        </w:tc>
        <w:tc>
          <w:tcPr>
            <w:tcW w:w="2327" w:type="dxa"/>
            <w:shd w:val="clear" w:color="auto" w:fill="FFFFFF"/>
          </w:tcPr>
          <w:p w14:paraId="4166CD77" w14:textId="77777777" w:rsidR="00350B92" w:rsidRPr="000D41A7" w:rsidRDefault="00350B92" w:rsidP="00AD6A55">
            <w:pPr>
              <w:pStyle w:val="TableText0"/>
            </w:pPr>
            <w:r w:rsidRPr="000D41A7">
              <w:t>AusAID management team</w:t>
            </w:r>
          </w:p>
        </w:tc>
      </w:tr>
      <w:tr w:rsidR="00350B92" w:rsidRPr="000D41A7" w14:paraId="2CABC980" w14:textId="77777777" w:rsidTr="00B65798">
        <w:tc>
          <w:tcPr>
            <w:tcW w:w="2041" w:type="dxa"/>
            <w:shd w:val="clear" w:color="auto" w:fill="FFFFFF"/>
          </w:tcPr>
          <w:p w14:paraId="3547ABD3" w14:textId="77777777" w:rsidR="00350B92" w:rsidRPr="000D41A7" w:rsidRDefault="00350B92" w:rsidP="00AD6A55">
            <w:pPr>
              <w:pStyle w:val="TableText0"/>
            </w:pPr>
            <w:r w:rsidRPr="000D41A7">
              <w:t>December 2013</w:t>
            </w:r>
          </w:p>
        </w:tc>
        <w:tc>
          <w:tcPr>
            <w:tcW w:w="4874" w:type="dxa"/>
            <w:shd w:val="clear" w:color="auto" w:fill="FFFFFF"/>
          </w:tcPr>
          <w:p w14:paraId="19978AAE" w14:textId="77777777" w:rsidR="00350B92" w:rsidRPr="000D41A7" w:rsidRDefault="00350B92" w:rsidP="00AD6A55">
            <w:pPr>
              <w:pStyle w:val="TableText0"/>
            </w:pPr>
            <w:r w:rsidRPr="000D41A7">
              <w:t>Publish report</w:t>
            </w:r>
          </w:p>
        </w:tc>
        <w:tc>
          <w:tcPr>
            <w:tcW w:w="2327" w:type="dxa"/>
            <w:shd w:val="clear" w:color="auto" w:fill="FFFFFF"/>
          </w:tcPr>
          <w:p w14:paraId="65B0048F" w14:textId="77777777" w:rsidR="00350B92" w:rsidRPr="000D41A7" w:rsidRDefault="00350B92" w:rsidP="00AD6A55">
            <w:pPr>
              <w:pStyle w:val="TableText0"/>
            </w:pPr>
            <w:r w:rsidRPr="000D41A7">
              <w:t>AusAID management team</w:t>
            </w:r>
          </w:p>
        </w:tc>
      </w:tr>
    </w:tbl>
    <w:p w14:paraId="19B7AD9A" w14:textId="77777777" w:rsidR="00350B92" w:rsidRDefault="00350B92" w:rsidP="00AD6A55"/>
    <w:p w14:paraId="368BAC1C" w14:textId="77777777" w:rsidR="00350B92" w:rsidRPr="00350B92" w:rsidRDefault="00350B92" w:rsidP="00AD6A55"/>
    <w:p w14:paraId="0E1DCA63" w14:textId="77777777" w:rsidR="00E57F60" w:rsidRPr="00E57F60" w:rsidRDefault="00E57F60" w:rsidP="00AA0240">
      <w:pPr>
        <w:keepNext/>
        <w:numPr>
          <w:ilvl w:val="0"/>
          <w:numId w:val="38"/>
        </w:numPr>
        <w:spacing w:before="0" w:after="60" w:line="240" w:lineRule="auto"/>
        <w:ind w:left="0" w:firstLine="0"/>
        <w:rPr>
          <w:rFonts w:ascii="Cambria" w:hAnsi="Cambria"/>
          <w:sz w:val="19"/>
          <w:szCs w:val="21"/>
        </w:rPr>
      </w:pPr>
      <w:r w:rsidRPr="00E57F60">
        <w:rPr>
          <w:rFonts w:ascii="Arial Narrow" w:hAnsi="Arial Narrow"/>
          <w:sz w:val="19"/>
          <w:szCs w:val="21"/>
        </w:rPr>
        <w:br w:type="page"/>
      </w:r>
    </w:p>
    <w:bookmarkStart w:id="237" w:name="_Toc378060025"/>
    <w:bookmarkStart w:id="238" w:name="_Toc387394605"/>
    <w:bookmarkStart w:id="239" w:name="_Toc366500449"/>
    <w:bookmarkStart w:id="240" w:name="_Toc366506456"/>
    <w:bookmarkStart w:id="241" w:name="_Toc366515892"/>
    <w:bookmarkStart w:id="242" w:name="_Toc372723873"/>
    <w:p w14:paraId="27E9F4F5" w14:textId="1DB843C8" w:rsidR="00964314" w:rsidRPr="008C7811" w:rsidRDefault="00AF76E4" w:rsidP="00C40B57">
      <w:pPr>
        <w:pStyle w:val="Heading1"/>
      </w:pPr>
      <w:r>
        <w:rPr>
          <w:noProof/>
        </w:rPr>
        <w:lastRenderedPageBreak/>
        <mc:AlternateContent>
          <mc:Choice Requires="wps">
            <w:drawing>
              <wp:anchor distT="0" distB="0" distL="114300" distR="114300" simplePos="0" relativeHeight="251664896" behindDoc="1" locked="0" layoutInCell="1" allowOverlap="1" wp14:anchorId="3D7CDA0E" wp14:editId="14030536">
                <wp:simplePos x="0" y="0"/>
                <wp:positionH relativeFrom="page">
                  <wp:posOffset>-20320</wp:posOffset>
                </wp:positionH>
                <wp:positionV relativeFrom="paragraph">
                  <wp:posOffset>-251298</wp:posOffset>
                </wp:positionV>
                <wp:extent cx="7610475" cy="1468755"/>
                <wp:effectExtent l="0" t="0" r="9525" b="0"/>
                <wp:wrapNone/>
                <wp:docPr id="6" name="Rectangle 6"/>
                <wp:cNvGraphicFramePr/>
                <a:graphic xmlns:a="http://schemas.openxmlformats.org/drawingml/2006/main">
                  <a:graphicData uri="http://schemas.microsoft.com/office/word/2010/wordprocessingShape">
                    <wps:wsp>
                      <wps:cNvSpPr/>
                      <wps:spPr>
                        <a:xfrm>
                          <a:off x="0" y="0"/>
                          <a:ext cx="7610475" cy="1468755"/>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6pt;margin-top:-19.8pt;width:599.25pt;height:115.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" fillcolor="#124486" stroked="f" strokeweight="2pt">
                <w10:wrap anchorx="page"/>
              </v:rect>
            </w:pict>
          </mc:Fallback>
        </mc:AlternateContent>
      </w:r>
      <w:r w:rsidR="00964314" w:rsidRPr="008C7811">
        <w:t>Annex 2: Detailed methodology</w:t>
      </w:r>
      <w:bookmarkEnd w:id="237"/>
      <w:bookmarkEnd w:id="238"/>
      <w:r w:rsidR="00964314" w:rsidRPr="008C7811">
        <w:t xml:space="preserve"> </w:t>
      </w:r>
    </w:p>
    <w:p w14:paraId="323BFC99" w14:textId="5E50FC0D" w:rsidR="001B3678" w:rsidRPr="00440EA0" w:rsidRDefault="005774E5" w:rsidP="00AD6A55">
      <w:pPr>
        <w:spacing w:before="480" w:after="120" w:line="240" w:lineRule="auto"/>
        <w:ind w:left="720" w:hanging="720"/>
        <w:rPr>
          <w:bCs/>
          <w:iCs/>
        </w:rPr>
      </w:pPr>
      <w:r w:rsidRPr="00AD6A55">
        <w:rPr>
          <w:rFonts w:ascii="Arial" w:hAnsi="Arial" w:cs="Arial"/>
          <w:b/>
          <w:color w:val="124486"/>
          <w:sz w:val="28"/>
          <w:szCs w:val="28"/>
        </w:rPr>
        <w:t>1</w:t>
      </w:r>
      <w:r w:rsidRPr="00440EA0">
        <w:rPr>
          <w:rFonts w:ascii="Arial" w:hAnsi="Arial" w:cs="Arial"/>
          <w:b/>
          <w:color w:val="124486"/>
          <w:sz w:val="28"/>
          <w:szCs w:val="28"/>
        </w:rPr>
        <w:tab/>
      </w:r>
      <w:r w:rsidR="001706F3" w:rsidRPr="00440EA0">
        <w:rPr>
          <w:rFonts w:ascii="Arial" w:hAnsi="Arial" w:cs="Arial"/>
          <w:b/>
          <w:color w:val="124486"/>
          <w:sz w:val="28"/>
          <w:szCs w:val="28"/>
        </w:rPr>
        <w:t>Overview of approach</w:t>
      </w:r>
    </w:p>
    <w:p w14:paraId="19FD0637" w14:textId="335B6A58" w:rsidR="001B3678" w:rsidRPr="00E57F60" w:rsidRDefault="00D6418B" w:rsidP="00AF76E4">
      <w:pPr>
        <w:rPr>
          <w:rFonts w:eastAsia="MS Mincho"/>
          <w:lang w:eastAsia="en-US"/>
        </w:rPr>
      </w:pPr>
      <w:r>
        <w:rPr>
          <w:i/>
        </w:rPr>
        <w:t>Learning from</w:t>
      </w:r>
      <w:r w:rsidR="001B3678" w:rsidRPr="001706F3">
        <w:rPr>
          <w:i/>
        </w:rPr>
        <w:t xml:space="preserve"> </w:t>
      </w:r>
      <w:r w:rsidR="005105DE" w:rsidRPr="001706F3">
        <w:rPr>
          <w:i/>
        </w:rPr>
        <w:t xml:space="preserve">Australian </w:t>
      </w:r>
      <w:r w:rsidR="00F6559A">
        <w:rPr>
          <w:i/>
        </w:rPr>
        <w:t>a</w:t>
      </w:r>
      <w:r w:rsidR="005105DE" w:rsidRPr="001706F3">
        <w:rPr>
          <w:i/>
        </w:rPr>
        <w:t xml:space="preserve">id </w:t>
      </w:r>
      <w:r w:rsidR="00F6559A">
        <w:rPr>
          <w:i/>
        </w:rPr>
        <w:t>o</w:t>
      </w:r>
      <w:r w:rsidR="001B3678" w:rsidRPr="001706F3">
        <w:rPr>
          <w:i/>
        </w:rPr>
        <w:t xml:space="preserve">perational </w:t>
      </w:r>
      <w:r w:rsidR="00F6559A">
        <w:rPr>
          <w:i/>
        </w:rPr>
        <w:t>e</w:t>
      </w:r>
      <w:r w:rsidR="001B3678" w:rsidRPr="001706F3">
        <w:rPr>
          <w:i/>
        </w:rPr>
        <w:t>valuations</w:t>
      </w:r>
      <w:r w:rsidR="001B3678" w:rsidRPr="00E57F60">
        <w:t xml:space="preserve"> synthesis</w:t>
      </w:r>
      <w:r w:rsidR="001706F3">
        <w:t>es</w:t>
      </w:r>
      <w:r w:rsidR="001B3678" w:rsidRPr="00E57F60">
        <w:t xml:space="preserve"> the findings of </w:t>
      </w:r>
      <w:r w:rsidR="001706F3" w:rsidRPr="00E57F60">
        <w:t>th</w:t>
      </w:r>
      <w:r w:rsidR="001706F3">
        <w:t>o</w:t>
      </w:r>
      <w:r w:rsidR="001706F3" w:rsidRPr="00E57F60">
        <w:t xml:space="preserve">se </w:t>
      </w:r>
      <w:r w:rsidR="001B3678" w:rsidRPr="00E57F60">
        <w:t>evaluations</w:t>
      </w:r>
      <w:r w:rsidR="001706F3">
        <w:t xml:space="preserve"> found to contain credible evidence and analysis during the </w:t>
      </w:r>
      <w:r w:rsidR="001706F3" w:rsidRPr="00AD6A55">
        <w:rPr>
          <w:i/>
        </w:rPr>
        <w:t xml:space="preserve">Quality of Australian </w:t>
      </w:r>
      <w:r w:rsidR="00991F65">
        <w:rPr>
          <w:i/>
        </w:rPr>
        <w:t>a</w:t>
      </w:r>
      <w:r w:rsidR="00991F65" w:rsidRPr="00AD6A55">
        <w:rPr>
          <w:i/>
        </w:rPr>
        <w:t xml:space="preserve">id </w:t>
      </w:r>
      <w:r w:rsidR="00991F65">
        <w:rPr>
          <w:i/>
        </w:rPr>
        <w:t>o</w:t>
      </w:r>
      <w:r w:rsidR="00991F65" w:rsidRPr="00AD6A55">
        <w:rPr>
          <w:i/>
        </w:rPr>
        <w:t xml:space="preserve">perational </w:t>
      </w:r>
      <w:r w:rsidR="00991F65">
        <w:rPr>
          <w:i/>
        </w:rPr>
        <w:t>e</w:t>
      </w:r>
      <w:r w:rsidR="00991F65" w:rsidRPr="00AD6A55">
        <w:rPr>
          <w:i/>
        </w:rPr>
        <w:t>valuations</w:t>
      </w:r>
      <w:r w:rsidR="00991F65">
        <w:t xml:space="preserve"> </w:t>
      </w:r>
      <w:r w:rsidR="001706F3">
        <w:t>review</w:t>
      </w:r>
      <w:r w:rsidR="003A64CA">
        <w:t xml:space="preserve"> to provide a set of lessons for improving the quality and performance of the Australian aid program</w:t>
      </w:r>
      <w:r w:rsidR="001B3678" w:rsidRPr="00E57F60">
        <w:t>.</w:t>
      </w:r>
      <w:r w:rsidR="00670092">
        <w:t xml:space="preserve"> </w:t>
      </w:r>
      <w:r w:rsidR="001B3678" w:rsidRPr="00E57F60">
        <w:rPr>
          <w:rFonts w:eastAsia="MS Mincho"/>
          <w:lang w:eastAsia="en-US"/>
        </w:rPr>
        <w:t xml:space="preserve">The synthesis </w:t>
      </w:r>
      <w:r w:rsidR="00C15F78">
        <w:rPr>
          <w:rFonts w:eastAsia="MS Mincho"/>
          <w:lang w:eastAsia="en-US"/>
        </w:rPr>
        <w:t xml:space="preserve">sought </w:t>
      </w:r>
      <w:r w:rsidR="001B3678">
        <w:rPr>
          <w:rFonts w:eastAsia="MS Mincho"/>
          <w:lang w:eastAsia="en-US"/>
        </w:rPr>
        <w:t xml:space="preserve">to </w:t>
      </w:r>
      <w:r w:rsidR="001B3678" w:rsidRPr="00E57F60">
        <w:rPr>
          <w:rFonts w:eastAsia="MS Mincho"/>
          <w:lang w:eastAsia="en-US"/>
        </w:rPr>
        <w:t>answer the key evaluation question:</w:t>
      </w:r>
    </w:p>
    <w:p w14:paraId="1AE43C75" w14:textId="77777777" w:rsidR="001B3678" w:rsidRPr="00AD6A55" w:rsidRDefault="001B3678" w:rsidP="00AD6A55">
      <w:pPr>
        <w:pStyle w:val="Bullet"/>
        <w:ind w:left="284" w:hanging="284"/>
      </w:pPr>
      <w:r w:rsidRPr="00AD6A55">
        <w:t>What are the main lessons for the aid program emerging from the findings of the independent evaluations?</w:t>
      </w:r>
      <w:r w:rsidRPr="00AD6A55">
        <w:rPr>
          <w:vertAlign w:val="superscript"/>
        </w:rPr>
        <w:footnoteReference w:id="26"/>
      </w:r>
      <w:r w:rsidRPr="00AD6A55">
        <w:t xml:space="preserve"> </w:t>
      </w:r>
    </w:p>
    <w:p w14:paraId="235CD937" w14:textId="36E71874" w:rsidR="001706F3" w:rsidRPr="00BD0294" w:rsidRDefault="005774E5" w:rsidP="00AD6A55">
      <w:pPr>
        <w:spacing w:before="480" w:after="120" w:line="240" w:lineRule="auto"/>
        <w:ind w:left="720" w:hanging="720"/>
      </w:pPr>
      <w:r w:rsidRPr="00AD6A55">
        <w:rPr>
          <w:rFonts w:ascii="Arial" w:hAnsi="Arial" w:cs="Arial"/>
          <w:b/>
          <w:color w:val="124486"/>
          <w:sz w:val="28"/>
          <w:szCs w:val="28"/>
        </w:rPr>
        <w:t>2</w:t>
      </w:r>
      <w:r w:rsidRPr="00AD6A55">
        <w:rPr>
          <w:rFonts w:ascii="Arial" w:hAnsi="Arial" w:cs="Arial"/>
          <w:b/>
          <w:color w:val="124486"/>
          <w:sz w:val="28"/>
          <w:szCs w:val="28"/>
        </w:rPr>
        <w:tab/>
      </w:r>
      <w:r w:rsidR="001706F3" w:rsidRPr="00AD6A55">
        <w:rPr>
          <w:rFonts w:ascii="Arial" w:hAnsi="Arial" w:cs="Arial"/>
          <w:b/>
          <w:color w:val="124486"/>
          <w:sz w:val="28"/>
          <w:szCs w:val="28"/>
        </w:rPr>
        <w:t>Detailed methodology</w:t>
      </w:r>
    </w:p>
    <w:p w14:paraId="41E79BDF" w14:textId="7BCFAC9B" w:rsidR="003A64CA" w:rsidRPr="003A64CA" w:rsidRDefault="003A64CA" w:rsidP="005774E5">
      <w:pPr>
        <w:pStyle w:val="Heading3a"/>
      </w:pPr>
      <w:r w:rsidRPr="003A64CA">
        <w:t>The evidence base</w:t>
      </w:r>
    </w:p>
    <w:p w14:paraId="40F00B20" w14:textId="6A83F6B2" w:rsidR="001B3678" w:rsidRDefault="003A64CA" w:rsidP="00C159D7">
      <w:pPr>
        <w:rPr>
          <w:rFonts w:eastAsia="MS Mincho"/>
          <w:lang w:eastAsia="en-US"/>
        </w:rPr>
      </w:pPr>
      <w:r>
        <w:rPr>
          <w:rFonts w:eastAsia="MS Mincho"/>
          <w:lang w:eastAsia="en-US"/>
        </w:rPr>
        <w:t>Starting with the population of 87 operational evaluations completed in 2012, t</w:t>
      </w:r>
      <w:r w:rsidR="001B3678" w:rsidRPr="00E57F60">
        <w:rPr>
          <w:rFonts w:eastAsia="MS Mincho"/>
          <w:lang w:eastAsia="en-US"/>
        </w:rPr>
        <w:t xml:space="preserve">he </w:t>
      </w:r>
      <w:r w:rsidRPr="00AD6A55">
        <w:rPr>
          <w:rFonts w:eastAsia="MS Mincho"/>
          <w:i/>
          <w:lang w:eastAsia="en-US"/>
        </w:rPr>
        <w:t xml:space="preserve">Quality of Australian </w:t>
      </w:r>
      <w:r w:rsidR="00991F65">
        <w:rPr>
          <w:rFonts w:eastAsia="MS Mincho"/>
          <w:i/>
          <w:lang w:eastAsia="en-US"/>
        </w:rPr>
        <w:t>a</w:t>
      </w:r>
      <w:r w:rsidR="00991F65" w:rsidRPr="00AD6A55">
        <w:rPr>
          <w:rFonts w:eastAsia="MS Mincho"/>
          <w:i/>
          <w:lang w:eastAsia="en-US"/>
        </w:rPr>
        <w:t xml:space="preserve">id </w:t>
      </w:r>
      <w:r w:rsidR="00991F65">
        <w:rPr>
          <w:rFonts w:eastAsia="MS Mincho"/>
          <w:i/>
          <w:lang w:eastAsia="en-US"/>
        </w:rPr>
        <w:t>o</w:t>
      </w:r>
      <w:r w:rsidR="00991F65" w:rsidRPr="00AD6A55">
        <w:rPr>
          <w:rFonts w:eastAsia="MS Mincho"/>
          <w:i/>
          <w:lang w:eastAsia="en-US"/>
        </w:rPr>
        <w:t xml:space="preserve">perational </w:t>
      </w:r>
      <w:r w:rsidR="00991F65">
        <w:rPr>
          <w:rFonts w:eastAsia="MS Mincho"/>
          <w:i/>
          <w:lang w:eastAsia="en-US"/>
        </w:rPr>
        <w:t>e</w:t>
      </w:r>
      <w:r w:rsidR="00991F65" w:rsidRPr="00AD6A55">
        <w:rPr>
          <w:rFonts w:eastAsia="MS Mincho"/>
          <w:i/>
          <w:lang w:eastAsia="en-US"/>
        </w:rPr>
        <w:t>valuations</w:t>
      </w:r>
      <w:r w:rsidR="00991F65" w:rsidRPr="00AD6A55">
        <w:rPr>
          <w:rFonts w:eastAsia="MS Mincho"/>
          <w:lang w:eastAsia="en-US"/>
        </w:rPr>
        <w:t xml:space="preserve"> </w:t>
      </w:r>
      <w:r w:rsidRPr="00AD6A55">
        <w:rPr>
          <w:rFonts w:eastAsia="MS Mincho"/>
          <w:lang w:eastAsia="en-US"/>
        </w:rPr>
        <w:t>review</w:t>
      </w:r>
      <w:r w:rsidR="001B3678" w:rsidRPr="00E57F60">
        <w:rPr>
          <w:rFonts w:eastAsia="MS Mincho"/>
          <w:lang w:eastAsia="en-US"/>
        </w:rPr>
        <w:t xml:space="preserve"> identified 64 evaluation reports (7</w:t>
      </w:r>
      <w:r w:rsidR="001B3678">
        <w:rPr>
          <w:rFonts w:eastAsia="MS Mincho"/>
          <w:lang w:eastAsia="en-US"/>
        </w:rPr>
        <w:t>4 per cent</w:t>
      </w:r>
      <w:r w:rsidR="001B3678" w:rsidRPr="00E57F60">
        <w:rPr>
          <w:rFonts w:eastAsia="MS Mincho"/>
          <w:lang w:eastAsia="en-US"/>
        </w:rPr>
        <w:t>) that were assessed as adequate quality or better for ‘credibility of evidence and analysis’.</w:t>
      </w:r>
      <w:r w:rsidR="00670092">
        <w:rPr>
          <w:rFonts w:eastAsia="MS Mincho"/>
          <w:lang w:eastAsia="en-US"/>
        </w:rPr>
        <w:t xml:space="preserve"> </w:t>
      </w:r>
      <w:r w:rsidR="001B3678" w:rsidRPr="00E57F60">
        <w:rPr>
          <w:rFonts w:eastAsia="MS Mincho"/>
          <w:lang w:eastAsia="en-US"/>
        </w:rPr>
        <w:t>This criterion was selected based on its central importance to the robustness of the overall report</w:t>
      </w:r>
      <w:r>
        <w:rPr>
          <w:rFonts w:eastAsia="MS Mincho"/>
          <w:lang w:eastAsia="en-US"/>
        </w:rPr>
        <w:t>.</w:t>
      </w:r>
      <w:r w:rsidR="00670092">
        <w:rPr>
          <w:rFonts w:eastAsia="MS Mincho"/>
          <w:lang w:eastAsia="en-US"/>
        </w:rPr>
        <w:t xml:space="preserve"> </w:t>
      </w:r>
      <w:r>
        <w:rPr>
          <w:rFonts w:eastAsia="MS Mincho"/>
          <w:lang w:eastAsia="en-US"/>
        </w:rPr>
        <w:t xml:space="preserve">This </w:t>
      </w:r>
      <w:r w:rsidR="001B3678" w:rsidRPr="00E57F60">
        <w:rPr>
          <w:rFonts w:eastAsia="MS Mincho"/>
          <w:lang w:eastAsia="en-US"/>
        </w:rPr>
        <w:t xml:space="preserve">group of 64 independent </w:t>
      </w:r>
      <w:r>
        <w:rPr>
          <w:rFonts w:eastAsia="MS Mincho"/>
          <w:lang w:eastAsia="en-US"/>
        </w:rPr>
        <w:t xml:space="preserve">operational </w:t>
      </w:r>
      <w:r w:rsidR="001B3678" w:rsidRPr="00E57F60">
        <w:rPr>
          <w:rFonts w:eastAsia="MS Mincho"/>
          <w:lang w:eastAsia="en-US"/>
        </w:rPr>
        <w:t xml:space="preserve">evaluation reports formed the pool on which the synthesis was based. </w:t>
      </w:r>
    </w:p>
    <w:p w14:paraId="1C97BDF4" w14:textId="4AC15851" w:rsidR="005803AB" w:rsidRPr="00E57F60" w:rsidRDefault="005803AB" w:rsidP="00C159D7">
      <w:pPr>
        <w:rPr>
          <w:rFonts w:eastAsia="MS Mincho"/>
          <w:lang w:eastAsia="en-US"/>
        </w:rPr>
      </w:pPr>
      <w:r>
        <w:rPr>
          <w:rFonts w:eastAsia="MS Mincho"/>
          <w:lang w:eastAsia="en-US"/>
        </w:rPr>
        <w:t>The evaluation synthesis methodology comprised the following steps</w:t>
      </w:r>
      <w:r w:rsidR="00F6559A">
        <w:rPr>
          <w:rFonts w:eastAsia="MS Mincho"/>
          <w:lang w:eastAsia="en-US"/>
        </w:rPr>
        <w:t>.</w:t>
      </w:r>
    </w:p>
    <w:p w14:paraId="53E7B46C" w14:textId="77777777" w:rsidR="001B3678" w:rsidRPr="00E57F60" w:rsidRDefault="001B3678" w:rsidP="005774E5">
      <w:pPr>
        <w:pStyle w:val="Heading3a"/>
      </w:pPr>
      <w:r w:rsidRPr="00E57F60">
        <w:t>Step 1</w:t>
      </w:r>
      <w:r>
        <w:t>:</w:t>
      </w:r>
      <w:r w:rsidRPr="00E57F60">
        <w:t xml:space="preserve"> Developing the </w:t>
      </w:r>
      <w:r>
        <w:t>o</w:t>
      </w:r>
      <w:r w:rsidRPr="00E57F60">
        <w:t xml:space="preserve">rganising </w:t>
      </w:r>
      <w:r>
        <w:t>f</w:t>
      </w:r>
      <w:r w:rsidRPr="00E57F60">
        <w:t xml:space="preserve">ramework </w:t>
      </w:r>
    </w:p>
    <w:p w14:paraId="7B017F5A" w14:textId="415B1AD6" w:rsidR="001B3678" w:rsidRPr="00E57F60" w:rsidRDefault="001B3678" w:rsidP="001B3678">
      <w:r w:rsidRPr="00E57F60">
        <w:t xml:space="preserve">Evidence was collected to answer the questions </w:t>
      </w:r>
      <w:r w:rsidR="00F6559A">
        <w:t>‘</w:t>
      </w:r>
      <w:r w:rsidRPr="00E57F60">
        <w:t>What worked well and why?</w:t>
      </w:r>
      <w:r w:rsidR="00F6559A">
        <w:t>’</w:t>
      </w:r>
      <w:r w:rsidRPr="00E57F60">
        <w:t xml:space="preserve"> and </w:t>
      </w:r>
      <w:r w:rsidR="00F6559A">
        <w:t>‘</w:t>
      </w:r>
      <w:r w:rsidRPr="00E57F60">
        <w:t>What didn’t work well and why?</w:t>
      </w:r>
      <w:r w:rsidR="00F6559A">
        <w:t>’</w:t>
      </w:r>
      <w:r w:rsidR="00670092">
        <w:t xml:space="preserve"> </w:t>
      </w:r>
      <w:r w:rsidRPr="00E57F60">
        <w:t xml:space="preserve">To structure the collection of evidence </w:t>
      </w:r>
      <w:r w:rsidR="00F6559A">
        <w:t xml:space="preserve">on </w:t>
      </w:r>
      <w:r w:rsidRPr="00E57F60">
        <w:t>these questions and to organise and categorise the evidence collected, the team developed a list of provisional hypotheses based on the initial reading of the evaluation reports during the quality review phase.</w:t>
      </w:r>
    </w:p>
    <w:p w14:paraId="037FA406" w14:textId="77777777" w:rsidR="001B3678" w:rsidRPr="00E57F60" w:rsidRDefault="001B3678" w:rsidP="005774E5">
      <w:pPr>
        <w:pStyle w:val="Heading3a"/>
      </w:pPr>
      <w:r w:rsidRPr="00E57F60">
        <w:t>Step 2</w:t>
      </w:r>
      <w:r>
        <w:t>:</w:t>
      </w:r>
      <w:r w:rsidRPr="00E57F60">
        <w:t xml:space="preserve"> Detailed </w:t>
      </w:r>
      <w:r>
        <w:t>r</w:t>
      </w:r>
      <w:r w:rsidRPr="00E57F60">
        <w:t xml:space="preserve">eport </w:t>
      </w:r>
      <w:r>
        <w:t>r</w:t>
      </w:r>
      <w:r w:rsidRPr="00E57F60">
        <w:t xml:space="preserve">eading and </w:t>
      </w:r>
      <w:r>
        <w:t>r</w:t>
      </w:r>
      <w:r w:rsidRPr="00E57F60">
        <w:t>ecording the evidence</w:t>
      </w:r>
    </w:p>
    <w:p w14:paraId="52C4251D" w14:textId="3B1F0108" w:rsidR="001B3678" w:rsidRPr="00E57F60" w:rsidRDefault="001B3678" w:rsidP="00C159D7">
      <w:r w:rsidRPr="00E57F60">
        <w:t>The 64 reports w</w:t>
      </w:r>
      <w:r>
        <w:t>ere</w:t>
      </w:r>
      <w:r w:rsidRPr="00E57F60">
        <w:t xml:space="preserve"> divided between the </w:t>
      </w:r>
      <w:r w:rsidR="00991F65">
        <w:t>r</w:t>
      </w:r>
      <w:r w:rsidR="00991F65" w:rsidRPr="00E57F60">
        <w:t xml:space="preserve">eview </w:t>
      </w:r>
      <w:r w:rsidR="00991F65">
        <w:t>t</w:t>
      </w:r>
      <w:r w:rsidRPr="00E57F60">
        <w:t>eam</w:t>
      </w:r>
      <w:r w:rsidR="00F739EB">
        <w:t xml:space="preserve"> members</w:t>
      </w:r>
      <w:r w:rsidRPr="00E57F60">
        <w:t>.</w:t>
      </w:r>
      <w:r w:rsidR="00670092">
        <w:t xml:space="preserve"> </w:t>
      </w:r>
      <w:r w:rsidRPr="00E57F60">
        <w:t>Team members reviewed the contents of each report</w:t>
      </w:r>
      <w:r w:rsidR="00F6559A">
        <w:t>,</w:t>
      </w:r>
      <w:r w:rsidRPr="00E57F60">
        <w:t xml:space="preserve"> focusing on the sections related to findings, conclusions and recommendations</w:t>
      </w:r>
      <w:r w:rsidR="00F6559A">
        <w:t>,</w:t>
      </w:r>
      <w:r w:rsidRPr="00E57F60">
        <w:t xml:space="preserve"> to answer the question</w:t>
      </w:r>
      <w:r w:rsidR="00F739EB">
        <w:t>s</w:t>
      </w:r>
      <w:r w:rsidRPr="00E57F60">
        <w:t xml:space="preserve"> set out in </w:t>
      </w:r>
      <w:r w:rsidR="00991F65">
        <w:t>s</w:t>
      </w:r>
      <w:r w:rsidR="00991F65" w:rsidRPr="00E57F60">
        <w:t xml:space="preserve">tep </w:t>
      </w:r>
      <w:r w:rsidRPr="00E57F60">
        <w:t>1.</w:t>
      </w:r>
      <w:r w:rsidR="00670092">
        <w:t xml:space="preserve"> </w:t>
      </w:r>
      <w:r w:rsidRPr="00E57F60">
        <w:t>The evidence collected was used to refine the initial list of hypotheses developed and</w:t>
      </w:r>
      <w:r w:rsidR="00F6559A">
        <w:t>,</w:t>
      </w:r>
      <w:r w:rsidRPr="00E57F60">
        <w:t xml:space="preserve"> where needed</w:t>
      </w:r>
      <w:r w:rsidR="00F6559A">
        <w:t>,</w:t>
      </w:r>
      <w:r w:rsidRPr="00E57F60">
        <w:t xml:space="preserve"> add other hypotheses so that the </w:t>
      </w:r>
      <w:r w:rsidRPr="00E57F60">
        <w:lastRenderedPageBreak/>
        <w:t>framework was refined as the reading progresse</w:t>
      </w:r>
      <w:r>
        <w:t>d</w:t>
      </w:r>
      <w:r w:rsidRPr="00E57F60">
        <w:t>. The text was marked and categorised for reference so that the framework was continually refined in an iterative process.</w:t>
      </w:r>
      <w:r w:rsidR="00670092">
        <w:t xml:space="preserve"> </w:t>
      </w:r>
      <w:r w:rsidRPr="00E57F60">
        <w:t>Regular communication between team members was important</w:t>
      </w:r>
      <w:r w:rsidR="00F6559A">
        <w:t>—</w:t>
      </w:r>
      <w:r w:rsidRPr="00E57F60">
        <w:t>and we had substantive discussions on data collection and emerging lessons</w:t>
      </w:r>
      <w:r>
        <w:t xml:space="preserve"> after reading approximately</w:t>
      </w:r>
      <w:r w:rsidRPr="00E57F60">
        <w:t xml:space="preserve"> every five evaluations.</w:t>
      </w:r>
    </w:p>
    <w:p w14:paraId="49D0A672" w14:textId="6BC52718" w:rsidR="001B3678" w:rsidRPr="00E57F60" w:rsidRDefault="00E3385D" w:rsidP="00C159D7">
      <w:r>
        <w:t>E</w:t>
      </w:r>
      <w:r w:rsidRPr="00EE6D47">
        <w:t>xplanations or theories associated with emerging concepts were extracted and lines of argument developed that pull</w:t>
      </w:r>
      <w:r>
        <w:t>ed</w:t>
      </w:r>
      <w:r w:rsidRPr="00EE6D47">
        <w:t xml:space="preserve"> corroborating concepts together in a way that goes beyond the content of the individual reports.</w:t>
      </w:r>
      <w:r w:rsidR="00670092">
        <w:t xml:space="preserve"> </w:t>
      </w:r>
      <w:r w:rsidR="001B3678" w:rsidRPr="008B2906">
        <w:t>We recorded evidence (e</w:t>
      </w:r>
      <w:r w:rsidR="00F739EB">
        <w:t>.</w:t>
      </w:r>
      <w:r w:rsidR="001B3678" w:rsidRPr="008B2906">
        <w:t>g</w:t>
      </w:r>
      <w:r w:rsidR="00F739EB">
        <w:t>.</w:t>
      </w:r>
      <w:r w:rsidR="001B3678" w:rsidRPr="008B2906">
        <w:t xml:space="preserve"> text or text references) for each hypothesis in a </w:t>
      </w:r>
      <w:r w:rsidR="001B3678" w:rsidRPr="00F739EB">
        <w:t xml:space="preserve">spreadsheet. </w:t>
      </w:r>
      <w:r w:rsidR="00F739EB" w:rsidRPr="00EE6D47">
        <w:t>During the analysis</w:t>
      </w:r>
      <w:r w:rsidR="00F6559A">
        <w:t>,</w:t>
      </w:r>
      <w:r w:rsidR="00F739EB" w:rsidRPr="00EE6D47">
        <w:t xml:space="preserve"> relevant text from reports </w:t>
      </w:r>
      <w:r w:rsidR="00991F65">
        <w:t>was</w:t>
      </w:r>
      <w:r w:rsidR="00991F65" w:rsidRPr="00EE6D47">
        <w:t xml:space="preserve"> </w:t>
      </w:r>
      <w:r w:rsidR="00F739EB" w:rsidRPr="00EE6D47">
        <w:t>tagged and drawn upon to support the analysis</w:t>
      </w:r>
      <w:r w:rsidR="00F739EB">
        <w:t>.</w:t>
      </w:r>
      <w:r w:rsidR="00670092">
        <w:t xml:space="preserve"> </w:t>
      </w:r>
      <w:r w:rsidR="001B3678" w:rsidRPr="00E57F60">
        <w:t xml:space="preserve">We included the main characteristics of each initiative such </w:t>
      </w:r>
      <w:r>
        <w:t>country or region, sector, value and duration</w:t>
      </w:r>
      <w:r w:rsidR="001B3678" w:rsidRPr="00E57F60">
        <w:t>. Innovative initiatives were identified as well as those implemented in a high</w:t>
      </w:r>
      <w:r w:rsidR="00F6559A">
        <w:t>-</w:t>
      </w:r>
      <w:r w:rsidR="001B3678" w:rsidRPr="00E57F60">
        <w:t>risk setting.</w:t>
      </w:r>
      <w:r w:rsidR="001B3678" w:rsidRPr="00E57F60">
        <w:rPr>
          <w:szCs w:val="14"/>
          <w:vertAlign w:val="superscript"/>
        </w:rPr>
        <w:footnoteReference w:id="27"/>
      </w:r>
      <w:r w:rsidR="001B3678" w:rsidRPr="00E57F60">
        <w:t xml:space="preserve"> The aim of this was to allow patterns to be identified through filtering the evidence for what works well and what does not work well against </w:t>
      </w:r>
      <w:r>
        <w:t>various</w:t>
      </w:r>
      <w:r w:rsidR="001B3678" w:rsidRPr="00E57F60">
        <w:t xml:space="preserve"> characteristics.</w:t>
      </w:r>
      <w:r w:rsidR="00670092">
        <w:t xml:space="preserve"> </w:t>
      </w:r>
      <w:r w:rsidR="00950146">
        <w:t>This allowed the lessons to be placed within a context</w:t>
      </w:r>
      <w:r w:rsidR="00F6559A">
        <w:t>:</w:t>
      </w:r>
      <w:r w:rsidR="00950146">
        <w:t xml:space="preserve"> i.e. </w:t>
      </w:r>
      <w:r w:rsidR="00F6559A">
        <w:t>‘</w:t>
      </w:r>
      <w:r w:rsidR="00950146">
        <w:t xml:space="preserve">what worked or did not work well </w:t>
      </w:r>
      <w:r w:rsidR="00950146" w:rsidRPr="00771333">
        <w:rPr>
          <w:i/>
        </w:rPr>
        <w:t>under what circumstances</w:t>
      </w:r>
      <w:r w:rsidR="00950146" w:rsidRPr="00771333">
        <w:t xml:space="preserve"> and why</w:t>
      </w:r>
      <w:r w:rsidR="00950146" w:rsidRPr="007341E3">
        <w:t>?</w:t>
      </w:r>
      <w:r w:rsidR="00F6559A">
        <w:t>’</w:t>
      </w:r>
    </w:p>
    <w:p w14:paraId="648E463E" w14:textId="77777777" w:rsidR="001B3678" w:rsidRPr="00E57F60" w:rsidRDefault="001B3678" w:rsidP="005774E5">
      <w:pPr>
        <w:pStyle w:val="Heading3a"/>
      </w:pPr>
      <w:r w:rsidRPr="00E57F60">
        <w:t>Step 3</w:t>
      </w:r>
      <w:r>
        <w:t>:</w:t>
      </w:r>
      <w:r w:rsidRPr="00E57F60">
        <w:t xml:space="preserve"> Synthesising the evidence collected</w:t>
      </w:r>
    </w:p>
    <w:p w14:paraId="4129A8C4" w14:textId="2636A1C5" w:rsidR="001B3678" w:rsidRPr="00E57F60" w:rsidRDefault="001B3678" w:rsidP="00775B1A">
      <w:r w:rsidRPr="00E57F60">
        <w:t xml:space="preserve">During the next stage, the </w:t>
      </w:r>
      <w:r w:rsidR="00991F65">
        <w:t>r</w:t>
      </w:r>
      <w:r w:rsidR="00991F65" w:rsidRPr="00E57F60">
        <w:t xml:space="preserve">eview </w:t>
      </w:r>
      <w:r w:rsidR="00991F65">
        <w:t>t</w:t>
      </w:r>
      <w:r w:rsidR="00991F65" w:rsidRPr="00E57F60">
        <w:t xml:space="preserve">eam </w:t>
      </w:r>
      <w:r w:rsidRPr="00E57F60">
        <w:t>synthesised and analysed the evidence collected, taking contextual factors into account, testing the strength of the provisional hypotheses and refining them, and developing more significant and higher</w:t>
      </w:r>
      <w:r w:rsidR="00E13A69">
        <w:t>-</w:t>
      </w:r>
      <w:r w:rsidRPr="00E57F60">
        <w:t>level lessons.</w:t>
      </w:r>
      <w:r w:rsidR="00670092">
        <w:t xml:space="preserve"> </w:t>
      </w:r>
      <w:r w:rsidRPr="00E57F60">
        <w:t>To manage the large volume of data, the team took a structured approach, dividing up the evidence according to their area</w:t>
      </w:r>
      <w:r w:rsidR="00991F65">
        <w:t>s</w:t>
      </w:r>
      <w:r w:rsidRPr="00E57F60">
        <w:t xml:space="preserve"> of expertise and each focusing in depth on specific evidence and provisional hypotheses to develop these into draft lessons and explanatory text.</w:t>
      </w:r>
      <w:r w:rsidR="00670092">
        <w:t xml:space="preserve"> </w:t>
      </w:r>
      <w:r w:rsidRPr="00E57F60">
        <w:t>The analysis looked for patterns and commonalities across the evidence collected and across variables such as initiative characteristics to develop lessons</w:t>
      </w:r>
      <w:r w:rsidR="00E13A69">
        <w:t>;</w:t>
      </w:r>
      <w:r w:rsidRPr="00E57F60">
        <w:t xml:space="preserve"> howeve</w:t>
      </w:r>
      <w:r>
        <w:t>r</w:t>
      </w:r>
      <w:r w:rsidR="00E13A69">
        <w:t>,</w:t>
      </w:r>
      <w:r w:rsidRPr="00E57F60">
        <w:t xml:space="preserve"> outliers were also taken into account.</w:t>
      </w:r>
      <w:r w:rsidR="00670092">
        <w:t xml:space="preserve"> </w:t>
      </w:r>
    </w:p>
    <w:p w14:paraId="763C44C9" w14:textId="77777777" w:rsidR="001B3678" w:rsidRPr="00E57F60" w:rsidRDefault="001B3678" w:rsidP="005774E5">
      <w:pPr>
        <w:pStyle w:val="Heading3a"/>
      </w:pPr>
      <w:r w:rsidRPr="00E57F60">
        <w:t>Step 4</w:t>
      </w:r>
      <w:r>
        <w:t>:</w:t>
      </w:r>
      <w:r w:rsidRPr="00E57F60">
        <w:t xml:space="preserve"> Refining and prioritising the draft lessons</w:t>
      </w:r>
    </w:p>
    <w:p w14:paraId="0127CE35" w14:textId="18E8C15C" w:rsidR="001B3678" w:rsidRPr="00E57F60" w:rsidRDefault="001B3678" w:rsidP="00775B1A">
      <w:r w:rsidRPr="00E57F60">
        <w:t xml:space="preserve">A shortlist of the strongest hypotheses was </w:t>
      </w:r>
      <w:r w:rsidR="00991F65">
        <w:t>identified</w:t>
      </w:r>
      <w:r w:rsidRPr="00E57F60">
        <w:t xml:space="preserve"> and a set of proposed lessons developed, drawing on the team’s international experience to ground the lessons within broader aid practice and thinking. The proposed lessons were presented to the </w:t>
      </w:r>
      <w:r w:rsidR="0030473F">
        <w:t>DFAT</w:t>
      </w:r>
      <w:r w:rsidRPr="00E57F60">
        <w:t xml:space="preserve"> management team in a </w:t>
      </w:r>
      <w:r w:rsidR="0030473F">
        <w:t>teleconference</w:t>
      </w:r>
      <w:r w:rsidR="0030473F" w:rsidRPr="00E57F60">
        <w:t xml:space="preserve"> </w:t>
      </w:r>
      <w:r w:rsidRPr="00E57F60">
        <w:t>workshop and discussed further.</w:t>
      </w:r>
      <w:r w:rsidR="00670092">
        <w:t xml:space="preserve"> </w:t>
      </w:r>
      <w:r w:rsidRPr="00E57F60">
        <w:t xml:space="preserve">The final articulation of lessons was made in agreement with the </w:t>
      </w:r>
      <w:r w:rsidR="0030473F">
        <w:t xml:space="preserve">DFAT </w:t>
      </w:r>
      <w:r w:rsidRPr="00E57F60">
        <w:t xml:space="preserve">management team and </w:t>
      </w:r>
      <w:r w:rsidR="00E13A69">
        <w:t xml:space="preserve">was </w:t>
      </w:r>
      <w:r w:rsidRPr="00E57F60">
        <w:t>based on the strength of the evidence across the 64 evaluations; the salience of the findings; and the priority areas for Australian aid program learning.</w:t>
      </w:r>
      <w:r w:rsidR="00670092">
        <w:t xml:space="preserve"> </w:t>
      </w:r>
    </w:p>
    <w:p w14:paraId="6F1E6C0B" w14:textId="41803DE8" w:rsidR="001B3678" w:rsidRPr="00E57F60" w:rsidRDefault="001B3678" w:rsidP="005774E5">
      <w:pPr>
        <w:pStyle w:val="Heading3a"/>
      </w:pPr>
      <w:r w:rsidRPr="00E57F60">
        <w:t>Step 5</w:t>
      </w:r>
      <w:r>
        <w:t>:</w:t>
      </w:r>
      <w:r w:rsidRPr="00E57F60">
        <w:t xml:space="preserve"> Synthesis write</w:t>
      </w:r>
      <w:r w:rsidR="00E13A69">
        <w:t>-</w:t>
      </w:r>
      <w:r w:rsidRPr="00E57F60">
        <w:t>up</w:t>
      </w:r>
    </w:p>
    <w:p w14:paraId="7D23C2F3" w14:textId="6FD3BDAD" w:rsidR="001B3678" w:rsidRPr="00E57F60" w:rsidRDefault="001B3678" w:rsidP="00775B1A">
      <w:r w:rsidRPr="00E57F60">
        <w:t>The agreed lessons from Step 4 were divided up between the team members to complete any further analysis and prepare a concise write</w:t>
      </w:r>
      <w:r w:rsidR="00E13A69">
        <w:t>-</w:t>
      </w:r>
      <w:r w:rsidRPr="00E57F60">
        <w:t>up.</w:t>
      </w:r>
      <w:r w:rsidR="00670092">
        <w:t xml:space="preserve"> </w:t>
      </w:r>
    </w:p>
    <w:p w14:paraId="5FFAF1AA" w14:textId="398D5784" w:rsidR="001B3678" w:rsidRPr="00E57F60" w:rsidRDefault="001B3678" w:rsidP="005774E5">
      <w:pPr>
        <w:pStyle w:val="Heading3a"/>
      </w:pPr>
      <w:r w:rsidRPr="00E57F60">
        <w:t>Step 6</w:t>
      </w:r>
      <w:r>
        <w:t>:</w:t>
      </w:r>
      <w:r w:rsidRPr="00E57F60">
        <w:t xml:space="preserve"> Peer and Independent Evaluation Committee </w:t>
      </w:r>
      <w:r w:rsidR="00E13A69">
        <w:t>r</w:t>
      </w:r>
      <w:r w:rsidRPr="00E57F60">
        <w:t>eview</w:t>
      </w:r>
    </w:p>
    <w:p w14:paraId="3915FDAB" w14:textId="2232D0E7" w:rsidR="001B3678" w:rsidRPr="00E57F60" w:rsidRDefault="001B3678" w:rsidP="00775B1A">
      <w:r w:rsidRPr="00E57F60">
        <w:t>The draft report</w:t>
      </w:r>
      <w:r>
        <w:t xml:space="preserve"> was</w:t>
      </w:r>
      <w:r w:rsidR="00670092">
        <w:t xml:space="preserve"> </w:t>
      </w:r>
      <w:r w:rsidRPr="00E57F60">
        <w:t xml:space="preserve">submitted to </w:t>
      </w:r>
      <w:r w:rsidR="0030473F">
        <w:t>DFAT</w:t>
      </w:r>
      <w:r w:rsidRPr="00E57F60">
        <w:t>’s Independent Evaluation Committee for review. At the same time a selection of peer reviewers also consider</w:t>
      </w:r>
      <w:r>
        <w:t>ed</w:t>
      </w:r>
      <w:r w:rsidRPr="00E57F60">
        <w:t xml:space="preserve"> the draft report.</w:t>
      </w:r>
      <w:r w:rsidR="00670092">
        <w:t xml:space="preserve"> </w:t>
      </w:r>
      <w:r w:rsidRPr="00E57F60">
        <w:t>The peer review serve</w:t>
      </w:r>
      <w:r>
        <w:t>d</w:t>
      </w:r>
      <w:r w:rsidRPr="00E57F60">
        <w:t xml:space="preserve"> as an additional level of validation for the results.</w:t>
      </w:r>
    </w:p>
    <w:p w14:paraId="1BB16D14" w14:textId="26D03772" w:rsidR="001B3678" w:rsidRPr="00BD0294" w:rsidRDefault="005774E5" w:rsidP="00AD6A55">
      <w:pPr>
        <w:spacing w:before="480" w:after="120" w:line="240" w:lineRule="auto"/>
        <w:ind w:left="720" w:hanging="720"/>
      </w:pPr>
      <w:r w:rsidRPr="00AD6A55">
        <w:rPr>
          <w:rFonts w:ascii="Arial" w:hAnsi="Arial" w:cs="Arial"/>
          <w:b/>
          <w:color w:val="124486"/>
          <w:sz w:val="28"/>
          <w:szCs w:val="28"/>
        </w:rPr>
        <w:lastRenderedPageBreak/>
        <w:t>3</w:t>
      </w:r>
      <w:r w:rsidRPr="00AD6A55">
        <w:rPr>
          <w:rFonts w:ascii="Arial" w:hAnsi="Arial" w:cs="Arial"/>
          <w:b/>
          <w:color w:val="124486"/>
          <w:sz w:val="28"/>
          <w:szCs w:val="28"/>
        </w:rPr>
        <w:tab/>
      </w:r>
      <w:r w:rsidR="001B3678" w:rsidRPr="00AD6A55">
        <w:rPr>
          <w:rFonts w:ascii="Arial" w:hAnsi="Arial" w:cs="Arial"/>
          <w:b/>
          <w:color w:val="124486"/>
          <w:sz w:val="28"/>
          <w:szCs w:val="28"/>
        </w:rPr>
        <w:t xml:space="preserve">Quality </w:t>
      </w:r>
      <w:r w:rsidR="00E13A69" w:rsidRPr="00AD6A55">
        <w:rPr>
          <w:rFonts w:ascii="Arial" w:hAnsi="Arial" w:cs="Arial"/>
          <w:b/>
          <w:color w:val="124486"/>
          <w:sz w:val="28"/>
          <w:szCs w:val="28"/>
        </w:rPr>
        <w:t>a</w:t>
      </w:r>
      <w:r w:rsidR="001B3678" w:rsidRPr="00AD6A55">
        <w:rPr>
          <w:rFonts w:ascii="Arial" w:hAnsi="Arial" w:cs="Arial"/>
          <w:b/>
          <w:color w:val="124486"/>
          <w:sz w:val="28"/>
          <w:szCs w:val="28"/>
        </w:rPr>
        <w:t>ssurance</w:t>
      </w:r>
    </w:p>
    <w:p w14:paraId="4BF4A5C7" w14:textId="4F4E6365" w:rsidR="001B3678" w:rsidRPr="00E57F60" w:rsidRDefault="001B3678" w:rsidP="00775B1A">
      <w:r w:rsidRPr="00E57F60">
        <w:t>To ensure consistency</w:t>
      </w:r>
      <w:r>
        <w:t xml:space="preserve"> in the </w:t>
      </w:r>
      <w:r w:rsidR="005803AB">
        <w:t>evaluation synthesis</w:t>
      </w:r>
      <w:r w:rsidRPr="00E57F60">
        <w:t>, a number of measures were taken. The team met face</w:t>
      </w:r>
      <w:r w:rsidR="00E13A69">
        <w:t xml:space="preserve"> </w:t>
      </w:r>
      <w:r w:rsidRPr="00E57F60">
        <w:t>to</w:t>
      </w:r>
      <w:r w:rsidR="00E13A69">
        <w:t xml:space="preserve"> </w:t>
      </w:r>
      <w:r w:rsidRPr="00E57F60">
        <w:t xml:space="preserve">face and regularly discussed and compared their progress by teleconference to ensure </w:t>
      </w:r>
      <w:r w:rsidR="00E13A69">
        <w:t xml:space="preserve">that </w:t>
      </w:r>
      <w:r w:rsidRPr="00E57F60">
        <w:t>the team members had a common understanding of adequate evidence to back up the data extracted from the evaluation reports.</w:t>
      </w:r>
      <w:r w:rsidR="00670092">
        <w:t xml:space="preserve"> </w:t>
      </w:r>
      <w:r w:rsidRPr="00E57F60">
        <w:t xml:space="preserve">The </w:t>
      </w:r>
      <w:r w:rsidR="00991F65">
        <w:t>t</w:t>
      </w:r>
      <w:r w:rsidR="00991F65" w:rsidRPr="00E57F60">
        <w:t xml:space="preserve">eam </w:t>
      </w:r>
      <w:r w:rsidR="00991F65">
        <w:t>l</w:t>
      </w:r>
      <w:r w:rsidR="00991F65" w:rsidRPr="00E57F60">
        <w:t xml:space="preserve">eader </w:t>
      </w:r>
      <w:r w:rsidRPr="00E57F60">
        <w:t>also checked on the work of the other team members by examining their findings (evidence of what worked and what didn’t work) by reviewing five of the reports of the other two team members at various intervals, comparing their results with his own, providing guidance and ensuring appropriate changes were made where necessary.</w:t>
      </w:r>
      <w:r w:rsidR="00670092">
        <w:t xml:space="preserve"> </w:t>
      </w:r>
      <w:r w:rsidRPr="00E57F60">
        <w:t xml:space="preserve">The </w:t>
      </w:r>
      <w:r w:rsidR="00991F65">
        <w:t>t</w:t>
      </w:r>
      <w:r w:rsidR="00991F65" w:rsidRPr="00E57F60">
        <w:t xml:space="preserve">eam </w:t>
      </w:r>
      <w:r w:rsidR="00991F65">
        <w:t>l</w:t>
      </w:r>
      <w:r w:rsidR="00991F65" w:rsidRPr="00E57F60">
        <w:t xml:space="preserve">eader </w:t>
      </w:r>
      <w:r w:rsidRPr="00E57F60">
        <w:t>also regularly checked the consistency of the data entered into the spreadsheet by the team members to ensure it sufficiently captured the core of ‘what is working and why’ or ‘what is not working and why’.</w:t>
      </w:r>
    </w:p>
    <w:p w14:paraId="0388B1D1" w14:textId="615A36A3" w:rsidR="001B3678" w:rsidRPr="00BD0294" w:rsidRDefault="005774E5" w:rsidP="00AD6A55">
      <w:pPr>
        <w:spacing w:before="480" w:after="120" w:line="240" w:lineRule="auto"/>
        <w:ind w:left="720" w:hanging="720"/>
      </w:pPr>
      <w:r w:rsidRPr="00AD6A55">
        <w:rPr>
          <w:rFonts w:ascii="Arial" w:hAnsi="Arial" w:cs="Arial"/>
          <w:b/>
          <w:color w:val="124486"/>
          <w:sz w:val="28"/>
          <w:szCs w:val="28"/>
        </w:rPr>
        <w:t>4</w:t>
      </w:r>
      <w:r w:rsidRPr="00AD6A55">
        <w:rPr>
          <w:rFonts w:ascii="Arial" w:hAnsi="Arial" w:cs="Arial"/>
          <w:b/>
          <w:color w:val="124486"/>
          <w:sz w:val="28"/>
          <w:szCs w:val="28"/>
        </w:rPr>
        <w:tab/>
      </w:r>
      <w:r w:rsidR="001B3678" w:rsidRPr="00AD6A55">
        <w:rPr>
          <w:rFonts w:ascii="Arial" w:hAnsi="Arial" w:cs="Arial"/>
          <w:b/>
          <w:color w:val="124486"/>
          <w:sz w:val="28"/>
          <w:szCs w:val="28"/>
        </w:rPr>
        <w:t>Limitations</w:t>
      </w:r>
    </w:p>
    <w:p w14:paraId="739687A8" w14:textId="6F9D14D0" w:rsidR="001B3678" w:rsidRPr="00EF2EDA" w:rsidRDefault="001B3678" w:rsidP="00775B1A">
      <w:r w:rsidRPr="00DB0840">
        <w:rPr>
          <w:color w:val="000000" w:themeColor="text1"/>
        </w:rPr>
        <w:t xml:space="preserve">Given that </w:t>
      </w:r>
      <w:r w:rsidR="00525C3F">
        <w:rPr>
          <w:color w:val="000000" w:themeColor="text1"/>
        </w:rPr>
        <w:t>we</w:t>
      </w:r>
      <w:r w:rsidRPr="00DB0840">
        <w:rPr>
          <w:color w:val="000000" w:themeColor="text1"/>
        </w:rPr>
        <w:t xml:space="preserve"> synthesised evidence from a </w:t>
      </w:r>
      <w:r w:rsidRPr="00DB0840">
        <w:rPr>
          <w:i/>
          <w:color w:val="000000" w:themeColor="text1"/>
        </w:rPr>
        <w:t>selection</w:t>
      </w:r>
      <w:r w:rsidRPr="00DB0840">
        <w:rPr>
          <w:color w:val="000000" w:themeColor="text1"/>
        </w:rPr>
        <w:t xml:space="preserve"> of evaluations to produce </w:t>
      </w:r>
      <w:r w:rsidRPr="00EE6D47">
        <w:t xml:space="preserve">lessons for the </w:t>
      </w:r>
      <w:r w:rsidRPr="00EE6D47">
        <w:rPr>
          <w:i/>
        </w:rPr>
        <w:t>whole</w:t>
      </w:r>
      <w:r w:rsidRPr="00EE6D47">
        <w:t xml:space="preserve"> Australian aid program, the representativeness of th</w:t>
      </w:r>
      <w:r w:rsidR="00525C3F">
        <w:t>e</w:t>
      </w:r>
      <w:r w:rsidRPr="00EE6D47">
        <w:t xml:space="preserve"> sample </w:t>
      </w:r>
      <w:r w:rsidR="00525C3F">
        <w:t xml:space="preserve">of evaluations </w:t>
      </w:r>
      <w:r w:rsidRPr="00EE6D47">
        <w:t>is important</w:t>
      </w:r>
      <w:r>
        <w:t>.</w:t>
      </w:r>
      <w:r w:rsidR="00670092">
        <w:t xml:space="preserve"> </w:t>
      </w:r>
      <w:r w:rsidR="00525C3F">
        <w:t xml:space="preserve">The </w:t>
      </w:r>
      <w:r w:rsidR="00525C3F" w:rsidRPr="00991F65">
        <w:rPr>
          <w:i/>
        </w:rPr>
        <w:t xml:space="preserve">Quality of Australian </w:t>
      </w:r>
      <w:r w:rsidR="00991F65" w:rsidRPr="00AD6A55">
        <w:rPr>
          <w:i/>
        </w:rPr>
        <w:t>a</w:t>
      </w:r>
      <w:r w:rsidR="00991F65" w:rsidRPr="00991F65">
        <w:rPr>
          <w:i/>
        </w:rPr>
        <w:t xml:space="preserve">id </w:t>
      </w:r>
      <w:r w:rsidR="00991F65" w:rsidRPr="00AD6A55">
        <w:rPr>
          <w:i/>
        </w:rPr>
        <w:t>o</w:t>
      </w:r>
      <w:r w:rsidR="00991F65" w:rsidRPr="00991F65">
        <w:rPr>
          <w:i/>
        </w:rPr>
        <w:t xml:space="preserve">perational </w:t>
      </w:r>
      <w:r w:rsidR="00991F65" w:rsidRPr="00AD6A55">
        <w:rPr>
          <w:i/>
        </w:rPr>
        <w:t>e</w:t>
      </w:r>
      <w:r w:rsidR="00991F65" w:rsidRPr="00991F65">
        <w:rPr>
          <w:i/>
        </w:rPr>
        <w:t>valuations</w:t>
      </w:r>
      <w:r w:rsidR="00991F65" w:rsidRPr="00683F8F">
        <w:t xml:space="preserve"> </w:t>
      </w:r>
      <w:r w:rsidR="00525C3F">
        <w:t>review confirmed that the initiatives evaluated can be considered broadly representative of the overall aid program.</w:t>
      </w:r>
      <w:r w:rsidR="00670092">
        <w:t xml:space="preserve"> </w:t>
      </w:r>
      <w:r w:rsidR="005803AB">
        <w:t>Furthermore, w</w:t>
      </w:r>
      <w:r w:rsidR="00525C3F">
        <w:t xml:space="preserve">e have taken contextual factors into account </w:t>
      </w:r>
      <w:r w:rsidR="005803AB">
        <w:t xml:space="preserve">in our analysis in this report </w:t>
      </w:r>
      <w:r w:rsidR="00525C3F">
        <w:t>to the extent possible.</w:t>
      </w:r>
      <w:r w:rsidR="00670092">
        <w:t xml:space="preserve"> </w:t>
      </w:r>
      <w:r w:rsidR="005803AB">
        <w:t>Nonetheless, a</w:t>
      </w:r>
      <w:r w:rsidRPr="00EF2EDA">
        <w:t xml:space="preserve"> cautious approach should be taken to generalising beyond the evidence base to circumstances that may be markedly different. </w:t>
      </w:r>
    </w:p>
    <w:p w14:paraId="70DF2B32" w14:textId="21F020DD" w:rsidR="001B3678" w:rsidRPr="00BD0294" w:rsidRDefault="005774E5" w:rsidP="00AD6A55">
      <w:pPr>
        <w:spacing w:before="480" w:after="120" w:line="240" w:lineRule="auto"/>
        <w:ind w:left="720" w:hanging="720"/>
      </w:pPr>
      <w:r w:rsidRPr="00AD6A55">
        <w:rPr>
          <w:rFonts w:ascii="Arial" w:hAnsi="Arial" w:cs="Arial"/>
          <w:b/>
          <w:color w:val="124486"/>
          <w:sz w:val="28"/>
          <w:szCs w:val="28"/>
        </w:rPr>
        <w:t>5</w:t>
      </w:r>
      <w:r w:rsidRPr="00AD6A55">
        <w:rPr>
          <w:rFonts w:ascii="Arial" w:hAnsi="Arial" w:cs="Arial"/>
          <w:b/>
          <w:color w:val="124486"/>
          <w:sz w:val="28"/>
          <w:szCs w:val="28"/>
        </w:rPr>
        <w:tab/>
      </w:r>
      <w:r w:rsidR="001B3678" w:rsidRPr="00AD6A55">
        <w:rPr>
          <w:rFonts w:ascii="Arial" w:hAnsi="Arial" w:cs="Arial"/>
          <w:b/>
          <w:color w:val="124486"/>
          <w:sz w:val="28"/>
          <w:szCs w:val="28"/>
        </w:rPr>
        <w:t xml:space="preserve">Conflict of </w:t>
      </w:r>
      <w:r w:rsidR="00252499" w:rsidRPr="00AD6A55">
        <w:rPr>
          <w:rFonts w:ascii="Arial" w:hAnsi="Arial" w:cs="Arial"/>
          <w:b/>
          <w:color w:val="124486"/>
          <w:sz w:val="28"/>
          <w:szCs w:val="28"/>
        </w:rPr>
        <w:t>i</w:t>
      </w:r>
      <w:r w:rsidR="001B3678" w:rsidRPr="00AD6A55">
        <w:rPr>
          <w:rFonts w:ascii="Arial" w:hAnsi="Arial" w:cs="Arial"/>
          <w:b/>
          <w:color w:val="124486"/>
          <w:sz w:val="28"/>
          <w:szCs w:val="28"/>
        </w:rPr>
        <w:t>nterest</w:t>
      </w:r>
    </w:p>
    <w:p w14:paraId="3C88FE0C" w14:textId="0DACE05C" w:rsidR="001B3678" w:rsidRPr="00E57F60" w:rsidRDefault="001B3678" w:rsidP="00775B1A">
      <w:r w:rsidRPr="00E57F60">
        <w:t xml:space="preserve">A potential conflict of interest </w:t>
      </w:r>
      <w:r w:rsidR="00525C3F">
        <w:t>may</w:t>
      </w:r>
      <w:r w:rsidR="00525C3F" w:rsidRPr="00E57F60">
        <w:t xml:space="preserve"> </w:t>
      </w:r>
      <w:r>
        <w:t xml:space="preserve">have </w:t>
      </w:r>
      <w:r w:rsidRPr="00E57F60">
        <w:t>arise</w:t>
      </w:r>
      <w:r>
        <w:t>n</w:t>
      </w:r>
      <w:r w:rsidRPr="00E57F60">
        <w:t xml:space="preserve"> if the team were to review an evaluation</w:t>
      </w:r>
      <w:r>
        <w:t xml:space="preserve"> or an initiative</w:t>
      </w:r>
      <w:r w:rsidRPr="00E57F60">
        <w:t xml:space="preserve"> that either </w:t>
      </w:r>
      <w:r w:rsidRPr="00642298">
        <w:t>ITAD</w:t>
      </w:r>
      <w:r w:rsidRPr="00E57F60">
        <w:t xml:space="preserve"> </w:t>
      </w:r>
      <w:r w:rsidR="009101E7">
        <w:t xml:space="preserve">Ltd </w:t>
      </w:r>
      <w:r w:rsidRPr="00E57F60">
        <w:t>or the individual review team members were involved in designing, implementing or evaluating. However</w:t>
      </w:r>
      <w:r w:rsidR="00252499">
        <w:t>,</w:t>
      </w:r>
      <w:r w:rsidRPr="00E57F60">
        <w:t xml:space="preserve"> this </w:t>
      </w:r>
      <w:r>
        <w:t>did not occur</w:t>
      </w:r>
      <w:r w:rsidRPr="00E57F60">
        <w:rPr>
          <w:szCs w:val="21"/>
        </w:rPr>
        <w:t>.</w:t>
      </w:r>
      <w:r w:rsidR="00670092">
        <w:rPr>
          <w:szCs w:val="21"/>
        </w:rPr>
        <w:t xml:space="preserve"> </w:t>
      </w:r>
    </w:p>
    <w:p w14:paraId="50B11F73" w14:textId="1E1E9C99" w:rsidR="00C65757" w:rsidRPr="00BD0294" w:rsidRDefault="005774E5" w:rsidP="00AD6A55">
      <w:pPr>
        <w:spacing w:before="480" w:after="120" w:line="240" w:lineRule="auto"/>
        <w:ind w:left="720" w:hanging="720"/>
      </w:pPr>
      <w:r w:rsidRPr="00AD6A55">
        <w:rPr>
          <w:rFonts w:ascii="Arial" w:hAnsi="Arial" w:cs="Arial"/>
          <w:b/>
          <w:color w:val="124486"/>
          <w:sz w:val="28"/>
          <w:szCs w:val="28"/>
        </w:rPr>
        <w:t>6</w:t>
      </w:r>
      <w:r w:rsidRPr="00AD6A55">
        <w:rPr>
          <w:rFonts w:ascii="Arial" w:hAnsi="Arial" w:cs="Arial"/>
          <w:b/>
          <w:color w:val="124486"/>
          <w:sz w:val="28"/>
          <w:szCs w:val="28"/>
        </w:rPr>
        <w:tab/>
      </w:r>
      <w:r w:rsidR="00C65757" w:rsidRPr="00AD6A55">
        <w:rPr>
          <w:rFonts w:ascii="Arial" w:hAnsi="Arial" w:cs="Arial"/>
          <w:b/>
          <w:color w:val="124486"/>
          <w:sz w:val="28"/>
          <w:szCs w:val="28"/>
        </w:rPr>
        <w:t>Ethical conduct</w:t>
      </w:r>
    </w:p>
    <w:p w14:paraId="6DEA4FEB" w14:textId="77777777" w:rsidR="00E92BAA" w:rsidRDefault="00C65757" w:rsidP="00775B1A">
      <w:r>
        <w:t>ODE’s evaluations are guided by relevant professional standards</w:t>
      </w:r>
      <w:r w:rsidR="00252499">
        <w:t>,</w:t>
      </w:r>
      <w:r>
        <w:t xml:space="preserve"> including the </w:t>
      </w:r>
      <w:r w:rsidRPr="00DB0840">
        <w:t>Australasian Evaluation Society's guidelines for the ethical conduct of evaluations</w:t>
      </w:r>
      <w:r>
        <w:t>.</w:t>
      </w:r>
      <w:r w:rsidR="001B3678" w:rsidRPr="00E57F60">
        <w:t xml:space="preserve"> </w:t>
      </w:r>
    </w:p>
    <w:p w14:paraId="519FD1C5" w14:textId="5108E375" w:rsidR="00525C3F" w:rsidRDefault="00525C3F" w:rsidP="00775B1A">
      <w:pPr>
        <w:rPr>
          <w:rFonts w:ascii="Calibri" w:hAnsi="Calibri"/>
          <w:b/>
          <w:bCs/>
          <w:color w:val="31849B"/>
          <w:sz w:val="44"/>
          <w:szCs w:val="44"/>
          <w:lang w:val="en-GB" w:eastAsia="en-GB"/>
        </w:rPr>
      </w:pPr>
      <w:r w:rsidRPr="00525C3F">
        <w:t xml:space="preserve">ITAD </w:t>
      </w:r>
      <w:r w:rsidR="00350B92">
        <w:t>adopts</w:t>
      </w:r>
      <w:r w:rsidRPr="00525C3F">
        <w:t xml:space="preserve"> accepted standards and ethical principles for the conduct of evaluations. ITAD is a corporate member of the UK Evaluation Society (UKES) and the </w:t>
      </w:r>
      <w:r w:rsidRPr="009101E7">
        <w:t>International Development Evaluation Association (IDEAS),</w:t>
      </w:r>
      <w:r w:rsidRPr="00525C3F">
        <w:t xml:space="preserve"> and </w:t>
      </w:r>
      <w:r w:rsidR="00350B92">
        <w:t xml:space="preserve">adopts </w:t>
      </w:r>
      <w:r w:rsidRPr="00525C3F">
        <w:t xml:space="preserve">the UKES </w:t>
      </w:r>
      <w:r w:rsidRPr="00525C3F">
        <w:rPr>
          <w:i/>
          <w:iCs/>
        </w:rPr>
        <w:t>Guidelines for good practice in evaluation</w:t>
      </w:r>
      <w:r w:rsidRPr="00525C3F">
        <w:t xml:space="preserve"> and the IDEAS</w:t>
      </w:r>
      <w:r w:rsidRPr="00525C3F">
        <w:rPr>
          <w:i/>
          <w:iCs/>
        </w:rPr>
        <w:t xml:space="preserve"> Competencies for </w:t>
      </w:r>
      <w:r w:rsidR="00252499">
        <w:rPr>
          <w:i/>
          <w:iCs/>
        </w:rPr>
        <w:t>d</w:t>
      </w:r>
      <w:r w:rsidRPr="00525C3F">
        <w:rPr>
          <w:i/>
          <w:iCs/>
        </w:rPr>
        <w:t xml:space="preserve">evelopment </w:t>
      </w:r>
      <w:r w:rsidR="00252499">
        <w:rPr>
          <w:i/>
          <w:iCs/>
        </w:rPr>
        <w:t>e</w:t>
      </w:r>
      <w:r w:rsidRPr="00525C3F">
        <w:rPr>
          <w:i/>
          <w:iCs/>
        </w:rPr>
        <w:t xml:space="preserve">valuation </w:t>
      </w:r>
      <w:r w:rsidR="00252499">
        <w:rPr>
          <w:i/>
          <w:iCs/>
        </w:rPr>
        <w:t>e</w:t>
      </w:r>
      <w:r w:rsidRPr="00525C3F">
        <w:rPr>
          <w:i/>
          <w:iCs/>
        </w:rPr>
        <w:t xml:space="preserve">valuators, </w:t>
      </w:r>
      <w:r w:rsidR="00252499">
        <w:rPr>
          <w:i/>
          <w:iCs/>
        </w:rPr>
        <w:t>m</w:t>
      </w:r>
      <w:r w:rsidRPr="00525C3F">
        <w:rPr>
          <w:i/>
          <w:iCs/>
        </w:rPr>
        <w:t xml:space="preserve">anagers, and </w:t>
      </w:r>
      <w:r w:rsidR="00252499">
        <w:rPr>
          <w:i/>
          <w:iCs/>
        </w:rPr>
        <w:t>c</w:t>
      </w:r>
      <w:r w:rsidRPr="00525C3F">
        <w:rPr>
          <w:i/>
          <w:iCs/>
        </w:rPr>
        <w:t>ommissioners</w:t>
      </w:r>
      <w:r w:rsidRPr="00525C3F">
        <w:t>. ITAD</w:t>
      </w:r>
      <w:r>
        <w:t xml:space="preserve"> </w:t>
      </w:r>
      <w:r w:rsidRPr="00525C3F">
        <w:t xml:space="preserve">recognises the </w:t>
      </w:r>
      <w:r w:rsidR="009101E7" w:rsidRPr="009101E7">
        <w:rPr>
          <w:iCs/>
        </w:rPr>
        <w:t>United Nations Evaluation Group</w:t>
      </w:r>
      <w:r w:rsidR="009101E7">
        <w:rPr>
          <w:iCs/>
        </w:rPr>
        <w:t>’s</w:t>
      </w:r>
      <w:r w:rsidR="009101E7" w:rsidRPr="009101E7" w:rsidDel="009101E7">
        <w:rPr>
          <w:iCs/>
        </w:rPr>
        <w:t xml:space="preserve"> </w:t>
      </w:r>
      <w:r w:rsidRPr="00525C3F">
        <w:rPr>
          <w:i/>
          <w:iCs/>
        </w:rPr>
        <w:t xml:space="preserve">Ethical </w:t>
      </w:r>
      <w:r w:rsidR="00252499">
        <w:rPr>
          <w:i/>
          <w:iCs/>
        </w:rPr>
        <w:t>g</w:t>
      </w:r>
      <w:r w:rsidRPr="00525C3F">
        <w:rPr>
          <w:i/>
          <w:iCs/>
        </w:rPr>
        <w:t xml:space="preserve">uidelines for </w:t>
      </w:r>
      <w:r w:rsidR="00252499">
        <w:rPr>
          <w:i/>
          <w:iCs/>
        </w:rPr>
        <w:t>e</w:t>
      </w:r>
      <w:r w:rsidRPr="00525C3F">
        <w:rPr>
          <w:i/>
          <w:iCs/>
        </w:rPr>
        <w:t>valuation,</w:t>
      </w:r>
      <w:r w:rsidRPr="00525C3F">
        <w:t xml:space="preserve"> </w:t>
      </w:r>
      <w:r w:rsidR="009101E7">
        <w:rPr>
          <w:iCs/>
        </w:rPr>
        <w:t xml:space="preserve">the </w:t>
      </w:r>
      <w:r w:rsidR="001C2D74">
        <w:rPr>
          <w:iCs/>
        </w:rPr>
        <w:t xml:space="preserve">UK </w:t>
      </w:r>
      <w:r w:rsidR="009101E7" w:rsidRPr="009101E7">
        <w:rPr>
          <w:iCs/>
        </w:rPr>
        <w:t>Department for International Development</w:t>
      </w:r>
      <w:r w:rsidR="009101E7">
        <w:rPr>
          <w:iCs/>
        </w:rPr>
        <w:t>’s</w:t>
      </w:r>
      <w:r w:rsidR="009101E7" w:rsidRPr="009101E7">
        <w:rPr>
          <w:iCs/>
        </w:rPr>
        <w:t xml:space="preserve"> </w:t>
      </w:r>
      <w:r w:rsidRPr="00525C3F">
        <w:rPr>
          <w:i/>
          <w:iCs/>
        </w:rPr>
        <w:t xml:space="preserve">Ethics </w:t>
      </w:r>
      <w:r w:rsidR="00252499">
        <w:rPr>
          <w:i/>
          <w:iCs/>
        </w:rPr>
        <w:t>p</w:t>
      </w:r>
      <w:r w:rsidRPr="00525C3F">
        <w:rPr>
          <w:i/>
          <w:iCs/>
        </w:rPr>
        <w:t xml:space="preserve">rinciples for </w:t>
      </w:r>
      <w:r w:rsidR="00252499">
        <w:rPr>
          <w:i/>
          <w:iCs/>
        </w:rPr>
        <w:t>r</w:t>
      </w:r>
      <w:r w:rsidRPr="00525C3F">
        <w:rPr>
          <w:i/>
          <w:iCs/>
        </w:rPr>
        <w:t xml:space="preserve">esearch and </w:t>
      </w:r>
      <w:r w:rsidR="00252499">
        <w:rPr>
          <w:i/>
          <w:iCs/>
        </w:rPr>
        <w:t>e</w:t>
      </w:r>
      <w:r w:rsidRPr="00525C3F">
        <w:rPr>
          <w:i/>
          <w:iCs/>
        </w:rPr>
        <w:t xml:space="preserve">valuation </w:t>
      </w:r>
      <w:r w:rsidRPr="00525C3F">
        <w:t xml:space="preserve">and </w:t>
      </w:r>
      <w:r w:rsidRPr="001C2D74">
        <w:t>the</w:t>
      </w:r>
      <w:r w:rsidR="001C2D74" w:rsidRPr="00AD6A55">
        <w:t xml:space="preserve"> OECD</w:t>
      </w:r>
      <w:r w:rsidRPr="001C2D74">
        <w:t xml:space="preserve"> </w:t>
      </w:r>
      <w:r w:rsidR="00642298" w:rsidRPr="00AD6A55">
        <w:rPr>
          <w:iCs/>
        </w:rPr>
        <w:t>Development Ass</w:t>
      </w:r>
      <w:r w:rsidR="001C2D74" w:rsidRPr="00AD6A55">
        <w:rPr>
          <w:iCs/>
        </w:rPr>
        <w:t>istance</w:t>
      </w:r>
      <w:r w:rsidR="00642298" w:rsidRPr="00AD6A55">
        <w:rPr>
          <w:iCs/>
        </w:rPr>
        <w:t xml:space="preserve"> Commi</w:t>
      </w:r>
      <w:r w:rsidR="001C2D74" w:rsidRPr="00AD6A55">
        <w:rPr>
          <w:iCs/>
        </w:rPr>
        <w:t>ttee</w:t>
      </w:r>
      <w:r w:rsidR="001C2D74">
        <w:rPr>
          <w:iCs/>
        </w:rPr>
        <w:t>’s</w:t>
      </w:r>
      <w:r w:rsidR="00642298" w:rsidRPr="00AD6A55" w:rsidDel="00642298">
        <w:rPr>
          <w:iCs/>
        </w:rPr>
        <w:t xml:space="preserve"> </w:t>
      </w:r>
      <w:r w:rsidRPr="00525C3F">
        <w:rPr>
          <w:i/>
          <w:iCs/>
        </w:rPr>
        <w:t xml:space="preserve">Quality </w:t>
      </w:r>
      <w:r w:rsidR="00252499">
        <w:rPr>
          <w:i/>
          <w:iCs/>
        </w:rPr>
        <w:t>s</w:t>
      </w:r>
      <w:r w:rsidRPr="00525C3F">
        <w:rPr>
          <w:i/>
          <w:iCs/>
        </w:rPr>
        <w:t xml:space="preserve">tandards for </w:t>
      </w:r>
      <w:r w:rsidR="00252499">
        <w:rPr>
          <w:i/>
          <w:iCs/>
        </w:rPr>
        <w:t>d</w:t>
      </w:r>
      <w:r w:rsidRPr="00525C3F">
        <w:rPr>
          <w:i/>
          <w:iCs/>
        </w:rPr>
        <w:t xml:space="preserve">evelopment </w:t>
      </w:r>
      <w:r w:rsidR="00252499">
        <w:rPr>
          <w:i/>
          <w:iCs/>
        </w:rPr>
        <w:t>e</w:t>
      </w:r>
      <w:r w:rsidRPr="00525C3F">
        <w:rPr>
          <w:i/>
          <w:iCs/>
        </w:rPr>
        <w:t>valuation</w:t>
      </w:r>
      <w:r w:rsidRPr="00525C3F">
        <w:t>.</w:t>
      </w:r>
      <w:r w:rsidR="00670092">
        <w:t xml:space="preserve"> </w:t>
      </w:r>
      <w:r w:rsidRPr="00525C3F">
        <w:t>For this review, ITAD observed the Code of Ethics of the Australasian Evaluation Society</w:t>
      </w:r>
      <w:r w:rsidR="00775B1A">
        <w:t>.</w:t>
      </w:r>
      <w:r>
        <w:br w:type="page"/>
      </w:r>
    </w:p>
    <w:bookmarkStart w:id="243" w:name="_Toc378060038"/>
    <w:bookmarkStart w:id="244" w:name="_Toc387394606"/>
    <w:bookmarkStart w:id="245" w:name="_Toc371447035"/>
    <w:bookmarkStart w:id="246" w:name="_Toc372723903"/>
    <w:bookmarkStart w:id="247" w:name="_Toc372631412"/>
    <w:bookmarkEnd w:id="239"/>
    <w:bookmarkEnd w:id="240"/>
    <w:bookmarkEnd w:id="241"/>
    <w:bookmarkEnd w:id="242"/>
    <w:p w14:paraId="00BED75D" w14:textId="30D7AA9D" w:rsidR="004E3F8C" w:rsidRPr="008C7811" w:rsidRDefault="00686438" w:rsidP="00C40B57">
      <w:pPr>
        <w:pStyle w:val="Heading1"/>
      </w:pPr>
      <w:r>
        <w:rPr>
          <w:noProof/>
        </w:rPr>
        <w:lastRenderedPageBreak/>
        <mc:AlternateContent>
          <mc:Choice Requires="wps">
            <w:drawing>
              <wp:anchor distT="0" distB="0" distL="114300" distR="114300" simplePos="0" relativeHeight="251667968" behindDoc="1" locked="0" layoutInCell="1" allowOverlap="1" wp14:anchorId="7CF3C0FB" wp14:editId="15A6B2F5">
                <wp:simplePos x="0" y="0"/>
                <wp:positionH relativeFrom="page">
                  <wp:posOffset>-30480</wp:posOffset>
                </wp:positionH>
                <wp:positionV relativeFrom="paragraph">
                  <wp:posOffset>-276063</wp:posOffset>
                </wp:positionV>
                <wp:extent cx="7610475" cy="1468800"/>
                <wp:effectExtent l="0" t="0" r="9525" b="0"/>
                <wp:wrapNone/>
                <wp:docPr id="8" name="Rectangle 8"/>
                <wp:cNvGraphicFramePr/>
                <a:graphic xmlns:a="http://schemas.openxmlformats.org/drawingml/2006/main">
                  <a:graphicData uri="http://schemas.microsoft.com/office/word/2010/wordprocessingShape">
                    <wps:wsp>
                      <wps:cNvSpPr/>
                      <wps:spPr>
                        <a:xfrm>
                          <a:off x="0" y="0"/>
                          <a:ext cx="7610475"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4pt;margin-top:-21.75pt;width:599.25pt;height:115.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" fillcolor="#124486" stroked="f" strokeweight="2pt">
                <w10:wrap anchorx="page"/>
              </v:rect>
            </w:pict>
          </mc:Fallback>
        </mc:AlternateContent>
      </w:r>
      <w:r w:rsidR="00E57F60" w:rsidRPr="008C7811">
        <w:t xml:space="preserve">Annex </w:t>
      </w:r>
      <w:r w:rsidR="00DB0348">
        <w:t>3</w:t>
      </w:r>
      <w:r w:rsidR="00E57F60" w:rsidRPr="008C7811">
        <w:t xml:space="preserve">: </w:t>
      </w:r>
      <w:r w:rsidR="00DB0348">
        <w:t>L</w:t>
      </w:r>
      <w:r w:rsidR="004E3F8C" w:rsidRPr="008C7811">
        <w:t>ist</w:t>
      </w:r>
      <w:bookmarkEnd w:id="243"/>
      <w:r w:rsidR="00DB0348">
        <w:t xml:space="preserve"> of evaluations </w:t>
      </w:r>
      <w:r w:rsidR="00D659B6">
        <w:t>included</w:t>
      </w:r>
      <w:bookmarkEnd w:id="244"/>
      <w:r w:rsidR="00D659B6">
        <w:t xml:space="preserve"> </w:t>
      </w:r>
    </w:p>
    <w:p w14:paraId="67BD06A2" w14:textId="4CB8E5D7" w:rsidR="00DB0348" w:rsidRDefault="00DB0348" w:rsidP="005643D3">
      <w:bookmarkStart w:id="248" w:name="_Toc373303757"/>
      <w:bookmarkStart w:id="249" w:name="_Toc373304324"/>
      <w:bookmarkStart w:id="250" w:name="_Toc378059952"/>
      <w:bookmarkStart w:id="251" w:name="_Toc378060040"/>
      <w:bookmarkStart w:id="252" w:name="_Toc373303756"/>
      <w:bookmarkStart w:id="253" w:name="_Toc373304323"/>
      <w:bookmarkStart w:id="254" w:name="_Toc378059951"/>
      <w:bookmarkStart w:id="255" w:name="_Toc378060039"/>
      <w:bookmarkEnd w:id="245"/>
      <w:bookmarkEnd w:id="246"/>
      <w:r>
        <w:t xml:space="preserve">Those evaluations that have been published externally can be accessed through the DFAT aid publications </w:t>
      </w:r>
      <w:r w:rsidRPr="00642298">
        <w:t>webpage</w:t>
      </w:r>
      <w:r>
        <w:rPr>
          <w:rStyle w:val="FootnoteReference"/>
        </w:rPr>
        <w:footnoteReference w:id="28"/>
      </w:r>
      <w:r>
        <w:t xml:space="preserve"> or</w:t>
      </w:r>
      <w:r w:rsidR="00252499">
        <w:t>,</w:t>
      </w:r>
      <w:r>
        <w:t xml:space="preserve"> in some cases</w:t>
      </w:r>
      <w:r w:rsidR="00252499">
        <w:t>,</w:t>
      </w:r>
      <w:r>
        <w:t xml:space="preserve"> through aid country program webpages.</w:t>
      </w:r>
    </w:p>
    <w:tbl>
      <w:tblPr>
        <w:tblW w:w="9582" w:type="dxa"/>
        <w:tblInd w:w="-176"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9"/>
        <w:gridCol w:w="4168"/>
        <w:gridCol w:w="1437"/>
        <w:gridCol w:w="1617"/>
        <w:gridCol w:w="1281"/>
      </w:tblGrid>
      <w:tr w:rsidR="00AD6A55" w:rsidRPr="001C2D74" w14:paraId="41DDE61B" w14:textId="77777777" w:rsidTr="00AD6A55">
        <w:trPr>
          <w:cantSplit/>
          <w:trHeight w:val="795"/>
        </w:trPr>
        <w:tc>
          <w:tcPr>
            <w:tcW w:w="1079" w:type="dxa"/>
            <w:shd w:val="clear" w:color="auto" w:fill="007FAD"/>
            <w:vAlign w:val="center"/>
            <w:hideMark/>
          </w:tcPr>
          <w:p w14:paraId="19944876" w14:textId="77777777" w:rsidR="00AD6A55" w:rsidRPr="00315553" w:rsidRDefault="00AD6A55" w:rsidP="00AD6A55">
            <w:pPr>
              <w:pStyle w:val="TableHeading21"/>
              <w:rPr>
                <w:i w:val="0"/>
                <w:lang w:val="en-GB" w:eastAsia="en-GB"/>
              </w:rPr>
            </w:pPr>
            <w:r w:rsidRPr="00315553">
              <w:rPr>
                <w:i w:val="0"/>
                <w:lang w:val="en-GB" w:eastAsia="en-GB"/>
              </w:rPr>
              <w:t xml:space="preserve">Initiative </w:t>
            </w:r>
            <w:r>
              <w:rPr>
                <w:i w:val="0"/>
                <w:lang w:val="en-GB" w:eastAsia="en-GB"/>
              </w:rPr>
              <w:t>number</w:t>
            </w:r>
          </w:p>
        </w:tc>
        <w:tc>
          <w:tcPr>
            <w:tcW w:w="4168" w:type="dxa"/>
            <w:shd w:val="clear" w:color="auto" w:fill="007FAD"/>
            <w:vAlign w:val="center"/>
            <w:hideMark/>
          </w:tcPr>
          <w:p w14:paraId="68AC9608" w14:textId="77777777" w:rsidR="00AD6A55" w:rsidRPr="00315553" w:rsidRDefault="00AD6A55" w:rsidP="00AD6A55">
            <w:pPr>
              <w:pStyle w:val="TableHeading21"/>
              <w:rPr>
                <w:i w:val="0"/>
                <w:lang w:val="en-GB" w:eastAsia="en-GB"/>
              </w:rPr>
            </w:pPr>
            <w:r w:rsidRPr="00315553">
              <w:rPr>
                <w:i w:val="0"/>
                <w:lang w:val="en-GB" w:eastAsia="en-GB"/>
              </w:rPr>
              <w:t>Evaluation title</w:t>
            </w:r>
          </w:p>
        </w:tc>
        <w:tc>
          <w:tcPr>
            <w:tcW w:w="1437" w:type="dxa"/>
            <w:shd w:val="clear" w:color="auto" w:fill="007FAD"/>
            <w:vAlign w:val="center"/>
            <w:hideMark/>
          </w:tcPr>
          <w:p w14:paraId="40048F77" w14:textId="77777777" w:rsidR="00AD6A55" w:rsidRPr="00315553" w:rsidRDefault="00AD6A55" w:rsidP="00AD6A55">
            <w:pPr>
              <w:pStyle w:val="TableHeading21"/>
              <w:rPr>
                <w:i w:val="0"/>
                <w:lang w:val="en-GB" w:eastAsia="en-GB"/>
              </w:rPr>
            </w:pPr>
            <w:r w:rsidRPr="00315553">
              <w:rPr>
                <w:i w:val="0"/>
                <w:lang w:val="en-GB" w:eastAsia="en-GB"/>
              </w:rPr>
              <w:t>Country</w:t>
            </w:r>
          </w:p>
        </w:tc>
        <w:tc>
          <w:tcPr>
            <w:tcW w:w="1617" w:type="dxa"/>
            <w:shd w:val="clear" w:color="auto" w:fill="007FAD"/>
            <w:vAlign w:val="center"/>
            <w:hideMark/>
          </w:tcPr>
          <w:p w14:paraId="0A00AAEA" w14:textId="77777777" w:rsidR="00AD6A55" w:rsidRPr="00315553" w:rsidRDefault="00AD6A55" w:rsidP="00AD6A55">
            <w:pPr>
              <w:pStyle w:val="TableHeading21"/>
              <w:rPr>
                <w:i w:val="0"/>
                <w:lang w:val="en-GB" w:eastAsia="en-GB"/>
              </w:rPr>
            </w:pPr>
            <w:r w:rsidRPr="00315553">
              <w:rPr>
                <w:i w:val="0"/>
                <w:lang w:val="en-GB" w:eastAsia="en-GB"/>
              </w:rPr>
              <w:t>Primary sector</w:t>
            </w:r>
          </w:p>
        </w:tc>
        <w:tc>
          <w:tcPr>
            <w:tcW w:w="1281" w:type="dxa"/>
            <w:shd w:val="clear" w:color="auto" w:fill="007FAD"/>
            <w:vAlign w:val="center"/>
          </w:tcPr>
          <w:p w14:paraId="56A98EF3" w14:textId="77777777" w:rsidR="00AD6A55" w:rsidRPr="00315553" w:rsidRDefault="00AD6A55" w:rsidP="00AD6A55">
            <w:pPr>
              <w:pStyle w:val="TableHeading21"/>
              <w:rPr>
                <w:i w:val="0"/>
                <w:lang w:val="en-GB" w:eastAsia="en-GB"/>
              </w:rPr>
            </w:pPr>
            <w:r w:rsidRPr="00315553">
              <w:rPr>
                <w:i w:val="0"/>
                <w:lang w:val="en-GB" w:eastAsia="en-GB"/>
              </w:rPr>
              <w:t>Published on DFAT website?</w:t>
            </w:r>
          </w:p>
        </w:tc>
      </w:tr>
      <w:tr w:rsidR="00AD6A55" w:rsidRPr="00DE1AF3" w14:paraId="05901E2C" w14:textId="77777777" w:rsidTr="00AD6A55">
        <w:trPr>
          <w:cantSplit/>
          <w:trHeight w:val="900"/>
        </w:trPr>
        <w:tc>
          <w:tcPr>
            <w:tcW w:w="1079" w:type="dxa"/>
            <w:shd w:val="clear" w:color="auto" w:fill="auto"/>
            <w:vAlign w:val="center"/>
            <w:hideMark/>
          </w:tcPr>
          <w:p w14:paraId="78D16DE0" w14:textId="77777777" w:rsidR="00AD6A55" w:rsidRPr="00DE1AF3" w:rsidRDefault="00AD6A55" w:rsidP="00AD6A55">
            <w:pPr>
              <w:pStyle w:val="TableText0"/>
            </w:pPr>
            <w:r w:rsidRPr="00DE1AF3">
              <w:t>INC357</w:t>
            </w:r>
          </w:p>
        </w:tc>
        <w:tc>
          <w:tcPr>
            <w:tcW w:w="4168" w:type="dxa"/>
            <w:shd w:val="clear" w:color="000000" w:fill="FFFFFF"/>
            <w:vAlign w:val="center"/>
            <w:hideMark/>
          </w:tcPr>
          <w:p w14:paraId="157122F0" w14:textId="77777777" w:rsidR="00AD6A55" w:rsidRPr="00DE1AF3" w:rsidRDefault="00AD6A55" w:rsidP="00AD6A55">
            <w:pPr>
              <w:pStyle w:val="TableText0"/>
            </w:pPr>
            <w:r w:rsidRPr="00DE1AF3">
              <w:t xml:space="preserve">Independent Evaluation of </w:t>
            </w:r>
            <w:proofErr w:type="spellStart"/>
            <w:r w:rsidRPr="00DE1AF3">
              <w:t>Agusan</w:t>
            </w:r>
            <w:proofErr w:type="spellEnd"/>
            <w:r w:rsidRPr="00DE1AF3">
              <w:t xml:space="preserve"> del Sur Malaria Control and Prevention Program</w:t>
            </w:r>
          </w:p>
        </w:tc>
        <w:tc>
          <w:tcPr>
            <w:tcW w:w="1437" w:type="dxa"/>
            <w:shd w:val="clear" w:color="auto" w:fill="auto"/>
            <w:vAlign w:val="center"/>
            <w:hideMark/>
          </w:tcPr>
          <w:p w14:paraId="30560EB4" w14:textId="77777777" w:rsidR="00AD6A55" w:rsidRPr="00DE1AF3" w:rsidRDefault="00AD6A55" w:rsidP="00AD6A55">
            <w:pPr>
              <w:pStyle w:val="TableText0"/>
            </w:pPr>
            <w:r w:rsidRPr="00DE1AF3">
              <w:t>Philippines</w:t>
            </w:r>
          </w:p>
        </w:tc>
        <w:tc>
          <w:tcPr>
            <w:tcW w:w="1617" w:type="dxa"/>
            <w:shd w:val="clear" w:color="auto" w:fill="auto"/>
            <w:noWrap/>
            <w:vAlign w:val="center"/>
            <w:hideMark/>
          </w:tcPr>
          <w:p w14:paraId="707EEE19" w14:textId="77777777" w:rsidR="00AD6A55" w:rsidRPr="00DE1AF3" w:rsidRDefault="00AD6A55" w:rsidP="00AD6A55">
            <w:pPr>
              <w:pStyle w:val="TableText0"/>
            </w:pPr>
            <w:r w:rsidRPr="00DE1AF3">
              <w:t>Health</w:t>
            </w:r>
          </w:p>
        </w:tc>
        <w:tc>
          <w:tcPr>
            <w:tcW w:w="1281" w:type="dxa"/>
            <w:vAlign w:val="center"/>
          </w:tcPr>
          <w:p w14:paraId="508125B3" w14:textId="77777777" w:rsidR="00AD6A55" w:rsidRPr="00DE1AF3" w:rsidRDefault="00AD6A55" w:rsidP="00AD6A55">
            <w:pPr>
              <w:pStyle w:val="TableText0"/>
            </w:pPr>
            <w:r w:rsidRPr="00DE1AF3">
              <w:t>Yes</w:t>
            </w:r>
          </w:p>
        </w:tc>
      </w:tr>
      <w:tr w:rsidR="00AD6A55" w:rsidRPr="00DE1AF3" w14:paraId="27D3538B" w14:textId="77777777" w:rsidTr="00AD6A55">
        <w:trPr>
          <w:cantSplit/>
          <w:trHeight w:val="900"/>
        </w:trPr>
        <w:tc>
          <w:tcPr>
            <w:tcW w:w="1079" w:type="dxa"/>
            <w:shd w:val="clear" w:color="auto" w:fill="auto"/>
            <w:vAlign w:val="center"/>
            <w:hideMark/>
          </w:tcPr>
          <w:p w14:paraId="04E21ECF" w14:textId="77777777" w:rsidR="00AD6A55" w:rsidRPr="00DE1AF3" w:rsidRDefault="00AD6A55" w:rsidP="00AD6A55">
            <w:pPr>
              <w:pStyle w:val="TableText0"/>
            </w:pPr>
            <w:r w:rsidRPr="00DE1AF3">
              <w:t>IND982</w:t>
            </w:r>
          </w:p>
        </w:tc>
        <w:tc>
          <w:tcPr>
            <w:tcW w:w="4168" w:type="dxa"/>
            <w:shd w:val="clear" w:color="000000" w:fill="FFFFFF"/>
            <w:vAlign w:val="center"/>
            <w:hideMark/>
          </w:tcPr>
          <w:p w14:paraId="71C48DBD" w14:textId="77777777" w:rsidR="00AD6A55" w:rsidRPr="00DE1AF3" w:rsidRDefault="00AD6A55" w:rsidP="00AD6A55">
            <w:pPr>
              <w:pStyle w:val="TableText0"/>
            </w:pPr>
            <w:r w:rsidRPr="00DE1AF3">
              <w:t>Evaluation of the outcomes and sustainability of the Laos–Australia Basic Education Project (LABEP)</w:t>
            </w:r>
          </w:p>
        </w:tc>
        <w:tc>
          <w:tcPr>
            <w:tcW w:w="1437" w:type="dxa"/>
            <w:shd w:val="clear" w:color="auto" w:fill="auto"/>
            <w:noWrap/>
            <w:vAlign w:val="center"/>
            <w:hideMark/>
          </w:tcPr>
          <w:p w14:paraId="1C7E81C0" w14:textId="77777777" w:rsidR="00AD6A55" w:rsidRPr="00DE1AF3" w:rsidRDefault="00AD6A55" w:rsidP="00AD6A55">
            <w:pPr>
              <w:pStyle w:val="TableText0"/>
            </w:pPr>
            <w:r w:rsidRPr="00DE1AF3">
              <w:t>Laos</w:t>
            </w:r>
          </w:p>
        </w:tc>
        <w:tc>
          <w:tcPr>
            <w:tcW w:w="1617" w:type="dxa"/>
            <w:shd w:val="clear" w:color="auto" w:fill="auto"/>
            <w:noWrap/>
            <w:vAlign w:val="center"/>
            <w:hideMark/>
          </w:tcPr>
          <w:p w14:paraId="3C44606B" w14:textId="77777777" w:rsidR="00AD6A55" w:rsidRPr="00DE1AF3" w:rsidRDefault="00AD6A55" w:rsidP="00AD6A55">
            <w:pPr>
              <w:pStyle w:val="TableText0"/>
            </w:pPr>
            <w:r w:rsidRPr="00DE1AF3">
              <w:t>Education</w:t>
            </w:r>
          </w:p>
        </w:tc>
        <w:tc>
          <w:tcPr>
            <w:tcW w:w="1281" w:type="dxa"/>
            <w:vAlign w:val="center"/>
          </w:tcPr>
          <w:p w14:paraId="2633AF28" w14:textId="77777777" w:rsidR="00AD6A55" w:rsidRPr="00DE1AF3" w:rsidRDefault="00AD6A55" w:rsidP="00AD6A55">
            <w:pPr>
              <w:pStyle w:val="TableText0"/>
            </w:pPr>
            <w:r w:rsidRPr="00DE1AF3">
              <w:t>No</w:t>
            </w:r>
          </w:p>
        </w:tc>
      </w:tr>
      <w:tr w:rsidR="00AD6A55" w:rsidRPr="00DE1AF3" w14:paraId="729653AE" w14:textId="77777777" w:rsidTr="00AD6A55">
        <w:trPr>
          <w:cantSplit/>
          <w:trHeight w:val="900"/>
        </w:trPr>
        <w:tc>
          <w:tcPr>
            <w:tcW w:w="1079" w:type="dxa"/>
            <w:shd w:val="clear" w:color="auto" w:fill="auto"/>
            <w:noWrap/>
            <w:vAlign w:val="center"/>
            <w:hideMark/>
          </w:tcPr>
          <w:p w14:paraId="7138D64E" w14:textId="77777777" w:rsidR="00AD6A55" w:rsidRPr="00DE1AF3" w:rsidRDefault="00AD6A55" w:rsidP="00AD6A55">
            <w:pPr>
              <w:pStyle w:val="TableText0"/>
            </w:pPr>
            <w:r w:rsidRPr="00DE1AF3">
              <w:t>INE114</w:t>
            </w:r>
          </w:p>
        </w:tc>
        <w:tc>
          <w:tcPr>
            <w:tcW w:w="4168" w:type="dxa"/>
            <w:shd w:val="clear" w:color="000000" w:fill="FFFFFF"/>
            <w:vAlign w:val="center"/>
            <w:hideMark/>
          </w:tcPr>
          <w:p w14:paraId="2C82743C" w14:textId="77777777" w:rsidR="00AD6A55" w:rsidRPr="00DE1AF3" w:rsidRDefault="00AD6A55" w:rsidP="00AD6A55">
            <w:pPr>
              <w:pStyle w:val="TableText0"/>
            </w:pPr>
            <w:r w:rsidRPr="00DE1AF3">
              <w:t>Independent Completion Review</w:t>
            </w:r>
            <w:r>
              <w:t xml:space="preserve"> of</w:t>
            </w:r>
            <w:r w:rsidRPr="00DE1AF3">
              <w:t xml:space="preserve"> Provision of Core Funding Support to the SMERU Research Institute</w:t>
            </w:r>
          </w:p>
        </w:tc>
        <w:tc>
          <w:tcPr>
            <w:tcW w:w="1437" w:type="dxa"/>
            <w:shd w:val="clear" w:color="auto" w:fill="auto"/>
            <w:noWrap/>
            <w:vAlign w:val="center"/>
            <w:hideMark/>
          </w:tcPr>
          <w:p w14:paraId="23B1EC0E" w14:textId="77777777" w:rsidR="00AD6A55" w:rsidRPr="00DE1AF3" w:rsidRDefault="00AD6A55" w:rsidP="00AD6A55">
            <w:pPr>
              <w:pStyle w:val="TableText0"/>
            </w:pPr>
            <w:r w:rsidRPr="00DE1AF3">
              <w:t>Indonesia</w:t>
            </w:r>
          </w:p>
        </w:tc>
        <w:tc>
          <w:tcPr>
            <w:tcW w:w="1617" w:type="dxa"/>
            <w:shd w:val="clear" w:color="auto" w:fill="auto"/>
            <w:vAlign w:val="center"/>
            <w:hideMark/>
          </w:tcPr>
          <w:p w14:paraId="7BB988C8" w14:textId="77777777" w:rsidR="00AD6A55" w:rsidRPr="00DE1AF3" w:rsidRDefault="00AD6A55" w:rsidP="00AD6A55">
            <w:pPr>
              <w:pStyle w:val="TableText0"/>
            </w:pPr>
            <w:r>
              <w:t>Improved government</w:t>
            </w:r>
          </w:p>
        </w:tc>
        <w:tc>
          <w:tcPr>
            <w:tcW w:w="1281" w:type="dxa"/>
            <w:vAlign w:val="center"/>
          </w:tcPr>
          <w:p w14:paraId="17C16D99" w14:textId="77777777" w:rsidR="00AD6A55" w:rsidRPr="00DE1AF3" w:rsidRDefault="00AD6A55" w:rsidP="00AD6A55">
            <w:pPr>
              <w:pStyle w:val="TableText0"/>
            </w:pPr>
            <w:r w:rsidRPr="00DE1AF3">
              <w:t>Yes</w:t>
            </w:r>
          </w:p>
        </w:tc>
      </w:tr>
      <w:tr w:rsidR="00AD6A55" w:rsidRPr="00DE1AF3" w14:paraId="772E9888" w14:textId="77777777" w:rsidTr="00AD6A55">
        <w:trPr>
          <w:cantSplit/>
          <w:trHeight w:val="900"/>
        </w:trPr>
        <w:tc>
          <w:tcPr>
            <w:tcW w:w="1079" w:type="dxa"/>
            <w:shd w:val="clear" w:color="auto" w:fill="auto"/>
            <w:noWrap/>
            <w:vAlign w:val="center"/>
            <w:hideMark/>
          </w:tcPr>
          <w:p w14:paraId="0C1536E5" w14:textId="77777777" w:rsidR="00AD6A55" w:rsidRPr="00DE1AF3" w:rsidRDefault="00AD6A55" w:rsidP="00AD6A55">
            <w:pPr>
              <w:pStyle w:val="TableText0"/>
            </w:pPr>
            <w:r w:rsidRPr="00DE1AF3">
              <w:t>INE887 INJ788</w:t>
            </w:r>
          </w:p>
        </w:tc>
        <w:tc>
          <w:tcPr>
            <w:tcW w:w="4168" w:type="dxa"/>
            <w:shd w:val="clear" w:color="000000" w:fill="FFFFFF"/>
            <w:vAlign w:val="center"/>
            <w:hideMark/>
          </w:tcPr>
          <w:p w14:paraId="24E7AC43" w14:textId="77777777" w:rsidR="00AD6A55" w:rsidRPr="00DE1AF3" w:rsidRDefault="00AD6A55" w:rsidP="00AD6A55">
            <w:pPr>
              <w:pStyle w:val="TableText0"/>
            </w:pPr>
            <w:r w:rsidRPr="00DE1AF3">
              <w:t>Independent Completion Review</w:t>
            </w:r>
            <w:r>
              <w:t xml:space="preserve"> of</w:t>
            </w:r>
            <w:r w:rsidRPr="00DE1AF3">
              <w:t xml:space="preserve"> Australian Civil Society Program Fiji</w:t>
            </w:r>
          </w:p>
        </w:tc>
        <w:tc>
          <w:tcPr>
            <w:tcW w:w="1437" w:type="dxa"/>
            <w:shd w:val="clear" w:color="auto" w:fill="auto"/>
            <w:noWrap/>
            <w:vAlign w:val="center"/>
            <w:hideMark/>
          </w:tcPr>
          <w:p w14:paraId="66C83B3D" w14:textId="77777777" w:rsidR="00AD6A55" w:rsidRPr="00DE1AF3" w:rsidRDefault="00AD6A55" w:rsidP="00AD6A55">
            <w:pPr>
              <w:pStyle w:val="TableText0"/>
            </w:pPr>
            <w:r w:rsidRPr="00DE1AF3">
              <w:t>Fiji</w:t>
            </w:r>
          </w:p>
        </w:tc>
        <w:tc>
          <w:tcPr>
            <w:tcW w:w="1617" w:type="dxa"/>
            <w:shd w:val="clear" w:color="auto" w:fill="auto"/>
            <w:vAlign w:val="center"/>
            <w:hideMark/>
          </w:tcPr>
          <w:p w14:paraId="2A957624" w14:textId="77777777" w:rsidR="00AD6A55" w:rsidRPr="00DE1AF3" w:rsidRDefault="00AD6A55" w:rsidP="00AD6A55">
            <w:pPr>
              <w:pStyle w:val="TableText0"/>
            </w:pPr>
            <w:r>
              <w:t>Human rights</w:t>
            </w:r>
          </w:p>
        </w:tc>
        <w:tc>
          <w:tcPr>
            <w:tcW w:w="1281" w:type="dxa"/>
            <w:vAlign w:val="center"/>
          </w:tcPr>
          <w:p w14:paraId="42E21AE5" w14:textId="77777777" w:rsidR="00AD6A55" w:rsidRPr="00DE1AF3" w:rsidRDefault="00AD6A55" w:rsidP="00AD6A55">
            <w:pPr>
              <w:pStyle w:val="TableText0"/>
            </w:pPr>
            <w:r w:rsidRPr="00DE1AF3">
              <w:t>No</w:t>
            </w:r>
          </w:p>
        </w:tc>
      </w:tr>
      <w:tr w:rsidR="00AD6A55" w:rsidRPr="00DE1AF3" w14:paraId="5883837F" w14:textId="77777777" w:rsidTr="00AD6A55">
        <w:trPr>
          <w:cantSplit/>
          <w:trHeight w:val="900"/>
        </w:trPr>
        <w:tc>
          <w:tcPr>
            <w:tcW w:w="1079" w:type="dxa"/>
            <w:shd w:val="clear" w:color="auto" w:fill="auto"/>
            <w:noWrap/>
            <w:vAlign w:val="center"/>
            <w:hideMark/>
          </w:tcPr>
          <w:p w14:paraId="519E9556" w14:textId="77777777" w:rsidR="00AD6A55" w:rsidRPr="00DE1AF3" w:rsidRDefault="00AD6A55" w:rsidP="00AD6A55">
            <w:pPr>
              <w:pStyle w:val="TableText0"/>
            </w:pPr>
            <w:r w:rsidRPr="00DE1AF3">
              <w:t>INF725</w:t>
            </w:r>
          </w:p>
        </w:tc>
        <w:tc>
          <w:tcPr>
            <w:tcW w:w="4168" w:type="dxa"/>
            <w:shd w:val="clear" w:color="000000" w:fill="FFFFFF"/>
            <w:vAlign w:val="center"/>
            <w:hideMark/>
          </w:tcPr>
          <w:p w14:paraId="4BD3EEDD" w14:textId="77777777" w:rsidR="00AD6A55" w:rsidRPr="00DE1AF3" w:rsidRDefault="00AD6A55" w:rsidP="00AD6A55">
            <w:pPr>
              <w:pStyle w:val="TableText0"/>
            </w:pPr>
            <w:r>
              <w:t>Evaluation</w:t>
            </w:r>
            <w:r w:rsidRPr="00DE1AF3">
              <w:t xml:space="preserve"> </w:t>
            </w:r>
            <w:r>
              <w:t xml:space="preserve">of </w:t>
            </w:r>
            <w:r w:rsidRPr="00DE1AF3">
              <w:t>Africa–Australian Development Scholarships Management Program</w:t>
            </w:r>
          </w:p>
        </w:tc>
        <w:tc>
          <w:tcPr>
            <w:tcW w:w="1437" w:type="dxa"/>
            <w:shd w:val="clear" w:color="000000" w:fill="FFFFFF"/>
            <w:noWrap/>
            <w:vAlign w:val="center"/>
            <w:hideMark/>
          </w:tcPr>
          <w:p w14:paraId="1C7F8056" w14:textId="77777777" w:rsidR="00AD6A55" w:rsidRPr="00DE1AF3" w:rsidRDefault="00AD6A55" w:rsidP="00AD6A55">
            <w:pPr>
              <w:pStyle w:val="TableText0"/>
            </w:pPr>
            <w:r w:rsidRPr="00DE1AF3">
              <w:t>Africa</w:t>
            </w:r>
          </w:p>
        </w:tc>
        <w:tc>
          <w:tcPr>
            <w:tcW w:w="1617" w:type="dxa"/>
            <w:shd w:val="clear" w:color="auto" w:fill="auto"/>
            <w:vAlign w:val="center"/>
            <w:hideMark/>
          </w:tcPr>
          <w:p w14:paraId="626B13DE" w14:textId="77777777" w:rsidR="00AD6A55" w:rsidRPr="00DE1AF3" w:rsidRDefault="00AD6A55" w:rsidP="00AD6A55">
            <w:pPr>
              <w:pStyle w:val="TableText0"/>
            </w:pPr>
            <w:r w:rsidRPr="00DE1AF3">
              <w:t>Education</w:t>
            </w:r>
          </w:p>
        </w:tc>
        <w:tc>
          <w:tcPr>
            <w:tcW w:w="1281" w:type="dxa"/>
            <w:vAlign w:val="center"/>
          </w:tcPr>
          <w:p w14:paraId="40E6276E" w14:textId="77777777" w:rsidR="00AD6A55" w:rsidRPr="00DE1AF3" w:rsidRDefault="00AD6A55" w:rsidP="00AD6A55">
            <w:pPr>
              <w:pStyle w:val="TableText0"/>
            </w:pPr>
            <w:r w:rsidRPr="00DE1AF3">
              <w:t>No</w:t>
            </w:r>
          </w:p>
        </w:tc>
      </w:tr>
      <w:tr w:rsidR="00AD6A55" w:rsidRPr="00DE1AF3" w14:paraId="3EBD31FA" w14:textId="77777777" w:rsidTr="00AD6A55">
        <w:trPr>
          <w:cantSplit/>
          <w:trHeight w:val="900"/>
        </w:trPr>
        <w:tc>
          <w:tcPr>
            <w:tcW w:w="1079" w:type="dxa"/>
            <w:shd w:val="clear" w:color="auto" w:fill="auto"/>
            <w:noWrap/>
            <w:vAlign w:val="center"/>
            <w:hideMark/>
          </w:tcPr>
          <w:p w14:paraId="4858857D" w14:textId="77777777" w:rsidR="00AD6A55" w:rsidRPr="00DE1AF3" w:rsidRDefault="00AD6A55" w:rsidP="00AD6A55">
            <w:pPr>
              <w:pStyle w:val="TableText0"/>
            </w:pPr>
            <w:r w:rsidRPr="00DE1AF3">
              <w:t>INF759</w:t>
            </w:r>
          </w:p>
        </w:tc>
        <w:tc>
          <w:tcPr>
            <w:tcW w:w="4168" w:type="dxa"/>
            <w:shd w:val="clear" w:color="000000" w:fill="FFFFFF"/>
            <w:vAlign w:val="center"/>
            <w:hideMark/>
          </w:tcPr>
          <w:p w14:paraId="0705EAE6" w14:textId="77777777" w:rsidR="00AD6A55" w:rsidRPr="00DE1AF3" w:rsidRDefault="00AD6A55" w:rsidP="00AD6A55">
            <w:pPr>
              <w:pStyle w:val="TableText0"/>
            </w:pPr>
            <w:r w:rsidRPr="00DE1AF3">
              <w:t>Independent assessment report and recommendations on possible future activities</w:t>
            </w:r>
            <w:r>
              <w:t xml:space="preserve"> for</w:t>
            </w:r>
            <w:r w:rsidRPr="00DE1AF3">
              <w:t xml:space="preserve"> Papua New Guinea Media Development Initiative 2</w:t>
            </w:r>
          </w:p>
        </w:tc>
        <w:tc>
          <w:tcPr>
            <w:tcW w:w="1437" w:type="dxa"/>
            <w:shd w:val="clear" w:color="000000" w:fill="FFFFFF"/>
            <w:noWrap/>
            <w:vAlign w:val="center"/>
            <w:hideMark/>
          </w:tcPr>
          <w:p w14:paraId="09112EE8" w14:textId="77777777" w:rsidR="00AD6A55" w:rsidRPr="00DE1AF3" w:rsidRDefault="00AD6A55" w:rsidP="00AD6A55">
            <w:pPr>
              <w:pStyle w:val="TableText0"/>
            </w:pPr>
            <w:r>
              <w:t>Papua New Guinea</w:t>
            </w:r>
          </w:p>
        </w:tc>
        <w:tc>
          <w:tcPr>
            <w:tcW w:w="1617" w:type="dxa"/>
            <w:shd w:val="clear" w:color="auto" w:fill="auto"/>
            <w:vAlign w:val="center"/>
            <w:hideMark/>
          </w:tcPr>
          <w:p w14:paraId="73413A58" w14:textId="77777777" w:rsidR="00AD6A55" w:rsidRPr="00DE1AF3" w:rsidRDefault="00AD6A55" w:rsidP="00AD6A55">
            <w:pPr>
              <w:pStyle w:val="TableText0"/>
            </w:pPr>
            <w:r>
              <w:t>Human rights</w:t>
            </w:r>
          </w:p>
        </w:tc>
        <w:tc>
          <w:tcPr>
            <w:tcW w:w="1281" w:type="dxa"/>
            <w:vAlign w:val="center"/>
          </w:tcPr>
          <w:p w14:paraId="2868276C" w14:textId="77777777" w:rsidR="00AD6A55" w:rsidRPr="00DE1AF3" w:rsidRDefault="00AD6A55" w:rsidP="00AD6A55">
            <w:pPr>
              <w:pStyle w:val="TableText0"/>
            </w:pPr>
            <w:r w:rsidRPr="00DE1AF3">
              <w:t>Yes</w:t>
            </w:r>
          </w:p>
        </w:tc>
      </w:tr>
      <w:tr w:rsidR="00AD6A55" w:rsidRPr="00DE1AF3" w14:paraId="33C943DF" w14:textId="77777777" w:rsidTr="00AD6A55">
        <w:trPr>
          <w:cantSplit/>
          <w:trHeight w:val="900"/>
        </w:trPr>
        <w:tc>
          <w:tcPr>
            <w:tcW w:w="1079" w:type="dxa"/>
            <w:tcBorders>
              <w:bottom w:val="single" w:sz="4" w:space="0" w:color="31849B"/>
            </w:tcBorders>
            <w:shd w:val="clear" w:color="auto" w:fill="auto"/>
            <w:noWrap/>
            <w:vAlign w:val="center"/>
            <w:hideMark/>
          </w:tcPr>
          <w:p w14:paraId="7B331231" w14:textId="77777777" w:rsidR="00AD6A55" w:rsidRPr="00DE1AF3" w:rsidRDefault="00AD6A55" w:rsidP="00AD6A55">
            <w:pPr>
              <w:pStyle w:val="TableText0"/>
            </w:pPr>
            <w:r w:rsidRPr="00DE1AF3">
              <w:t>ING002</w:t>
            </w:r>
          </w:p>
        </w:tc>
        <w:tc>
          <w:tcPr>
            <w:tcW w:w="4168" w:type="dxa"/>
            <w:tcBorders>
              <w:bottom w:val="single" w:sz="4" w:space="0" w:color="31849B"/>
            </w:tcBorders>
            <w:shd w:val="clear" w:color="000000" w:fill="FFFFFF"/>
            <w:vAlign w:val="center"/>
            <w:hideMark/>
          </w:tcPr>
          <w:p w14:paraId="714DE1DA" w14:textId="77777777" w:rsidR="00AD6A55" w:rsidRPr="00DE1AF3" w:rsidRDefault="00AD6A55" w:rsidP="00AD6A55">
            <w:pPr>
              <w:pStyle w:val="TableText0"/>
            </w:pPr>
            <w:r>
              <w:t>I</w:t>
            </w:r>
            <w:r w:rsidRPr="00940710">
              <w:t>ndependent evaluation of AusAID’s support to rural WASH in Timor-Leste</w:t>
            </w:r>
            <w:r>
              <w:t xml:space="preserve"> through the </w:t>
            </w:r>
            <w:r w:rsidRPr="00940710">
              <w:t>Rural Water Supply and Sanitation Program (RWSSP</w:t>
            </w:r>
            <w:r>
              <w:t>/BESIK</w:t>
            </w:r>
            <w:r w:rsidRPr="00940710">
              <w:t>)</w:t>
            </w:r>
          </w:p>
        </w:tc>
        <w:tc>
          <w:tcPr>
            <w:tcW w:w="1437" w:type="dxa"/>
            <w:tcBorders>
              <w:bottom w:val="single" w:sz="4" w:space="0" w:color="31849B"/>
            </w:tcBorders>
            <w:shd w:val="clear" w:color="000000" w:fill="FFFFFF"/>
            <w:noWrap/>
            <w:vAlign w:val="center"/>
            <w:hideMark/>
          </w:tcPr>
          <w:p w14:paraId="53DE525E" w14:textId="77777777" w:rsidR="00AD6A55" w:rsidRPr="00DE1AF3" w:rsidRDefault="00AD6A55" w:rsidP="00AD6A55">
            <w:pPr>
              <w:pStyle w:val="TableText0"/>
            </w:pPr>
            <w:r w:rsidRPr="00DE1AF3">
              <w:t>Timor-Leste</w:t>
            </w:r>
          </w:p>
        </w:tc>
        <w:tc>
          <w:tcPr>
            <w:tcW w:w="1617" w:type="dxa"/>
            <w:tcBorders>
              <w:bottom w:val="single" w:sz="4" w:space="0" w:color="31849B"/>
            </w:tcBorders>
            <w:shd w:val="clear" w:color="auto" w:fill="auto"/>
            <w:vAlign w:val="center"/>
            <w:hideMark/>
          </w:tcPr>
          <w:p w14:paraId="130AC8D4" w14:textId="77777777" w:rsidR="00AD6A55" w:rsidRPr="00DE1AF3" w:rsidRDefault="00AD6A55" w:rsidP="00AD6A55">
            <w:pPr>
              <w:pStyle w:val="TableText0"/>
            </w:pPr>
            <w:r w:rsidRPr="00DE1AF3">
              <w:t>Water and sanitation</w:t>
            </w:r>
          </w:p>
        </w:tc>
        <w:tc>
          <w:tcPr>
            <w:tcW w:w="1281" w:type="dxa"/>
            <w:tcBorders>
              <w:bottom w:val="single" w:sz="4" w:space="0" w:color="31849B"/>
            </w:tcBorders>
            <w:vAlign w:val="center"/>
          </w:tcPr>
          <w:p w14:paraId="1FC716FA" w14:textId="77777777" w:rsidR="00AD6A55" w:rsidRPr="00DE1AF3" w:rsidRDefault="00AD6A55" w:rsidP="00AD6A55">
            <w:pPr>
              <w:pStyle w:val="TableText0"/>
            </w:pPr>
            <w:r w:rsidRPr="00DE1AF3">
              <w:t>Yes</w:t>
            </w:r>
          </w:p>
        </w:tc>
      </w:tr>
      <w:tr w:rsidR="00AD6A55" w:rsidRPr="00DE1AF3" w14:paraId="2EF8587F" w14:textId="77777777" w:rsidTr="00AD6A55">
        <w:trPr>
          <w:cantSplit/>
          <w:trHeight w:val="900"/>
        </w:trPr>
        <w:tc>
          <w:tcPr>
            <w:tcW w:w="1079" w:type="dxa"/>
            <w:shd w:val="clear" w:color="auto" w:fill="auto"/>
            <w:vAlign w:val="center"/>
            <w:hideMark/>
          </w:tcPr>
          <w:p w14:paraId="53A1215A" w14:textId="77777777" w:rsidR="00AD6A55" w:rsidRPr="00DE1AF3" w:rsidRDefault="00AD6A55" w:rsidP="00AD6A55">
            <w:pPr>
              <w:pStyle w:val="TableText0"/>
            </w:pPr>
            <w:r w:rsidRPr="00DE1AF3">
              <w:t>ING236</w:t>
            </w:r>
          </w:p>
        </w:tc>
        <w:tc>
          <w:tcPr>
            <w:tcW w:w="4168" w:type="dxa"/>
            <w:shd w:val="clear" w:color="000000" w:fill="FFFFFF"/>
            <w:vAlign w:val="center"/>
            <w:hideMark/>
          </w:tcPr>
          <w:p w14:paraId="67896870" w14:textId="77777777" w:rsidR="00AD6A55" w:rsidRPr="00DE1AF3" w:rsidRDefault="00AD6A55" w:rsidP="00AD6A55">
            <w:pPr>
              <w:pStyle w:val="TableText0"/>
            </w:pPr>
            <w:r w:rsidRPr="00DE1AF3">
              <w:t>South Asia Regional Program Evaluation</w:t>
            </w:r>
            <w:r>
              <w:t xml:space="preserve"> (</w:t>
            </w:r>
            <w:r w:rsidRPr="00940710">
              <w:t>AusAID-ADB South Asia Development Partnership Facility and AusAID-World Bank Facility for Decentralisation, Local Governance and Service Delivery</w:t>
            </w:r>
            <w:r>
              <w:t>)</w:t>
            </w:r>
          </w:p>
        </w:tc>
        <w:tc>
          <w:tcPr>
            <w:tcW w:w="1437" w:type="dxa"/>
            <w:shd w:val="clear" w:color="000000" w:fill="FFFFFF"/>
            <w:vAlign w:val="center"/>
            <w:hideMark/>
          </w:tcPr>
          <w:p w14:paraId="1D787C5D" w14:textId="77777777" w:rsidR="00AD6A55" w:rsidRPr="00DE1AF3" w:rsidRDefault="00AD6A55" w:rsidP="00AD6A55">
            <w:pPr>
              <w:pStyle w:val="TableText0"/>
            </w:pPr>
            <w:proofErr w:type="spellStart"/>
            <w:r w:rsidRPr="00DE1AF3">
              <w:t>Multicountry</w:t>
            </w:r>
            <w:proofErr w:type="spellEnd"/>
          </w:p>
        </w:tc>
        <w:tc>
          <w:tcPr>
            <w:tcW w:w="1617" w:type="dxa"/>
            <w:shd w:val="clear" w:color="auto" w:fill="auto"/>
            <w:vAlign w:val="center"/>
            <w:hideMark/>
          </w:tcPr>
          <w:p w14:paraId="3247AFF0" w14:textId="77777777" w:rsidR="00AD6A55" w:rsidRPr="00DE1AF3" w:rsidRDefault="00AD6A55" w:rsidP="00AD6A55">
            <w:pPr>
              <w:pStyle w:val="TableText0"/>
            </w:pPr>
            <w:r>
              <w:t>General development support</w:t>
            </w:r>
          </w:p>
        </w:tc>
        <w:tc>
          <w:tcPr>
            <w:tcW w:w="1281" w:type="dxa"/>
            <w:vAlign w:val="center"/>
          </w:tcPr>
          <w:p w14:paraId="03354DDA" w14:textId="77777777" w:rsidR="00AD6A55" w:rsidRPr="00DE1AF3" w:rsidRDefault="00AD6A55" w:rsidP="00AD6A55">
            <w:pPr>
              <w:pStyle w:val="TableText0"/>
            </w:pPr>
            <w:r w:rsidRPr="00DE1AF3">
              <w:t>Yes</w:t>
            </w:r>
          </w:p>
        </w:tc>
      </w:tr>
      <w:tr w:rsidR="00AD6A55" w:rsidRPr="00DE1AF3" w14:paraId="0554FBE9" w14:textId="77777777" w:rsidTr="00AD6A55">
        <w:trPr>
          <w:cantSplit/>
          <w:trHeight w:val="900"/>
        </w:trPr>
        <w:tc>
          <w:tcPr>
            <w:tcW w:w="1079" w:type="dxa"/>
            <w:tcBorders>
              <w:top w:val="single" w:sz="4" w:space="0" w:color="31849B"/>
              <w:bottom w:val="single" w:sz="4" w:space="0" w:color="31849B"/>
              <w:right w:val="nil"/>
            </w:tcBorders>
            <w:shd w:val="clear" w:color="auto" w:fill="auto"/>
            <w:noWrap/>
            <w:vAlign w:val="center"/>
            <w:hideMark/>
          </w:tcPr>
          <w:p w14:paraId="7ECB446E" w14:textId="77777777" w:rsidR="00AD6A55" w:rsidRPr="00CF0A8A" w:rsidRDefault="00AD6A55" w:rsidP="00AD6A55">
            <w:pPr>
              <w:pStyle w:val="TableText0"/>
              <w:rPr>
                <w:lang w:val="en-GB" w:eastAsia="en-GB"/>
              </w:rPr>
            </w:pPr>
            <w:r w:rsidRPr="00CF0A8A">
              <w:rPr>
                <w:lang w:val="en-GB" w:eastAsia="en-GB"/>
              </w:rPr>
              <w:t>ING357</w:t>
            </w:r>
          </w:p>
        </w:tc>
        <w:tc>
          <w:tcPr>
            <w:tcW w:w="4168" w:type="dxa"/>
            <w:tcBorders>
              <w:top w:val="single" w:sz="4" w:space="0" w:color="31849B"/>
              <w:left w:val="nil"/>
              <w:bottom w:val="single" w:sz="4" w:space="0" w:color="31849B"/>
              <w:right w:val="nil"/>
            </w:tcBorders>
            <w:shd w:val="clear" w:color="000000" w:fill="FFFFFF"/>
            <w:vAlign w:val="center"/>
            <w:hideMark/>
          </w:tcPr>
          <w:p w14:paraId="570D3183" w14:textId="77777777" w:rsidR="00AD6A55" w:rsidRPr="00CF0A8A" w:rsidRDefault="00AD6A55" w:rsidP="00AD6A55">
            <w:pPr>
              <w:pStyle w:val="TableText0"/>
              <w:rPr>
                <w:lang w:val="en-GB" w:eastAsia="en-GB"/>
              </w:rPr>
            </w:pPr>
            <w:r w:rsidRPr="00CF0A8A">
              <w:rPr>
                <w:lang w:val="en-GB" w:eastAsia="en-GB"/>
              </w:rPr>
              <w:t>Evaluation of Public Sector Capability Development Program (PSCDP) in Timor-Leste</w:t>
            </w:r>
          </w:p>
        </w:tc>
        <w:tc>
          <w:tcPr>
            <w:tcW w:w="1437" w:type="dxa"/>
            <w:tcBorders>
              <w:top w:val="single" w:sz="4" w:space="0" w:color="31849B"/>
              <w:left w:val="nil"/>
              <w:bottom w:val="single" w:sz="4" w:space="0" w:color="31849B"/>
              <w:right w:val="nil"/>
            </w:tcBorders>
            <w:shd w:val="clear" w:color="000000" w:fill="FFFFFF"/>
            <w:noWrap/>
            <w:vAlign w:val="center"/>
            <w:hideMark/>
          </w:tcPr>
          <w:p w14:paraId="30314AAE" w14:textId="77777777" w:rsidR="00AD6A55" w:rsidRPr="00CF0A8A" w:rsidRDefault="00AD6A55" w:rsidP="00AD6A55">
            <w:pPr>
              <w:pStyle w:val="TableText0"/>
              <w:rPr>
                <w:lang w:val="en-GB" w:eastAsia="en-GB"/>
              </w:rPr>
            </w:pPr>
            <w:r w:rsidRPr="00CF0A8A">
              <w:rPr>
                <w:lang w:val="en-GB" w:eastAsia="en-GB"/>
              </w:rPr>
              <w:t>Timor-Leste</w:t>
            </w:r>
          </w:p>
        </w:tc>
        <w:tc>
          <w:tcPr>
            <w:tcW w:w="1617" w:type="dxa"/>
            <w:tcBorders>
              <w:top w:val="single" w:sz="4" w:space="0" w:color="31849B"/>
              <w:left w:val="nil"/>
              <w:bottom w:val="single" w:sz="4" w:space="0" w:color="31849B"/>
              <w:right w:val="nil"/>
            </w:tcBorders>
            <w:shd w:val="clear" w:color="auto" w:fill="auto"/>
            <w:vAlign w:val="center"/>
            <w:hideMark/>
          </w:tcPr>
          <w:p w14:paraId="6E0AB1C0" w14:textId="77777777" w:rsidR="00AD6A55" w:rsidRPr="00CF0A8A" w:rsidRDefault="00AD6A55" w:rsidP="00AD6A55">
            <w:pPr>
              <w:pStyle w:val="TableText0"/>
              <w:rPr>
                <w:lang w:val="en-GB" w:eastAsia="en-GB"/>
              </w:rPr>
            </w:pPr>
            <w:r w:rsidRPr="00CF0A8A">
              <w:rPr>
                <w:lang w:val="en-GB" w:eastAsia="en-GB"/>
              </w:rPr>
              <w:t>Improved government</w:t>
            </w:r>
          </w:p>
        </w:tc>
        <w:tc>
          <w:tcPr>
            <w:tcW w:w="1281" w:type="dxa"/>
            <w:tcBorders>
              <w:top w:val="single" w:sz="4" w:space="0" w:color="31849B"/>
              <w:left w:val="nil"/>
              <w:bottom w:val="single" w:sz="4" w:space="0" w:color="31849B"/>
            </w:tcBorders>
            <w:vAlign w:val="center"/>
          </w:tcPr>
          <w:p w14:paraId="2B5209F6" w14:textId="77777777" w:rsidR="00AD6A55" w:rsidRPr="00CF0A8A" w:rsidRDefault="00AD6A55" w:rsidP="00AD6A55">
            <w:pPr>
              <w:pStyle w:val="TableText0"/>
              <w:rPr>
                <w:lang w:val="en-GB" w:eastAsia="en-GB"/>
              </w:rPr>
            </w:pPr>
            <w:r w:rsidRPr="00CF0A8A">
              <w:rPr>
                <w:lang w:val="en-GB" w:eastAsia="en-GB"/>
              </w:rPr>
              <w:t>Yes</w:t>
            </w:r>
          </w:p>
        </w:tc>
      </w:tr>
    </w:tbl>
    <w:p w14:paraId="65688357" w14:textId="77777777" w:rsidR="00AD6A55" w:rsidRDefault="00AD6A55" w:rsidP="00AD6A55">
      <w:pPr>
        <w:spacing w:before="57" w:after="142"/>
      </w:pPr>
      <w:r>
        <w:br w:type="page"/>
      </w:r>
    </w:p>
    <w:tbl>
      <w:tblPr>
        <w:tblW w:w="9582" w:type="dxa"/>
        <w:tblInd w:w="-176"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9"/>
        <w:gridCol w:w="4168"/>
        <w:gridCol w:w="1437"/>
        <w:gridCol w:w="1617"/>
        <w:gridCol w:w="1281"/>
      </w:tblGrid>
      <w:tr w:rsidR="00AD6A55" w:rsidRPr="001C2D74" w14:paraId="24B633C3" w14:textId="77777777" w:rsidTr="00AD6A55">
        <w:trPr>
          <w:cantSplit/>
          <w:trHeight w:val="795"/>
        </w:trPr>
        <w:tc>
          <w:tcPr>
            <w:tcW w:w="1079" w:type="dxa"/>
            <w:shd w:val="clear" w:color="auto" w:fill="007FAD"/>
            <w:vAlign w:val="center"/>
            <w:hideMark/>
          </w:tcPr>
          <w:p w14:paraId="758391D2" w14:textId="77777777" w:rsidR="00AD6A55" w:rsidRPr="00315553" w:rsidRDefault="00AD6A55" w:rsidP="00AD6A55">
            <w:pPr>
              <w:pStyle w:val="TableHeading21"/>
              <w:rPr>
                <w:i w:val="0"/>
                <w:lang w:val="en-GB" w:eastAsia="en-GB"/>
              </w:rPr>
            </w:pPr>
            <w:r w:rsidRPr="00315553">
              <w:rPr>
                <w:i w:val="0"/>
                <w:lang w:val="en-GB" w:eastAsia="en-GB"/>
              </w:rPr>
              <w:lastRenderedPageBreak/>
              <w:t xml:space="preserve">Initiative </w:t>
            </w:r>
            <w:r>
              <w:rPr>
                <w:i w:val="0"/>
                <w:lang w:val="en-GB" w:eastAsia="en-GB"/>
              </w:rPr>
              <w:t>number</w:t>
            </w:r>
          </w:p>
        </w:tc>
        <w:tc>
          <w:tcPr>
            <w:tcW w:w="4168" w:type="dxa"/>
            <w:shd w:val="clear" w:color="auto" w:fill="007FAD"/>
            <w:vAlign w:val="center"/>
            <w:hideMark/>
          </w:tcPr>
          <w:p w14:paraId="537E10BC" w14:textId="77777777" w:rsidR="00AD6A55" w:rsidRPr="00315553" w:rsidRDefault="00AD6A55" w:rsidP="00AD6A55">
            <w:pPr>
              <w:pStyle w:val="TableHeading21"/>
              <w:rPr>
                <w:i w:val="0"/>
                <w:lang w:val="en-GB" w:eastAsia="en-GB"/>
              </w:rPr>
            </w:pPr>
            <w:r w:rsidRPr="00315553">
              <w:rPr>
                <w:i w:val="0"/>
                <w:lang w:val="en-GB" w:eastAsia="en-GB"/>
              </w:rPr>
              <w:t>Evaluation title</w:t>
            </w:r>
          </w:p>
        </w:tc>
        <w:tc>
          <w:tcPr>
            <w:tcW w:w="1437" w:type="dxa"/>
            <w:shd w:val="clear" w:color="auto" w:fill="007FAD"/>
            <w:vAlign w:val="center"/>
            <w:hideMark/>
          </w:tcPr>
          <w:p w14:paraId="2654E86C" w14:textId="77777777" w:rsidR="00AD6A55" w:rsidRPr="00315553" w:rsidRDefault="00AD6A55" w:rsidP="00AD6A55">
            <w:pPr>
              <w:pStyle w:val="TableHeading21"/>
              <w:rPr>
                <w:i w:val="0"/>
                <w:lang w:val="en-GB" w:eastAsia="en-GB"/>
              </w:rPr>
            </w:pPr>
            <w:r w:rsidRPr="00315553">
              <w:rPr>
                <w:i w:val="0"/>
                <w:lang w:val="en-GB" w:eastAsia="en-GB"/>
              </w:rPr>
              <w:t>Country</w:t>
            </w:r>
          </w:p>
        </w:tc>
        <w:tc>
          <w:tcPr>
            <w:tcW w:w="1617" w:type="dxa"/>
            <w:shd w:val="clear" w:color="auto" w:fill="007FAD"/>
            <w:vAlign w:val="center"/>
            <w:hideMark/>
          </w:tcPr>
          <w:p w14:paraId="22652ED5" w14:textId="77777777" w:rsidR="00AD6A55" w:rsidRPr="00315553" w:rsidRDefault="00AD6A55" w:rsidP="00AD6A55">
            <w:pPr>
              <w:pStyle w:val="TableHeading21"/>
              <w:rPr>
                <w:i w:val="0"/>
                <w:lang w:val="en-GB" w:eastAsia="en-GB"/>
              </w:rPr>
            </w:pPr>
            <w:r w:rsidRPr="00315553">
              <w:rPr>
                <w:i w:val="0"/>
                <w:lang w:val="en-GB" w:eastAsia="en-GB"/>
              </w:rPr>
              <w:t>Primary sector</w:t>
            </w:r>
          </w:p>
        </w:tc>
        <w:tc>
          <w:tcPr>
            <w:tcW w:w="1281" w:type="dxa"/>
            <w:shd w:val="clear" w:color="auto" w:fill="007FAD"/>
            <w:vAlign w:val="center"/>
          </w:tcPr>
          <w:p w14:paraId="1EC272AE" w14:textId="77777777" w:rsidR="00AD6A55" w:rsidRPr="00315553" w:rsidRDefault="00AD6A55" w:rsidP="00AD6A55">
            <w:pPr>
              <w:pStyle w:val="TableHeading21"/>
              <w:rPr>
                <w:i w:val="0"/>
                <w:lang w:val="en-GB" w:eastAsia="en-GB"/>
              </w:rPr>
            </w:pPr>
            <w:r w:rsidRPr="00315553">
              <w:rPr>
                <w:i w:val="0"/>
                <w:lang w:val="en-GB" w:eastAsia="en-GB"/>
              </w:rPr>
              <w:t>Published on DFAT website?</w:t>
            </w:r>
          </w:p>
        </w:tc>
      </w:tr>
      <w:tr w:rsidR="00AD6A55" w:rsidRPr="00DE1AF3" w14:paraId="052D91FA" w14:textId="77777777" w:rsidTr="00AD6A55">
        <w:trPr>
          <w:cantSplit/>
          <w:trHeight w:val="900"/>
        </w:trPr>
        <w:tc>
          <w:tcPr>
            <w:tcW w:w="1079" w:type="dxa"/>
            <w:tcBorders>
              <w:top w:val="single" w:sz="4" w:space="0" w:color="31849B"/>
              <w:bottom w:val="single" w:sz="4" w:space="0" w:color="31849B"/>
              <w:right w:val="nil"/>
            </w:tcBorders>
            <w:shd w:val="clear" w:color="auto" w:fill="auto"/>
            <w:noWrap/>
            <w:vAlign w:val="center"/>
            <w:hideMark/>
          </w:tcPr>
          <w:p w14:paraId="30ACDC6E" w14:textId="77777777" w:rsidR="00AD6A55" w:rsidRPr="00CF0A8A" w:rsidRDefault="00AD6A55" w:rsidP="00AD6A55">
            <w:pPr>
              <w:pStyle w:val="TableText0"/>
              <w:rPr>
                <w:lang w:val="en-GB" w:eastAsia="en-GB"/>
              </w:rPr>
            </w:pPr>
            <w:r w:rsidRPr="00CF0A8A">
              <w:rPr>
                <w:lang w:val="en-GB" w:eastAsia="en-GB"/>
              </w:rPr>
              <w:t>ING406</w:t>
            </w:r>
          </w:p>
        </w:tc>
        <w:tc>
          <w:tcPr>
            <w:tcW w:w="4168" w:type="dxa"/>
            <w:tcBorders>
              <w:top w:val="single" w:sz="4" w:space="0" w:color="31849B"/>
              <w:left w:val="nil"/>
              <w:bottom w:val="single" w:sz="4" w:space="0" w:color="31849B"/>
              <w:right w:val="nil"/>
            </w:tcBorders>
            <w:shd w:val="clear" w:color="000000" w:fill="FFFFFF"/>
            <w:vAlign w:val="center"/>
            <w:hideMark/>
          </w:tcPr>
          <w:p w14:paraId="729136A2" w14:textId="77777777" w:rsidR="00AD6A55" w:rsidRPr="00CF0A8A" w:rsidRDefault="00AD6A55" w:rsidP="00AD6A55">
            <w:pPr>
              <w:pStyle w:val="TableText0"/>
              <w:rPr>
                <w:lang w:val="en-GB" w:eastAsia="en-GB"/>
              </w:rPr>
            </w:pPr>
            <w:r w:rsidRPr="00CF0A8A">
              <w:rPr>
                <w:lang w:val="en-GB" w:eastAsia="en-GB"/>
              </w:rPr>
              <w:t>Independent Progress Review of Eastern Indonesia Road Improvement Program</w:t>
            </w:r>
          </w:p>
        </w:tc>
        <w:tc>
          <w:tcPr>
            <w:tcW w:w="1437" w:type="dxa"/>
            <w:tcBorders>
              <w:top w:val="single" w:sz="4" w:space="0" w:color="31849B"/>
              <w:left w:val="nil"/>
              <w:bottom w:val="single" w:sz="4" w:space="0" w:color="31849B"/>
              <w:right w:val="nil"/>
            </w:tcBorders>
            <w:shd w:val="clear" w:color="000000" w:fill="FFFFFF"/>
            <w:noWrap/>
            <w:vAlign w:val="center"/>
            <w:hideMark/>
          </w:tcPr>
          <w:p w14:paraId="47E9DA6A" w14:textId="77777777" w:rsidR="00AD6A55" w:rsidRPr="00CF0A8A" w:rsidRDefault="00AD6A55" w:rsidP="00AD6A55">
            <w:pPr>
              <w:pStyle w:val="TableText0"/>
              <w:rPr>
                <w:lang w:val="en-GB" w:eastAsia="en-GB"/>
              </w:rPr>
            </w:pPr>
            <w:r w:rsidRPr="00CF0A8A">
              <w:rPr>
                <w:lang w:val="en-GB" w:eastAsia="en-GB"/>
              </w:rPr>
              <w:t>Indonesia</w:t>
            </w:r>
          </w:p>
        </w:tc>
        <w:tc>
          <w:tcPr>
            <w:tcW w:w="1617" w:type="dxa"/>
            <w:tcBorders>
              <w:top w:val="single" w:sz="4" w:space="0" w:color="31849B"/>
              <w:left w:val="nil"/>
              <w:bottom w:val="single" w:sz="4" w:space="0" w:color="31849B"/>
              <w:right w:val="nil"/>
            </w:tcBorders>
            <w:shd w:val="clear" w:color="auto" w:fill="auto"/>
            <w:vAlign w:val="center"/>
            <w:hideMark/>
          </w:tcPr>
          <w:p w14:paraId="716CEE32" w14:textId="77777777" w:rsidR="00AD6A55" w:rsidRPr="00CF0A8A" w:rsidRDefault="00AD6A55" w:rsidP="00AD6A55">
            <w:pPr>
              <w:pStyle w:val="TableText0"/>
              <w:rPr>
                <w:lang w:val="en-GB" w:eastAsia="en-GB"/>
              </w:rPr>
            </w:pPr>
            <w:r w:rsidRPr="00CF0A8A">
              <w:rPr>
                <w:lang w:val="en-GB" w:eastAsia="en-GB"/>
              </w:rPr>
              <w:t>Infrastructure</w:t>
            </w:r>
          </w:p>
        </w:tc>
        <w:tc>
          <w:tcPr>
            <w:tcW w:w="1281" w:type="dxa"/>
            <w:tcBorders>
              <w:top w:val="single" w:sz="4" w:space="0" w:color="31849B"/>
              <w:left w:val="nil"/>
              <w:bottom w:val="single" w:sz="4" w:space="0" w:color="31849B"/>
            </w:tcBorders>
            <w:vAlign w:val="center"/>
          </w:tcPr>
          <w:p w14:paraId="7AFADE42" w14:textId="77777777" w:rsidR="00AD6A55" w:rsidRPr="00CF0A8A" w:rsidRDefault="00AD6A55" w:rsidP="00AD6A55">
            <w:pPr>
              <w:pStyle w:val="TableText0"/>
              <w:rPr>
                <w:lang w:val="en-GB" w:eastAsia="en-GB"/>
              </w:rPr>
            </w:pPr>
            <w:r w:rsidRPr="00CF0A8A">
              <w:rPr>
                <w:lang w:val="en-GB" w:eastAsia="en-GB"/>
              </w:rPr>
              <w:t>Yes</w:t>
            </w:r>
          </w:p>
        </w:tc>
      </w:tr>
      <w:tr w:rsidR="00AD6A55" w:rsidRPr="00DE1AF3" w14:paraId="684539B5" w14:textId="77777777" w:rsidTr="00AD6A55">
        <w:trPr>
          <w:cantSplit/>
          <w:trHeight w:val="900"/>
        </w:trPr>
        <w:tc>
          <w:tcPr>
            <w:tcW w:w="1079" w:type="dxa"/>
            <w:tcBorders>
              <w:bottom w:val="single" w:sz="4" w:space="0" w:color="31849B"/>
            </w:tcBorders>
            <w:shd w:val="clear" w:color="auto" w:fill="auto"/>
            <w:noWrap/>
            <w:vAlign w:val="center"/>
            <w:hideMark/>
          </w:tcPr>
          <w:p w14:paraId="4045CB02" w14:textId="77777777" w:rsidR="00AD6A55" w:rsidRPr="00DE1AF3" w:rsidRDefault="00AD6A55" w:rsidP="00AD6A55">
            <w:pPr>
              <w:pStyle w:val="TableText0"/>
              <w:rPr>
                <w:lang w:val="en-GB" w:eastAsia="en-GB"/>
              </w:rPr>
            </w:pPr>
            <w:r w:rsidRPr="00DE1AF3">
              <w:rPr>
                <w:lang w:val="en-GB" w:eastAsia="en-GB"/>
              </w:rPr>
              <w:t>ING661</w:t>
            </w:r>
          </w:p>
        </w:tc>
        <w:tc>
          <w:tcPr>
            <w:tcW w:w="4168" w:type="dxa"/>
            <w:tcBorders>
              <w:bottom w:val="single" w:sz="4" w:space="0" w:color="31849B"/>
            </w:tcBorders>
            <w:shd w:val="clear" w:color="000000" w:fill="FFFFFF"/>
            <w:vAlign w:val="center"/>
            <w:hideMark/>
          </w:tcPr>
          <w:p w14:paraId="5089E57D" w14:textId="77777777" w:rsidR="00AD6A55" w:rsidRPr="00DE1AF3" w:rsidRDefault="00AD6A55" w:rsidP="00AD6A55">
            <w:pPr>
              <w:pStyle w:val="TableText0"/>
              <w:rPr>
                <w:lang w:val="en-GB" w:eastAsia="en-GB"/>
              </w:rPr>
            </w:pPr>
            <w:r>
              <w:rPr>
                <w:lang w:val="en-GB" w:eastAsia="en-GB"/>
              </w:rPr>
              <w:t>Final Evaluation Report</w:t>
            </w:r>
            <w:r w:rsidRPr="00DE1AF3">
              <w:rPr>
                <w:lang w:val="en-GB" w:eastAsia="en-GB"/>
              </w:rPr>
              <w:t xml:space="preserve"> </w:t>
            </w:r>
            <w:r>
              <w:rPr>
                <w:lang w:val="en-GB" w:eastAsia="en-GB"/>
              </w:rPr>
              <w:t xml:space="preserve">for </w:t>
            </w:r>
            <w:proofErr w:type="spellStart"/>
            <w:r w:rsidRPr="00DE1AF3">
              <w:rPr>
                <w:lang w:val="en-GB" w:eastAsia="en-GB"/>
              </w:rPr>
              <w:t>Rakhine</w:t>
            </w:r>
            <w:proofErr w:type="spellEnd"/>
            <w:r w:rsidRPr="00DE1AF3">
              <w:rPr>
                <w:lang w:val="en-GB" w:eastAsia="en-GB"/>
              </w:rPr>
              <w:t xml:space="preserve"> Rural Household Livelihood Security Project (RRHLSP) </w:t>
            </w:r>
          </w:p>
        </w:tc>
        <w:tc>
          <w:tcPr>
            <w:tcW w:w="1437" w:type="dxa"/>
            <w:tcBorders>
              <w:bottom w:val="single" w:sz="4" w:space="0" w:color="31849B"/>
            </w:tcBorders>
            <w:shd w:val="clear" w:color="000000" w:fill="FFFFFF"/>
            <w:noWrap/>
            <w:vAlign w:val="center"/>
            <w:hideMark/>
          </w:tcPr>
          <w:p w14:paraId="5535DD7A" w14:textId="77777777" w:rsidR="00AD6A55" w:rsidRPr="00DE1AF3" w:rsidRDefault="00AD6A55" w:rsidP="00AD6A55">
            <w:pPr>
              <w:pStyle w:val="TableText0"/>
              <w:rPr>
                <w:lang w:val="en-GB" w:eastAsia="en-GB"/>
              </w:rPr>
            </w:pPr>
            <w:r w:rsidRPr="00DE1AF3">
              <w:rPr>
                <w:lang w:val="en-GB" w:eastAsia="en-GB"/>
              </w:rPr>
              <w:t>Myanmar</w:t>
            </w:r>
          </w:p>
        </w:tc>
        <w:tc>
          <w:tcPr>
            <w:tcW w:w="1617" w:type="dxa"/>
            <w:tcBorders>
              <w:bottom w:val="single" w:sz="4" w:space="0" w:color="31849B"/>
            </w:tcBorders>
            <w:shd w:val="clear" w:color="auto" w:fill="auto"/>
            <w:vAlign w:val="center"/>
            <w:hideMark/>
          </w:tcPr>
          <w:p w14:paraId="0E7E6ED6" w14:textId="77777777" w:rsidR="00AD6A55" w:rsidRPr="00DE1AF3" w:rsidRDefault="00AD6A55" w:rsidP="00AD6A55">
            <w:pPr>
              <w:pStyle w:val="TableText0"/>
              <w:rPr>
                <w:lang w:val="en-GB" w:eastAsia="en-GB"/>
              </w:rPr>
            </w:pPr>
            <w:r w:rsidRPr="00DE1AF3">
              <w:rPr>
                <w:lang w:val="en-GB" w:eastAsia="en-GB"/>
              </w:rPr>
              <w:t>Rural development and food security</w:t>
            </w:r>
          </w:p>
        </w:tc>
        <w:tc>
          <w:tcPr>
            <w:tcW w:w="1281" w:type="dxa"/>
            <w:tcBorders>
              <w:bottom w:val="single" w:sz="4" w:space="0" w:color="31849B"/>
            </w:tcBorders>
            <w:vAlign w:val="center"/>
          </w:tcPr>
          <w:p w14:paraId="236EAF3B"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17FFBD4E" w14:textId="77777777" w:rsidTr="00AD6A55">
        <w:trPr>
          <w:cantSplit/>
          <w:trHeight w:val="900"/>
        </w:trPr>
        <w:tc>
          <w:tcPr>
            <w:tcW w:w="1079" w:type="dxa"/>
            <w:shd w:val="clear" w:color="auto" w:fill="auto"/>
            <w:vAlign w:val="center"/>
            <w:hideMark/>
          </w:tcPr>
          <w:p w14:paraId="42C3B556" w14:textId="77777777" w:rsidR="00AD6A55" w:rsidRPr="00DE1AF3" w:rsidRDefault="00AD6A55" w:rsidP="00AD6A55">
            <w:pPr>
              <w:pStyle w:val="TableText0"/>
              <w:rPr>
                <w:lang w:val="en-GB" w:eastAsia="en-GB"/>
              </w:rPr>
            </w:pPr>
            <w:r w:rsidRPr="00DE1AF3">
              <w:rPr>
                <w:lang w:val="en-GB" w:eastAsia="en-GB"/>
              </w:rPr>
              <w:t>ING723</w:t>
            </w:r>
          </w:p>
        </w:tc>
        <w:tc>
          <w:tcPr>
            <w:tcW w:w="4168" w:type="dxa"/>
            <w:shd w:val="clear" w:color="000000" w:fill="FFFFFF"/>
            <w:vAlign w:val="center"/>
            <w:hideMark/>
          </w:tcPr>
          <w:p w14:paraId="69108340" w14:textId="77777777" w:rsidR="00AD6A55" w:rsidRPr="00DE1AF3" w:rsidRDefault="00AD6A55" w:rsidP="00AD6A55">
            <w:pPr>
              <w:pStyle w:val="TableText0"/>
              <w:rPr>
                <w:lang w:val="en-GB" w:eastAsia="en-GB"/>
              </w:rPr>
            </w:pPr>
            <w:r w:rsidRPr="00DE1AF3">
              <w:rPr>
                <w:lang w:val="en-GB" w:eastAsia="en-GB"/>
              </w:rPr>
              <w:t>ODE Evaluation of</w:t>
            </w:r>
            <w:r>
              <w:rPr>
                <w:lang w:val="en-GB" w:eastAsia="en-GB"/>
              </w:rPr>
              <w:t xml:space="preserve"> Australian</w:t>
            </w:r>
            <w:r w:rsidRPr="00DE1AF3">
              <w:rPr>
                <w:lang w:val="en-GB" w:eastAsia="en-GB"/>
              </w:rPr>
              <w:t xml:space="preserve"> Law and Justice </w:t>
            </w:r>
            <w:r>
              <w:rPr>
                <w:lang w:val="en-GB" w:eastAsia="en-GB"/>
              </w:rPr>
              <w:t>A</w:t>
            </w:r>
            <w:r w:rsidRPr="00DE1AF3">
              <w:rPr>
                <w:lang w:val="en-GB" w:eastAsia="en-GB"/>
              </w:rPr>
              <w:t>ssistance</w:t>
            </w:r>
            <w:r>
              <w:rPr>
                <w:lang w:val="en-GB" w:eastAsia="en-GB"/>
              </w:rPr>
              <w:t>:</w:t>
            </w:r>
            <w:r w:rsidRPr="00DE1AF3">
              <w:rPr>
                <w:lang w:val="en-GB" w:eastAsia="en-GB"/>
              </w:rPr>
              <w:t xml:space="preserve"> Cambodia case study</w:t>
            </w:r>
          </w:p>
        </w:tc>
        <w:tc>
          <w:tcPr>
            <w:tcW w:w="1437" w:type="dxa"/>
            <w:shd w:val="clear" w:color="000000" w:fill="FFFFFF"/>
            <w:noWrap/>
            <w:vAlign w:val="center"/>
            <w:hideMark/>
          </w:tcPr>
          <w:p w14:paraId="39881461" w14:textId="77777777" w:rsidR="00AD6A55" w:rsidRPr="00DE1AF3" w:rsidRDefault="00AD6A55" w:rsidP="00AD6A55">
            <w:pPr>
              <w:pStyle w:val="TableText0"/>
              <w:rPr>
                <w:lang w:val="en-GB" w:eastAsia="en-GB"/>
              </w:rPr>
            </w:pPr>
            <w:r w:rsidRPr="00DE1AF3">
              <w:rPr>
                <w:lang w:val="en-GB" w:eastAsia="en-GB"/>
              </w:rPr>
              <w:t>Cambodia</w:t>
            </w:r>
          </w:p>
        </w:tc>
        <w:tc>
          <w:tcPr>
            <w:tcW w:w="1617" w:type="dxa"/>
            <w:shd w:val="clear" w:color="auto" w:fill="auto"/>
            <w:vAlign w:val="center"/>
            <w:hideMark/>
          </w:tcPr>
          <w:p w14:paraId="348296D2" w14:textId="77777777" w:rsidR="00AD6A55" w:rsidRPr="00DE1AF3" w:rsidRDefault="00AD6A55" w:rsidP="00AD6A55">
            <w:pPr>
              <w:pStyle w:val="TableText0"/>
              <w:rPr>
                <w:lang w:val="en-GB" w:eastAsia="en-GB"/>
              </w:rPr>
            </w:pPr>
            <w:r>
              <w:rPr>
                <w:lang w:val="en-GB" w:eastAsia="en-GB"/>
              </w:rPr>
              <w:t>Security</w:t>
            </w:r>
            <w:r w:rsidRPr="00DE1AF3">
              <w:rPr>
                <w:lang w:val="en-GB" w:eastAsia="en-GB"/>
              </w:rPr>
              <w:t xml:space="preserve"> and justice</w:t>
            </w:r>
          </w:p>
        </w:tc>
        <w:tc>
          <w:tcPr>
            <w:tcW w:w="1281" w:type="dxa"/>
            <w:vAlign w:val="center"/>
          </w:tcPr>
          <w:p w14:paraId="10E0B801"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0C63EDE1" w14:textId="77777777" w:rsidTr="00AD6A55">
        <w:trPr>
          <w:cantSplit/>
          <w:trHeight w:val="900"/>
        </w:trPr>
        <w:tc>
          <w:tcPr>
            <w:tcW w:w="1079" w:type="dxa"/>
            <w:shd w:val="clear" w:color="auto" w:fill="auto"/>
            <w:vAlign w:val="center"/>
            <w:hideMark/>
          </w:tcPr>
          <w:p w14:paraId="490E22FD" w14:textId="77777777" w:rsidR="00AD6A55" w:rsidRPr="00DE1AF3" w:rsidRDefault="00AD6A55" w:rsidP="00AD6A55">
            <w:pPr>
              <w:pStyle w:val="TableText0"/>
              <w:rPr>
                <w:lang w:val="en-GB" w:eastAsia="en-GB"/>
              </w:rPr>
            </w:pPr>
            <w:r w:rsidRPr="00DE1AF3">
              <w:rPr>
                <w:lang w:val="en-GB" w:eastAsia="en-GB"/>
              </w:rPr>
              <w:t>ING754</w:t>
            </w:r>
          </w:p>
        </w:tc>
        <w:tc>
          <w:tcPr>
            <w:tcW w:w="4168" w:type="dxa"/>
            <w:shd w:val="clear" w:color="000000" w:fill="FFFFFF"/>
            <w:vAlign w:val="center"/>
            <w:hideMark/>
          </w:tcPr>
          <w:p w14:paraId="3E6132F4" w14:textId="77777777" w:rsidR="00AD6A55" w:rsidRPr="00DE1AF3" w:rsidRDefault="00AD6A55" w:rsidP="00AD6A55">
            <w:pPr>
              <w:pStyle w:val="TableText0"/>
              <w:rPr>
                <w:lang w:val="en-GB" w:eastAsia="en-GB"/>
              </w:rPr>
            </w:pPr>
            <w:r w:rsidRPr="00DE1AF3">
              <w:rPr>
                <w:lang w:val="en-GB" w:eastAsia="en-GB"/>
              </w:rPr>
              <w:t xml:space="preserve">Mid Term Review </w:t>
            </w:r>
            <w:r>
              <w:rPr>
                <w:lang w:val="en-GB" w:eastAsia="en-GB"/>
              </w:rPr>
              <w:t xml:space="preserve"> of </w:t>
            </w:r>
            <w:r w:rsidRPr="00DE1AF3">
              <w:rPr>
                <w:lang w:val="en-GB" w:eastAsia="en-GB"/>
              </w:rPr>
              <w:t>Cambodian Agricultural Value Chain (CAVAC) program</w:t>
            </w:r>
          </w:p>
        </w:tc>
        <w:tc>
          <w:tcPr>
            <w:tcW w:w="1437" w:type="dxa"/>
            <w:shd w:val="clear" w:color="000000" w:fill="FFFFFF"/>
            <w:noWrap/>
            <w:vAlign w:val="center"/>
            <w:hideMark/>
          </w:tcPr>
          <w:p w14:paraId="31EC9BD3" w14:textId="77777777" w:rsidR="00AD6A55" w:rsidRPr="00DE1AF3" w:rsidRDefault="00AD6A55" w:rsidP="00AD6A55">
            <w:pPr>
              <w:pStyle w:val="TableText0"/>
              <w:rPr>
                <w:lang w:val="en-GB" w:eastAsia="en-GB"/>
              </w:rPr>
            </w:pPr>
            <w:r w:rsidRPr="00DE1AF3">
              <w:rPr>
                <w:lang w:val="en-GB" w:eastAsia="en-GB"/>
              </w:rPr>
              <w:t>Cambodia</w:t>
            </w:r>
          </w:p>
        </w:tc>
        <w:tc>
          <w:tcPr>
            <w:tcW w:w="1617" w:type="dxa"/>
            <w:shd w:val="clear" w:color="auto" w:fill="auto"/>
            <w:vAlign w:val="center"/>
            <w:hideMark/>
          </w:tcPr>
          <w:p w14:paraId="5D22B7AE" w14:textId="77777777" w:rsidR="00AD6A55" w:rsidRPr="00DE1AF3" w:rsidRDefault="00AD6A55" w:rsidP="00AD6A55">
            <w:pPr>
              <w:pStyle w:val="TableText0"/>
              <w:rPr>
                <w:lang w:val="en-GB" w:eastAsia="en-GB"/>
              </w:rPr>
            </w:pPr>
            <w:r w:rsidRPr="00DE1AF3">
              <w:rPr>
                <w:lang w:val="en-GB" w:eastAsia="en-GB"/>
              </w:rPr>
              <w:t>Rural development and food security</w:t>
            </w:r>
          </w:p>
        </w:tc>
        <w:tc>
          <w:tcPr>
            <w:tcW w:w="1281" w:type="dxa"/>
            <w:vAlign w:val="center"/>
          </w:tcPr>
          <w:p w14:paraId="17ED79BC"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61792353" w14:textId="77777777" w:rsidTr="00AD6A55">
        <w:trPr>
          <w:cantSplit/>
          <w:trHeight w:val="900"/>
        </w:trPr>
        <w:tc>
          <w:tcPr>
            <w:tcW w:w="1079" w:type="dxa"/>
            <w:shd w:val="clear" w:color="auto" w:fill="auto"/>
            <w:noWrap/>
            <w:vAlign w:val="center"/>
            <w:hideMark/>
          </w:tcPr>
          <w:p w14:paraId="70A97646" w14:textId="77777777" w:rsidR="00AD6A55" w:rsidRPr="00DE1AF3" w:rsidRDefault="00AD6A55" w:rsidP="00AD6A55">
            <w:pPr>
              <w:pStyle w:val="TableText0"/>
              <w:rPr>
                <w:lang w:val="en-GB" w:eastAsia="en-GB"/>
              </w:rPr>
            </w:pPr>
            <w:r w:rsidRPr="00DE1AF3">
              <w:rPr>
                <w:lang w:val="en-GB" w:eastAsia="en-GB"/>
              </w:rPr>
              <w:t>ING854</w:t>
            </w:r>
          </w:p>
        </w:tc>
        <w:tc>
          <w:tcPr>
            <w:tcW w:w="4168" w:type="dxa"/>
            <w:shd w:val="clear" w:color="000000" w:fill="FFFFFF"/>
            <w:vAlign w:val="center"/>
            <w:hideMark/>
          </w:tcPr>
          <w:p w14:paraId="302B5BB5" w14:textId="77777777" w:rsidR="00AD6A55" w:rsidRPr="00DE1AF3" w:rsidRDefault="00AD6A55" w:rsidP="00AD6A55">
            <w:pPr>
              <w:pStyle w:val="TableText0"/>
              <w:rPr>
                <w:lang w:val="en-GB" w:eastAsia="en-GB"/>
              </w:rPr>
            </w:pPr>
            <w:r w:rsidRPr="00DE1AF3">
              <w:rPr>
                <w:lang w:val="en-GB" w:eastAsia="en-GB"/>
              </w:rPr>
              <w:t xml:space="preserve">Independent Review of the Pacific Technical Assistance Mechanism (PACTAM) </w:t>
            </w:r>
          </w:p>
        </w:tc>
        <w:tc>
          <w:tcPr>
            <w:tcW w:w="1437" w:type="dxa"/>
            <w:shd w:val="clear" w:color="000000" w:fill="FFFFFF"/>
            <w:noWrap/>
            <w:vAlign w:val="center"/>
            <w:hideMark/>
          </w:tcPr>
          <w:p w14:paraId="0A6A0766" w14:textId="77777777" w:rsidR="00AD6A55" w:rsidRPr="00DE1AF3" w:rsidRDefault="00AD6A55" w:rsidP="00AD6A55">
            <w:pPr>
              <w:pStyle w:val="TableText0"/>
              <w:rPr>
                <w:lang w:val="en-GB" w:eastAsia="en-GB"/>
              </w:rPr>
            </w:pPr>
            <w:proofErr w:type="spellStart"/>
            <w:r>
              <w:rPr>
                <w:lang w:val="en-GB" w:eastAsia="en-GB"/>
              </w:rPr>
              <w:t>Multicountry</w:t>
            </w:r>
            <w:proofErr w:type="spellEnd"/>
          </w:p>
        </w:tc>
        <w:tc>
          <w:tcPr>
            <w:tcW w:w="1617" w:type="dxa"/>
            <w:shd w:val="clear" w:color="auto" w:fill="auto"/>
            <w:vAlign w:val="center"/>
            <w:hideMark/>
          </w:tcPr>
          <w:p w14:paraId="20AA82F6"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486EE5F7"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2A629FB2" w14:textId="77777777" w:rsidTr="00AD6A55">
        <w:trPr>
          <w:cantSplit/>
          <w:trHeight w:val="900"/>
        </w:trPr>
        <w:tc>
          <w:tcPr>
            <w:tcW w:w="1079" w:type="dxa"/>
            <w:shd w:val="clear" w:color="auto" w:fill="auto"/>
            <w:vAlign w:val="center"/>
            <w:hideMark/>
          </w:tcPr>
          <w:p w14:paraId="7F4D04E2" w14:textId="77777777" w:rsidR="00AD6A55" w:rsidRPr="00DE1AF3" w:rsidRDefault="00AD6A55" w:rsidP="00AD6A55">
            <w:pPr>
              <w:pStyle w:val="TableText0"/>
              <w:rPr>
                <w:lang w:val="en-GB" w:eastAsia="en-GB"/>
              </w:rPr>
            </w:pPr>
            <w:r w:rsidRPr="00DE1AF3">
              <w:rPr>
                <w:lang w:val="en-GB" w:eastAsia="en-GB"/>
              </w:rPr>
              <w:t>ING918</w:t>
            </w:r>
          </w:p>
        </w:tc>
        <w:tc>
          <w:tcPr>
            <w:tcW w:w="4168" w:type="dxa"/>
            <w:shd w:val="clear" w:color="000000" w:fill="FFFFFF"/>
            <w:vAlign w:val="center"/>
            <w:hideMark/>
          </w:tcPr>
          <w:p w14:paraId="48C15B38" w14:textId="77777777" w:rsidR="00AD6A55" w:rsidRPr="00DE1AF3" w:rsidRDefault="00AD6A55" w:rsidP="00AD6A55">
            <w:pPr>
              <w:pStyle w:val="TableText0"/>
              <w:rPr>
                <w:lang w:val="en-GB" w:eastAsia="en-GB"/>
              </w:rPr>
            </w:pPr>
            <w:r w:rsidRPr="00DE1AF3">
              <w:rPr>
                <w:lang w:val="en-GB" w:eastAsia="en-GB"/>
              </w:rPr>
              <w:t>End of Program Review of the Papua New Guinea–Australia Sexual Health Improvement Program (PASHIP)</w:t>
            </w:r>
          </w:p>
        </w:tc>
        <w:tc>
          <w:tcPr>
            <w:tcW w:w="1437" w:type="dxa"/>
            <w:shd w:val="clear" w:color="000000" w:fill="FFFFFF"/>
            <w:noWrap/>
            <w:vAlign w:val="center"/>
            <w:hideMark/>
          </w:tcPr>
          <w:p w14:paraId="3CD55CC5" w14:textId="77777777" w:rsidR="00AD6A55" w:rsidRPr="00DE1AF3" w:rsidRDefault="00AD6A55" w:rsidP="00AD6A55">
            <w:pPr>
              <w:pStyle w:val="TableText0"/>
              <w:rPr>
                <w:lang w:val="en-GB" w:eastAsia="en-GB"/>
              </w:rPr>
            </w:pPr>
            <w:r w:rsidRPr="00DE1AF3">
              <w:rPr>
                <w:lang w:val="en-GB" w:eastAsia="en-GB"/>
              </w:rPr>
              <w:t>P</w:t>
            </w:r>
            <w:r>
              <w:rPr>
                <w:lang w:val="en-GB" w:eastAsia="en-GB"/>
              </w:rPr>
              <w:t>apua New Guinea</w:t>
            </w:r>
          </w:p>
        </w:tc>
        <w:tc>
          <w:tcPr>
            <w:tcW w:w="1617" w:type="dxa"/>
            <w:shd w:val="clear" w:color="auto" w:fill="auto"/>
            <w:vAlign w:val="center"/>
            <w:hideMark/>
          </w:tcPr>
          <w:p w14:paraId="6054BAD8" w14:textId="77777777" w:rsidR="00AD6A55" w:rsidRPr="00DE1AF3" w:rsidRDefault="00AD6A55" w:rsidP="00AD6A55">
            <w:pPr>
              <w:pStyle w:val="TableText0"/>
              <w:rPr>
                <w:lang w:val="en-GB" w:eastAsia="en-GB"/>
              </w:rPr>
            </w:pPr>
            <w:r w:rsidRPr="00DE1AF3">
              <w:rPr>
                <w:lang w:val="en-GB" w:eastAsia="en-GB"/>
              </w:rPr>
              <w:t>Health</w:t>
            </w:r>
          </w:p>
        </w:tc>
        <w:tc>
          <w:tcPr>
            <w:tcW w:w="1281" w:type="dxa"/>
            <w:vAlign w:val="center"/>
          </w:tcPr>
          <w:p w14:paraId="2D90E309"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55F40F82" w14:textId="77777777" w:rsidTr="00AD6A55">
        <w:trPr>
          <w:cantSplit/>
          <w:trHeight w:val="900"/>
        </w:trPr>
        <w:tc>
          <w:tcPr>
            <w:tcW w:w="1079" w:type="dxa"/>
            <w:shd w:val="clear" w:color="auto" w:fill="auto"/>
            <w:vAlign w:val="center"/>
            <w:hideMark/>
          </w:tcPr>
          <w:p w14:paraId="249537D2" w14:textId="77777777" w:rsidR="00AD6A55" w:rsidRPr="00DE1AF3" w:rsidRDefault="00AD6A55" w:rsidP="00AD6A55">
            <w:pPr>
              <w:pStyle w:val="TableText0"/>
              <w:rPr>
                <w:lang w:val="en-GB" w:eastAsia="en-GB"/>
              </w:rPr>
            </w:pPr>
            <w:r w:rsidRPr="00DE1AF3">
              <w:rPr>
                <w:lang w:val="en-GB" w:eastAsia="en-GB"/>
              </w:rPr>
              <w:t>ING948</w:t>
            </w:r>
          </w:p>
        </w:tc>
        <w:tc>
          <w:tcPr>
            <w:tcW w:w="4168" w:type="dxa"/>
            <w:shd w:val="clear" w:color="000000" w:fill="FFFFFF"/>
            <w:vAlign w:val="center"/>
            <w:hideMark/>
          </w:tcPr>
          <w:p w14:paraId="0B8B4A0F" w14:textId="77777777" w:rsidR="00AD6A55" w:rsidRPr="00DE1AF3" w:rsidRDefault="00AD6A55" w:rsidP="00AD6A55">
            <w:pPr>
              <w:pStyle w:val="TableText0"/>
              <w:rPr>
                <w:lang w:val="en-GB" w:eastAsia="en-GB"/>
              </w:rPr>
            </w:pPr>
            <w:r w:rsidRPr="00DE1AF3">
              <w:rPr>
                <w:lang w:val="en-GB" w:eastAsia="en-GB"/>
              </w:rPr>
              <w:t>Mid-Term Review of the State- and Peace-Building Fund (SPF)</w:t>
            </w:r>
          </w:p>
        </w:tc>
        <w:tc>
          <w:tcPr>
            <w:tcW w:w="1437" w:type="dxa"/>
            <w:shd w:val="clear" w:color="000000" w:fill="FFFFFF"/>
            <w:noWrap/>
            <w:vAlign w:val="center"/>
            <w:hideMark/>
          </w:tcPr>
          <w:p w14:paraId="79A4E1F6" w14:textId="77777777" w:rsidR="00AD6A55" w:rsidRPr="00DE1AF3" w:rsidRDefault="00AD6A55" w:rsidP="00AD6A55">
            <w:pPr>
              <w:pStyle w:val="TableText0"/>
              <w:rPr>
                <w:lang w:val="en-GB" w:eastAsia="en-GB"/>
              </w:rPr>
            </w:pPr>
            <w:proofErr w:type="spellStart"/>
            <w:r w:rsidRPr="00DE1AF3">
              <w:rPr>
                <w:lang w:val="en-GB" w:eastAsia="en-GB"/>
              </w:rPr>
              <w:t>Multicountry</w:t>
            </w:r>
            <w:proofErr w:type="spellEnd"/>
          </w:p>
        </w:tc>
        <w:tc>
          <w:tcPr>
            <w:tcW w:w="1617" w:type="dxa"/>
            <w:shd w:val="clear" w:color="auto" w:fill="auto"/>
            <w:vAlign w:val="center"/>
            <w:hideMark/>
          </w:tcPr>
          <w:p w14:paraId="457D8344" w14:textId="77777777" w:rsidR="00AD6A55" w:rsidRPr="00DE1AF3" w:rsidRDefault="00AD6A55" w:rsidP="00AD6A55">
            <w:pPr>
              <w:pStyle w:val="TableText0"/>
              <w:rPr>
                <w:lang w:val="en-GB" w:eastAsia="en-GB"/>
              </w:rPr>
            </w:pPr>
            <w:r w:rsidRPr="00DE1AF3">
              <w:rPr>
                <w:lang w:val="en-GB" w:eastAsia="en-GB"/>
              </w:rPr>
              <w:t xml:space="preserve">Conflict </w:t>
            </w:r>
            <w:r>
              <w:rPr>
                <w:lang w:val="en-GB" w:eastAsia="en-GB"/>
              </w:rPr>
              <w:t>prevention and resolution</w:t>
            </w:r>
          </w:p>
        </w:tc>
        <w:tc>
          <w:tcPr>
            <w:tcW w:w="1281" w:type="dxa"/>
            <w:vAlign w:val="center"/>
          </w:tcPr>
          <w:p w14:paraId="7B21ACEE"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7F2784EE" w14:textId="77777777" w:rsidTr="00AD6A55">
        <w:trPr>
          <w:cantSplit/>
          <w:trHeight w:val="900"/>
        </w:trPr>
        <w:tc>
          <w:tcPr>
            <w:tcW w:w="1079" w:type="dxa"/>
            <w:shd w:val="clear" w:color="auto" w:fill="auto"/>
            <w:noWrap/>
            <w:vAlign w:val="center"/>
            <w:hideMark/>
          </w:tcPr>
          <w:p w14:paraId="0F03E18B" w14:textId="77777777" w:rsidR="00AD6A55" w:rsidRPr="00DE1AF3" w:rsidRDefault="00AD6A55" w:rsidP="00AD6A55">
            <w:pPr>
              <w:pStyle w:val="TableText0"/>
              <w:rPr>
                <w:lang w:val="en-GB" w:eastAsia="en-GB"/>
              </w:rPr>
            </w:pPr>
            <w:r w:rsidRPr="00DE1AF3">
              <w:rPr>
                <w:lang w:val="en-GB" w:eastAsia="en-GB"/>
              </w:rPr>
              <w:t>ING967</w:t>
            </w:r>
          </w:p>
        </w:tc>
        <w:tc>
          <w:tcPr>
            <w:tcW w:w="4168" w:type="dxa"/>
            <w:shd w:val="clear" w:color="000000" w:fill="FFFFFF"/>
            <w:vAlign w:val="center"/>
            <w:hideMark/>
          </w:tcPr>
          <w:p w14:paraId="22F059E1" w14:textId="77777777" w:rsidR="00AD6A55" w:rsidRPr="00DE1AF3" w:rsidRDefault="00AD6A55" w:rsidP="00AD6A55">
            <w:pPr>
              <w:pStyle w:val="TableText0"/>
              <w:rPr>
                <w:lang w:val="en-GB" w:eastAsia="en-GB"/>
              </w:rPr>
            </w:pPr>
            <w:r>
              <w:rPr>
                <w:lang w:val="en-GB" w:eastAsia="en-GB"/>
              </w:rPr>
              <w:t>Mid-term Review</w:t>
            </w:r>
            <w:r w:rsidRPr="00DE1AF3">
              <w:rPr>
                <w:lang w:val="en-GB" w:eastAsia="en-GB"/>
              </w:rPr>
              <w:t xml:space="preserve"> </w:t>
            </w:r>
            <w:r>
              <w:rPr>
                <w:lang w:val="en-GB" w:eastAsia="en-GB"/>
              </w:rPr>
              <w:t xml:space="preserve">of </w:t>
            </w:r>
            <w:r w:rsidRPr="00DE1AF3">
              <w:rPr>
                <w:lang w:val="en-GB" w:eastAsia="en-GB"/>
              </w:rPr>
              <w:t xml:space="preserve">Implementation Support Program to P135 Phase II in </w:t>
            </w:r>
            <w:proofErr w:type="spellStart"/>
            <w:r w:rsidRPr="00DE1AF3">
              <w:rPr>
                <w:lang w:val="en-GB" w:eastAsia="en-GB"/>
              </w:rPr>
              <w:t>Quang</w:t>
            </w:r>
            <w:proofErr w:type="spellEnd"/>
            <w:r w:rsidRPr="00DE1AF3">
              <w:rPr>
                <w:lang w:val="en-GB" w:eastAsia="en-GB"/>
              </w:rPr>
              <w:t xml:space="preserve"> Ngai Province</w:t>
            </w:r>
            <w:r>
              <w:rPr>
                <w:lang w:val="en-GB" w:eastAsia="en-GB"/>
              </w:rPr>
              <w:t xml:space="preserve"> </w:t>
            </w:r>
          </w:p>
        </w:tc>
        <w:tc>
          <w:tcPr>
            <w:tcW w:w="1437" w:type="dxa"/>
            <w:shd w:val="clear" w:color="000000" w:fill="FFFFFF"/>
            <w:noWrap/>
            <w:vAlign w:val="center"/>
            <w:hideMark/>
          </w:tcPr>
          <w:p w14:paraId="79B4D20B" w14:textId="77777777" w:rsidR="00AD6A55" w:rsidRPr="00DE1AF3" w:rsidRDefault="00AD6A55" w:rsidP="00AD6A55">
            <w:pPr>
              <w:pStyle w:val="TableText0"/>
              <w:rPr>
                <w:lang w:val="en-GB" w:eastAsia="en-GB"/>
              </w:rPr>
            </w:pPr>
            <w:r w:rsidRPr="00DE1AF3">
              <w:rPr>
                <w:lang w:val="en-GB" w:eastAsia="en-GB"/>
              </w:rPr>
              <w:t>Vietnam</w:t>
            </w:r>
          </w:p>
        </w:tc>
        <w:tc>
          <w:tcPr>
            <w:tcW w:w="1617" w:type="dxa"/>
            <w:shd w:val="clear" w:color="auto" w:fill="auto"/>
            <w:vAlign w:val="center"/>
            <w:hideMark/>
          </w:tcPr>
          <w:p w14:paraId="28EAF0E0" w14:textId="77777777" w:rsidR="00AD6A55" w:rsidRPr="00DE1AF3" w:rsidRDefault="00AD6A55" w:rsidP="00AD6A55">
            <w:pPr>
              <w:pStyle w:val="TableText0"/>
              <w:rPr>
                <w:lang w:val="en-GB" w:eastAsia="en-GB"/>
              </w:rPr>
            </w:pPr>
            <w:r w:rsidRPr="00DE1AF3">
              <w:rPr>
                <w:lang w:val="en-GB" w:eastAsia="en-GB"/>
              </w:rPr>
              <w:t>Rural development and food security</w:t>
            </w:r>
          </w:p>
        </w:tc>
        <w:tc>
          <w:tcPr>
            <w:tcW w:w="1281" w:type="dxa"/>
            <w:vAlign w:val="center"/>
          </w:tcPr>
          <w:p w14:paraId="58278509"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7516C80C" w14:textId="77777777" w:rsidTr="00AD6A55">
        <w:trPr>
          <w:cantSplit/>
          <w:trHeight w:val="900"/>
        </w:trPr>
        <w:tc>
          <w:tcPr>
            <w:tcW w:w="1079" w:type="dxa"/>
            <w:shd w:val="clear" w:color="auto" w:fill="auto"/>
            <w:vAlign w:val="center"/>
            <w:hideMark/>
          </w:tcPr>
          <w:p w14:paraId="2A23966C" w14:textId="77777777" w:rsidR="00AD6A55" w:rsidRPr="00DE1AF3" w:rsidRDefault="00AD6A55" w:rsidP="00AD6A55">
            <w:pPr>
              <w:pStyle w:val="TableText0"/>
              <w:rPr>
                <w:lang w:val="en-GB" w:eastAsia="en-GB"/>
              </w:rPr>
            </w:pPr>
            <w:r w:rsidRPr="00DE1AF3">
              <w:rPr>
                <w:lang w:val="en-GB" w:eastAsia="en-GB"/>
              </w:rPr>
              <w:t>ING982</w:t>
            </w:r>
          </w:p>
        </w:tc>
        <w:tc>
          <w:tcPr>
            <w:tcW w:w="4168" w:type="dxa"/>
            <w:shd w:val="clear" w:color="000000" w:fill="FFFFFF"/>
            <w:vAlign w:val="center"/>
            <w:hideMark/>
          </w:tcPr>
          <w:p w14:paraId="324E7FBB" w14:textId="77777777" w:rsidR="00AD6A55" w:rsidRPr="00DE1AF3" w:rsidRDefault="00AD6A55" w:rsidP="00AD6A55">
            <w:pPr>
              <w:pStyle w:val="TableText0"/>
              <w:rPr>
                <w:lang w:val="en-GB" w:eastAsia="en-GB"/>
              </w:rPr>
            </w:pPr>
            <w:r>
              <w:rPr>
                <w:lang w:val="en-GB" w:eastAsia="en-GB"/>
              </w:rPr>
              <w:t>Independent Completion Report</w:t>
            </w:r>
            <w:r w:rsidRPr="00DE1AF3">
              <w:rPr>
                <w:lang w:val="en-GB" w:eastAsia="en-GB"/>
              </w:rPr>
              <w:t xml:space="preserve"> </w:t>
            </w:r>
            <w:r>
              <w:rPr>
                <w:lang w:val="en-GB" w:eastAsia="en-GB"/>
              </w:rPr>
              <w:t xml:space="preserve">for </w:t>
            </w:r>
            <w:r w:rsidRPr="00DE1AF3">
              <w:rPr>
                <w:lang w:val="en-GB" w:eastAsia="en-GB"/>
              </w:rPr>
              <w:t xml:space="preserve">Regional Rights Resource Team (RRRT) </w:t>
            </w:r>
          </w:p>
        </w:tc>
        <w:tc>
          <w:tcPr>
            <w:tcW w:w="1437" w:type="dxa"/>
            <w:shd w:val="clear" w:color="000000" w:fill="FFFFFF"/>
            <w:noWrap/>
            <w:vAlign w:val="center"/>
            <w:hideMark/>
          </w:tcPr>
          <w:p w14:paraId="08870240" w14:textId="77777777" w:rsidR="00AD6A55" w:rsidRPr="00DE1AF3" w:rsidRDefault="00AD6A55" w:rsidP="00AD6A55">
            <w:pPr>
              <w:pStyle w:val="TableText0"/>
              <w:rPr>
                <w:lang w:val="en-GB" w:eastAsia="en-GB"/>
              </w:rPr>
            </w:pPr>
            <w:proofErr w:type="spellStart"/>
            <w:r>
              <w:rPr>
                <w:lang w:val="en-GB" w:eastAsia="en-GB"/>
              </w:rPr>
              <w:t>Multicountry</w:t>
            </w:r>
            <w:proofErr w:type="spellEnd"/>
          </w:p>
        </w:tc>
        <w:tc>
          <w:tcPr>
            <w:tcW w:w="1617" w:type="dxa"/>
            <w:shd w:val="clear" w:color="auto" w:fill="auto"/>
            <w:vAlign w:val="center"/>
            <w:hideMark/>
          </w:tcPr>
          <w:p w14:paraId="3E6E1882" w14:textId="77777777" w:rsidR="00AD6A55" w:rsidRPr="00DE1AF3" w:rsidRDefault="00AD6A55" w:rsidP="00AD6A55">
            <w:pPr>
              <w:pStyle w:val="TableText0"/>
              <w:rPr>
                <w:lang w:val="en-GB" w:eastAsia="en-GB"/>
              </w:rPr>
            </w:pPr>
            <w:r>
              <w:rPr>
                <w:lang w:val="en-GB" w:eastAsia="en-GB"/>
              </w:rPr>
              <w:t>Security</w:t>
            </w:r>
            <w:r w:rsidRPr="00DE1AF3">
              <w:rPr>
                <w:lang w:val="en-GB" w:eastAsia="en-GB"/>
              </w:rPr>
              <w:t xml:space="preserve"> and justice</w:t>
            </w:r>
          </w:p>
        </w:tc>
        <w:tc>
          <w:tcPr>
            <w:tcW w:w="1281" w:type="dxa"/>
            <w:vAlign w:val="center"/>
          </w:tcPr>
          <w:p w14:paraId="20AF031A"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4FAFA807" w14:textId="77777777" w:rsidTr="00AD6A55">
        <w:trPr>
          <w:cantSplit/>
          <w:trHeight w:val="900"/>
        </w:trPr>
        <w:tc>
          <w:tcPr>
            <w:tcW w:w="1079" w:type="dxa"/>
            <w:shd w:val="clear" w:color="auto" w:fill="auto"/>
            <w:vAlign w:val="center"/>
            <w:hideMark/>
          </w:tcPr>
          <w:p w14:paraId="060558C4" w14:textId="77777777" w:rsidR="00AD6A55" w:rsidRPr="00DE1AF3" w:rsidRDefault="00AD6A55" w:rsidP="00AD6A55">
            <w:pPr>
              <w:pStyle w:val="TableText0"/>
              <w:rPr>
                <w:lang w:val="en-GB" w:eastAsia="en-GB"/>
              </w:rPr>
            </w:pPr>
            <w:r w:rsidRPr="00DE1AF3">
              <w:rPr>
                <w:lang w:val="en-GB" w:eastAsia="en-GB"/>
              </w:rPr>
              <w:t>ING997</w:t>
            </w:r>
          </w:p>
        </w:tc>
        <w:tc>
          <w:tcPr>
            <w:tcW w:w="4168" w:type="dxa"/>
            <w:shd w:val="clear" w:color="000000" w:fill="FFFFFF"/>
            <w:vAlign w:val="center"/>
            <w:hideMark/>
          </w:tcPr>
          <w:p w14:paraId="162B19F8" w14:textId="77777777" w:rsidR="00AD6A55" w:rsidRPr="00DE1AF3" w:rsidRDefault="00AD6A55" w:rsidP="00AD6A55">
            <w:pPr>
              <w:pStyle w:val="TableText0"/>
              <w:rPr>
                <w:lang w:val="en-GB" w:eastAsia="en-GB"/>
              </w:rPr>
            </w:pPr>
            <w:r w:rsidRPr="00DE1AF3">
              <w:rPr>
                <w:lang w:val="en-GB" w:eastAsia="en-GB"/>
              </w:rPr>
              <w:t>Final Evaluation of the Three Diseases Fund</w:t>
            </w:r>
          </w:p>
        </w:tc>
        <w:tc>
          <w:tcPr>
            <w:tcW w:w="1437" w:type="dxa"/>
            <w:shd w:val="clear" w:color="000000" w:fill="FFFFFF"/>
            <w:noWrap/>
            <w:vAlign w:val="center"/>
            <w:hideMark/>
          </w:tcPr>
          <w:p w14:paraId="0E8FEC81" w14:textId="77777777" w:rsidR="00AD6A55" w:rsidRPr="00DE1AF3" w:rsidRDefault="00AD6A55" w:rsidP="00AD6A55">
            <w:pPr>
              <w:pStyle w:val="TableText0"/>
              <w:rPr>
                <w:lang w:val="en-GB" w:eastAsia="en-GB"/>
              </w:rPr>
            </w:pPr>
            <w:r w:rsidRPr="00DE1AF3">
              <w:rPr>
                <w:lang w:val="en-GB" w:eastAsia="en-GB"/>
              </w:rPr>
              <w:t>Myanmar</w:t>
            </w:r>
          </w:p>
        </w:tc>
        <w:tc>
          <w:tcPr>
            <w:tcW w:w="1617" w:type="dxa"/>
            <w:shd w:val="clear" w:color="auto" w:fill="auto"/>
            <w:vAlign w:val="center"/>
            <w:hideMark/>
          </w:tcPr>
          <w:p w14:paraId="4270C730" w14:textId="77777777" w:rsidR="00AD6A55" w:rsidRPr="00DE1AF3" w:rsidRDefault="00AD6A55" w:rsidP="00AD6A55">
            <w:pPr>
              <w:pStyle w:val="TableText0"/>
              <w:rPr>
                <w:lang w:val="en-GB" w:eastAsia="en-GB"/>
              </w:rPr>
            </w:pPr>
            <w:r w:rsidRPr="00DE1AF3">
              <w:rPr>
                <w:lang w:val="en-GB" w:eastAsia="en-GB"/>
              </w:rPr>
              <w:t>Health</w:t>
            </w:r>
          </w:p>
        </w:tc>
        <w:tc>
          <w:tcPr>
            <w:tcW w:w="1281" w:type="dxa"/>
            <w:vAlign w:val="center"/>
          </w:tcPr>
          <w:p w14:paraId="7B964A5C"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0E0F065E" w14:textId="77777777" w:rsidTr="00AD6A55">
        <w:trPr>
          <w:cantSplit/>
          <w:trHeight w:val="900"/>
        </w:trPr>
        <w:tc>
          <w:tcPr>
            <w:tcW w:w="1079" w:type="dxa"/>
            <w:shd w:val="clear" w:color="auto" w:fill="auto"/>
            <w:vAlign w:val="center"/>
            <w:hideMark/>
          </w:tcPr>
          <w:p w14:paraId="20CDF115" w14:textId="77777777" w:rsidR="00AD6A55" w:rsidRPr="00DE1AF3" w:rsidRDefault="00AD6A55" w:rsidP="00AD6A55">
            <w:pPr>
              <w:pStyle w:val="TableText0"/>
              <w:rPr>
                <w:lang w:val="en-GB" w:eastAsia="en-GB"/>
              </w:rPr>
            </w:pPr>
            <w:r w:rsidRPr="00DE1AF3">
              <w:rPr>
                <w:lang w:val="en-GB" w:eastAsia="en-GB"/>
              </w:rPr>
              <w:t>INH095</w:t>
            </w:r>
          </w:p>
        </w:tc>
        <w:tc>
          <w:tcPr>
            <w:tcW w:w="4168" w:type="dxa"/>
            <w:shd w:val="clear" w:color="000000" w:fill="FFFFFF"/>
            <w:vAlign w:val="center"/>
            <w:hideMark/>
          </w:tcPr>
          <w:p w14:paraId="17A6729F" w14:textId="77777777" w:rsidR="00AD6A55" w:rsidRPr="00DE1AF3" w:rsidRDefault="00AD6A55" w:rsidP="00AD6A55">
            <w:pPr>
              <w:pStyle w:val="TableText0"/>
              <w:rPr>
                <w:lang w:val="en-GB" w:eastAsia="en-GB"/>
              </w:rPr>
            </w:pPr>
            <w:r>
              <w:rPr>
                <w:lang w:val="en-GB" w:eastAsia="en-GB"/>
              </w:rPr>
              <w:t>Independent Completion Report</w:t>
            </w:r>
            <w:r w:rsidRPr="00DE1AF3">
              <w:rPr>
                <w:lang w:val="en-GB" w:eastAsia="en-GB"/>
              </w:rPr>
              <w:t xml:space="preserve"> </w:t>
            </w:r>
            <w:r>
              <w:rPr>
                <w:lang w:val="en-GB" w:eastAsia="en-GB"/>
              </w:rPr>
              <w:t xml:space="preserve">for </w:t>
            </w:r>
            <w:r w:rsidRPr="00DE1AF3">
              <w:rPr>
                <w:lang w:val="en-GB" w:eastAsia="en-GB"/>
              </w:rPr>
              <w:t>Laos–Australian Scholarships Program</w:t>
            </w:r>
            <w:r>
              <w:rPr>
                <w:lang w:val="en-GB" w:eastAsia="en-GB"/>
              </w:rPr>
              <w:t xml:space="preserve"> </w:t>
            </w:r>
          </w:p>
        </w:tc>
        <w:tc>
          <w:tcPr>
            <w:tcW w:w="1437" w:type="dxa"/>
            <w:shd w:val="clear" w:color="000000" w:fill="FFFFFF"/>
            <w:noWrap/>
            <w:vAlign w:val="center"/>
            <w:hideMark/>
          </w:tcPr>
          <w:p w14:paraId="6787F5E2" w14:textId="77777777" w:rsidR="00AD6A55" w:rsidRPr="00DE1AF3" w:rsidRDefault="00AD6A55" w:rsidP="00AD6A55">
            <w:pPr>
              <w:pStyle w:val="TableText0"/>
              <w:rPr>
                <w:lang w:val="en-GB" w:eastAsia="en-GB"/>
              </w:rPr>
            </w:pPr>
            <w:r w:rsidRPr="00DE1AF3">
              <w:rPr>
                <w:lang w:val="en-GB" w:eastAsia="en-GB"/>
              </w:rPr>
              <w:t>Laos</w:t>
            </w:r>
          </w:p>
        </w:tc>
        <w:tc>
          <w:tcPr>
            <w:tcW w:w="1617" w:type="dxa"/>
            <w:shd w:val="clear" w:color="auto" w:fill="auto"/>
            <w:vAlign w:val="center"/>
            <w:hideMark/>
          </w:tcPr>
          <w:p w14:paraId="65F0BAD0" w14:textId="77777777" w:rsidR="00AD6A55" w:rsidRPr="00DE1AF3" w:rsidRDefault="00AD6A55" w:rsidP="00AD6A55">
            <w:pPr>
              <w:pStyle w:val="TableText0"/>
              <w:rPr>
                <w:lang w:val="en-GB" w:eastAsia="en-GB"/>
              </w:rPr>
            </w:pPr>
            <w:r w:rsidRPr="00DE1AF3">
              <w:rPr>
                <w:lang w:val="en-GB" w:eastAsia="en-GB"/>
              </w:rPr>
              <w:t>Education</w:t>
            </w:r>
          </w:p>
        </w:tc>
        <w:tc>
          <w:tcPr>
            <w:tcW w:w="1281" w:type="dxa"/>
            <w:vAlign w:val="center"/>
          </w:tcPr>
          <w:p w14:paraId="5F3BA3FD"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025B9CAF" w14:textId="77777777" w:rsidTr="00AD6A55">
        <w:trPr>
          <w:cantSplit/>
          <w:trHeight w:val="900"/>
        </w:trPr>
        <w:tc>
          <w:tcPr>
            <w:tcW w:w="1079" w:type="dxa"/>
            <w:shd w:val="clear" w:color="auto" w:fill="auto"/>
            <w:vAlign w:val="center"/>
            <w:hideMark/>
          </w:tcPr>
          <w:p w14:paraId="7173F560" w14:textId="77777777" w:rsidR="00AD6A55" w:rsidRPr="00DE1AF3" w:rsidRDefault="00AD6A55" w:rsidP="00AD6A55">
            <w:pPr>
              <w:pStyle w:val="TableText0"/>
              <w:rPr>
                <w:lang w:val="en-GB" w:eastAsia="en-GB"/>
              </w:rPr>
            </w:pPr>
            <w:r w:rsidRPr="00DE1AF3">
              <w:rPr>
                <w:lang w:val="en-GB" w:eastAsia="en-GB"/>
              </w:rPr>
              <w:t>INH274</w:t>
            </w:r>
          </w:p>
        </w:tc>
        <w:tc>
          <w:tcPr>
            <w:tcW w:w="4168" w:type="dxa"/>
            <w:shd w:val="clear" w:color="000000" w:fill="FFFFFF"/>
            <w:vAlign w:val="center"/>
            <w:hideMark/>
          </w:tcPr>
          <w:p w14:paraId="08994AAE" w14:textId="77777777" w:rsidR="00AD6A55" w:rsidRPr="00DE1AF3" w:rsidRDefault="00AD6A55" w:rsidP="00AD6A55">
            <w:pPr>
              <w:pStyle w:val="TableText0"/>
              <w:rPr>
                <w:lang w:val="en-GB" w:eastAsia="en-GB"/>
              </w:rPr>
            </w:pPr>
            <w:r>
              <w:rPr>
                <w:lang w:val="en-GB" w:eastAsia="en-GB"/>
              </w:rPr>
              <w:t>Independent Completion Report for</w:t>
            </w:r>
            <w:r w:rsidRPr="00DE1AF3">
              <w:rPr>
                <w:lang w:val="en-GB" w:eastAsia="en-GB"/>
              </w:rPr>
              <w:t xml:space="preserve"> Challenging the Frontiers of Poverty Reduction (CFPR) Phase II</w:t>
            </w:r>
            <w:r>
              <w:rPr>
                <w:lang w:val="en-GB" w:eastAsia="en-GB"/>
              </w:rPr>
              <w:t xml:space="preserve"> </w:t>
            </w:r>
          </w:p>
        </w:tc>
        <w:tc>
          <w:tcPr>
            <w:tcW w:w="1437" w:type="dxa"/>
            <w:shd w:val="clear" w:color="000000" w:fill="FFFFFF"/>
            <w:noWrap/>
            <w:vAlign w:val="center"/>
            <w:hideMark/>
          </w:tcPr>
          <w:p w14:paraId="7BD2B0C7" w14:textId="77777777" w:rsidR="00AD6A55" w:rsidRPr="00DE1AF3" w:rsidRDefault="00AD6A55" w:rsidP="00AD6A55">
            <w:pPr>
              <w:pStyle w:val="TableText0"/>
              <w:rPr>
                <w:lang w:val="en-GB" w:eastAsia="en-GB"/>
              </w:rPr>
            </w:pPr>
            <w:r w:rsidRPr="00DE1AF3">
              <w:rPr>
                <w:lang w:val="en-GB" w:eastAsia="en-GB"/>
              </w:rPr>
              <w:t>Bangladesh</w:t>
            </w:r>
          </w:p>
        </w:tc>
        <w:tc>
          <w:tcPr>
            <w:tcW w:w="1617" w:type="dxa"/>
            <w:shd w:val="clear" w:color="auto" w:fill="auto"/>
            <w:vAlign w:val="center"/>
            <w:hideMark/>
          </w:tcPr>
          <w:p w14:paraId="5CD4ABA4" w14:textId="77777777" w:rsidR="00AD6A55" w:rsidRPr="00DE1AF3" w:rsidRDefault="00AD6A55" w:rsidP="00AD6A55">
            <w:pPr>
              <w:pStyle w:val="TableText0"/>
              <w:rPr>
                <w:lang w:val="en-GB" w:eastAsia="en-GB"/>
              </w:rPr>
            </w:pPr>
            <w:r w:rsidRPr="00DE1AF3">
              <w:rPr>
                <w:lang w:val="en-GB" w:eastAsia="en-GB"/>
              </w:rPr>
              <w:t>Rural development and food security</w:t>
            </w:r>
          </w:p>
        </w:tc>
        <w:tc>
          <w:tcPr>
            <w:tcW w:w="1281" w:type="dxa"/>
            <w:vAlign w:val="center"/>
          </w:tcPr>
          <w:p w14:paraId="65C99B67"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612AC366" w14:textId="77777777" w:rsidTr="00AD6A55">
        <w:trPr>
          <w:cantSplit/>
          <w:trHeight w:val="900"/>
        </w:trPr>
        <w:tc>
          <w:tcPr>
            <w:tcW w:w="1079" w:type="dxa"/>
            <w:shd w:val="clear" w:color="auto" w:fill="auto"/>
            <w:noWrap/>
            <w:vAlign w:val="center"/>
            <w:hideMark/>
          </w:tcPr>
          <w:p w14:paraId="246AFA4D" w14:textId="77777777" w:rsidR="00AD6A55" w:rsidRPr="00DE1AF3" w:rsidRDefault="00AD6A55" w:rsidP="00AD6A55">
            <w:pPr>
              <w:pStyle w:val="TableText0"/>
              <w:rPr>
                <w:lang w:val="en-GB" w:eastAsia="en-GB"/>
              </w:rPr>
            </w:pPr>
            <w:r w:rsidRPr="00DE1AF3">
              <w:rPr>
                <w:lang w:val="en-GB" w:eastAsia="en-GB"/>
              </w:rPr>
              <w:t>INH361</w:t>
            </w:r>
          </w:p>
        </w:tc>
        <w:tc>
          <w:tcPr>
            <w:tcW w:w="4168" w:type="dxa"/>
            <w:shd w:val="clear" w:color="000000" w:fill="FFFFFF"/>
            <w:vAlign w:val="center"/>
            <w:hideMark/>
          </w:tcPr>
          <w:p w14:paraId="37111991" w14:textId="77777777" w:rsidR="00AD6A55" w:rsidRPr="00DE1AF3" w:rsidRDefault="00AD6A55" w:rsidP="00AD6A55">
            <w:pPr>
              <w:pStyle w:val="TableText0"/>
              <w:rPr>
                <w:lang w:val="en-GB" w:eastAsia="en-GB"/>
              </w:rPr>
            </w:pPr>
            <w:r w:rsidRPr="00782FD3">
              <w:rPr>
                <w:lang w:val="en-GB" w:eastAsia="en-GB"/>
              </w:rPr>
              <w:t>Independent Progress Review of</w:t>
            </w:r>
            <w:r>
              <w:rPr>
                <w:lang w:val="en-GB" w:eastAsia="en-GB"/>
              </w:rPr>
              <w:t xml:space="preserve"> </w:t>
            </w:r>
            <w:r w:rsidRPr="00DE1AF3">
              <w:rPr>
                <w:lang w:val="en-GB" w:eastAsia="en-GB"/>
              </w:rPr>
              <w:t>Support for Education Sector Development in Aceh (SEDIA)</w:t>
            </w:r>
          </w:p>
        </w:tc>
        <w:tc>
          <w:tcPr>
            <w:tcW w:w="1437" w:type="dxa"/>
            <w:shd w:val="clear" w:color="000000" w:fill="FFFFFF"/>
            <w:noWrap/>
            <w:vAlign w:val="center"/>
            <w:hideMark/>
          </w:tcPr>
          <w:p w14:paraId="260E8EFE"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17906C69" w14:textId="77777777" w:rsidR="00AD6A55" w:rsidRPr="00DE1AF3" w:rsidRDefault="00AD6A55" w:rsidP="00AD6A55">
            <w:pPr>
              <w:pStyle w:val="TableText0"/>
              <w:rPr>
                <w:lang w:val="en-GB" w:eastAsia="en-GB"/>
              </w:rPr>
            </w:pPr>
            <w:r w:rsidRPr="00DE1AF3">
              <w:rPr>
                <w:lang w:val="en-GB" w:eastAsia="en-GB"/>
              </w:rPr>
              <w:t>Education</w:t>
            </w:r>
          </w:p>
        </w:tc>
        <w:tc>
          <w:tcPr>
            <w:tcW w:w="1281" w:type="dxa"/>
            <w:vAlign w:val="center"/>
          </w:tcPr>
          <w:p w14:paraId="1A9BAC39"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35416E57" w14:textId="77777777" w:rsidTr="00AD6A55">
        <w:trPr>
          <w:cantSplit/>
          <w:trHeight w:val="900"/>
        </w:trPr>
        <w:tc>
          <w:tcPr>
            <w:tcW w:w="1079" w:type="dxa"/>
            <w:shd w:val="clear" w:color="auto" w:fill="auto"/>
            <w:noWrap/>
            <w:vAlign w:val="center"/>
            <w:hideMark/>
          </w:tcPr>
          <w:p w14:paraId="45AC1CF2" w14:textId="77777777" w:rsidR="00AD6A55" w:rsidRPr="00DE1AF3" w:rsidRDefault="00AD6A55" w:rsidP="00AD6A55">
            <w:pPr>
              <w:pStyle w:val="TableText0"/>
              <w:rPr>
                <w:lang w:val="en-GB" w:eastAsia="en-GB"/>
              </w:rPr>
            </w:pPr>
            <w:r w:rsidRPr="00DE1AF3">
              <w:rPr>
                <w:lang w:val="en-GB" w:eastAsia="en-GB"/>
              </w:rPr>
              <w:t>INH436</w:t>
            </w:r>
          </w:p>
        </w:tc>
        <w:tc>
          <w:tcPr>
            <w:tcW w:w="4168" w:type="dxa"/>
            <w:shd w:val="clear" w:color="000000" w:fill="FFFFFF"/>
            <w:vAlign w:val="center"/>
            <w:hideMark/>
          </w:tcPr>
          <w:p w14:paraId="76DF56CA" w14:textId="77777777" w:rsidR="00AD6A55" w:rsidRPr="00DE1AF3" w:rsidRDefault="00AD6A55" w:rsidP="00AD6A55">
            <w:pPr>
              <w:pStyle w:val="TableText0"/>
              <w:rPr>
                <w:lang w:val="en-GB" w:eastAsia="en-GB"/>
              </w:rPr>
            </w:pPr>
            <w:r w:rsidRPr="00DE1AF3">
              <w:rPr>
                <w:lang w:val="en-GB" w:eastAsia="en-GB"/>
              </w:rPr>
              <w:t>Independent Progress Review of Australia-UNICEF Education Assistance to Papua and Papua Barat</w:t>
            </w:r>
          </w:p>
        </w:tc>
        <w:tc>
          <w:tcPr>
            <w:tcW w:w="1437" w:type="dxa"/>
            <w:shd w:val="clear" w:color="000000" w:fill="FFFFFF"/>
            <w:noWrap/>
            <w:vAlign w:val="center"/>
            <w:hideMark/>
          </w:tcPr>
          <w:p w14:paraId="71116C48"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4473EB62" w14:textId="77777777" w:rsidR="00AD6A55" w:rsidRPr="00DE1AF3" w:rsidRDefault="00AD6A55" w:rsidP="00AD6A55">
            <w:pPr>
              <w:pStyle w:val="TableText0"/>
              <w:rPr>
                <w:lang w:val="en-GB" w:eastAsia="en-GB"/>
              </w:rPr>
            </w:pPr>
            <w:r w:rsidRPr="00DE1AF3">
              <w:rPr>
                <w:lang w:val="en-GB" w:eastAsia="en-GB"/>
              </w:rPr>
              <w:t>Education</w:t>
            </w:r>
          </w:p>
        </w:tc>
        <w:tc>
          <w:tcPr>
            <w:tcW w:w="1281" w:type="dxa"/>
            <w:vAlign w:val="center"/>
          </w:tcPr>
          <w:p w14:paraId="2E19F7BA" w14:textId="77777777" w:rsidR="00AD6A55" w:rsidRPr="00DE1AF3" w:rsidRDefault="00AD6A55" w:rsidP="00AD6A55">
            <w:pPr>
              <w:pStyle w:val="TableText0"/>
              <w:rPr>
                <w:lang w:val="en-GB" w:eastAsia="en-GB"/>
              </w:rPr>
            </w:pPr>
            <w:r w:rsidRPr="00DE1AF3">
              <w:rPr>
                <w:lang w:val="en-GB" w:eastAsia="en-GB"/>
              </w:rPr>
              <w:t>No</w:t>
            </w:r>
          </w:p>
        </w:tc>
      </w:tr>
    </w:tbl>
    <w:p w14:paraId="41EF29A4" w14:textId="77777777" w:rsidR="00AD6A55" w:rsidRDefault="00AD6A55" w:rsidP="00AD6A55">
      <w:pPr>
        <w:spacing w:before="57" w:after="142"/>
      </w:pPr>
      <w:r>
        <w:br w:type="page"/>
      </w:r>
    </w:p>
    <w:tbl>
      <w:tblPr>
        <w:tblW w:w="9582" w:type="dxa"/>
        <w:tblInd w:w="-176"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9"/>
        <w:gridCol w:w="4168"/>
        <w:gridCol w:w="1437"/>
        <w:gridCol w:w="1617"/>
        <w:gridCol w:w="1281"/>
      </w:tblGrid>
      <w:tr w:rsidR="00AD6A55" w:rsidRPr="001C2D74" w14:paraId="550AE7C0" w14:textId="77777777" w:rsidTr="00AD6A55">
        <w:trPr>
          <w:cantSplit/>
          <w:trHeight w:val="795"/>
        </w:trPr>
        <w:tc>
          <w:tcPr>
            <w:tcW w:w="1079" w:type="dxa"/>
            <w:shd w:val="clear" w:color="auto" w:fill="007FAD"/>
            <w:vAlign w:val="center"/>
            <w:hideMark/>
          </w:tcPr>
          <w:p w14:paraId="0F1D4828" w14:textId="77777777" w:rsidR="00AD6A55" w:rsidRPr="00315553" w:rsidRDefault="00AD6A55" w:rsidP="00AD6A55">
            <w:pPr>
              <w:pStyle w:val="TableHeading21"/>
              <w:rPr>
                <w:i w:val="0"/>
                <w:lang w:val="en-GB" w:eastAsia="en-GB"/>
              </w:rPr>
            </w:pPr>
            <w:r w:rsidRPr="00315553">
              <w:rPr>
                <w:i w:val="0"/>
                <w:lang w:val="en-GB" w:eastAsia="en-GB"/>
              </w:rPr>
              <w:lastRenderedPageBreak/>
              <w:t xml:space="preserve">Initiative </w:t>
            </w:r>
            <w:r>
              <w:rPr>
                <w:i w:val="0"/>
                <w:lang w:val="en-GB" w:eastAsia="en-GB"/>
              </w:rPr>
              <w:t>number</w:t>
            </w:r>
          </w:p>
        </w:tc>
        <w:tc>
          <w:tcPr>
            <w:tcW w:w="4168" w:type="dxa"/>
            <w:shd w:val="clear" w:color="auto" w:fill="007FAD"/>
            <w:vAlign w:val="center"/>
            <w:hideMark/>
          </w:tcPr>
          <w:p w14:paraId="7165D642" w14:textId="77777777" w:rsidR="00AD6A55" w:rsidRPr="00315553" w:rsidRDefault="00AD6A55" w:rsidP="00AD6A55">
            <w:pPr>
              <w:pStyle w:val="TableHeading21"/>
              <w:rPr>
                <w:i w:val="0"/>
                <w:lang w:val="en-GB" w:eastAsia="en-GB"/>
              </w:rPr>
            </w:pPr>
            <w:r w:rsidRPr="00315553">
              <w:rPr>
                <w:i w:val="0"/>
                <w:lang w:val="en-GB" w:eastAsia="en-GB"/>
              </w:rPr>
              <w:t>Evaluation title</w:t>
            </w:r>
          </w:p>
        </w:tc>
        <w:tc>
          <w:tcPr>
            <w:tcW w:w="1437" w:type="dxa"/>
            <w:shd w:val="clear" w:color="auto" w:fill="007FAD"/>
            <w:vAlign w:val="center"/>
            <w:hideMark/>
          </w:tcPr>
          <w:p w14:paraId="6AD996DD" w14:textId="77777777" w:rsidR="00AD6A55" w:rsidRPr="00315553" w:rsidRDefault="00AD6A55" w:rsidP="00AD6A55">
            <w:pPr>
              <w:pStyle w:val="TableHeading21"/>
              <w:rPr>
                <w:i w:val="0"/>
                <w:lang w:val="en-GB" w:eastAsia="en-GB"/>
              </w:rPr>
            </w:pPr>
            <w:r w:rsidRPr="00315553">
              <w:rPr>
                <w:i w:val="0"/>
                <w:lang w:val="en-GB" w:eastAsia="en-GB"/>
              </w:rPr>
              <w:t>Country</w:t>
            </w:r>
          </w:p>
        </w:tc>
        <w:tc>
          <w:tcPr>
            <w:tcW w:w="1617" w:type="dxa"/>
            <w:shd w:val="clear" w:color="auto" w:fill="007FAD"/>
            <w:vAlign w:val="center"/>
            <w:hideMark/>
          </w:tcPr>
          <w:p w14:paraId="387D83E9" w14:textId="77777777" w:rsidR="00AD6A55" w:rsidRPr="00315553" w:rsidRDefault="00AD6A55" w:rsidP="00AD6A55">
            <w:pPr>
              <w:pStyle w:val="TableHeading21"/>
              <w:rPr>
                <w:i w:val="0"/>
                <w:lang w:val="en-GB" w:eastAsia="en-GB"/>
              </w:rPr>
            </w:pPr>
            <w:r w:rsidRPr="00315553">
              <w:rPr>
                <w:i w:val="0"/>
                <w:lang w:val="en-GB" w:eastAsia="en-GB"/>
              </w:rPr>
              <w:t>Primary sector</w:t>
            </w:r>
          </w:p>
        </w:tc>
        <w:tc>
          <w:tcPr>
            <w:tcW w:w="1281" w:type="dxa"/>
            <w:shd w:val="clear" w:color="auto" w:fill="007FAD"/>
            <w:vAlign w:val="center"/>
          </w:tcPr>
          <w:p w14:paraId="423A6393" w14:textId="77777777" w:rsidR="00AD6A55" w:rsidRPr="00315553" w:rsidRDefault="00AD6A55" w:rsidP="00AD6A55">
            <w:pPr>
              <w:pStyle w:val="TableHeading21"/>
              <w:rPr>
                <w:i w:val="0"/>
                <w:lang w:val="en-GB" w:eastAsia="en-GB"/>
              </w:rPr>
            </w:pPr>
            <w:r w:rsidRPr="00315553">
              <w:rPr>
                <w:i w:val="0"/>
                <w:lang w:val="en-GB" w:eastAsia="en-GB"/>
              </w:rPr>
              <w:t>Published on DFAT website?</w:t>
            </w:r>
          </w:p>
        </w:tc>
      </w:tr>
      <w:tr w:rsidR="00AD6A55" w:rsidRPr="00DE1AF3" w14:paraId="70970F70" w14:textId="77777777" w:rsidTr="00AD6A55">
        <w:trPr>
          <w:cantSplit/>
          <w:trHeight w:val="900"/>
        </w:trPr>
        <w:tc>
          <w:tcPr>
            <w:tcW w:w="1079" w:type="dxa"/>
            <w:shd w:val="clear" w:color="auto" w:fill="auto"/>
            <w:noWrap/>
            <w:vAlign w:val="center"/>
            <w:hideMark/>
          </w:tcPr>
          <w:p w14:paraId="6B3BDF92" w14:textId="77777777" w:rsidR="00AD6A55" w:rsidRPr="00DE1AF3" w:rsidRDefault="00AD6A55" w:rsidP="00AD6A55">
            <w:pPr>
              <w:pStyle w:val="TableText0"/>
              <w:rPr>
                <w:lang w:val="en-GB" w:eastAsia="en-GB"/>
              </w:rPr>
            </w:pPr>
            <w:r w:rsidRPr="00DE1AF3">
              <w:rPr>
                <w:lang w:val="en-GB" w:eastAsia="en-GB"/>
              </w:rPr>
              <w:t>INH497</w:t>
            </w:r>
          </w:p>
        </w:tc>
        <w:tc>
          <w:tcPr>
            <w:tcW w:w="4168" w:type="dxa"/>
            <w:shd w:val="clear" w:color="000000" w:fill="FFFFFF"/>
            <w:vAlign w:val="center"/>
            <w:hideMark/>
          </w:tcPr>
          <w:p w14:paraId="72FCE390" w14:textId="77777777" w:rsidR="00AD6A55" w:rsidRPr="00DE1AF3" w:rsidRDefault="00AD6A55" w:rsidP="00AD6A55">
            <w:pPr>
              <w:pStyle w:val="TableText0"/>
              <w:rPr>
                <w:lang w:val="en-GB" w:eastAsia="en-GB"/>
              </w:rPr>
            </w:pPr>
            <w:r>
              <w:rPr>
                <w:lang w:val="en-GB" w:eastAsia="en-GB"/>
              </w:rPr>
              <w:t xml:space="preserve">Independent Completion Report for </w:t>
            </w:r>
            <w:r w:rsidRPr="00DE1AF3">
              <w:rPr>
                <w:lang w:val="en-GB" w:eastAsia="en-GB"/>
              </w:rPr>
              <w:t>Timor–Leste Asian Development Bank Infrastructure Project Management/Infrastructure Technical Assistance</w:t>
            </w:r>
          </w:p>
        </w:tc>
        <w:tc>
          <w:tcPr>
            <w:tcW w:w="1437" w:type="dxa"/>
            <w:shd w:val="clear" w:color="000000" w:fill="FFFFFF"/>
            <w:noWrap/>
            <w:vAlign w:val="center"/>
            <w:hideMark/>
          </w:tcPr>
          <w:p w14:paraId="6AB31182" w14:textId="77777777" w:rsidR="00AD6A55" w:rsidRPr="00DE1AF3" w:rsidRDefault="00AD6A55" w:rsidP="00AD6A55">
            <w:pPr>
              <w:pStyle w:val="TableText0"/>
              <w:rPr>
                <w:lang w:val="en-GB" w:eastAsia="en-GB"/>
              </w:rPr>
            </w:pPr>
            <w:r w:rsidRPr="00DE1AF3">
              <w:rPr>
                <w:lang w:val="en-GB" w:eastAsia="en-GB"/>
              </w:rPr>
              <w:t>Timor-Leste</w:t>
            </w:r>
          </w:p>
        </w:tc>
        <w:tc>
          <w:tcPr>
            <w:tcW w:w="1617" w:type="dxa"/>
            <w:shd w:val="clear" w:color="auto" w:fill="auto"/>
            <w:vAlign w:val="center"/>
            <w:hideMark/>
          </w:tcPr>
          <w:p w14:paraId="72B38E5A" w14:textId="77777777" w:rsidR="00AD6A55" w:rsidRPr="00DE1AF3" w:rsidRDefault="00AD6A55" w:rsidP="00AD6A55">
            <w:pPr>
              <w:pStyle w:val="TableText0"/>
              <w:rPr>
                <w:lang w:val="en-GB" w:eastAsia="en-GB"/>
              </w:rPr>
            </w:pPr>
            <w:r w:rsidRPr="00DE1AF3">
              <w:rPr>
                <w:lang w:val="en-GB" w:eastAsia="en-GB"/>
              </w:rPr>
              <w:t>Infrastructure</w:t>
            </w:r>
          </w:p>
        </w:tc>
        <w:tc>
          <w:tcPr>
            <w:tcW w:w="1281" w:type="dxa"/>
            <w:vAlign w:val="center"/>
          </w:tcPr>
          <w:p w14:paraId="6D6902A3"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1FE05483" w14:textId="77777777" w:rsidTr="00AD6A55">
        <w:trPr>
          <w:cantSplit/>
          <w:trHeight w:val="900"/>
        </w:trPr>
        <w:tc>
          <w:tcPr>
            <w:tcW w:w="1079" w:type="dxa"/>
            <w:shd w:val="clear" w:color="auto" w:fill="auto"/>
            <w:noWrap/>
            <w:vAlign w:val="center"/>
            <w:hideMark/>
          </w:tcPr>
          <w:p w14:paraId="6E382F00" w14:textId="77777777" w:rsidR="00AD6A55" w:rsidRPr="00DE1AF3" w:rsidRDefault="00AD6A55" w:rsidP="00AD6A55">
            <w:pPr>
              <w:pStyle w:val="TableText0"/>
              <w:rPr>
                <w:lang w:val="en-GB" w:eastAsia="en-GB"/>
              </w:rPr>
            </w:pPr>
            <w:r w:rsidRPr="00DE1AF3">
              <w:rPr>
                <w:lang w:val="en-GB" w:eastAsia="en-GB"/>
              </w:rPr>
              <w:t>INH528</w:t>
            </w:r>
          </w:p>
        </w:tc>
        <w:tc>
          <w:tcPr>
            <w:tcW w:w="4168" w:type="dxa"/>
            <w:shd w:val="clear" w:color="000000" w:fill="FFFFFF"/>
            <w:vAlign w:val="center"/>
            <w:hideMark/>
          </w:tcPr>
          <w:p w14:paraId="7C7001D1" w14:textId="77777777" w:rsidR="00AD6A55" w:rsidRPr="00DE1AF3" w:rsidRDefault="00AD6A55" w:rsidP="00AD6A55">
            <w:pPr>
              <w:pStyle w:val="TableText0"/>
              <w:rPr>
                <w:lang w:val="en-GB" w:eastAsia="en-GB"/>
              </w:rPr>
            </w:pPr>
            <w:r w:rsidRPr="00DE1AF3">
              <w:rPr>
                <w:lang w:val="en-GB" w:eastAsia="en-GB"/>
              </w:rPr>
              <w:t xml:space="preserve">Independent Progress Report </w:t>
            </w:r>
            <w:r>
              <w:rPr>
                <w:lang w:val="en-GB" w:eastAsia="en-GB"/>
              </w:rPr>
              <w:t xml:space="preserve">for </w:t>
            </w:r>
            <w:r w:rsidRPr="00DE1AF3">
              <w:rPr>
                <w:lang w:val="en-GB" w:eastAsia="en-GB"/>
              </w:rPr>
              <w:t>Pacific Leadership Program</w:t>
            </w:r>
          </w:p>
        </w:tc>
        <w:tc>
          <w:tcPr>
            <w:tcW w:w="1437" w:type="dxa"/>
            <w:shd w:val="clear" w:color="000000" w:fill="FFFFFF"/>
            <w:noWrap/>
            <w:vAlign w:val="center"/>
            <w:hideMark/>
          </w:tcPr>
          <w:p w14:paraId="7002A1A3" w14:textId="77777777" w:rsidR="00AD6A55" w:rsidRPr="00DE1AF3" w:rsidRDefault="00AD6A55" w:rsidP="00AD6A55">
            <w:pPr>
              <w:pStyle w:val="TableText0"/>
              <w:rPr>
                <w:lang w:val="en-GB" w:eastAsia="en-GB"/>
              </w:rPr>
            </w:pPr>
            <w:r w:rsidRPr="00DE1AF3">
              <w:rPr>
                <w:lang w:val="en-GB" w:eastAsia="en-GB"/>
              </w:rPr>
              <w:t>Pacific</w:t>
            </w:r>
          </w:p>
        </w:tc>
        <w:tc>
          <w:tcPr>
            <w:tcW w:w="1617" w:type="dxa"/>
            <w:shd w:val="clear" w:color="auto" w:fill="auto"/>
            <w:vAlign w:val="center"/>
            <w:hideMark/>
          </w:tcPr>
          <w:p w14:paraId="2FFFEE04"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085AD66A"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5C753CEF" w14:textId="77777777" w:rsidTr="00AD6A55">
        <w:trPr>
          <w:cantSplit/>
          <w:trHeight w:val="900"/>
        </w:trPr>
        <w:tc>
          <w:tcPr>
            <w:tcW w:w="1079" w:type="dxa"/>
            <w:shd w:val="clear" w:color="auto" w:fill="auto"/>
            <w:noWrap/>
            <w:vAlign w:val="center"/>
            <w:hideMark/>
          </w:tcPr>
          <w:p w14:paraId="7C16DB4F" w14:textId="77777777" w:rsidR="00AD6A55" w:rsidRPr="00DE1AF3" w:rsidRDefault="00AD6A55" w:rsidP="00AD6A55">
            <w:pPr>
              <w:pStyle w:val="TableText0"/>
              <w:rPr>
                <w:lang w:val="en-GB" w:eastAsia="en-GB"/>
              </w:rPr>
            </w:pPr>
            <w:r w:rsidRPr="00DE1AF3">
              <w:rPr>
                <w:lang w:val="en-GB" w:eastAsia="en-GB"/>
              </w:rPr>
              <w:t>INH602</w:t>
            </w:r>
          </w:p>
        </w:tc>
        <w:tc>
          <w:tcPr>
            <w:tcW w:w="4168" w:type="dxa"/>
            <w:shd w:val="clear" w:color="000000" w:fill="FFFFFF"/>
            <w:vAlign w:val="center"/>
            <w:hideMark/>
          </w:tcPr>
          <w:p w14:paraId="13E86EF9" w14:textId="77777777" w:rsidR="00AD6A55" w:rsidRPr="00DE1AF3" w:rsidRDefault="00AD6A55" w:rsidP="00AD6A55">
            <w:pPr>
              <w:pStyle w:val="TableText0"/>
              <w:rPr>
                <w:lang w:val="en-GB" w:eastAsia="en-GB"/>
              </w:rPr>
            </w:pPr>
            <w:r w:rsidRPr="00DE1AF3">
              <w:rPr>
                <w:lang w:val="en-GB" w:eastAsia="en-GB"/>
              </w:rPr>
              <w:t>Mid Term Evaluation of the School Sector Reform Program</w:t>
            </w:r>
          </w:p>
        </w:tc>
        <w:tc>
          <w:tcPr>
            <w:tcW w:w="1437" w:type="dxa"/>
            <w:shd w:val="clear" w:color="000000" w:fill="FFFFFF"/>
            <w:noWrap/>
            <w:vAlign w:val="center"/>
            <w:hideMark/>
          </w:tcPr>
          <w:p w14:paraId="56F5F0F1" w14:textId="77777777" w:rsidR="00AD6A55" w:rsidRPr="00DE1AF3" w:rsidRDefault="00AD6A55" w:rsidP="00AD6A55">
            <w:pPr>
              <w:pStyle w:val="TableText0"/>
              <w:rPr>
                <w:lang w:val="en-GB" w:eastAsia="en-GB"/>
              </w:rPr>
            </w:pPr>
            <w:r w:rsidRPr="00DE1AF3">
              <w:rPr>
                <w:lang w:val="en-GB" w:eastAsia="en-GB"/>
              </w:rPr>
              <w:t>Nepal</w:t>
            </w:r>
          </w:p>
        </w:tc>
        <w:tc>
          <w:tcPr>
            <w:tcW w:w="1617" w:type="dxa"/>
            <w:shd w:val="clear" w:color="auto" w:fill="auto"/>
            <w:vAlign w:val="center"/>
            <w:hideMark/>
          </w:tcPr>
          <w:p w14:paraId="34292704" w14:textId="77777777" w:rsidR="00AD6A55" w:rsidRPr="00DE1AF3" w:rsidRDefault="00AD6A55" w:rsidP="00AD6A55">
            <w:pPr>
              <w:pStyle w:val="TableText0"/>
              <w:rPr>
                <w:lang w:val="en-GB" w:eastAsia="en-GB"/>
              </w:rPr>
            </w:pPr>
            <w:r w:rsidRPr="00DE1AF3">
              <w:rPr>
                <w:lang w:val="en-GB" w:eastAsia="en-GB"/>
              </w:rPr>
              <w:t>Education</w:t>
            </w:r>
          </w:p>
        </w:tc>
        <w:tc>
          <w:tcPr>
            <w:tcW w:w="1281" w:type="dxa"/>
            <w:vAlign w:val="center"/>
          </w:tcPr>
          <w:p w14:paraId="29CA99A6"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491C6D67" w14:textId="77777777" w:rsidTr="00AD6A55">
        <w:trPr>
          <w:cantSplit/>
          <w:trHeight w:val="900"/>
        </w:trPr>
        <w:tc>
          <w:tcPr>
            <w:tcW w:w="1079" w:type="dxa"/>
            <w:shd w:val="clear" w:color="auto" w:fill="auto"/>
            <w:vAlign w:val="center"/>
            <w:hideMark/>
          </w:tcPr>
          <w:p w14:paraId="18AF8F8B" w14:textId="77777777" w:rsidR="00AD6A55" w:rsidRPr="00DE1AF3" w:rsidRDefault="00AD6A55" w:rsidP="00AD6A55">
            <w:pPr>
              <w:pStyle w:val="TableText0"/>
              <w:rPr>
                <w:lang w:val="en-GB" w:eastAsia="en-GB"/>
              </w:rPr>
            </w:pPr>
            <w:r w:rsidRPr="00DE1AF3">
              <w:rPr>
                <w:lang w:val="en-GB" w:eastAsia="en-GB"/>
              </w:rPr>
              <w:t>INH843 INI153</w:t>
            </w:r>
          </w:p>
        </w:tc>
        <w:tc>
          <w:tcPr>
            <w:tcW w:w="4168" w:type="dxa"/>
            <w:shd w:val="clear" w:color="000000" w:fill="FFFFFF"/>
            <w:vAlign w:val="center"/>
            <w:hideMark/>
          </w:tcPr>
          <w:p w14:paraId="22227E7F" w14:textId="77777777" w:rsidR="00AD6A55" w:rsidRPr="00DE1AF3" w:rsidRDefault="00AD6A55" w:rsidP="00AD6A55">
            <w:pPr>
              <w:pStyle w:val="TableText0"/>
              <w:rPr>
                <w:lang w:val="en-GB" w:eastAsia="en-GB"/>
              </w:rPr>
            </w:pPr>
            <w:r w:rsidRPr="00DE1AF3">
              <w:rPr>
                <w:lang w:val="en-GB" w:eastAsia="en-GB"/>
              </w:rPr>
              <w:t>Independent Review of two remote service delivery and community development programs in Papua New Guinea</w:t>
            </w:r>
          </w:p>
        </w:tc>
        <w:tc>
          <w:tcPr>
            <w:tcW w:w="1437" w:type="dxa"/>
            <w:shd w:val="clear" w:color="000000" w:fill="FFFFFF"/>
            <w:noWrap/>
            <w:vAlign w:val="center"/>
            <w:hideMark/>
          </w:tcPr>
          <w:p w14:paraId="205B8E0E" w14:textId="77777777" w:rsidR="00AD6A55" w:rsidRPr="00DE1AF3" w:rsidRDefault="00AD6A55" w:rsidP="00AD6A55">
            <w:pPr>
              <w:pStyle w:val="TableText0"/>
              <w:rPr>
                <w:lang w:val="en-GB" w:eastAsia="en-GB"/>
              </w:rPr>
            </w:pPr>
            <w:r>
              <w:rPr>
                <w:lang w:val="en-GB" w:eastAsia="en-GB"/>
              </w:rPr>
              <w:t>Papua New Guinea</w:t>
            </w:r>
          </w:p>
        </w:tc>
        <w:tc>
          <w:tcPr>
            <w:tcW w:w="1617" w:type="dxa"/>
            <w:shd w:val="clear" w:color="auto" w:fill="auto"/>
            <w:vAlign w:val="center"/>
            <w:hideMark/>
          </w:tcPr>
          <w:p w14:paraId="7365603C" w14:textId="77777777" w:rsidR="00AD6A55" w:rsidRPr="00DE1AF3" w:rsidRDefault="00AD6A55" w:rsidP="00AD6A55">
            <w:pPr>
              <w:pStyle w:val="TableText0"/>
              <w:rPr>
                <w:lang w:val="en-GB" w:eastAsia="en-GB"/>
              </w:rPr>
            </w:pPr>
            <w:r w:rsidRPr="00DE1AF3">
              <w:rPr>
                <w:lang w:val="en-GB" w:eastAsia="en-GB"/>
              </w:rPr>
              <w:t>Environment and natural resource management</w:t>
            </w:r>
          </w:p>
        </w:tc>
        <w:tc>
          <w:tcPr>
            <w:tcW w:w="1281" w:type="dxa"/>
            <w:vAlign w:val="center"/>
          </w:tcPr>
          <w:p w14:paraId="1329E3FF"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47DF0D47" w14:textId="77777777" w:rsidTr="00AD6A55">
        <w:trPr>
          <w:cantSplit/>
          <w:trHeight w:val="900"/>
        </w:trPr>
        <w:tc>
          <w:tcPr>
            <w:tcW w:w="1079" w:type="dxa"/>
            <w:shd w:val="clear" w:color="auto" w:fill="auto"/>
            <w:noWrap/>
            <w:vAlign w:val="center"/>
            <w:hideMark/>
          </w:tcPr>
          <w:p w14:paraId="629DD1FF" w14:textId="77777777" w:rsidR="00AD6A55" w:rsidRPr="00DE1AF3" w:rsidRDefault="00AD6A55" w:rsidP="00AD6A55">
            <w:pPr>
              <w:pStyle w:val="TableText0"/>
              <w:rPr>
                <w:lang w:val="en-GB" w:eastAsia="en-GB"/>
              </w:rPr>
            </w:pPr>
            <w:r w:rsidRPr="00DE1AF3">
              <w:rPr>
                <w:lang w:val="en-GB" w:eastAsia="en-GB"/>
              </w:rPr>
              <w:t>INH</w:t>
            </w:r>
            <w:r>
              <w:rPr>
                <w:lang w:val="en-GB" w:eastAsia="en-GB"/>
              </w:rPr>
              <w:t>1</w:t>
            </w:r>
            <w:r w:rsidRPr="00DE1AF3">
              <w:rPr>
                <w:lang w:val="en-GB" w:eastAsia="en-GB"/>
              </w:rPr>
              <w:t>57</w:t>
            </w:r>
          </w:p>
        </w:tc>
        <w:tc>
          <w:tcPr>
            <w:tcW w:w="4168" w:type="dxa"/>
            <w:shd w:val="clear" w:color="000000" w:fill="FFFFFF"/>
            <w:vAlign w:val="center"/>
            <w:hideMark/>
          </w:tcPr>
          <w:p w14:paraId="5B8E0BB6" w14:textId="77777777" w:rsidR="00AD6A55" w:rsidRPr="00DE1AF3" w:rsidRDefault="00AD6A55" w:rsidP="00AD6A55">
            <w:pPr>
              <w:pStyle w:val="TableText0"/>
              <w:rPr>
                <w:lang w:val="en-GB" w:eastAsia="en-GB"/>
              </w:rPr>
            </w:pPr>
            <w:r>
              <w:rPr>
                <w:lang w:val="en-GB" w:eastAsia="en-GB"/>
              </w:rPr>
              <w:t xml:space="preserve">Independent Progress Report for </w:t>
            </w:r>
            <w:r w:rsidRPr="00DE1AF3">
              <w:rPr>
                <w:lang w:val="en-GB" w:eastAsia="en-GB"/>
              </w:rPr>
              <w:t>ASEAN Australia Development Cooperation Program Phase II</w:t>
            </w:r>
          </w:p>
        </w:tc>
        <w:tc>
          <w:tcPr>
            <w:tcW w:w="1437" w:type="dxa"/>
            <w:shd w:val="clear" w:color="000000" w:fill="FFFFFF"/>
            <w:noWrap/>
            <w:vAlign w:val="center"/>
            <w:hideMark/>
          </w:tcPr>
          <w:p w14:paraId="73642A6B" w14:textId="77777777" w:rsidR="00AD6A55" w:rsidRPr="00DE1AF3" w:rsidRDefault="00AD6A55" w:rsidP="00AD6A55">
            <w:pPr>
              <w:pStyle w:val="TableText0"/>
              <w:rPr>
                <w:lang w:val="en-GB" w:eastAsia="en-GB"/>
              </w:rPr>
            </w:pPr>
            <w:proofErr w:type="spellStart"/>
            <w:r>
              <w:rPr>
                <w:lang w:val="en-GB" w:eastAsia="en-GB"/>
              </w:rPr>
              <w:t>Multicountry</w:t>
            </w:r>
            <w:proofErr w:type="spellEnd"/>
          </w:p>
        </w:tc>
        <w:tc>
          <w:tcPr>
            <w:tcW w:w="1617" w:type="dxa"/>
            <w:shd w:val="clear" w:color="auto" w:fill="auto"/>
            <w:vAlign w:val="center"/>
            <w:hideMark/>
          </w:tcPr>
          <w:p w14:paraId="64BC3AE3"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242C0596"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4B16CBF7" w14:textId="77777777" w:rsidTr="00AD6A55">
        <w:trPr>
          <w:cantSplit/>
          <w:trHeight w:val="900"/>
        </w:trPr>
        <w:tc>
          <w:tcPr>
            <w:tcW w:w="1079" w:type="dxa"/>
            <w:shd w:val="clear" w:color="auto" w:fill="auto"/>
            <w:noWrap/>
            <w:vAlign w:val="center"/>
            <w:hideMark/>
          </w:tcPr>
          <w:p w14:paraId="530D4910" w14:textId="77777777" w:rsidR="00AD6A55" w:rsidRPr="00DE1AF3" w:rsidRDefault="00AD6A55" w:rsidP="00AD6A55">
            <w:pPr>
              <w:pStyle w:val="TableText0"/>
              <w:rPr>
                <w:lang w:val="en-GB" w:eastAsia="en-GB"/>
              </w:rPr>
            </w:pPr>
            <w:r w:rsidRPr="00DE1AF3">
              <w:rPr>
                <w:lang w:val="en-GB" w:eastAsia="en-GB"/>
              </w:rPr>
              <w:t>INH947</w:t>
            </w:r>
          </w:p>
        </w:tc>
        <w:tc>
          <w:tcPr>
            <w:tcW w:w="4168" w:type="dxa"/>
            <w:shd w:val="clear" w:color="000000" w:fill="FFFFFF"/>
            <w:vAlign w:val="center"/>
            <w:hideMark/>
          </w:tcPr>
          <w:p w14:paraId="3FB8D6B6" w14:textId="77777777" w:rsidR="00AD6A55" w:rsidRPr="00DE1AF3" w:rsidRDefault="00AD6A55" w:rsidP="00AD6A55">
            <w:pPr>
              <w:pStyle w:val="TableText0"/>
              <w:rPr>
                <w:lang w:val="en-GB" w:eastAsia="en-GB"/>
              </w:rPr>
            </w:pPr>
            <w:r>
              <w:rPr>
                <w:lang w:val="en-GB" w:eastAsia="en-GB"/>
              </w:rPr>
              <w:t xml:space="preserve">Evaluation of </w:t>
            </w:r>
            <w:r w:rsidRPr="00DE1AF3">
              <w:rPr>
                <w:lang w:val="en-GB" w:eastAsia="en-GB"/>
              </w:rPr>
              <w:t>Education for Children in Areas Affected by Armed Conflict—Mindanao Philippines</w:t>
            </w:r>
          </w:p>
        </w:tc>
        <w:tc>
          <w:tcPr>
            <w:tcW w:w="1437" w:type="dxa"/>
            <w:shd w:val="clear" w:color="000000" w:fill="FFFFFF"/>
            <w:noWrap/>
            <w:vAlign w:val="center"/>
            <w:hideMark/>
          </w:tcPr>
          <w:p w14:paraId="3111CD2C" w14:textId="77777777" w:rsidR="00AD6A55" w:rsidRPr="00DE1AF3" w:rsidRDefault="00AD6A55" w:rsidP="00AD6A55">
            <w:pPr>
              <w:pStyle w:val="TableText0"/>
              <w:rPr>
                <w:lang w:val="en-GB" w:eastAsia="en-GB"/>
              </w:rPr>
            </w:pPr>
            <w:r w:rsidRPr="00DE1AF3">
              <w:rPr>
                <w:lang w:val="en-GB" w:eastAsia="en-GB"/>
              </w:rPr>
              <w:t>Philippines</w:t>
            </w:r>
          </w:p>
        </w:tc>
        <w:tc>
          <w:tcPr>
            <w:tcW w:w="1617" w:type="dxa"/>
            <w:shd w:val="clear" w:color="auto" w:fill="auto"/>
            <w:vAlign w:val="center"/>
            <w:hideMark/>
          </w:tcPr>
          <w:p w14:paraId="12F8EEA6" w14:textId="77777777" w:rsidR="00AD6A55" w:rsidRPr="00DE1AF3" w:rsidRDefault="00AD6A55" w:rsidP="00AD6A55">
            <w:pPr>
              <w:pStyle w:val="TableText0"/>
              <w:rPr>
                <w:lang w:val="en-GB" w:eastAsia="en-GB"/>
              </w:rPr>
            </w:pPr>
            <w:r w:rsidRPr="00DE1AF3">
              <w:rPr>
                <w:lang w:val="en-GB" w:eastAsia="en-GB"/>
              </w:rPr>
              <w:t>Education</w:t>
            </w:r>
          </w:p>
        </w:tc>
        <w:tc>
          <w:tcPr>
            <w:tcW w:w="1281" w:type="dxa"/>
            <w:vAlign w:val="center"/>
          </w:tcPr>
          <w:p w14:paraId="72E80BBA"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6D9542E3" w14:textId="77777777" w:rsidTr="00AD6A55">
        <w:trPr>
          <w:cantSplit/>
          <w:trHeight w:val="900"/>
        </w:trPr>
        <w:tc>
          <w:tcPr>
            <w:tcW w:w="1079" w:type="dxa"/>
            <w:shd w:val="clear" w:color="auto" w:fill="auto"/>
            <w:vAlign w:val="center"/>
            <w:hideMark/>
          </w:tcPr>
          <w:p w14:paraId="449BA410" w14:textId="77777777" w:rsidR="00AD6A55" w:rsidRPr="00DE1AF3" w:rsidRDefault="00AD6A55" w:rsidP="00AD6A55">
            <w:pPr>
              <w:pStyle w:val="TableText0"/>
              <w:rPr>
                <w:lang w:val="en-GB" w:eastAsia="en-GB"/>
              </w:rPr>
            </w:pPr>
            <w:r w:rsidRPr="00DE1AF3">
              <w:rPr>
                <w:lang w:val="en-GB" w:eastAsia="en-GB"/>
              </w:rPr>
              <w:t>INI035</w:t>
            </w:r>
          </w:p>
        </w:tc>
        <w:tc>
          <w:tcPr>
            <w:tcW w:w="4168" w:type="dxa"/>
            <w:shd w:val="clear" w:color="000000" w:fill="FFFFFF"/>
            <w:vAlign w:val="center"/>
            <w:hideMark/>
          </w:tcPr>
          <w:p w14:paraId="21F1D1C8" w14:textId="77777777" w:rsidR="00AD6A55" w:rsidRPr="00DE1AF3" w:rsidRDefault="00AD6A55" w:rsidP="00AD6A55">
            <w:pPr>
              <w:pStyle w:val="TableText0"/>
              <w:rPr>
                <w:lang w:val="en-GB" w:eastAsia="en-GB"/>
              </w:rPr>
            </w:pPr>
            <w:r w:rsidRPr="00DE1AF3">
              <w:rPr>
                <w:lang w:val="en-GB" w:eastAsia="en-GB"/>
              </w:rPr>
              <w:t>External review of the Indonesia Project</w:t>
            </w:r>
          </w:p>
        </w:tc>
        <w:tc>
          <w:tcPr>
            <w:tcW w:w="1437" w:type="dxa"/>
            <w:shd w:val="clear" w:color="000000" w:fill="FFFFFF"/>
            <w:vAlign w:val="center"/>
            <w:hideMark/>
          </w:tcPr>
          <w:p w14:paraId="5509A292"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6DAEAEBA" w14:textId="77777777" w:rsidR="00AD6A55" w:rsidRPr="00DE1AF3" w:rsidRDefault="00AD6A55" w:rsidP="00AD6A55">
            <w:pPr>
              <w:pStyle w:val="TableText0"/>
              <w:rPr>
                <w:lang w:val="en-GB" w:eastAsia="en-GB"/>
              </w:rPr>
            </w:pPr>
            <w:r w:rsidRPr="00DE1AF3">
              <w:rPr>
                <w:lang w:val="en-GB" w:eastAsia="en-GB"/>
              </w:rPr>
              <w:t>Education</w:t>
            </w:r>
          </w:p>
        </w:tc>
        <w:tc>
          <w:tcPr>
            <w:tcW w:w="1281" w:type="dxa"/>
            <w:vAlign w:val="center"/>
          </w:tcPr>
          <w:p w14:paraId="617200CA"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71C230DA" w14:textId="77777777" w:rsidTr="00AD6A55">
        <w:trPr>
          <w:cantSplit/>
          <w:trHeight w:val="900"/>
        </w:trPr>
        <w:tc>
          <w:tcPr>
            <w:tcW w:w="1079" w:type="dxa"/>
            <w:shd w:val="clear" w:color="auto" w:fill="auto"/>
            <w:vAlign w:val="center"/>
            <w:hideMark/>
          </w:tcPr>
          <w:p w14:paraId="1233E1D3" w14:textId="77777777" w:rsidR="00AD6A55" w:rsidRPr="00DE1AF3" w:rsidRDefault="00AD6A55" w:rsidP="00AD6A55">
            <w:pPr>
              <w:pStyle w:val="TableText0"/>
              <w:rPr>
                <w:lang w:val="en-GB" w:eastAsia="en-GB"/>
              </w:rPr>
            </w:pPr>
            <w:r w:rsidRPr="00DE1AF3">
              <w:rPr>
                <w:lang w:val="en-GB" w:eastAsia="en-GB"/>
              </w:rPr>
              <w:t>INI171</w:t>
            </w:r>
          </w:p>
        </w:tc>
        <w:tc>
          <w:tcPr>
            <w:tcW w:w="4168" w:type="dxa"/>
            <w:shd w:val="clear" w:color="000000" w:fill="FFFFFF"/>
            <w:vAlign w:val="center"/>
            <w:hideMark/>
          </w:tcPr>
          <w:p w14:paraId="6B6B09BB" w14:textId="77777777" w:rsidR="00AD6A55" w:rsidRPr="00DE1AF3" w:rsidRDefault="00AD6A55" w:rsidP="00AD6A55">
            <w:pPr>
              <w:pStyle w:val="TableText0"/>
              <w:rPr>
                <w:lang w:val="en-GB" w:eastAsia="en-GB"/>
              </w:rPr>
            </w:pPr>
            <w:r>
              <w:rPr>
                <w:lang w:val="en-GB" w:eastAsia="en-GB"/>
              </w:rPr>
              <w:t xml:space="preserve">Independent Progress Report for </w:t>
            </w:r>
            <w:r w:rsidRPr="00DE1AF3">
              <w:rPr>
                <w:lang w:val="en-GB" w:eastAsia="en-GB"/>
              </w:rPr>
              <w:t>Provincial Road Management Facility (PRMF)</w:t>
            </w:r>
          </w:p>
        </w:tc>
        <w:tc>
          <w:tcPr>
            <w:tcW w:w="1437" w:type="dxa"/>
            <w:shd w:val="clear" w:color="000000" w:fill="FFFFFF"/>
            <w:noWrap/>
            <w:vAlign w:val="center"/>
            <w:hideMark/>
          </w:tcPr>
          <w:p w14:paraId="04613FFA" w14:textId="77777777" w:rsidR="00AD6A55" w:rsidRPr="00DE1AF3" w:rsidRDefault="00AD6A55" w:rsidP="00AD6A55">
            <w:pPr>
              <w:pStyle w:val="TableText0"/>
              <w:rPr>
                <w:lang w:val="en-GB" w:eastAsia="en-GB"/>
              </w:rPr>
            </w:pPr>
            <w:r w:rsidRPr="00DE1AF3">
              <w:rPr>
                <w:lang w:val="en-GB" w:eastAsia="en-GB"/>
              </w:rPr>
              <w:t>Philippines</w:t>
            </w:r>
          </w:p>
        </w:tc>
        <w:tc>
          <w:tcPr>
            <w:tcW w:w="1617" w:type="dxa"/>
            <w:shd w:val="clear" w:color="auto" w:fill="auto"/>
            <w:vAlign w:val="center"/>
            <w:hideMark/>
          </w:tcPr>
          <w:p w14:paraId="21E002CF" w14:textId="77777777" w:rsidR="00AD6A55" w:rsidRPr="00DE1AF3" w:rsidRDefault="00AD6A55" w:rsidP="00AD6A55">
            <w:pPr>
              <w:pStyle w:val="TableText0"/>
              <w:rPr>
                <w:lang w:val="en-GB" w:eastAsia="en-GB"/>
              </w:rPr>
            </w:pPr>
            <w:r w:rsidRPr="00DE1AF3">
              <w:rPr>
                <w:lang w:val="en-GB" w:eastAsia="en-GB"/>
              </w:rPr>
              <w:t>Infrastructure</w:t>
            </w:r>
          </w:p>
        </w:tc>
        <w:tc>
          <w:tcPr>
            <w:tcW w:w="1281" w:type="dxa"/>
            <w:vAlign w:val="center"/>
          </w:tcPr>
          <w:p w14:paraId="29D88063"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47C9A107" w14:textId="77777777" w:rsidTr="00AD6A55">
        <w:trPr>
          <w:cantSplit/>
          <w:trHeight w:val="900"/>
        </w:trPr>
        <w:tc>
          <w:tcPr>
            <w:tcW w:w="1079" w:type="dxa"/>
            <w:shd w:val="clear" w:color="auto" w:fill="auto"/>
            <w:noWrap/>
            <w:vAlign w:val="center"/>
            <w:hideMark/>
          </w:tcPr>
          <w:p w14:paraId="41D901B3" w14:textId="77777777" w:rsidR="00AD6A55" w:rsidRPr="00DE1AF3" w:rsidRDefault="00AD6A55" w:rsidP="00AD6A55">
            <w:pPr>
              <w:pStyle w:val="TableText0"/>
              <w:rPr>
                <w:lang w:val="en-GB" w:eastAsia="en-GB"/>
              </w:rPr>
            </w:pPr>
            <w:r w:rsidRPr="00DE1AF3">
              <w:rPr>
                <w:lang w:val="en-GB" w:eastAsia="en-GB"/>
              </w:rPr>
              <w:t>INI194</w:t>
            </w:r>
          </w:p>
        </w:tc>
        <w:tc>
          <w:tcPr>
            <w:tcW w:w="4168" w:type="dxa"/>
            <w:shd w:val="clear" w:color="000000" w:fill="FFFFFF"/>
            <w:vAlign w:val="center"/>
            <w:hideMark/>
          </w:tcPr>
          <w:p w14:paraId="3D22F616" w14:textId="77777777" w:rsidR="00AD6A55" w:rsidRPr="00DE1AF3" w:rsidRDefault="00AD6A55" w:rsidP="00AD6A55">
            <w:pPr>
              <w:pStyle w:val="TableText0"/>
              <w:rPr>
                <w:lang w:val="en-GB" w:eastAsia="en-GB"/>
              </w:rPr>
            </w:pPr>
            <w:r>
              <w:rPr>
                <w:lang w:val="en-GB" w:eastAsia="en-GB"/>
              </w:rPr>
              <w:t xml:space="preserve">Independent Progress Report for </w:t>
            </w:r>
            <w:r w:rsidRPr="00DE1AF3">
              <w:rPr>
                <w:lang w:val="en-GB" w:eastAsia="en-GB"/>
              </w:rPr>
              <w:t xml:space="preserve">PNG–Australia Law &amp; Justice Partnership </w:t>
            </w:r>
          </w:p>
        </w:tc>
        <w:tc>
          <w:tcPr>
            <w:tcW w:w="1437" w:type="dxa"/>
            <w:shd w:val="clear" w:color="000000" w:fill="FFFFFF"/>
            <w:noWrap/>
            <w:vAlign w:val="center"/>
            <w:hideMark/>
          </w:tcPr>
          <w:p w14:paraId="01477D77" w14:textId="77777777" w:rsidR="00AD6A55" w:rsidRPr="00DE1AF3" w:rsidRDefault="00AD6A55" w:rsidP="00AD6A55">
            <w:pPr>
              <w:pStyle w:val="TableText0"/>
              <w:rPr>
                <w:lang w:val="en-GB" w:eastAsia="en-GB"/>
              </w:rPr>
            </w:pPr>
            <w:r>
              <w:rPr>
                <w:lang w:val="en-GB" w:eastAsia="en-GB"/>
              </w:rPr>
              <w:t>Papua New Guinea</w:t>
            </w:r>
          </w:p>
        </w:tc>
        <w:tc>
          <w:tcPr>
            <w:tcW w:w="1617" w:type="dxa"/>
            <w:shd w:val="clear" w:color="auto" w:fill="auto"/>
            <w:vAlign w:val="center"/>
            <w:hideMark/>
          </w:tcPr>
          <w:p w14:paraId="2EA4FF0B" w14:textId="77777777" w:rsidR="00AD6A55" w:rsidRPr="00DE1AF3" w:rsidRDefault="00AD6A55" w:rsidP="00AD6A55">
            <w:pPr>
              <w:pStyle w:val="TableText0"/>
              <w:rPr>
                <w:lang w:val="en-GB" w:eastAsia="en-GB"/>
              </w:rPr>
            </w:pPr>
            <w:r>
              <w:rPr>
                <w:lang w:val="en-GB" w:eastAsia="en-GB"/>
              </w:rPr>
              <w:t xml:space="preserve">Security </w:t>
            </w:r>
            <w:r w:rsidRPr="00DE1AF3">
              <w:rPr>
                <w:lang w:val="en-GB" w:eastAsia="en-GB"/>
              </w:rPr>
              <w:t>and justice</w:t>
            </w:r>
          </w:p>
        </w:tc>
        <w:tc>
          <w:tcPr>
            <w:tcW w:w="1281" w:type="dxa"/>
            <w:vAlign w:val="center"/>
          </w:tcPr>
          <w:p w14:paraId="0AD92769"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1CDD134C" w14:textId="77777777" w:rsidTr="00AD6A55">
        <w:trPr>
          <w:cantSplit/>
          <w:trHeight w:val="900"/>
        </w:trPr>
        <w:tc>
          <w:tcPr>
            <w:tcW w:w="1079" w:type="dxa"/>
            <w:shd w:val="clear" w:color="auto" w:fill="auto"/>
            <w:noWrap/>
            <w:vAlign w:val="center"/>
            <w:hideMark/>
          </w:tcPr>
          <w:p w14:paraId="1D335C61" w14:textId="77777777" w:rsidR="00AD6A55" w:rsidRPr="00DE1AF3" w:rsidRDefault="00AD6A55" w:rsidP="00AD6A55">
            <w:pPr>
              <w:pStyle w:val="TableText0"/>
              <w:rPr>
                <w:lang w:val="en-GB" w:eastAsia="en-GB"/>
              </w:rPr>
            </w:pPr>
            <w:r w:rsidRPr="00DE1AF3">
              <w:rPr>
                <w:lang w:val="en-GB" w:eastAsia="en-GB"/>
              </w:rPr>
              <w:t>INI311</w:t>
            </w:r>
          </w:p>
        </w:tc>
        <w:tc>
          <w:tcPr>
            <w:tcW w:w="4168" w:type="dxa"/>
            <w:shd w:val="clear" w:color="000000" w:fill="FFFFFF"/>
            <w:vAlign w:val="center"/>
            <w:hideMark/>
          </w:tcPr>
          <w:p w14:paraId="566BB454" w14:textId="77777777" w:rsidR="00AD6A55" w:rsidRPr="00DE1AF3" w:rsidRDefault="00AD6A55" w:rsidP="00AD6A55">
            <w:pPr>
              <w:pStyle w:val="TableText0"/>
              <w:rPr>
                <w:lang w:val="en-GB" w:eastAsia="en-GB"/>
              </w:rPr>
            </w:pPr>
            <w:r w:rsidRPr="00DE1AF3">
              <w:rPr>
                <w:lang w:val="en-GB" w:eastAsia="en-GB"/>
              </w:rPr>
              <w:t xml:space="preserve">Mid Term Review of the Vanuatu </w:t>
            </w:r>
            <w:proofErr w:type="spellStart"/>
            <w:r w:rsidRPr="00DE1AF3">
              <w:rPr>
                <w:lang w:val="en-GB" w:eastAsia="en-GB"/>
              </w:rPr>
              <w:t>Kastom</w:t>
            </w:r>
            <w:proofErr w:type="spellEnd"/>
            <w:r w:rsidRPr="00DE1AF3">
              <w:rPr>
                <w:lang w:val="en-GB" w:eastAsia="en-GB"/>
              </w:rPr>
              <w:t xml:space="preserve"> Governance Partnership Program</w:t>
            </w:r>
          </w:p>
        </w:tc>
        <w:tc>
          <w:tcPr>
            <w:tcW w:w="1437" w:type="dxa"/>
            <w:shd w:val="clear" w:color="000000" w:fill="FFFFFF"/>
            <w:noWrap/>
            <w:vAlign w:val="center"/>
            <w:hideMark/>
          </w:tcPr>
          <w:p w14:paraId="7CF1D21A" w14:textId="77777777" w:rsidR="00AD6A55" w:rsidRPr="00DE1AF3" w:rsidRDefault="00AD6A55" w:rsidP="00AD6A55">
            <w:pPr>
              <w:pStyle w:val="TableText0"/>
              <w:rPr>
                <w:lang w:val="en-GB" w:eastAsia="en-GB"/>
              </w:rPr>
            </w:pPr>
            <w:r w:rsidRPr="00DE1AF3">
              <w:rPr>
                <w:lang w:val="en-GB" w:eastAsia="en-GB"/>
              </w:rPr>
              <w:t>Vanuatu</w:t>
            </w:r>
          </w:p>
        </w:tc>
        <w:tc>
          <w:tcPr>
            <w:tcW w:w="1617" w:type="dxa"/>
            <w:shd w:val="clear" w:color="auto" w:fill="auto"/>
            <w:vAlign w:val="center"/>
            <w:hideMark/>
          </w:tcPr>
          <w:p w14:paraId="64163C9C"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44200E9A"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336956FA" w14:textId="77777777" w:rsidTr="00AD6A55">
        <w:trPr>
          <w:cantSplit/>
          <w:trHeight w:val="900"/>
        </w:trPr>
        <w:tc>
          <w:tcPr>
            <w:tcW w:w="1079" w:type="dxa"/>
            <w:shd w:val="clear" w:color="auto" w:fill="auto"/>
            <w:noWrap/>
            <w:vAlign w:val="center"/>
            <w:hideMark/>
          </w:tcPr>
          <w:p w14:paraId="683A0CEB" w14:textId="77777777" w:rsidR="00AD6A55" w:rsidRPr="00DE1AF3" w:rsidRDefault="00AD6A55" w:rsidP="00AD6A55">
            <w:pPr>
              <w:pStyle w:val="TableText0"/>
              <w:rPr>
                <w:lang w:val="en-GB" w:eastAsia="en-GB"/>
              </w:rPr>
            </w:pPr>
            <w:r w:rsidRPr="00DE1AF3">
              <w:rPr>
                <w:lang w:val="en-GB" w:eastAsia="en-GB"/>
              </w:rPr>
              <w:t>INI355</w:t>
            </w:r>
          </w:p>
        </w:tc>
        <w:tc>
          <w:tcPr>
            <w:tcW w:w="4168" w:type="dxa"/>
            <w:shd w:val="clear" w:color="000000" w:fill="FFFFFF"/>
            <w:vAlign w:val="center"/>
            <w:hideMark/>
          </w:tcPr>
          <w:p w14:paraId="160E8A0F" w14:textId="77777777" w:rsidR="00AD6A55" w:rsidRDefault="00AD6A55" w:rsidP="00AD6A55">
            <w:pPr>
              <w:pStyle w:val="TableText0"/>
              <w:rPr>
                <w:lang w:val="en-GB" w:eastAsia="en-GB"/>
              </w:rPr>
            </w:pPr>
            <w:r>
              <w:rPr>
                <w:lang w:val="en-GB" w:eastAsia="en-GB"/>
              </w:rPr>
              <w:t xml:space="preserve">Independent Progress Report for </w:t>
            </w:r>
            <w:r w:rsidRPr="00DE1AF3">
              <w:rPr>
                <w:lang w:val="en-GB" w:eastAsia="en-GB"/>
              </w:rPr>
              <w:t xml:space="preserve">Local Governance Innovations for Communities in Aceh, Phase II </w:t>
            </w:r>
          </w:p>
          <w:p w14:paraId="46D33080" w14:textId="77777777" w:rsidR="00AD6A55" w:rsidRPr="00DE1AF3" w:rsidRDefault="00AD6A55" w:rsidP="00AD6A55">
            <w:pPr>
              <w:pStyle w:val="TableText0"/>
              <w:rPr>
                <w:lang w:val="en-GB" w:eastAsia="en-GB"/>
              </w:rPr>
            </w:pPr>
            <w:r w:rsidRPr="00DE1AF3">
              <w:rPr>
                <w:lang w:val="en-GB" w:eastAsia="en-GB"/>
              </w:rPr>
              <w:t xml:space="preserve">(LOGICA2) </w:t>
            </w:r>
          </w:p>
        </w:tc>
        <w:tc>
          <w:tcPr>
            <w:tcW w:w="1437" w:type="dxa"/>
            <w:shd w:val="clear" w:color="000000" w:fill="FFFFFF"/>
            <w:noWrap/>
            <w:vAlign w:val="center"/>
            <w:hideMark/>
          </w:tcPr>
          <w:p w14:paraId="2EF86A2E"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0B0E2BB9"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39B016D9"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7AE81981" w14:textId="77777777" w:rsidTr="00AD6A55">
        <w:trPr>
          <w:cantSplit/>
          <w:trHeight w:val="900"/>
        </w:trPr>
        <w:tc>
          <w:tcPr>
            <w:tcW w:w="1079" w:type="dxa"/>
            <w:shd w:val="clear" w:color="auto" w:fill="auto"/>
            <w:noWrap/>
            <w:vAlign w:val="center"/>
            <w:hideMark/>
          </w:tcPr>
          <w:p w14:paraId="6B3A8DFC" w14:textId="77777777" w:rsidR="00AD6A55" w:rsidRPr="00DE1AF3" w:rsidRDefault="00AD6A55" w:rsidP="00AD6A55">
            <w:pPr>
              <w:pStyle w:val="TableText0"/>
              <w:rPr>
                <w:lang w:val="en-GB" w:eastAsia="en-GB"/>
              </w:rPr>
            </w:pPr>
            <w:r w:rsidRPr="00DE1AF3">
              <w:rPr>
                <w:lang w:val="en-GB" w:eastAsia="en-GB"/>
              </w:rPr>
              <w:t>INI422</w:t>
            </w:r>
          </w:p>
        </w:tc>
        <w:tc>
          <w:tcPr>
            <w:tcW w:w="4168" w:type="dxa"/>
            <w:shd w:val="clear" w:color="000000" w:fill="FFFFFF"/>
            <w:vAlign w:val="center"/>
            <w:hideMark/>
          </w:tcPr>
          <w:p w14:paraId="4065DC3B" w14:textId="77777777" w:rsidR="00AD6A55" w:rsidRPr="00DE1AF3" w:rsidRDefault="00AD6A55" w:rsidP="00AD6A55">
            <w:pPr>
              <w:pStyle w:val="TableText0"/>
              <w:rPr>
                <w:lang w:val="en-GB" w:eastAsia="en-GB"/>
              </w:rPr>
            </w:pPr>
            <w:r w:rsidRPr="00DE1AF3">
              <w:rPr>
                <w:lang w:val="en-GB" w:eastAsia="en-GB"/>
              </w:rPr>
              <w:t xml:space="preserve">Independent Progress Review </w:t>
            </w:r>
            <w:r>
              <w:rPr>
                <w:lang w:val="en-GB" w:eastAsia="en-GB"/>
              </w:rPr>
              <w:t xml:space="preserve">of the </w:t>
            </w:r>
            <w:r w:rsidRPr="00DE1AF3">
              <w:rPr>
                <w:lang w:val="en-GB" w:eastAsia="en-GB"/>
              </w:rPr>
              <w:t>Australia Indonesia Facility for Disaster Reduction</w:t>
            </w:r>
          </w:p>
        </w:tc>
        <w:tc>
          <w:tcPr>
            <w:tcW w:w="1437" w:type="dxa"/>
            <w:shd w:val="clear" w:color="000000" w:fill="FFFFFF"/>
            <w:noWrap/>
            <w:vAlign w:val="center"/>
            <w:hideMark/>
          </w:tcPr>
          <w:p w14:paraId="1EBE9BA0"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11651AF3" w14:textId="77777777" w:rsidR="00AD6A55" w:rsidRPr="00DE1AF3" w:rsidRDefault="00AD6A55" w:rsidP="00AD6A55">
            <w:pPr>
              <w:pStyle w:val="TableText0"/>
              <w:rPr>
                <w:lang w:val="en-GB" w:eastAsia="en-GB"/>
              </w:rPr>
            </w:pPr>
            <w:r w:rsidRPr="00DE1AF3">
              <w:rPr>
                <w:lang w:val="en-GB" w:eastAsia="en-GB"/>
              </w:rPr>
              <w:t>Humanitarian</w:t>
            </w:r>
            <w:r>
              <w:rPr>
                <w:lang w:val="en-GB" w:eastAsia="en-GB"/>
              </w:rPr>
              <w:t xml:space="preserve"> response</w:t>
            </w:r>
          </w:p>
        </w:tc>
        <w:tc>
          <w:tcPr>
            <w:tcW w:w="1281" w:type="dxa"/>
            <w:vAlign w:val="center"/>
          </w:tcPr>
          <w:p w14:paraId="6EC79D3D"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1E458603" w14:textId="77777777" w:rsidTr="00AD6A55">
        <w:trPr>
          <w:cantSplit/>
          <w:trHeight w:val="900"/>
        </w:trPr>
        <w:tc>
          <w:tcPr>
            <w:tcW w:w="1079" w:type="dxa"/>
            <w:shd w:val="clear" w:color="auto" w:fill="auto"/>
            <w:noWrap/>
            <w:vAlign w:val="center"/>
            <w:hideMark/>
          </w:tcPr>
          <w:p w14:paraId="2DCA2D7C" w14:textId="77777777" w:rsidR="00AD6A55" w:rsidRPr="00DE1AF3" w:rsidRDefault="00AD6A55" w:rsidP="00AD6A55">
            <w:pPr>
              <w:pStyle w:val="TableText0"/>
              <w:rPr>
                <w:lang w:val="en-GB" w:eastAsia="en-GB"/>
              </w:rPr>
            </w:pPr>
            <w:r w:rsidRPr="00DE1AF3">
              <w:rPr>
                <w:lang w:val="en-GB" w:eastAsia="en-GB"/>
              </w:rPr>
              <w:t>INI426</w:t>
            </w:r>
          </w:p>
        </w:tc>
        <w:tc>
          <w:tcPr>
            <w:tcW w:w="4168" w:type="dxa"/>
            <w:shd w:val="clear" w:color="000000" w:fill="FFFFFF"/>
            <w:vAlign w:val="center"/>
            <w:hideMark/>
          </w:tcPr>
          <w:p w14:paraId="403FB873" w14:textId="77777777" w:rsidR="00AD6A55" w:rsidRPr="00DE1AF3" w:rsidRDefault="00AD6A55" w:rsidP="00AD6A55">
            <w:pPr>
              <w:pStyle w:val="TableText0"/>
              <w:rPr>
                <w:lang w:val="en-GB" w:eastAsia="en-GB"/>
              </w:rPr>
            </w:pPr>
            <w:r w:rsidRPr="00DE1AF3">
              <w:rPr>
                <w:lang w:val="en-GB" w:eastAsia="en-GB"/>
              </w:rPr>
              <w:t xml:space="preserve">Independent Evaluation of Lessons Learned from </w:t>
            </w:r>
            <w:r>
              <w:rPr>
                <w:lang w:val="en-GB" w:eastAsia="en-GB"/>
              </w:rPr>
              <w:t xml:space="preserve">UN </w:t>
            </w:r>
            <w:r w:rsidRPr="00DE1AF3">
              <w:rPr>
                <w:lang w:val="en-GB" w:eastAsia="en-GB"/>
              </w:rPr>
              <w:t>Delivering as One</w:t>
            </w:r>
          </w:p>
        </w:tc>
        <w:tc>
          <w:tcPr>
            <w:tcW w:w="1437" w:type="dxa"/>
            <w:shd w:val="clear" w:color="000000" w:fill="FFFFFF"/>
            <w:noWrap/>
            <w:vAlign w:val="center"/>
            <w:hideMark/>
          </w:tcPr>
          <w:p w14:paraId="6793FBC7" w14:textId="77777777" w:rsidR="00AD6A55" w:rsidRPr="00DE1AF3" w:rsidRDefault="00AD6A55" w:rsidP="00AD6A55">
            <w:pPr>
              <w:pStyle w:val="TableText0"/>
              <w:rPr>
                <w:lang w:val="en-GB" w:eastAsia="en-GB"/>
              </w:rPr>
            </w:pPr>
            <w:proofErr w:type="spellStart"/>
            <w:r>
              <w:rPr>
                <w:lang w:val="en-GB" w:eastAsia="en-GB"/>
              </w:rPr>
              <w:t>Multicountry</w:t>
            </w:r>
            <w:proofErr w:type="spellEnd"/>
          </w:p>
        </w:tc>
        <w:tc>
          <w:tcPr>
            <w:tcW w:w="1617" w:type="dxa"/>
            <w:shd w:val="clear" w:color="auto" w:fill="auto"/>
            <w:vAlign w:val="center"/>
            <w:hideMark/>
          </w:tcPr>
          <w:p w14:paraId="332EDFA1" w14:textId="77777777" w:rsidR="00AD6A55" w:rsidRPr="00DE1AF3" w:rsidRDefault="00AD6A55" w:rsidP="00AD6A55">
            <w:pPr>
              <w:pStyle w:val="TableText0"/>
              <w:rPr>
                <w:lang w:val="en-GB" w:eastAsia="en-GB"/>
              </w:rPr>
            </w:pPr>
            <w:r>
              <w:rPr>
                <w:lang w:val="en-GB" w:eastAsia="en-GB"/>
              </w:rPr>
              <w:t>General development support</w:t>
            </w:r>
          </w:p>
        </w:tc>
        <w:tc>
          <w:tcPr>
            <w:tcW w:w="1281" w:type="dxa"/>
            <w:vAlign w:val="center"/>
          </w:tcPr>
          <w:p w14:paraId="2845F144"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0D42A47A" w14:textId="77777777" w:rsidTr="00AD6A55">
        <w:trPr>
          <w:cantSplit/>
          <w:trHeight w:val="900"/>
        </w:trPr>
        <w:tc>
          <w:tcPr>
            <w:tcW w:w="1079" w:type="dxa"/>
            <w:shd w:val="clear" w:color="auto" w:fill="auto"/>
            <w:noWrap/>
            <w:vAlign w:val="center"/>
            <w:hideMark/>
          </w:tcPr>
          <w:p w14:paraId="3D9EA45B" w14:textId="77777777" w:rsidR="00AD6A55" w:rsidRPr="00DE1AF3" w:rsidRDefault="00AD6A55" w:rsidP="00AD6A55">
            <w:pPr>
              <w:pStyle w:val="TableText0"/>
              <w:rPr>
                <w:lang w:val="en-GB" w:eastAsia="en-GB"/>
              </w:rPr>
            </w:pPr>
            <w:r w:rsidRPr="00DE1AF3">
              <w:rPr>
                <w:lang w:val="en-GB" w:eastAsia="en-GB"/>
              </w:rPr>
              <w:t>INI510</w:t>
            </w:r>
          </w:p>
        </w:tc>
        <w:tc>
          <w:tcPr>
            <w:tcW w:w="4168" w:type="dxa"/>
            <w:shd w:val="clear" w:color="000000" w:fill="FFFFFF"/>
            <w:vAlign w:val="center"/>
            <w:hideMark/>
          </w:tcPr>
          <w:p w14:paraId="0A1410E7" w14:textId="77777777" w:rsidR="00AD6A55" w:rsidRPr="00DE1AF3" w:rsidRDefault="00AD6A55" w:rsidP="00AD6A55">
            <w:pPr>
              <w:pStyle w:val="TableText0"/>
              <w:rPr>
                <w:lang w:val="en-GB" w:eastAsia="en-GB"/>
              </w:rPr>
            </w:pPr>
            <w:r w:rsidRPr="00DE1AF3">
              <w:rPr>
                <w:lang w:val="en-GB" w:eastAsia="en-GB"/>
              </w:rPr>
              <w:t>Review of the Afghanistan Reconstruction Trust Fund</w:t>
            </w:r>
          </w:p>
        </w:tc>
        <w:tc>
          <w:tcPr>
            <w:tcW w:w="1437" w:type="dxa"/>
            <w:shd w:val="clear" w:color="000000" w:fill="FFFFFF"/>
            <w:noWrap/>
            <w:vAlign w:val="center"/>
            <w:hideMark/>
          </w:tcPr>
          <w:p w14:paraId="3ED9193A" w14:textId="77777777" w:rsidR="00AD6A55" w:rsidRPr="00DE1AF3" w:rsidRDefault="00AD6A55" w:rsidP="00AD6A55">
            <w:pPr>
              <w:pStyle w:val="TableText0"/>
              <w:rPr>
                <w:lang w:val="en-GB" w:eastAsia="en-GB"/>
              </w:rPr>
            </w:pPr>
            <w:r w:rsidRPr="00DE1AF3">
              <w:rPr>
                <w:lang w:val="en-GB" w:eastAsia="en-GB"/>
              </w:rPr>
              <w:t>Afghanistan</w:t>
            </w:r>
          </w:p>
        </w:tc>
        <w:tc>
          <w:tcPr>
            <w:tcW w:w="1617" w:type="dxa"/>
            <w:shd w:val="clear" w:color="auto" w:fill="auto"/>
            <w:vAlign w:val="center"/>
            <w:hideMark/>
          </w:tcPr>
          <w:p w14:paraId="29A99F76" w14:textId="77777777" w:rsidR="00AD6A55" w:rsidRPr="00DE1AF3" w:rsidRDefault="00AD6A55" w:rsidP="00AD6A55">
            <w:pPr>
              <w:pStyle w:val="TableText0"/>
              <w:rPr>
                <w:lang w:val="en-GB" w:eastAsia="en-GB"/>
              </w:rPr>
            </w:pPr>
            <w:r>
              <w:rPr>
                <w:lang w:val="en-GB" w:eastAsia="en-GB"/>
              </w:rPr>
              <w:t>General development support</w:t>
            </w:r>
          </w:p>
        </w:tc>
        <w:tc>
          <w:tcPr>
            <w:tcW w:w="1281" w:type="dxa"/>
            <w:vAlign w:val="center"/>
          </w:tcPr>
          <w:p w14:paraId="6B574017" w14:textId="77777777" w:rsidR="00AD6A55" w:rsidRPr="00DE1AF3" w:rsidRDefault="00AD6A55" w:rsidP="00AD6A55">
            <w:pPr>
              <w:pStyle w:val="TableText0"/>
              <w:rPr>
                <w:lang w:val="en-GB" w:eastAsia="en-GB"/>
              </w:rPr>
            </w:pPr>
            <w:r w:rsidRPr="00DE1AF3">
              <w:rPr>
                <w:lang w:val="en-GB" w:eastAsia="en-GB"/>
              </w:rPr>
              <w:t>Yes</w:t>
            </w:r>
          </w:p>
        </w:tc>
      </w:tr>
    </w:tbl>
    <w:p w14:paraId="33D15BA1" w14:textId="77777777" w:rsidR="00AD6A55" w:rsidRDefault="00AD6A55" w:rsidP="00AD6A55">
      <w:pPr>
        <w:spacing w:before="57" w:after="142"/>
      </w:pPr>
      <w:r>
        <w:br w:type="page"/>
      </w:r>
    </w:p>
    <w:tbl>
      <w:tblPr>
        <w:tblW w:w="9582" w:type="dxa"/>
        <w:tblInd w:w="-176"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9"/>
        <w:gridCol w:w="4168"/>
        <w:gridCol w:w="1437"/>
        <w:gridCol w:w="1617"/>
        <w:gridCol w:w="1281"/>
      </w:tblGrid>
      <w:tr w:rsidR="00AD6A55" w:rsidRPr="001C2D74" w14:paraId="1F3AF8FD" w14:textId="77777777" w:rsidTr="00AD6A55">
        <w:trPr>
          <w:cantSplit/>
          <w:trHeight w:val="795"/>
        </w:trPr>
        <w:tc>
          <w:tcPr>
            <w:tcW w:w="1079" w:type="dxa"/>
            <w:shd w:val="clear" w:color="auto" w:fill="007FAD"/>
            <w:vAlign w:val="center"/>
            <w:hideMark/>
          </w:tcPr>
          <w:p w14:paraId="01B4FD7E" w14:textId="77777777" w:rsidR="00AD6A55" w:rsidRPr="00315553" w:rsidRDefault="00AD6A55" w:rsidP="00AD6A55">
            <w:pPr>
              <w:pStyle w:val="TableHeading21"/>
              <w:rPr>
                <w:i w:val="0"/>
                <w:lang w:val="en-GB" w:eastAsia="en-GB"/>
              </w:rPr>
            </w:pPr>
            <w:r w:rsidRPr="00315553">
              <w:rPr>
                <w:i w:val="0"/>
                <w:lang w:val="en-GB" w:eastAsia="en-GB"/>
              </w:rPr>
              <w:lastRenderedPageBreak/>
              <w:t xml:space="preserve">Initiative </w:t>
            </w:r>
            <w:r>
              <w:rPr>
                <w:i w:val="0"/>
                <w:lang w:val="en-GB" w:eastAsia="en-GB"/>
              </w:rPr>
              <w:t>number</w:t>
            </w:r>
          </w:p>
        </w:tc>
        <w:tc>
          <w:tcPr>
            <w:tcW w:w="4168" w:type="dxa"/>
            <w:shd w:val="clear" w:color="auto" w:fill="007FAD"/>
            <w:vAlign w:val="center"/>
            <w:hideMark/>
          </w:tcPr>
          <w:p w14:paraId="176D81A0" w14:textId="77777777" w:rsidR="00AD6A55" w:rsidRPr="00315553" w:rsidRDefault="00AD6A55" w:rsidP="00AD6A55">
            <w:pPr>
              <w:pStyle w:val="TableHeading21"/>
              <w:rPr>
                <w:i w:val="0"/>
                <w:lang w:val="en-GB" w:eastAsia="en-GB"/>
              </w:rPr>
            </w:pPr>
            <w:r w:rsidRPr="00315553">
              <w:rPr>
                <w:i w:val="0"/>
                <w:lang w:val="en-GB" w:eastAsia="en-GB"/>
              </w:rPr>
              <w:t>Evaluation title</w:t>
            </w:r>
          </w:p>
        </w:tc>
        <w:tc>
          <w:tcPr>
            <w:tcW w:w="1437" w:type="dxa"/>
            <w:shd w:val="clear" w:color="auto" w:fill="007FAD"/>
            <w:vAlign w:val="center"/>
            <w:hideMark/>
          </w:tcPr>
          <w:p w14:paraId="5F12891A" w14:textId="77777777" w:rsidR="00AD6A55" w:rsidRPr="00315553" w:rsidRDefault="00AD6A55" w:rsidP="00AD6A55">
            <w:pPr>
              <w:pStyle w:val="TableHeading21"/>
              <w:rPr>
                <w:i w:val="0"/>
                <w:lang w:val="en-GB" w:eastAsia="en-GB"/>
              </w:rPr>
            </w:pPr>
            <w:r w:rsidRPr="00315553">
              <w:rPr>
                <w:i w:val="0"/>
                <w:lang w:val="en-GB" w:eastAsia="en-GB"/>
              </w:rPr>
              <w:t>Country</w:t>
            </w:r>
          </w:p>
        </w:tc>
        <w:tc>
          <w:tcPr>
            <w:tcW w:w="1617" w:type="dxa"/>
            <w:shd w:val="clear" w:color="auto" w:fill="007FAD"/>
            <w:vAlign w:val="center"/>
            <w:hideMark/>
          </w:tcPr>
          <w:p w14:paraId="6522A134" w14:textId="77777777" w:rsidR="00AD6A55" w:rsidRPr="00315553" w:rsidRDefault="00AD6A55" w:rsidP="00AD6A55">
            <w:pPr>
              <w:pStyle w:val="TableHeading21"/>
              <w:rPr>
                <w:i w:val="0"/>
                <w:lang w:val="en-GB" w:eastAsia="en-GB"/>
              </w:rPr>
            </w:pPr>
            <w:r w:rsidRPr="00315553">
              <w:rPr>
                <w:i w:val="0"/>
                <w:lang w:val="en-GB" w:eastAsia="en-GB"/>
              </w:rPr>
              <w:t>Primary sector</w:t>
            </w:r>
          </w:p>
        </w:tc>
        <w:tc>
          <w:tcPr>
            <w:tcW w:w="1281" w:type="dxa"/>
            <w:shd w:val="clear" w:color="auto" w:fill="007FAD"/>
            <w:vAlign w:val="center"/>
          </w:tcPr>
          <w:p w14:paraId="7C8F4445" w14:textId="77777777" w:rsidR="00AD6A55" w:rsidRPr="00315553" w:rsidRDefault="00AD6A55" w:rsidP="00AD6A55">
            <w:pPr>
              <w:pStyle w:val="TableHeading21"/>
              <w:rPr>
                <w:i w:val="0"/>
                <w:lang w:val="en-GB" w:eastAsia="en-GB"/>
              </w:rPr>
            </w:pPr>
            <w:r w:rsidRPr="00315553">
              <w:rPr>
                <w:i w:val="0"/>
                <w:lang w:val="en-GB" w:eastAsia="en-GB"/>
              </w:rPr>
              <w:t>Published on DFAT website?</w:t>
            </w:r>
          </w:p>
        </w:tc>
      </w:tr>
      <w:tr w:rsidR="00AD6A55" w:rsidRPr="00DE1AF3" w14:paraId="78C55ED3" w14:textId="77777777" w:rsidTr="00AD6A55">
        <w:trPr>
          <w:cantSplit/>
          <w:trHeight w:val="900"/>
        </w:trPr>
        <w:tc>
          <w:tcPr>
            <w:tcW w:w="1079" w:type="dxa"/>
            <w:shd w:val="clear" w:color="auto" w:fill="auto"/>
            <w:vAlign w:val="center"/>
            <w:hideMark/>
          </w:tcPr>
          <w:p w14:paraId="41E653FC" w14:textId="77777777" w:rsidR="00AD6A55" w:rsidRPr="00DE1AF3" w:rsidRDefault="00AD6A55" w:rsidP="00AD6A55">
            <w:pPr>
              <w:pStyle w:val="TableText0"/>
              <w:rPr>
                <w:lang w:val="en-GB" w:eastAsia="en-GB"/>
              </w:rPr>
            </w:pPr>
            <w:r w:rsidRPr="00DE1AF3">
              <w:rPr>
                <w:lang w:val="en-GB" w:eastAsia="en-GB"/>
              </w:rPr>
              <w:t>INI592</w:t>
            </w:r>
          </w:p>
        </w:tc>
        <w:tc>
          <w:tcPr>
            <w:tcW w:w="4168" w:type="dxa"/>
            <w:shd w:val="clear" w:color="000000" w:fill="FFFFFF"/>
            <w:vAlign w:val="center"/>
            <w:hideMark/>
          </w:tcPr>
          <w:p w14:paraId="3C30B913" w14:textId="77777777" w:rsidR="00AD6A55" w:rsidRPr="00DE1AF3" w:rsidRDefault="00AD6A55" w:rsidP="00AD6A55">
            <w:pPr>
              <w:pStyle w:val="TableText0"/>
              <w:rPr>
                <w:lang w:val="en-GB" w:eastAsia="en-GB"/>
              </w:rPr>
            </w:pPr>
            <w:r w:rsidRPr="00DE1AF3">
              <w:rPr>
                <w:lang w:val="en-GB" w:eastAsia="en-GB"/>
              </w:rPr>
              <w:t xml:space="preserve">Independent Completion Review </w:t>
            </w:r>
            <w:r>
              <w:rPr>
                <w:lang w:val="en-GB" w:eastAsia="en-GB"/>
              </w:rPr>
              <w:t xml:space="preserve">of the </w:t>
            </w:r>
            <w:r w:rsidRPr="00DE1AF3">
              <w:rPr>
                <w:lang w:val="en-GB" w:eastAsia="en-GB"/>
              </w:rPr>
              <w:t>Civil Society Water, Sanitation and Hygiene Fund</w:t>
            </w:r>
          </w:p>
        </w:tc>
        <w:tc>
          <w:tcPr>
            <w:tcW w:w="1437" w:type="dxa"/>
            <w:shd w:val="clear" w:color="000000" w:fill="FFFFFF"/>
            <w:noWrap/>
            <w:vAlign w:val="center"/>
            <w:hideMark/>
          </w:tcPr>
          <w:p w14:paraId="3438DAA1" w14:textId="77777777" w:rsidR="00AD6A55" w:rsidRPr="00DE1AF3" w:rsidRDefault="00AD6A55" w:rsidP="00AD6A55">
            <w:pPr>
              <w:pStyle w:val="TableText0"/>
              <w:rPr>
                <w:lang w:val="en-GB" w:eastAsia="en-GB"/>
              </w:rPr>
            </w:pPr>
            <w:proofErr w:type="spellStart"/>
            <w:r w:rsidRPr="00DE1AF3">
              <w:rPr>
                <w:lang w:val="en-GB" w:eastAsia="en-GB"/>
              </w:rPr>
              <w:t>Multicountry</w:t>
            </w:r>
            <w:proofErr w:type="spellEnd"/>
          </w:p>
        </w:tc>
        <w:tc>
          <w:tcPr>
            <w:tcW w:w="1617" w:type="dxa"/>
            <w:shd w:val="clear" w:color="auto" w:fill="auto"/>
            <w:vAlign w:val="center"/>
            <w:hideMark/>
          </w:tcPr>
          <w:p w14:paraId="04282C55" w14:textId="77777777" w:rsidR="00AD6A55" w:rsidRPr="00DE1AF3" w:rsidRDefault="00AD6A55" w:rsidP="00AD6A55">
            <w:pPr>
              <w:pStyle w:val="TableText0"/>
              <w:rPr>
                <w:lang w:val="en-GB" w:eastAsia="en-GB"/>
              </w:rPr>
            </w:pPr>
            <w:r w:rsidRPr="00DE1AF3">
              <w:rPr>
                <w:lang w:val="en-GB" w:eastAsia="en-GB"/>
              </w:rPr>
              <w:t>Water and sanitation</w:t>
            </w:r>
          </w:p>
        </w:tc>
        <w:tc>
          <w:tcPr>
            <w:tcW w:w="1281" w:type="dxa"/>
            <w:vAlign w:val="center"/>
          </w:tcPr>
          <w:p w14:paraId="14396431"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05E98542" w14:textId="77777777" w:rsidTr="00AD6A55">
        <w:trPr>
          <w:cantSplit/>
          <w:trHeight w:val="900"/>
        </w:trPr>
        <w:tc>
          <w:tcPr>
            <w:tcW w:w="1079" w:type="dxa"/>
            <w:shd w:val="clear" w:color="auto" w:fill="auto"/>
            <w:vAlign w:val="center"/>
            <w:hideMark/>
          </w:tcPr>
          <w:p w14:paraId="46D3B93E" w14:textId="77777777" w:rsidR="00AD6A55" w:rsidRPr="00DE1AF3" w:rsidRDefault="00AD6A55" w:rsidP="00AD6A55">
            <w:pPr>
              <w:pStyle w:val="TableText0"/>
              <w:rPr>
                <w:lang w:val="en-GB" w:eastAsia="en-GB"/>
              </w:rPr>
            </w:pPr>
            <w:r>
              <w:rPr>
                <w:lang w:val="en-GB" w:eastAsia="en-GB"/>
              </w:rPr>
              <w:t>INI632</w:t>
            </w:r>
          </w:p>
        </w:tc>
        <w:tc>
          <w:tcPr>
            <w:tcW w:w="4168" w:type="dxa"/>
            <w:shd w:val="clear" w:color="000000" w:fill="FFFFFF"/>
            <w:vAlign w:val="center"/>
            <w:hideMark/>
          </w:tcPr>
          <w:p w14:paraId="43764B47" w14:textId="77777777" w:rsidR="00AD6A55" w:rsidRPr="00DE1AF3" w:rsidRDefault="00AD6A55" w:rsidP="00AD6A55">
            <w:pPr>
              <w:pStyle w:val="TableText0"/>
              <w:rPr>
                <w:lang w:val="en-GB" w:eastAsia="en-GB"/>
              </w:rPr>
            </w:pPr>
            <w:r w:rsidRPr="00DE1AF3">
              <w:rPr>
                <w:lang w:val="en-GB" w:eastAsia="en-GB"/>
              </w:rPr>
              <w:t xml:space="preserve">Mid Term Review of </w:t>
            </w:r>
            <w:r>
              <w:rPr>
                <w:lang w:val="en-GB" w:eastAsia="en-GB"/>
              </w:rPr>
              <w:t xml:space="preserve">the </w:t>
            </w:r>
            <w:r w:rsidRPr="00DE1AF3">
              <w:rPr>
                <w:lang w:val="en-GB" w:eastAsia="en-GB"/>
              </w:rPr>
              <w:t>Australia–WB Philippines Development Trust Fund</w:t>
            </w:r>
          </w:p>
        </w:tc>
        <w:tc>
          <w:tcPr>
            <w:tcW w:w="1437" w:type="dxa"/>
            <w:shd w:val="clear" w:color="000000" w:fill="FFFFFF"/>
            <w:noWrap/>
            <w:vAlign w:val="center"/>
            <w:hideMark/>
          </w:tcPr>
          <w:p w14:paraId="2C32AEC6" w14:textId="77777777" w:rsidR="00AD6A55" w:rsidRPr="00DE1AF3" w:rsidRDefault="00AD6A55" w:rsidP="00AD6A55">
            <w:pPr>
              <w:pStyle w:val="TableText0"/>
              <w:rPr>
                <w:lang w:val="en-GB" w:eastAsia="en-GB"/>
              </w:rPr>
            </w:pPr>
            <w:r w:rsidRPr="00DE1AF3">
              <w:rPr>
                <w:lang w:val="en-GB" w:eastAsia="en-GB"/>
              </w:rPr>
              <w:t>Philippines</w:t>
            </w:r>
          </w:p>
        </w:tc>
        <w:tc>
          <w:tcPr>
            <w:tcW w:w="1617" w:type="dxa"/>
            <w:shd w:val="clear" w:color="auto" w:fill="auto"/>
            <w:vAlign w:val="center"/>
            <w:hideMark/>
          </w:tcPr>
          <w:p w14:paraId="2F679C73" w14:textId="77777777" w:rsidR="00AD6A55" w:rsidRPr="00DE1AF3" w:rsidRDefault="00AD6A55" w:rsidP="00AD6A55">
            <w:pPr>
              <w:pStyle w:val="TableText0"/>
              <w:rPr>
                <w:lang w:val="en-GB" w:eastAsia="en-GB"/>
              </w:rPr>
            </w:pPr>
            <w:r>
              <w:rPr>
                <w:lang w:val="en-GB" w:eastAsia="en-GB"/>
              </w:rPr>
              <w:t>General development support</w:t>
            </w:r>
          </w:p>
        </w:tc>
        <w:tc>
          <w:tcPr>
            <w:tcW w:w="1281" w:type="dxa"/>
            <w:vAlign w:val="center"/>
          </w:tcPr>
          <w:p w14:paraId="34E9BC4C"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1F83DBD4" w14:textId="77777777" w:rsidTr="00AD6A55">
        <w:trPr>
          <w:cantSplit/>
          <w:trHeight w:val="900"/>
        </w:trPr>
        <w:tc>
          <w:tcPr>
            <w:tcW w:w="1079" w:type="dxa"/>
            <w:shd w:val="clear" w:color="auto" w:fill="auto"/>
            <w:vAlign w:val="center"/>
            <w:hideMark/>
          </w:tcPr>
          <w:p w14:paraId="6AA9D9B0" w14:textId="77777777" w:rsidR="00AD6A55" w:rsidRPr="00DE1AF3" w:rsidRDefault="00AD6A55" w:rsidP="00AD6A55">
            <w:pPr>
              <w:pStyle w:val="TableText0"/>
              <w:rPr>
                <w:lang w:val="en-GB" w:eastAsia="en-GB"/>
              </w:rPr>
            </w:pPr>
            <w:r w:rsidRPr="00DE1AF3">
              <w:rPr>
                <w:lang w:val="en-GB" w:eastAsia="en-GB"/>
              </w:rPr>
              <w:t>INI661</w:t>
            </w:r>
          </w:p>
        </w:tc>
        <w:tc>
          <w:tcPr>
            <w:tcW w:w="4168" w:type="dxa"/>
            <w:shd w:val="clear" w:color="000000" w:fill="FFFFFF"/>
            <w:vAlign w:val="center"/>
            <w:hideMark/>
          </w:tcPr>
          <w:p w14:paraId="1111354B" w14:textId="77777777" w:rsidR="00AD6A55" w:rsidRPr="00DE1AF3" w:rsidRDefault="00AD6A55" w:rsidP="00AD6A55">
            <w:pPr>
              <w:pStyle w:val="TableText0"/>
              <w:rPr>
                <w:lang w:val="en-GB" w:eastAsia="en-GB"/>
              </w:rPr>
            </w:pPr>
            <w:r w:rsidRPr="00DE1AF3">
              <w:rPr>
                <w:lang w:val="en-GB" w:eastAsia="en-GB"/>
              </w:rPr>
              <w:t xml:space="preserve">Independent Review </w:t>
            </w:r>
            <w:r>
              <w:rPr>
                <w:lang w:val="en-GB" w:eastAsia="en-GB"/>
              </w:rPr>
              <w:t xml:space="preserve">of the </w:t>
            </w:r>
            <w:r w:rsidRPr="00DE1AF3">
              <w:rPr>
                <w:lang w:val="en-GB" w:eastAsia="en-GB"/>
              </w:rPr>
              <w:t>SIG-RAMSI Public Sector Improvement Program (PSIP) Year 4</w:t>
            </w:r>
          </w:p>
        </w:tc>
        <w:tc>
          <w:tcPr>
            <w:tcW w:w="1437" w:type="dxa"/>
            <w:shd w:val="clear" w:color="000000" w:fill="FFFFFF"/>
            <w:noWrap/>
            <w:vAlign w:val="center"/>
            <w:hideMark/>
          </w:tcPr>
          <w:p w14:paraId="5C36377D" w14:textId="77777777" w:rsidR="00AD6A55" w:rsidRPr="00DE1AF3" w:rsidRDefault="00AD6A55" w:rsidP="00AD6A55">
            <w:pPr>
              <w:pStyle w:val="TableText0"/>
              <w:rPr>
                <w:lang w:val="en-GB" w:eastAsia="en-GB"/>
              </w:rPr>
            </w:pPr>
            <w:r w:rsidRPr="00DE1AF3">
              <w:rPr>
                <w:lang w:val="en-GB" w:eastAsia="en-GB"/>
              </w:rPr>
              <w:t>Solomon Islands</w:t>
            </w:r>
          </w:p>
        </w:tc>
        <w:tc>
          <w:tcPr>
            <w:tcW w:w="1617" w:type="dxa"/>
            <w:shd w:val="clear" w:color="auto" w:fill="auto"/>
            <w:vAlign w:val="center"/>
            <w:hideMark/>
          </w:tcPr>
          <w:p w14:paraId="26FBADEC"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204C05B6"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49ECD47C" w14:textId="77777777" w:rsidTr="00AD6A55">
        <w:trPr>
          <w:cantSplit/>
          <w:trHeight w:val="900"/>
        </w:trPr>
        <w:tc>
          <w:tcPr>
            <w:tcW w:w="1079" w:type="dxa"/>
            <w:shd w:val="clear" w:color="auto" w:fill="auto"/>
            <w:vAlign w:val="center"/>
            <w:hideMark/>
          </w:tcPr>
          <w:p w14:paraId="20951D26" w14:textId="77777777" w:rsidR="00AD6A55" w:rsidRPr="00DE1AF3" w:rsidRDefault="00AD6A55" w:rsidP="00AD6A55">
            <w:pPr>
              <w:pStyle w:val="TableText0"/>
              <w:rPr>
                <w:lang w:val="en-GB" w:eastAsia="en-GB"/>
              </w:rPr>
            </w:pPr>
            <w:r w:rsidRPr="00DE1AF3">
              <w:rPr>
                <w:lang w:val="en-GB" w:eastAsia="en-GB"/>
              </w:rPr>
              <w:t>INI674</w:t>
            </w:r>
          </w:p>
        </w:tc>
        <w:tc>
          <w:tcPr>
            <w:tcW w:w="4168" w:type="dxa"/>
            <w:shd w:val="clear" w:color="000000" w:fill="FFFFFF"/>
            <w:vAlign w:val="center"/>
            <w:hideMark/>
          </w:tcPr>
          <w:p w14:paraId="138BF913" w14:textId="77777777" w:rsidR="00AD6A55" w:rsidRPr="00DE1AF3" w:rsidRDefault="00AD6A55" w:rsidP="00AD6A55">
            <w:pPr>
              <w:pStyle w:val="TableText0"/>
              <w:rPr>
                <w:lang w:val="en-GB" w:eastAsia="en-GB"/>
              </w:rPr>
            </w:pPr>
            <w:r w:rsidRPr="00DE1AF3">
              <w:rPr>
                <w:lang w:val="en-GB" w:eastAsia="en-GB"/>
              </w:rPr>
              <w:t>Independent Progress Review</w:t>
            </w:r>
            <w:r>
              <w:rPr>
                <w:lang w:val="en-GB" w:eastAsia="en-GB"/>
              </w:rPr>
              <w:t xml:space="preserve"> of the</w:t>
            </w:r>
            <w:r w:rsidRPr="00DE1AF3">
              <w:rPr>
                <w:lang w:val="en-GB" w:eastAsia="en-GB"/>
              </w:rPr>
              <w:t xml:space="preserve"> Solomon Islands Media Assistance Scheme Phase 3</w:t>
            </w:r>
          </w:p>
        </w:tc>
        <w:tc>
          <w:tcPr>
            <w:tcW w:w="1437" w:type="dxa"/>
            <w:shd w:val="clear" w:color="000000" w:fill="FFFFFF"/>
            <w:noWrap/>
            <w:vAlign w:val="center"/>
            <w:hideMark/>
          </w:tcPr>
          <w:p w14:paraId="7BDEFF34" w14:textId="77777777" w:rsidR="00AD6A55" w:rsidRPr="00DE1AF3" w:rsidRDefault="00AD6A55" w:rsidP="00AD6A55">
            <w:pPr>
              <w:pStyle w:val="TableText0"/>
              <w:rPr>
                <w:lang w:val="en-GB" w:eastAsia="en-GB"/>
              </w:rPr>
            </w:pPr>
            <w:r w:rsidRPr="00DE1AF3">
              <w:rPr>
                <w:lang w:val="en-GB" w:eastAsia="en-GB"/>
              </w:rPr>
              <w:t>Solomon Islands</w:t>
            </w:r>
          </w:p>
        </w:tc>
        <w:tc>
          <w:tcPr>
            <w:tcW w:w="1617" w:type="dxa"/>
            <w:shd w:val="clear" w:color="auto" w:fill="auto"/>
            <w:vAlign w:val="center"/>
            <w:hideMark/>
          </w:tcPr>
          <w:p w14:paraId="34F15BA9" w14:textId="77777777" w:rsidR="00AD6A55" w:rsidRPr="00DE1AF3" w:rsidRDefault="00AD6A55" w:rsidP="00AD6A55">
            <w:pPr>
              <w:pStyle w:val="TableText0"/>
              <w:rPr>
                <w:lang w:val="en-GB" w:eastAsia="en-GB"/>
              </w:rPr>
            </w:pPr>
            <w:r>
              <w:rPr>
                <w:lang w:val="en-GB" w:eastAsia="en-GB"/>
              </w:rPr>
              <w:t>Human rights</w:t>
            </w:r>
          </w:p>
        </w:tc>
        <w:tc>
          <w:tcPr>
            <w:tcW w:w="1281" w:type="dxa"/>
            <w:vAlign w:val="center"/>
          </w:tcPr>
          <w:p w14:paraId="2A564048"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7EE81C2C" w14:textId="77777777" w:rsidTr="00AD6A55">
        <w:trPr>
          <w:cantSplit/>
          <w:trHeight w:val="900"/>
        </w:trPr>
        <w:tc>
          <w:tcPr>
            <w:tcW w:w="1079" w:type="dxa"/>
            <w:shd w:val="clear" w:color="auto" w:fill="auto"/>
            <w:vAlign w:val="center"/>
            <w:hideMark/>
          </w:tcPr>
          <w:p w14:paraId="1DA07A15" w14:textId="77777777" w:rsidR="00AD6A55" w:rsidRPr="00DE1AF3" w:rsidRDefault="00AD6A55" w:rsidP="00AD6A55">
            <w:pPr>
              <w:pStyle w:val="TableText0"/>
              <w:rPr>
                <w:lang w:val="en-GB" w:eastAsia="en-GB"/>
              </w:rPr>
            </w:pPr>
            <w:r w:rsidRPr="00DE1AF3">
              <w:rPr>
                <w:lang w:val="en-GB" w:eastAsia="en-GB"/>
              </w:rPr>
              <w:t>INI865</w:t>
            </w:r>
          </w:p>
        </w:tc>
        <w:tc>
          <w:tcPr>
            <w:tcW w:w="4168" w:type="dxa"/>
            <w:shd w:val="clear" w:color="000000" w:fill="FFFFFF"/>
            <w:vAlign w:val="center"/>
            <w:hideMark/>
          </w:tcPr>
          <w:p w14:paraId="307833B9" w14:textId="77777777" w:rsidR="00AD6A55" w:rsidRPr="00DE1AF3" w:rsidRDefault="00AD6A55" w:rsidP="00AD6A55">
            <w:pPr>
              <w:pStyle w:val="TableText0"/>
              <w:rPr>
                <w:lang w:val="en-GB" w:eastAsia="en-GB"/>
              </w:rPr>
            </w:pPr>
            <w:r w:rsidRPr="00DE1AF3">
              <w:rPr>
                <w:lang w:val="en-GB" w:eastAsia="en-GB"/>
              </w:rPr>
              <w:t xml:space="preserve">Independent Mid Term Review </w:t>
            </w:r>
            <w:r>
              <w:rPr>
                <w:lang w:val="en-GB" w:eastAsia="en-GB"/>
              </w:rPr>
              <w:t xml:space="preserve">of the </w:t>
            </w:r>
            <w:r w:rsidRPr="00DE1AF3">
              <w:rPr>
                <w:lang w:val="en-GB" w:eastAsia="en-GB"/>
              </w:rPr>
              <w:t xml:space="preserve">Australian Community Rehabilitation Program Phase 3 </w:t>
            </w:r>
          </w:p>
        </w:tc>
        <w:tc>
          <w:tcPr>
            <w:tcW w:w="1437" w:type="dxa"/>
            <w:shd w:val="clear" w:color="000000" w:fill="FFFFFF"/>
            <w:noWrap/>
            <w:vAlign w:val="center"/>
            <w:hideMark/>
          </w:tcPr>
          <w:p w14:paraId="0E650D9C" w14:textId="77777777" w:rsidR="00AD6A55" w:rsidRPr="00DE1AF3" w:rsidRDefault="00AD6A55" w:rsidP="00AD6A55">
            <w:pPr>
              <w:pStyle w:val="TableText0"/>
              <w:rPr>
                <w:lang w:val="en-GB" w:eastAsia="en-GB"/>
              </w:rPr>
            </w:pPr>
            <w:r w:rsidRPr="00DE1AF3">
              <w:rPr>
                <w:lang w:val="en-GB" w:eastAsia="en-GB"/>
              </w:rPr>
              <w:t>Sri Lanka</w:t>
            </w:r>
          </w:p>
        </w:tc>
        <w:tc>
          <w:tcPr>
            <w:tcW w:w="1617" w:type="dxa"/>
            <w:shd w:val="clear" w:color="auto" w:fill="auto"/>
            <w:vAlign w:val="center"/>
            <w:hideMark/>
          </w:tcPr>
          <w:p w14:paraId="55C7E580" w14:textId="77777777" w:rsidR="00AD6A55" w:rsidRPr="00DE1AF3" w:rsidRDefault="00AD6A55" w:rsidP="00AD6A55">
            <w:pPr>
              <w:pStyle w:val="TableText0"/>
              <w:rPr>
                <w:lang w:val="en-GB" w:eastAsia="en-GB"/>
              </w:rPr>
            </w:pPr>
            <w:r w:rsidRPr="00DE1AF3">
              <w:rPr>
                <w:lang w:val="en-GB" w:eastAsia="en-GB"/>
              </w:rPr>
              <w:t>Humanitarian</w:t>
            </w:r>
            <w:r>
              <w:rPr>
                <w:lang w:val="en-GB" w:eastAsia="en-GB"/>
              </w:rPr>
              <w:t xml:space="preserve"> response</w:t>
            </w:r>
          </w:p>
        </w:tc>
        <w:tc>
          <w:tcPr>
            <w:tcW w:w="1281" w:type="dxa"/>
            <w:vAlign w:val="center"/>
          </w:tcPr>
          <w:p w14:paraId="70BC3271"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675DF2CC" w14:textId="77777777" w:rsidTr="00AD6A55">
        <w:trPr>
          <w:cantSplit/>
          <w:trHeight w:val="900"/>
        </w:trPr>
        <w:tc>
          <w:tcPr>
            <w:tcW w:w="1079" w:type="dxa"/>
            <w:shd w:val="clear" w:color="auto" w:fill="auto"/>
            <w:vAlign w:val="center"/>
            <w:hideMark/>
          </w:tcPr>
          <w:p w14:paraId="298DBF65" w14:textId="77777777" w:rsidR="00AD6A55" w:rsidRPr="00DE1AF3" w:rsidRDefault="00AD6A55" w:rsidP="00AD6A55">
            <w:pPr>
              <w:pStyle w:val="TableText0"/>
              <w:rPr>
                <w:lang w:val="en-GB" w:eastAsia="en-GB"/>
              </w:rPr>
            </w:pPr>
            <w:r w:rsidRPr="00DE1AF3">
              <w:rPr>
                <w:lang w:val="en-GB" w:eastAsia="en-GB"/>
              </w:rPr>
              <w:t>INI903</w:t>
            </w:r>
          </w:p>
        </w:tc>
        <w:tc>
          <w:tcPr>
            <w:tcW w:w="4168" w:type="dxa"/>
            <w:shd w:val="clear" w:color="000000" w:fill="FFFFFF"/>
            <w:vAlign w:val="center"/>
            <w:hideMark/>
          </w:tcPr>
          <w:p w14:paraId="3DF43F76" w14:textId="77777777" w:rsidR="00AD6A55" w:rsidRPr="00DE1AF3" w:rsidRDefault="00AD6A55" w:rsidP="00AD6A55">
            <w:pPr>
              <w:pStyle w:val="TableText0"/>
              <w:rPr>
                <w:lang w:val="en-GB" w:eastAsia="en-GB"/>
              </w:rPr>
            </w:pPr>
            <w:r w:rsidRPr="00DE1AF3">
              <w:rPr>
                <w:lang w:val="en-GB" w:eastAsia="en-GB"/>
              </w:rPr>
              <w:t>Independent Progress Review of the PNG–Australia Economic and Public Sector Program (EPSP)</w:t>
            </w:r>
          </w:p>
        </w:tc>
        <w:tc>
          <w:tcPr>
            <w:tcW w:w="1437" w:type="dxa"/>
            <w:shd w:val="clear" w:color="000000" w:fill="FFFFFF"/>
            <w:vAlign w:val="center"/>
            <w:hideMark/>
          </w:tcPr>
          <w:p w14:paraId="5E336D6E" w14:textId="77777777" w:rsidR="00AD6A55" w:rsidRPr="00DE1AF3" w:rsidRDefault="00AD6A55" w:rsidP="00AD6A55">
            <w:pPr>
              <w:pStyle w:val="TableText0"/>
              <w:rPr>
                <w:lang w:val="en-GB" w:eastAsia="en-GB"/>
              </w:rPr>
            </w:pPr>
            <w:r>
              <w:rPr>
                <w:lang w:val="en-GB" w:eastAsia="en-GB"/>
              </w:rPr>
              <w:t>Papua New Guinea</w:t>
            </w:r>
          </w:p>
        </w:tc>
        <w:tc>
          <w:tcPr>
            <w:tcW w:w="1617" w:type="dxa"/>
            <w:shd w:val="clear" w:color="auto" w:fill="auto"/>
            <w:vAlign w:val="center"/>
            <w:hideMark/>
          </w:tcPr>
          <w:p w14:paraId="75F9ED73"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1017427A"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252B8F34" w14:textId="77777777" w:rsidTr="00AD6A55">
        <w:trPr>
          <w:cantSplit/>
          <w:trHeight w:val="900"/>
        </w:trPr>
        <w:tc>
          <w:tcPr>
            <w:tcW w:w="1079" w:type="dxa"/>
            <w:shd w:val="clear" w:color="auto" w:fill="auto"/>
            <w:noWrap/>
            <w:vAlign w:val="center"/>
            <w:hideMark/>
          </w:tcPr>
          <w:p w14:paraId="1A3869F5" w14:textId="77777777" w:rsidR="00AD6A55" w:rsidRPr="00DE1AF3" w:rsidRDefault="00AD6A55" w:rsidP="00AD6A55">
            <w:pPr>
              <w:pStyle w:val="TableText0"/>
              <w:rPr>
                <w:lang w:val="en-GB" w:eastAsia="en-GB"/>
              </w:rPr>
            </w:pPr>
            <w:r w:rsidRPr="00DE1AF3">
              <w:rPr>
                <w:lang w:val="en-GB" w:eastAsia="en-GB"/>
              </w:rPr>
              <w:t>INI941</w:t>
            </w:r>
          </w:p>
        </w:tc>
        <w:tc>
          <w:tcPr>
            <w:tcW w:w="4168" w:type="dxa"/>
            <w:shd w:val="clear" w:color="000000" w:fill="FFFFFF"/>
            <w:vAlign w:val="center"/>
            <w:hideMark/>
          </w:tcPr>
          <w:p w14:paraId="01459A6C" w14:textId="77777777" w:rsidR="00AD6A55" w:rsidRPr="00DE1AF3" w:rsidRDefault="00AD6A55" w:rsidP="00AD6A55">
            <w:pPr>
              <w:pStyle w:val="TableText0"/>
              <w:rPr>
                <w:lang w:val="en-GB" w:eastAsia="en-GB"/>
              </w:rPr>
            </w:pPr>
            <w:r w:rsidRPr="00DE1AF3">
              <w:rPr>
                <w:lang w:val="en-GB" w:eastAsia="en-GB"/>
              </w:rPr>
              <w:t>Mid Term Review of AusAID NGO Cooperation Program Partnership Agreements</w:t>
            </w:r>
          </w:p>
        </w:tc>
        <w:tc>
          <w:tcPr>
            <w:tcW w:w="1437" w:type="dxa"/>
            <w:shd w:val="clear" w:color="000000" w:fill="FFFFFF"/>
            <w:noWrap/>
            <w:vAlign w:val="center"/>
            <w:hideMark/>
          </w:tcPr>
          <w:p w14:paraId="6641E079" w14:textId="77777777" w:rsidR="00AD6A55" w:rsidRPr="00DE1AF3" w:rsidRDefault="00AD6A55" w:rsidP="00AD6A55">
            <w:pPr>
              <w:pStyle w:val="TableText0"/>
              <w:rPr>
                <w:lang w:val="en-GB" w:eastAsia="en-GB"/>
              </w:rPr>
            </w:pPr>
            <w:proofErr w:type="spellStart"/>
            <w:r w:rsidRPr="00DE1AF3">
              <w:rPr>
                <w:lang w:val="en-GB" w:eastAsia="en-GB"/>
              </w:rPr>
              <w:t>Multicountry</w:t>
            </w:r>
            <w:proofErr w:type="spellEnd"/>
          </w:p>
        </w:tc>
        <w:tc>
          <w:tcPr>
            <w:tcW w:w="1617" w:type="dxa"/>
            <w:shd w:val="clear" w:color="auto" w:fill="auto"/>
            <w:vAlign w:val="center"/>
            <w:hideMark/>
          </w:tcPr>
          <w:p w14:paraId="084D677D" w14:textId="77777777" w:rsidR="00AD6A55" w:rsidRPr="00DE1AF3" w:rsidRDefault="00AD6A55" w:rsidP="00AD6A55">
            <w:pPr>
              <w:pStyle w:val="TableText0"/>
              <w:rPr>
                <w:lang w:val="en-GB" w:eastAsia="en-GB"/>
              </w:rPr>
            </w:pPr>
            <w:r>
              <w:rPr>
                <w:lang w:val="en-GB" w:eastAsia="en-GB"/>
              </w:rPr>
              <w:t>Human rights</w:t>
            </w:r>
          </w:p>
        </w:tc>
        <w:tc>
          <w:tcPr>
            <w:tcW w:w="1281" w:type="dxa"/>
            <w:vAlign w:val="center"/>
          </w:tcPr>
          <w:p w14:paraId="1C87EA13"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3F0C016B" w14:textId="77777777" w:rsidTr="00AD6A55">
        <w:trPr>
          <w:cantSplit/>
          <w:trHeight w:val="900"/>
        </w:trPr>
        <w:tc>
          <w:tcPr>
            <w:tcW w:w="1079" w:type="dxa"/>
            <w:shd w:val="clear" w:color="auto" w:fill="auto"/>
            <w:vAlign w:val="center"/>
            <w:hideMark/>
          </w:tcPr>
          <w:p w14:paraId="13218F7E" w14:textId="77777777" w:rsidR="00AD6A55" w:rsidRPr="00DE1AF3" w:rsidRDefault="00AD6A55" w:rsidP="00AD6A55">
            <w:pPr>
              <w:pStyle w:val="TableText0"/>
              <w:rPr>
                <w:lang w:val="en-GB" w:eastAsia="en-GB"/>
              </w:rPr>
            </w:pPr>
            <w:r w:rsidRPr="00DE1AF3">
              <w:rPr>
                <w:lang w:val="en-GB" w:eastAsia="en-GB"/>
              </w:rPr>
              <w:t>INJ052</w:t>
            </w:r>
          </w:p>
        </w:tc>
        <w:tc>
          <w:tcPr>
            <w:tcW w:w="4168" w:type="dxa"/>
            <w:shd w:val="clear" w:color="000000" w:fill="FFFFFF"/>
            <w:vAlign w:val="center"/>
            <w:hideMark/>
          </w:tcPr>
          <w:p w14:paraId="098A80D6" w14:textId="77777777" w:rsidR="00AD6A55" w:rsidRPr="00DE1AF3" w:rsidRDefault="00AD6A55" w:rsidP="00AD6A55">
            <w:pPr>
              <w:pStyle w:val="TableText0"/>
              <w:rPr>
                <w:lang w:val="en-GB" w:eastAsia="en-GB"/>
              </w:rPr>
            </w:pPr>
            <w:r w:rsidRPr="00DE1AF3">
              <w:rPr>
                <w:lang w:val="en-GB" w:eastAsia="en-GB"/>
              </w:rPr>
              <w:t>Independent Review of the Tonga Sector Consolidation Project (TSCP)</w:t>
            </w:r>
          </w:p>
        </w:tc>
        <w:tc>
          <w:tcPr>
            <w:tcW w:w="1437" w:type="dxa"/>
            <w:shd w:val="clear" w:color="000000" w:fill="FFFFFF"/>
            <w:noWrap/>
            <w:vAlign w:val="center"/>
            <w:hideMark/>
          </w:tcPr>
          <w:p w14:paraId="217D3DBA" w14:textId="77777777" w:rsidR="00AD6A55" w:rsidRPr="00DE1AF3" w:rsidRDefault="00AD6A55" w:rsidP="00AD6A55">
            <w:pPr>
              <w:pStyle w:val="TableText0"/>
              <w:rPr>
                <w:lang w:val="en-GB" w:eastAsia="en-GB"/>
              </w:rPr>
            </w:pPr>
            <w:r w:rsidRPr="00DE1AF3">
              <w:rPr>
                <w:lang w:val="en-GB" w:eastAsia="en-GB"/>
              </w:rPr>
              <w:t>Tonga</w:t>
            </w:r>
          </w:p>
        </w:tc>
        <w:tc>
          <w:tcPr>
            <w:tcW w:w="1617" w:type="dxa"/>
            <w:shd w:val="clear" w:color="auto" w:fill="auto"/>
            <w:vAlign w:val="center"/>
            <w:hideMark/>
          </w:tcPr>
          <w:p w14:paraId="5CB5D3F2" w14:textId="77777777" w:rsidR="00AD6A55" w:rsidRPr="00DE1AF3" w:rsidRDefault="00AD6A55" w:rsidP="00AD6A55">
            <w:pPr>
              <w:pStyle w:val="TableText0"/>
              <w:rPr>
                <w:lang w:val="en-GB" w:eastAsia="en-GB"/>
              </w:rPr>
            </w:pPr>
            <w:r w:rsidRPr="00DE1AF3">
              <w:rPr>
                <w:lang w:val="en-GB" w:eastAsia="en-GB"/>
              </w:rPr>
              <w:t>Infrastructure</w:t>
            </w:r>
          </w:p>
        </w:tc>
        <w:tc>
          <w:tcPr>
            <w:tcW w:w="1281" w:type="dxa"/>
            <w:vAlign w:val="center"/>
          </w:tcPr>
          <w:p w14:paraId="4690E0C7"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42EE817B" w14:textId="77777777" w:rsidTr="00AD6A55">
        <w:trPr>
          <w:cantSplit/>
          <w:trHeight w:val="900"/>
        </w:trPr>
        <w:tc>
          <w:tcPr>
            <w:tcW w:w="1079" w:type="dxa"/>
            <w:shd w:val="clear" w:color="auto" w:fill="auto"/>
            <w:noWrap/>
            <w:vAlign w:val="center"/>
            <w:hideMark/>
          </w:tcPr>
          <w:p w14:paraId="4A9F3884" w14:textId="77777777" w:rsidR="00AD6A55" w:rsidRPr="00DE1AF3" w:rsidRDefault="00AD6A55" w:rsidP="00AD6A55">
            <w:pPr>
              <w:pStyle w:val="TableText0"/>
              <w:rPr>
                <w:lang w:val="en-GB" w:eastAsia="en-GB"/>
              </w:rPr>
            </w:pPr>
            <w:r w:rsidRPr="00DE1AF3">
              <w:rPr>
                <w:lang w:val="en-GB" w:eastAsia="en-GB"/>
              </w:rPr>
              <w:t>INJ124</w:t>
            </w:r>
          </w:p>
        </w:tc>
        <w:tc>
          <w:tcPr>
            <w:tcW w:w="4168" w:type="dxa"/>
            <w:shd w:val="clear" w:color="000000" w:fill="FFFFFF"/>
            <w:vAlign w:val="center"/>
            <w:hideMark/>
          </w:tcPr>
          <w:p w14:paraId="59480734" w14:textId="77777777" w:rsidR="00AD6A55" w:rsidRPr="00DE1AF3" w:rsidRDefault="00AD6A55" w:rsidP="00AD6A55">
            <w:pPr>
              <w:pStyle w:val="TableText0"/>
              <w:rPr>
                <w:lang w:val="en-GB" w:eastAsia="en-GB"/>
              </w:rPr>
            </w:pPr>
            <w:r>
              <w:rPr>
                <w:lang w:val="en-GB" w:eastAsia="en-GB"/>
              </w:rPr>
              <w:t xml:space="preserve">Independent Completion Report for the </w:t>
            </w:r>
            <w:r w:rsidRPr="00DE1AF3">
              <w:rPr>
                <w:lang w:val="en-GB" w:eastAsia="en-GB"/>
              </w:rPr>
              <w:t xml:space="preserve">Padang </w:t>
            </w:r>
            <w:proofErr w:type="spellStart"/>
            <w:r w:rsidRPr="00DE1AF3">
              <w:rPr>
                <w:lang w:val="en-GB" w:eastAsia="en-GB"/>
              </w:rPr>
              <w:t>Pariaman</w:t>
            </w:r>
            <w:proofErr w:type="spellEnd"/>
            <w:r w:rsidRPr="00DE1AF3">
              <w:rPr>
                <w:lang w:val="en-GB" w:eastAsia="en-GB"/>
              </w:rPr>
              <w:t xml:space="preserve"> Health Facility Reconstruction Program</w:t>
            </w:r>
          </w:p>
        </w:tc>
        <w:tc>
          <w:tcPr>
            <w:tcW w:w="1437" w:type="dxa"/>
            <w:shd w:val="clear" w:color="000000" w:fill="FFFFFF"/>
            <w:noWrap/>
            <w:vAlign w:val="center"/>
            <w:hideMark/>
          </w:tcPr>
          <w:p w14:paraId="3B493B45"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037396B1" w14:textId="77777777" w:rsidR="00AD6A55" w:rsidRPr="00DE1AF3" w:rsidRDefault="00AD6A55" w:rsidP="00AD6A55">
            <w:pPr>
              <w:pStyle w:val="TableText0"/>
              <w:rPr>
                <w:lang w:val="en-GB" w:eastAsia="en-GB"/>
              </w:rPr>
            </w:pPr>
            <w:r w:rsidRPr="00DE1AF3">
              <w:rPr>
                <w:lang w:val="en-GB" w:eastAsia="en-GB"/>
              </w:rPr>
              <w:t>Health</w:t>
            </w:r>
          </w:p>
        </w:tc>
        <w:tc>
          <w:tcPr>
            <w:tcW w:w="1281" w:type="dxa"/>
            <w:vAlign w:val="center"/>
          </w:tcPr>
          <w:p w14:paraId="0468C8DD"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11FA1617" w14:textId="77777777" w:rsidTr="00AD6A55">
        <w:trPr>
          <w:cantSplit/>
          <w:trHeight w:val="900"/>
        </w:trPr>
        <w:tc>
          <w:tcPr>
            <w:tcW w:w="1079" w:type="dxa"/>
            <w:shd w:val="clear" w:color="auto" w:fill="auto"/>
            <w:vAlign w:val="center"/>
            <w:hideMark/>
          </w:tcPr>
          <w:p w14:paraId="52EA1231" w14:textId="77777777" w:rsidR="00AD6A55" w:rsidRPr="00DE1AF3" w:rsidRDefault="00AD6A55" w:rsidP="00AD6A55">
            <w:pPr>
              <w:pStyle w:val="TableText0"/>
              <w:rPr>
                <w:lang w:val="en-GB" w:eastAsia="en-GB"/>
              </w:rPr>
            </w:pPr>
            <w:r w:rsidRPr="00DE1AF3">
              <w:rPr>
                <w:lang w:val="en-GB" w:eastAsia="en-GB"/>
              </w:rPr>
              <w:t>INJ135</w:t>
            </w:r>
          </w:p>
        </w:tc>
        <w:tc>
          <w:tcPr>
            <w:tcW w:w="4168" w:type="dxa"/>
            <w:shd w:val="clear" w:color="000000" w:fill="FFFFFF"/>
            <w:vAlign w:val="center"/>
            <w:hideMark/>
          </w:tcPr>
          <w:p w14:paraId="78C8B8B7" w14:textId="77777777" w:rsidR="00AD6A55" w:rsidRPr="00DE1AF3" w:rsidRDefault="00AD6A55" w:rsidP="00AD6A55">
            <w:pPr>
              <w:pStyle w:val="TableText0"/>
              <w:rPr>
                <w:lang w:val="en-GB" w:eastAsia="en-GB"/>
              </w:rPr>
            </w:pPr>
            <w:r w:rsidRPr="00DE1AF3">
              <w:rPr>
                <w:lang w:val="en-GB" w:eastAsia="en-GB"/>
              </w:rPr>
              <w:t xml:space="preserve">Interim Review </w:t>
            </w:r>
            <w:r>
              <w:rPr>
                <w:lang w:val="en-GB" w:eastAsia="en-GB"/>
              </w:rPr>
              <w:t xml:space="preserve">of the </w:t>
            </w:r>
            <w:r w:rsidRPr="00DE1AF3">
              <w:rPr>
                <w:lang w:val="en-GB" w:eastAsia="en-GB"/>
              </w:rPr>
              <w:t xml:space="preserve">Livelihoods and Food Security Trust Fund </w:t>
            </w:r>
          </w:p>
        </w:tc>
        <w:tc>
          <w:tcPr>
            <w:tcW w:w="1437" w:type="dxa"/>
            <w:shd w:val="clear" w:color="000000" w:fill="FFFFFF"/>
            <w:vAlign w:val="center"/>
            <w:hideMark/>
          </w:tcPr>
          <w:p w14:paraId="4763394B" w14:textId="77777777" w:rsidR="00AD6A55" w:rsidRPr="00DE1AF3" w:rsidRDefault="00AD6A55" w:rsidP="00AD6A55">
            <w:pPr>
              <w:pStyle w:val="TableText0"/>
              <w:rPr>
                <w:lang w:val="en-GB" w:eastAsia="en-GB"/>
              </w:rPr>
            </w:pPr>
            <w:r w:rsidRPr="00DE1AF3">
              <w:rPr>
                <w:lang w:val="en-GB" w:eastAsia="en-GB"/>
              </w:rPr>
              <w:t>Myanmar</w:t>
            </w:r>
          </w:p>
        </w:tc>
        <w:tc>
          <w:tcPr>
            <w:tcW w:w="1617" w:type="dxa"/>
            <w:shd w:val="clear" w:color="auto" w:fill="auto"/>
            <w:vAlign w:val="center"/>
            <w:hideMark/>
          </w:tcPr>
          <w:p w14:paraId="4499D2FB" w14:textId="77777777" w:rsidR="00AD6A55" w:rsidRPr="00DE1AF3" w:rsidRDefault="00AD6A55" w:rsidP="00AD6A55">
            <w:pPr>
              <w:pStyle w:val="TableText0"/>
              <w:rPr>
                <w:lang w:val="en-GB" w:eastAsia="en-GB"/>
              </w:rPr>
            </w:pPr>
            <w:r w:rsidRPr="00DE1AF3">
              <w:rPr>
                <w:lang w:val="en-GB" w:eastAsia="en-GB"/>
              </w:rPr>
              <w:t>Rural development and food security</w:t>
            </w:r>
          </w:p>
        </w:tc>
        <w:tc>
          <w:tcPr>
            <w:tcW w:w="1281" w:type="dxa"/>
            <w:vAlign w:val="center"/>
          </w:tcPr>
          <w:p w14:paraId="5C3FADC4"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3971BBF5" w14:textId="77777777" w:rsidTr="00AD6A55">
        <w:trPr>
          <w:cantSplit/>
          <w:trHeight w:val="900"/>
        </w:trPr>
        <w:tc>
          <w:tcPr>
            <w:tcW w:w="1079" w:type="dxa"/>
            <w:shd w:val="clear" w:color="auto" w:fill="auto"/>
            <w:vAlign w:val="center"/>
            <w:hideMark/>
          </w:tcPr>
          <w:p w14:paraId="422E3AAF" w14:textId="77777777" w:rsidR="00AD6A55" w:rsidRPr="00DE1AF3" w:rsidRDefault="00AD6A55" w:rsidP="00AD6A55">
            <w:pPr>
              <w:pStyle w:val="TableText0"/>
              <w:rPr>
                <w:lang w:val="en-GB" w:eastAsia="en-GB"/>
              </w:rPr>
            </w:pPr>
            <w:r w:rsidRPr="00DE1AF3">
              <w:rPr>
                <w:lang w:val="en-GB" w:eastAsia="en-GB"/>
              </w:rPr>
              <w:t>INJ152</w:t>
            </w:r>
          </w:p>
        </w:tc>
        <w:tc>
          <w:tcPr>
            <w:tcW w:w="4168" w:type="dxa"/>
            <w:shd w:val="clear" w:color="000000" w:fill="FFFFFF"/>
            <w:vAlign w:val="center"/>
            <w:hideMark/>
          </w:tcPr>
          <w:p w14:paraId="028E2C9C" w14:textId="77777777" w:rsidR="00AD6A55" w:rsidRPr="00DE1AF3" w:rsidRDefault="00AD6A55" w:rsidP="00AD6A55">
            <w:pPr>
              <w:pStyle w:val="TableText0"/>
              <w:rPr>
                <w:lang w:val="en-GB" w:eastAsia="en-GB"/>
              </w:rPr>
            </w:pPr>
            <w:r>
              <w:rPr>
                <w:lang w:val="en-GB" w:eastAsia="en-GB"/>
              </w:rPr>
              <w:t xml:space="preserve">Independent Progress Report for </w:t>
            </w:r>
            <w:r w:rsidRPr="00DE1AF3">
              <w:rPr>
                <w:lang w:val="en-GB" w:eastAsia="en-GB"/>
              </w:rPr>
              <w:t>Solomon Islands Clean Water &amp; Sanitation Program</w:t>
            </w:r>
          </w:p>
        </w:tc>
        <w:tc>
          <w:tcPr>
            <w:tcW w:w="1437" w:type="dxa"/>
            <w:shd w:val="clear" w:color="000000" w:fill="FFFFFF"/>
            <w:noWrap/>
            <w:vAlign w:val="center"/>
            <w:hideMark/>
          </w:tcPr>
          <w:p w14:paraId="235218C4" w14:textId="77777777" w:rsidR="00AD6A55" w:rsidRPr="00DE1AF3" w:rsidRDefault="00AD6A55" w:rsidP="00AD6A55">
            <w:pPr>
              <w:pStyle w:val="TableText0"/>
              <w:rPr>
                <w:lang w:val="en-GB" w:eastAsia="en-GB"/>
              </w:rPr>
            </w:pPr>
            <w:r w:rsidRPr="00DE1AF3">
              <w:rPr>
                <w:lang w:val="en-GB" w:eastAsia="en-GB"/>
              </w:rPr>
              <w:t>Solomon Islands</w:t>
            </w:r>
          </w:p>
        </w:tc>
        <w:tc>
          <w:tcPr>
            <w:tcW w:w="1617" w:type="dxa"/>
            <w:shd w:val="clear" w:color="auto" w:fill="auto"/>
            <w:vAlign w:val="center"/>
            <w:hideMark/>
          </w:tcPr>
          <w:p w14:paraId="1F8CE49C" w14:textId="77777777" w:rsidR="00AD6A55" w:rsidRPr="00DE1AF3" w:rsidRDefault="00AD6A55" w:rsidP="00AD6A55">
            <w:pPr>
              <w:pStyle w:val="TableText0"/>
              <w:rPr>
                <w:lang w:val="en-GB" w:eastAsia="en-GB"/>
              </w:rPr>
            </w:pPr>
            <w:r w:rsidRPr="00DE1AF3">
              <w:rPr>
                <w:lang w:val="en-GB" w:eastAsia="en-GB"/>
              </w:rPr>
              <w:t>Water and sanitation</w:t>
            </w:r>
          </w:p>
        </w:tc>
        <w:tc>
          <w:tcPr>
            <w:tcW w:w="1281" w:type="dxa"/>
            <w:vAlign w:val="center"/>
          </w:tcPr>
          <w:p w14:paraId="7B2AF123"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0984F101" w14:textId="77777777" w:rsidTr="00AD6A55">
        <w:trPr>
          <w:cantSplit/>
          <w:trHeight w:val="900"/>
        </w:trPr>
        <w:tc>
          <w:tcPr>
            <w:tcW w:w="1079" w:type="dxa"/>
            <w:shd w:val="clear" w:color="auto" w:fill="auto"/>
            <w:vAlign w:val="center"/>
            <w:hideMark/>
          </w:tcPr>
          <w:p w14:paraId="5B4483BD" w14:textId="77777777" w:rsidR="00AD6A55" w:rsidRPr="00DE1AF3" w:rsidRDefault="00AD6A55" w:rsidP="00AD6A55">
            <w:pPr>
              <w:pStyle w:val="TableText0"/>
              <w:rPr>
                <w:lang w:val="en-GB" w:eastAsia="en-GB"/>
              </w:rPr>
            </w:pPr>
            <w:r w:rsidRPr="00DE1AF3">
              <w:rPr>
                <w:lang w:val="en-GB" w:eastAsia="en-GB"/>
              </w:rPr>
              <w:t>INJ189</w:t>
            </w:r>
          </w:p>
        </w:tc>
        <w:tc>
          <w:tcPr>
            <w:tcW w:w="4168" w:type="dxa"/>
            <w:shd w:val="clear" w:color="000000" w:fill="FFFFFF"/>
            <w:vAlign w:val="center"/>
            <w:hideMark/>
          </w:tcPr>
          <w:p w14:paraId="6E7ECC6A" w14:textId="77777777" w:rsidR="00AD6A55" w:rsidRPr="00DE1AF3" w:rsidRDefault="00AD6A55" w:rsidP="00AD6A55">
            <w:pPr>
              <w:pStyle w:val="TableText0"/>
              <w:rPr>
                <w:lang w:val="en-GB" w:eastAsia="en-GB"/>
              </w:rPr>
            </w:pPr>
            <w:r>
              <w:rPr>
                <w:lang w:val="en-GB" w:eastAsia="en-GB"/>
              </w:rPr>
              <w:t xml:space="preserve">Independent Completion Report for </w:t>
            </w:r>
            <w:r w:rsidRPr="00DE1AF3">
              <w:rPr>
                <w:lang w:val="en-GB" w:eastAsia="en-GB"/>
              </w:rPr>
              <w:t>Zimbabwe NGO Food and Water Initiative</w:t>
            </w:r>
          </w:p>
        </w:tc>
        <w:tc>
          <w:tcPr>
            <w:tcW w:w="1437" w:type="dxa"/>
            <w:shd w:val="clear" w:color="000000" w:fill="FFFFFF"/>
            <w:noWrap/>
            <w:vAlign w:val="center"/>
            <w:hideMark/>
          </w:tcPr>
          <w:p w14:paraId="1174E7C9" w14:textId="77777777" w:rsidR="00AD6A55" w:rsidRPr="00DE1AF3" w:rsidRDefault="00AD6A55" w:rsidP="00AD6A55">
            <w:pPr>
              <w:pStyle w:val="TableText0"/>
              <w:rPr>
                <w:lang w:val="en-GB" w:eastAsia="en-GB"/>
              </w:rPr>
            </w:pPr>
            <w:r w:rsidRPr="00DE1AF3">
              <w:rPr>
                <w:lang w:val="en-GB" w:eastAsia="en-GB"/>
              </w:rPr>
              <w:t>Zimbabwe</w:t>
            </w:r>
          </w:p>
        </w:tc>
        <w:tc>
          <w:tcPr>
            <w:tcW w:w="1617" w:type="dxa"/>
            <w:shd w:val="clear" w:color="auto" w:fill="auto"/>
            <w:vAlign w:val="center"/>
            <w:hideMark/>
          </w:tcPr>
          <w:p w14:paraId="4CECC570" w14:textId="77777777" w:rsidR="00AD6A55" w:rsidRPr="00DE1AF3" w:rsidRDefault="00AD6A55" w:rsidP="00AD6A55">
            <w:pPr>
              <w:pStyle w:val="TableText0"/>
              <w:rPr>
                <w:lang w:val="en-GB" w:eastAsia="en-GB"/>
              </w:rPr>
            </w:pPr>
            <w:r w:rsidRPr="00DE1AF3">
              <w:rPr>
                <w:lang w:val="en-GB" w:eastAsia="en-GB"/>
              </w:rPr>
              <w:t>Water and sanitation</w:t>
            </w:r>
          </w:p>
        </w:tc>
        <w:tc>
          <w:tcPr>
            <w:tcW w:w="1281" w:type="dxa"/>
            <w:vAlign w:val="center"/>
          </w:tcPr>
          <w:p w14:paraId="325F351A"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3E264EB6" w14:textId="77777777" w:rsidTr="00AD6A55">
        <w:trPr>
          <w:cantSplit/>
          <w:trHeight w:val="900"/>
        </w:trPr>
        <w:tc>
          <w:tcPr>
            <w:tcW w:w="1079" w:type="dxa"/>
            <w:shd w:val="clear" w:color="auto" w:fill="auto"/>
            <w:vAlign w:val="center"/>
            <w:hideMark/>
          </w:tcPr>
          <w:p w14:paraId="5E15BE48" w14:textId="77777777" w:rsidR="00AD6A55" w:rsidRPr="00DE1AF3" w:rsidRDefault="00AD6A55" w:rsidP="00AD6A55">
            <w:pPr>
              <w:pStyle w:val="TableText0"/>
              <w:rPr>
                <w:lang w:val="en-GB" w:eastAsia="en-GB"/>
              </w:rPr>
            </w:pPr>
            <w:r w:rsidRPr="00DE1AF3">
              <w:rPr>
                <w:lang w:val="en-GB" w:eastAsia="en-GB"/>
              </w:rPr>
              <w:t>INJ197</w:t>
            </w:r>
          </w:p>
        </w:tc>
        <w:tc>
          <w:tcPr>
            <w:tcW w:w="4168" w:type="dxa"/>
            <w:shd w:val="clear" w:color="000000" w:fill="FFFFFF"/>
            <w:vAlign w:val="center"/>
            <w:hideMark/>
          </w:tcPr>
          <w:p w14:paraId="0331B982" w14:textId="77777777" w:rsidR="00AD6A55" w:rsidRPr="00DE1AF3" w:rsidRDefault="00AD6A55" w:rsidP="00AD6A55">
            <w:pPr>
              <w:pStyle w:val="TableText0"/>
              <w:rPr>
                <w:lang w:val="en-GB" w:eastAsia="en-GB"/>
              </w:rPr>
            </w:pPr>
            <w:r w:rsidRPr="00DE1AF3">
              <w:rPr>
                <w:lang w:val="en-GB" w:eastAsia="en-GB"/>
              </w:rPr>
              <w:t>Final Annual Performance Assessment 2011</w:t>
            </w:r>
            <w:r>
              <w:rPr>
                <w:rStyle w:val="FootnoteReference"/>
                <w:lang w:val="en-GB" w:eastAsia="en-GB"/>
              </w:rPr>
              <w:footnoteReference w:id="29"/>
            </w:r>
            <w:r>
              <w:rPr>
                <w:lang w:val="en-GB" w:eastAsia="en-GB"/>
              </w:rPr>
              <w:t xml:space="preserve"> for </w:t>
            </w:r>
            <w:r w:rsidRPr="00DE1AF3">
              <w:rPr>
                <w:lang w:val="en-GB" w:eastAsia="en-GB"/>
              </w:rPr>
              <w:t>Kiribati Technical Vocational Education and Training Sector Strengthening Program Phase I</w:t>
            </w:r>
            <w:r>
              <w:rPr>
                <w:lang w:val="en-GB" w:eastAsia="en-GB"/>
              </w:rPr>
              <w:t xml:space="preserve"> </w:t>
            </w:r>
          </w:p>
        </w:tc>
        <w:tc>
          <w:tcPr>
            <w:tcW w:w="1437" w:type="dxa"/>
            <w:shd w:val="clear" w:color="000000" w:fill="FFFFFF"/>
            <w:vAlign w:val="center"/>
            <w:hideMark/>
          </w:tcPr>
          <w:p w14:paraId="25A6728A" w14:textId="77777777" w:rsidR="00AD6A55" w:rsidRPr="00DE1AF3" w:rsidRDefault="00AD6A55" w:rsidP="00AD6A55">
            <w:pPr>
              <w:pStyle w:val="TableText0"/>
              <w:rPr>
                <w:lang w:val="en-GB" w:eastAsia="en-GB"/>
              </w:rPr>
            </w:pPr>
            <w:r w:rsidRPr="00DE1AF3">
              <w:rPr>
                <w:lang w:val="en-GB" w:eastAsia="en-GB"/>
              </w:rPr>
              <w:t>Kiribati</w:t>
            </w:r>
          </w:p>
        </w:tc>
        <w:tc>
          <w:tcPr>
            <w:tcW w:w="1617" w:type="dxa"/>
            <w:shd w:val="clear" w:color="auto" w:fill="auto"/>
            <w:vAlign w:val="center"/>
            <w:hideMark/>
          </w:tcPr>
          <w:p w14:paraId="7D84E874" w14:textId="77777777" w:rsidR="00AD6A55" w:rsidRPr="00DE1AF3" w:rsidRDefault="00AD6A55" w:rsidP="00AD6A55">
            <w:pPr>
              <w:pStyle w:val="TableText0"/>
              <w:rPr>
                <w:lang w:val="en-GB" w:eastAsia="en-GB"/>
              </w:rPr>
            </w:pPr>
            <w:r>
              <w:rPr>
                <w:lang w:val="en-GB" w:eastAsia="en-GB"/>
              </w:rPr>
              <w:t>Business, finance and trade</w:t>
            </w:r>
          </w:p>
        </w:tc>
        <w:tc>
          <w:tcPr>
            <w:tcW w:w="1281" w:type="dxa"/>
            <w:vAlign w:val="center"/>
          </w:tcPr>
          <w:p w14:paraId="6ED6B68E" w14:textId="77777777" w:rsidR="00AD6A55" w:rsidRPr="00DE1AF3" w:rsidRDefault="00AD6A55" w:rsidP="00AD6A55">
            <w:pPr>
              <w:pStyle w:val="TableText0"/>
              <w:rPr>
                <w:lang w:val="en-GB" w:eastAsia="en-GB"/>
              </w:rPr>
            </w:pPr>
            <w:r w:rsidRPr="00DE1AF3">
              <w:rPr>
                <w:lang w:val="en-GB" w:eastAsia="en-GB"/>
              </w:rPr>
              <w:t>Yes</w:t>
            </w:r>
          </w:p>
        </w:tc>
      </w:tr>
    </w:tbl>
    <w:p w14:paraId="203857F9" w14:textId="77777777" w:rsidR="00AD6A55" w:rsidRDefault="00AD6A55" w:rsidP="00AD6A55">
      <w:pPr>
        <w:spacing w:before="57" w:after="142"/>
      </w:pPr>
      <w:r>
        <w:br w:type="page"/>
      </w:r>
    </w:p>
    <w:tbl>
      <w:tblPr>
        <w:tblW w:w="9582" w:type="dxa"/>
        <w:tblInd w:w="-176"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9"/>
        <w:gridCol w:w="4168"/>
        <w:gridCol w:w="1437"/>
        <w:gridCol w:w="1617"/>
        <w:gridCol w:w="1281"/>
      </w:tblGrid>
      <w:tr w:rsidR="00AD6A55" w:rsidRPr="001C2D74" w14:paraId="21FA3B40" w14:textId="77777777" w:rsidTr="00AD6A55">
        <w:trPr>
          <w:cantSplit/>
          <w:trHeight w:val="795"/>
        </w:trPr>
        <w:tc>
          <w:tcPr>
            <w:tcW w:w="1079" w:type="dxa"/>
            <w:shd w:val="clear" w:color="auto" w:fill="007FAD"/>
            <w:vAlign w:val="center"/>
            <w:hideMark/>
          </w:tcPr>
          <w:p w14:paraId="2C93BBC8" w14:textId="77777777" w:rsidR="00AD6A55" w:rsidRPr="00315553" w:rsidRDefault="00AD6A55" w:rsidP="00AD6A55">
            <w:pPr>
              <w:pStyle w:val="TableHeading21"/>
              <w:rPr>
                <w:i w:val="0"/>
                <w:lang w:val="en-GB" w:eastAsia="en-GB"/>
              </w:rPr>
            </w:pPr>
            <w:r w:rsidRPr="00315553">
              <w:rPr>
                <w:i w:val="0"/>
                <w:lang w:val="en-GB" w:eastAsia="en-GB"/>
              </w:rPr>
              <w:lastRenderedPageBreak/>
              <w:t xml:space="preserve">Initiative </w:t>
            </w:r>
            <w:r>
              <w:rPr>
                <w:i w:val="0"/>
                <w:lang w:val="en-GB" w:eastAsia="en-GB"/>
              </w:rPr>
              <w:t>number</w:t>
            </w:r>
          </w:p>
        </w:tc>
        <w:tc>
          <w:tcPr>
            <w:tcW w:w="4168" w:type="dxa"/>
            <w:shd w:val="clear" w:color="auto" w:fill="007FAD"/>
            <w:vAlign w:val="center"/>
            <w:hideMark/>
          </w:tcPr>
          <w:p w14:paraId="3A97B6B5" w14:textId="77777777" w:rsidR="00AD6A55" w:rsidRPr="00315553" w:rsidRDefault="00AD6A55" w:rsidP="00AD6A55">
            <w:pPr>
              <w:pStyle w:val="TableHeading21"/>
              <w:rPr>
                <w:i w:val="0"/>
                <w:lang w:val="en-GB" w:eastAsia="en-GB"/>
              </w:rPr>
            </w:pPr>
            <w:r w:rsidRPr="00315553">
              <w:rPr>
                <w:i w:val="0"/>
                <w:lang w:val="en-GB" w:eastAsia="en-GB"/>
              </w:rPr>
              <w:t>Evaluation title</w:t>
            </w:r>
          </w:p>
        </w:tc>
        <w:tc>
          <w:tcPr>
            <w:tcW w:w="1437" w:type="dxa"/>
            <w:shd w:val="clear" w:color="auto" w:fill="007FAD"/>
            <w:vAlign w:val="center"/>
            <w:hideMark/>
          </w:tcPr>
          <w:p w14:paraId="6949096E" w14:textId="77777777" w:rsidR="00AD6A55" w:rsidRPr="00315553" w:rsidRDefault="00AD6A55" w:rsidP="00AD6A55">
            <w:pPr>
              <w:pStyle w:val="TableHeading21"/>
              <w:rPr>
                <w:i w:val="0"/>
                <w:lang w:val="en-GB" w:eastAsia="en-GB"/>
              </w:rPr>
            </w:pPr>
            <w:r w:rsidRPr="00315553">
              <w:rPr>
                <w:i w:val="0"/>
                <w:lang w:val="en-GB" w:eastAsia="en-GB"/>
              </w:rPr>
              <w:t>Country</w:t>
            </w:r>
          </w:p>
        </w:tc>
        <w:tc>
          <w:tcPr>
            <w:tcW w:w="1617" w:type="dxa"/>
            <w:shd w:val="clear" w:color="auto" w:fill="007FAD"/>
            <w:vAlign w:val="center"/>
            <w:hideMark/>
          </w:tcPr>
          <w:p w14:paraId="31FBAC56" w14:textId="77777777" w:rsidR="00AD6A55" w:rsidRPr="00315553" w:rsidRDefault="00AD6A55" w:rsidP="00AD6A55">
            <w:pPr>
              <w:pStyle w:val="TableHeading21"/>
              <w:rPr>
                <w:i w:val="0"/>
                <w:lang w:val="en-GB" w:eastAsia="en-GB"/>
              </w:rPr>
            </w:pPr>
            <w:r w:rsidRPr="00315553">
              <w:rPr>
                <w:i w:val="0"/>
                <w:lang w:val="en-GB" w:eastAsia="en-GB"/>
              </w:rPr>
              <w:t>Primary sector</w:t>
            </w:r>
          </w:p>
        </w:tc>
        <w:tc>
          <w:tcPr>
            <w:tcW w:w="1281" w:type="dxa"/>
            <w:shd w:val="clear" w:color="auto" w:fill="007FAD"/>
            <w:vAlign w:val="center"/>
          </w:tcPr>
          <w:p w14:paraId="1F0F1DE2" w14:textId="77777777" w:rsidR="00AD6A55" w:rsidRPr="00315553" w:rsidRDefault="00AD6A55" w:rsidP="00AD6A55">
            <w:pPr>
              <w:pStyle w:val="TableHeading21"/>
              <w:rPr>
                <w:i w:val="0"/>
                <w:lang w:val="en-GB" w:eastAsia="en-GB"/>
              </w:rPr>
            </w:pPr>
            <w:r w:rsidRPr="00315553">
              <w:rPr>
                <w:i w:val="0"/>
                <w:lang w:val="en-GB" w:eastAsia="en-GB"/>
              </w:rPr>
              <w:t>Published on DFAT website?</w:t>
            </w:r>
          </w:p>
        </w:tc>
      </w:tr>
      <w:tr w:rsidR="001D33B9" w:rsidRPr="00DE1AF3" w14:paraId="13AEDBCF" w14:textId="77777777" w:rsidTr="00B65BFC">
        <w:trPr>
          <w:cantSplit/>
          <w:trHeight w:val="900"/>
        </w:trPr>
        <w:tc>
          <w:tcPr>
            <w:tcW w:w="1079" w:type="dxa"/>
            <w:shd w:val="clear" w:color="auto" w:fill="auto"/>
            <w:noWrap/>
            <w:vAlign w:val="center"/>
            <w:hideMark/>
          </w:tcPr>
          <w:p w14:paraId="3BA7E50D" w14:textId="77777777" w:rsidR="001D33B9" w:rsidRPr="00DE1AF3" w:rsidRDefault="001D33B9" w:rsidP="00B65BFC">
            <w:pPr>
              <w:pStyle w:val="TableText0"/>
              <w:rPr>
                <w:lang w:val="en-GB" w:eastAsia="en-GB"/>
              </w:rPr>
            </w:pPr>
            <w:r w:rsidRPr="00DE1AF3">
              <w:rPr>
                <w:lang w:val="en-GB" w:eastAsia="en-GB"/>
              </w:rPr>
              <w:t>INJ235</w:t>
            </w:r>
          </w:p>
        </w:tc>
        <w:tc>
          <w:tcPr>
            <w:tcW w:w="4168" w:type="dxa"/>
            <w:shd w:val="clear" w:color="000000" w:fill="FFFFFF"/>
            <w:vAlign w:val="center"/>
            <w:hideMark/>
          </w:tcPr>
          <w:p w14:paraId="330B001C" w14:textId="77777777" w:rsidR="001D33B9" w:rsidRPr="00DE1AF3" w:rsidRDefault="001D33B9" w:rsidP="00B65BFC">
            <w:pPr>
              <w:pStyle w:val="TableText0"/>
              <w:rPr>
                <w:lang w:val="en-GB" w:eastAsia="en-GB"/>
              </w:rPr>
            </w:pPr>
            <w:r>
              <w:rPr>
                <w:lang w:val="en-GB" w:eastAsia="en-GB"/>
              </w:rPr>
              <w:t xml:space="preserve">Independent Progress Review of </w:t>
            </w:r>
            <w:r w:rsidRPr="00DE1AF3">
              <w:rPr>
                <w:lang w:val="en-GB" w:eastAsia="en-GB"/>
              </w:rPr>
              <w:t xml:space="preserve">Education in Emergencies Capacity Building </w:t>
            </w:r>
          </w:p>
        </w:tc>
        <w:tc>
          <w:tcPr>
            <w:tcW w:w="1437" w:type="dxa"/>
            <w:shd w:val="clear" w:color="000000" w:fill="FFFFFF"/>
            <w:noWrap/>
            <w:vAlign w:val="center"/>
            <w:hideMark/>
          </w:tcPr>
          <w:p w14:paraId="48100A96" w14:textId="77777777" w:rsidR="001D33B9" w:rsidRPr="00DE1AF3" w:rsidRDefault="001D33B9" w:rsidP="00B65BFC">
            <w:pPr>
              <w:pStyle w:val="TableText0"/>
              <w:rPr>
                <w:lang w:val="en-GB" w:eastAsia="en-GB"/>
              </w:rPr>
            </w:pPr>
            <w:proofErr w:type="spellStart"/>
            <w:r w:rsidRPr="00DE1AF3">
              <w:rPr>
                <w:lang w:val="en-GB" w:eastAsia="en-GB"/>
              </w:rPr>
              <w:t>Multicountry</w:t>
            </w:r>
            <w:proofErr w:type="spellEnd"/>
          </w:p>
        </w:tc>
        <w:tc>
          <w:tcPr>
            <w:tcW w:w="1617" w:type="dxa"/>
            <w:shd w:val="clear" w:color="auto" w:fill="auto"/>
            <w:vAlign w:val="center"/>
            <w:hideMark/>
          </w:tcPr>
          <w:p w14:paraId="2A730338" w14:textId="77777777" w:rsidR="001D33B9" w:rsidRPr="00DE1AF3" w:rsidRDefault="001D33B9" w:rsidP="00B65BFC">
            <w:pPr>
              <w:pStyle w:val="TableText0"/>
              <w:rPr>
                <w:lang w:val="en-GB" w:eastAsia="en-GB"/>
              </w:rPr>
            </w:pPr>
            <w:r w:rsidRPr="00DE1AF3">
              <w:rPr>
                <w:lang w:val="en-GB" w:eastAsia="en-GB"/>
              </w:rPr>
              <w:t>Education</w:t>
            </w:r>
          </w:p>
        </w:tc>
        <w:tc>
          <w:tcPr>
            <w:tcW w:w="1281" w:type="dxa"/>
            <w:vAlign w:val="center"/>
          </w:tcPr>
          <w:p w14:paraId="194F564F" w14:textId="77777777" w:rsidR="001D33B9" w:rsidRPr="00DE1AF3" w:rsidRDefault="001D33B9" w:rsidP="00B65BFC">
            <w:pPr>
              <w:pStyle w:val="TableText0"/>
              <w:rPr>
                <w:lang w:val="en-GB" w:eastAsia="en-GB"/>
              </w:rPr>
            </w:pPr>
            <w:r w:rsidRPr="00DE1AF3">
              <w:rPr>
                <w:lang w:val="en-GB" w:eastAsia="en-GB"/>
              </w:rPr>
              <w:t>No</w:t>
            </w:r>
          </w:p>
        </w:tc>
      </w:tr>
      <w:tr w:rsidR="00AD6A55" w:rsidRPr="00DE1AF3" w14:paraId="5F946A2C" w14:textId="77777777" w:rsidTr="00AD6A55">
        <w:trPr>
          <w:cantSplit/>
          <w:trHeight w:val="900"/>
        </w:trPr>
        <w:tc>
          <w:tcPr>
            <w:tcW w:w="1079" w:type="dxa"/>
            <w:shd w:val="clear" w:color="auto" w:fill="auto"/>
            <w:noWrap/>
            <w:vAlign w:val="center"/>
            <w:hideMark/>
          </w:tcPr>
          <w:p w14:paraId="265A8A19" w14:textId="77777777" w:rsidR="00AD6A55" w:rsidRPr="00DE1AF3" w:rsidRDefault="00AD6A55" w:rsidP="00AD6A55">
            <w:pPr>
              <w:pStyle w:val="TableText0"/>
              <w:rPr>
                <w:lang w:val="en-GB" w:eastAsia="en-GB"/>
              </w:rPr>
            </w:pPr>
            <w:r w:rsidRPr="00DE1AF3">
              <w:rPr>
                <w:lang w:val="en-GB" w:eastAsia="en-GB"/>
              </w:rPr>
              <w:t>INJ241 INJ398 INI309</w:t>
            </w:r>
          </w:p>
        </w:tc>
        <w:tc>
          <w:tcPr>
            <w:tcW w:w="4168" w:type="dxa"/>
            <w:shd w:val="clear" w:color="000000" w:fill="FFFFFF"/>
            <w:vAlign w:val="center"/>
            <w:hideMark/>
          </w:tcPr>
          <w:p w14:paraId="7A709B39" w14:textId="77777777" w:rsidR="00AD6A55" w:rsidRPr="00DE1AF3" w:rsidRDefault="00AD6A55" w:rsidP="00AD6A55">
            <w:pPr>
              <w:pStyle w:val="TableText0"/>
              <w:rPr>
                <w:lang w:val="en-GB" w:eastAsia="en-GB"/>
              </w:rPr>
            </w:pPr>
            <w:r w:rsidRPr="00DE1AF3">
              <w:rPr>
                <w:lang w:val="en-GB" w:eastAsia="en-GB"/>
              </w:rPr>
              <w:t>Independent Review of Two AusAID Funded UNICEF Projects on Child Survival and Nutrition and Maternal Health in Nepal</w:t>
            </w:r>
          </w:p>
        </w:tc>
        <w:tc>
          <w:tcPr>
            <w:tcW w:w="1437" w:type="dxa"/>
            <w:shd w:val="clear" w:color="000000" w:fill="FFFFFF"/>
            <w:noWrap/>
            <w:vAlign w:val="center"/>
            <w:hideMark/>
          </w:tcPr>
          <w:p w14:paraId="4CFFD81C" w14:textId="77777777" w:rsidR="00AD6A55" w:rsidRPr="00DE1AF3" w:rsidRDefault="00AD6A55" w:rsidP="00AD6A55">
            <w:pPr>
              <w:pStyle w:val="TableText0"/>
              <w:rPr>
                <w:lang w:val="en-GB" w:eastAsia="en-GB"/>
              </w:rPr>
            </w:pPr>
            <w:r w:rsidRPr="00DE1AF3">
              <w:rPr>
                <w:lang w:val="en-GB" w:eastAsia="en-GB"/>
              </w:rPr>
              <w:t>Nepal</w:t>
            </w:r>
          </w:p>
        </w:tc>
        <w:tc>
          <w:tcPr>
            <w:tcW w:w="1617" w:type="dxa"/>
            <w:shd w:val="clear" w:color="auto" w:fill="auto"/>
            <w:vAlign w:val="center"/>
            <w:hideMark/>
          </w:tcPr>
          <w:p w14:paraId="0E129480" w14:textId="77777777" w:rsidR="00AD6A55" w:rsidRPr="00DE1AF3" w:rsidRDefault="00AD6A55" w:rsidP="00AD6A55">
            <w:pPr>
              <w:pStyle w:val="TableText0"/>
              <w:rPr>
                <w:lang w:val="en-GB" w:eastAsia="en-GB"/>
              </w:rPr>
            </w:pPr>
            <w:r w:rsidRPr="00DE1AF3">
              <w:rPr>
                <w:lang w:val="en-GB" w:eastAsia="en-GB"/>
              </w:rPr>
              <w:t>Health</w:t>
            </w:r>
          </w:p>
        </w:tc>
        <w:tc>
          <w:tcPr>
            <w:tcW w:w="1281" w:type="dxa"/>
            <w:vAlign w:val="center"/>
          </w:tcPr>
          <w:p w14:paraId="79D79C4F"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615910BD" w14:textId="77777777" w:rsidTr="00AD6A55">
        <w:trPr>
          <w:cantSplit/>
          <w:trHeight w:val="900"/>
        </w:trPr>
        <w:tc>
          <w:tcPr>
            <w:tcW w:w="1079" w:type="dxa"/>
            <w:shd w:val="clear" w:color="auto" w:fill="auto"/>
            <w:vAlign w:val="center"/>
            <w:hideMark/>
          </w:tcPr>
          <w:p w14:paraId="5BBA1457" w14:textId="77777777" w:rsidR="00AD6A55" w:rsidRPr="00DE1AF3" w:rsidRDefault="00AD6A55" w:rsidP="00AD6A55">
            <w:pPr>
              <w:pStyle w:val="TableText0"/>
              <w:rPr>
                <w:lang w:val="en-GB" w:eastAsia="en-GB"/>
              </w:rPr>
            </w:pPr>
            <w:r w:rsidRPr="00DE1AF3">
              <w:rPr>
                <w:lang w:val="en-GB" w:eastAsia="en-GB"/>
              </w:rPr>
              <w:t>INJ244</w:t>
            </w:r>
          </w:p>
        </w:tc>
        <w:tc>
          <w:tcPr>
            <w:tcW w:w="4168" w:type="dxa"/>
            <w:shd w:val="clear" w:color="000000" w:fill="FFFFFF"/>
            <w:vAlign w:val="center"/>
            <w:hideMark/>
          </w:tcPr>
          <w:p w14:paraId="0CAB3F33" w14:textId="77777777" w:rsidR="00AD6A55" w:rsidRPr="00DE1AF3" w:rsidRDefault="00AD6A55" w:rsidP="00AD6A55">
            <w:pPr>
              <w:pStyle w:val="TableText0"/>
              <w:rPr>
                <w:lang w:val="en-GB" w:eastAsia="en-GB"/>
              </w:rPr>
            </w:pPr>
            <w:r w:rsidRPr="00DE1AF3">
              <w:rPr>
                <w:lang w:val="en-GB" w:eastAsia="en-GB"/>
              </w:rPr>
              <w:t>Independent Progress Review of Partnership for Knowledge-Based Poverty Reduction (PKPR)</w:t>
            </w:r>
          </w:p>
        </w:tc>
        <w:tc>
          <w:tcPr>
            <w:tcW w:w="1437" w:type="dxa"/>
            <w:shd w:val="clear" w:color="000000" w:fill="FFFFFF"/>
            <w:noWrap/>
            <w:vAlign w:val="center"/>
            <w:hideMark/>
          </w:tcPr>
          <w:p w14:paraId="20A44918"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5994CEB8" w14:textId="77777777" w:rsidR="00AD6A55" w:rsidRPr="00DE1AF3" w:rsidRDefault="00AD6A55" w:rsidP="00AD6A55">
            <w:pPr>
              <w:pStyle w:val="TableText0"/>
              <w:rPr>
                <w:lang w:val="en-GB" w:eastAsia="en-GB"/>
              </w:rPr>
            </w:pPr>
            <w:r>
              <w:rPr>
                <w:lang w:val="en-GB" w:eastAsia="en-GB"/>
              </w:rPr>
              <w:t>Improved government</w:t>
            </w:r>
          </w:p>
        </w:tc>
        <w:tc>
          <w:tcPr>
            <w:tcW w:w="1281" w:type="dxa"/>
            <w:vAlign w:val="center"/>
          </w:tcPr>
          <w:p w14:paraId="3CCB611B"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798CE59D" w14:textId="77777777" w:rsidTr="00AD6A55">
        <w:trPr>
          <w:cantSplit/>
          <w:trHeight w:val="900"/>
        </w:trPr>
        <w:tc>
          <w:tcPr>
            <w:tcW w:w="1079" w:type="dxa"/>
            <w:shd w:val="clear" w:color="auto" w:fill="auto"/>
            <w:vAlign w:val="center"/>
            <w:hideMark/>
          </w:tcPr>
          <w:p w14:paraId="30E40AE3" w14:textId="77777777" w:rsidR="00AD6A55" w:rsidRPr="00DE1AF3" w:rsidRDefault="00AD6A55" w:rsidP="00AD6A55">
            <w:pPr>
              <w:pStyle w:val="TableText0"/>
              <w:rPr>
                <w:lang w:val="en-GB" w:eastAsia="en-GB"/>
              </w:rPr>
            </w:pPr>
            <w:r w:rsidRPr="00DE1AF3">
              <w:rPr>
                <w:lang w:val="en-GB" w:eastAsia="en-GB"/>
              </w:rPr>
              <w:t>INJ251 ING400</w:t>
            </w:r>
          </w:p>
        </w:tc>
        <w:tc>
          <w:tcPr>
            <w:tcW w:w="4168" w:type="dxa"/>
            <w:shd w:val="clear" w:color="000000" w:fill="FFFFFF"/>
            <w:vAlign w:val="center"/>
            <w:hideMark/>
          </w:tcPr>
          <w:p w14:paraId="37827358" w14:textId="77777777" w:rsidR="00AD6A55" w:rsidRPr="00DE1AF3" w:rsidRDefault="00AD6A55" w:rsidP="00AD6A55">
            <w:pPr>
              <w:pStyle w:val="TableText0"/>
              <w:rPr>
                <w:lang w:val="en-GB" w:eastAsia="en-GB"/>
              </w:rPr>
            </w:pPr>
            <w:r w:rsidRPr="00DE1AF3">
              <w:rPr>
                <w:lang w:val="en-GB" w:eastAsia="en-GB"/>
              </w:rPr>
              <w:t>Independent Progress Review of the UN Joint Program on Maternal and Neonatal Mortality Reduction</w:t>
            </w:r>
          </w:p>
        </w:tc>
        <w:tc>
          <w:tcPr>
            <w:tcW w:w="1437" w:type="dxa"/>
            <w:shd w:val="clear" w:color="000000" w:fill="FFFFFF"/>
            <w:vAlign w:val="center"/>
            <w:hideMark/>
          </w:tcPr>
          <w:p w14:paraId="228FB862" w14:textId="77777777" w:rsidR="00AD6A55" w:rsidRPr="00DE1AF3" w:rsidRDefault="00AD6A55" w:rsidP="00AD6A55">
            <w:pPr>
              <w:pStyle w:val="TableText0"/>
              <w:rPr>
                <w:lang w:val="en-GB" w:eastAsia="en-GB"/>
              </w:rPr>
            </w:pPr>
            <w:r w:rsidRPr="00DE1AF3">
              <w:rPr>
                <w:lang w:val="en-GB" w:eastAsia="en-GB"/>
              </w:rPr>
              <w:t>Philippines</w:t>
            </w:r>
          </w:p>
        </w:tc>
        <w:tc>
          <w:tcPr>
            <w:tcW w:w="1617" w:type="dxa"/>
            <w:shd w:val="clear" w:color="auto" w:fill="auto"/>
            <w:vAlign w:val="center"/>
            <w:hideMark/>
          </w:tcPr>
          <w:p w14:paraId="7EA15107" w14:textId="77777777" w:rsidR="00AD6A55" w:rsidRPr="00DE1AF3" w:rsidRDefault="00AD6A55" w:rsidP="00AD6A55">
            <w:pPr>
              <w:pStyle w:val="TableText0"/>
              <w:rPr>
                <w:lang w:val="en-GB" w:eastAsia="en-GB"/>
              </w:rPr>
            </w:pPr>
            <w:r w:rsidRPr="00DE1AF3">
              <w:rPr>
                <w:lang w:val="en-GB" w:eastAsia="en-GB"/>
              </w:rPr>
              <w:t>Health</w:t>
            </w:r>
          </w:p>
        </w:tc>
        <w:tc>
          <w:tcPr>
            <w:tcW w:w="1281" w:type="dxa"/>
            <w:vAlign w:val="center"/>
          </w:tcPr>
          <w:p w14:paraId="0DAE7A0C"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7BE73DA8" w14:textId="77777777" w:rsidTr="00AD6A55">
        <w:trPr>
          <w:cantSplit/>
          <w:trHeight w:val="900"/>
        </w:trPr>
        <w:tc>
          <w:tcPr>
            <w:tcW w:w="1079" w:type="dxa"/>
            <w:shd w:val="clear" w:color="auto" w:fill="auto"/>
            <w:vAlign w:val="center"/>
            <w:hideMark/>
          </w:tcPr>
          <w:p w14:paraId="2D51AE46" w14:textId="77777777" w:rsidR="00AD6A55" w:rsidRPr="00DE1AF3" w:rsidRDefault="00AD6A55" w:rsidP="00AD6A55">
            <w:pPr>
              <w:pStyle w:val="TableText0"/>
              <w:rPr>
                <w:lang w:val="en-GB" w:eastAsia="en-GB"/>
              </w:rPr>
            </w:pPr>
            <w:r w:rsidRPr="00DE1AF3">
              <w:rPr>
                <w:lang w:val="en-GB" w:eastAsia="en-GB"/>
              </w:rPr>
              <w:t>INJ321</w:t>
            </w:r>
          </w:p>
        </w:tc>
        <w:tc>
          <w:tcPr>
            <w:tcW w:w="4168" w:type="dxa"/>
            <w:shd w:val="clear" w:color="000000" w:fill="FFFFFF"/>
            <w:vAlign w:val="center"/>
            <w:hideMark/>
          </w:tcPr>
          <w:p w14:paraId="31977F2F" w14:textId="77777777" w:rsidR="00AD6A55" w:rsidRPr="00DE1AF3" w:rsidRDefault="00AD6A55" w:rsidP="00AD6A55">
            <w:pPr>
              <w:pStyle w:val="TableText0"/>
              <w:rPr>
                <w:lang w:val="en-GB" w:eastAsia="en-GB"/>
              </w:rPr>
            </w:pPr>
            <w:r w:rsidRPr="00DE1AF3">
              <w:rPr>
                <w:lang w:val="en-GB" w:eastAsia="en-GB"/>
              </w:rPr>
              <w:t xml:space="preserve">Independent Review of AusAID’s Support to the UN in PNG through the UN Country Fund </w:t>
            </w:r>
          </w:p>
        </w:tc>
        <w:tc>
          <w:tcPr>
            <w:tcW w:w="1437" w:type="dxa"/>
            <w:shd w:val="clear" w:color="000000" w:fill="FFFFFF"/>
            <w:noWrap/>
            <w:vAlign w:val="center"/>
            <w:hideMark/>
          </w:tcPr>
          <w:p w14:paraId="1BF6FA0E" w14:textId="77777777" w:rsidR="00AD6A55" w:rsidRPr="00DE1AF3" w:rsidRDefault="00AD6A55" w:rsidP="00AD6A55">
            <w:pPr>
              <w:pStyle w:val="TableText0"/>
              <w:rPr>
                <w:lang w:val="en-GB" w:eastAsia="en-GB"/>
              </w:rPr>
            </w:pPr>
            <w:r>
              <w:rPr>
                <w:lang w:val="en-GB" w:eastAsia="en-GB"/>
              </w:rPr>
              <w:t>Papua New Guinea</w:t>
            </w:r>
          </w:p>
        </w:tc>
        <w:tc>
          <w:tcPr>
            <w:tcW w:w="1617" w:type="dxa"/>
            <w:shd w:val="clear" w:color="auto" w:fill="auto"/>
            <w:vAlign w:val="center"/>
            <w:hideMark/>
          </w:tcPr>
          <w:p w14:paraId="6CE3A59A" w14:textId="77777777" w:rsidR="00AD6A55" w:rsidRPr="00DE1AF3" w:rsidRDefault="00AD6A55" w:rsidP="00AD6A55">
            <w:pPr>
              <w:pStyle w:val="TableText0"/>
              <w:rPr>
                <w:lang w:val="en-GB" w:eastAsia="en-GB"/>
              </w:rPr>
            </w:pPr>
            <w:r>
              <w:rPr>
                <w:lang w:val="en-GB" w:eastAsia="en-GB"/>
              </w:rPr>
              <w:t>General development support</w:t>
            </w:r>
          </w:p>
        </w:tc>
        <w:tc>
          <w:tcPr>
            <w:tcW w:w="1281" w:type="dxa"/>
            <w:vAlign w:val="center"/>
          </w:tcPr>
          <w:p w14:paraId="7454FFD3"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4B7AC876" w14:textId="77777777" w:rsidTr="00AD6A55">
        <w:trPr>
          <w:cantSplit/>
          <w:trHeight w:val="900"/>
        </w:trPr>
        <w:tc>
          <w:tcPr>
            <w:tcW w:w="1079" w:type="dxa"/>
            <w:shd w:val="clear" w:color="auto" w:fill="auto"/>
            <w:noWrap/>
            <w:vAlign w:val="center"/>
            <w:hideMark/>
          </w:tcPr>
          <w:p w14:paraId="7135478C" w14:textId="77777777" w:rsidR="00AD6A55" w:rsidRPr="00DE1AF3" w:rsidRDefault="00AD6A55" w:rsidP="00AD6A55">
            <w:pPr>
              <w:pStyle w:val="TableText0"/>
              <w:rPr>
                <w:lang w:val="en-GB" w:eastAsia="en-GB"/>
              </w:rPr>
            </w:pPr>
            <w:r w:rsidRPr="00DE1AF3">
              <w:rPr>
                <w:lang w:val="en-GB" w:eastAsia="en-GB"/>
              </w:rPr>
              <w:t>INJ344</w:t>
            </w:r>
          </w:p>
        </w:tc>
        <w:tc>
          <w:tcPr>
            <w:tcW w:w="4168" w:type="dxa"/>
            <w:shd w:val="clear" w:color="000000" w:fill="FFFFFF"/>
            <w:vAlign w:val="center"/>
            <w:hideMark/>
          </w:tcPr>
          <w:p w14:paraId="2406A6E5" w14:textId="77777777" w:rsidR="00AD6A55" w:rsidRPr="00DE1AF3" w:rsidRDefault="00AD6A55" w:rsidP="00AD6A55">
            <w:pPr>
              <w:pStyle w:val="TableText0"/>
              <w:rPr>
                <w:lang w:val="en-GB" w:eastAsia="en-GB"/>
              </w:rPr>
            </w:pPr>
            <w:r w:rsidRPr="00DE1AF3">
              <w:rPr>
                <w:lang w:val="en-GB" w:eastAsia="en-GB"/>
              </w:rPr>
              <w:t>Independent Review of Australia Africa Community Grants Scheme</w:t>
            </w:r>
          </w:p>
        </w:tc>
        <w:tc>
          <w:tcPr>
            <w:tcW w:w="1437" w:type="dxa"/>
            <w:shd w:val="clear" w:color="000000" w:fill="FFFFFF"/>
            <w:noWrap/>
            <w:vAlign w:val="center"/>
            <w:hideMark/>
          </w:tcPr>
          <w:p w14:paraId="2E3D5B5C" w14:textId="77777777" w:rsidR="00AD6A55" w:rsidRPr="00DE1AF3" w:rsidRDefault="00AD6A55" w:rsidP="00AD6A55">
            <w:pPr>
              <w:pStyle w:val="TableText0"/>
              <w:rPr>
                <w:lang w:val="en-GB" w:eastAsia="en-GB"/>
              </w:rPr>
            </w:pPr>
            <w:proofErr w:type="spellStart"/>
            <w:r>
              <w:rPr>
                <w:lang w:val="en-GB" w:eastAsia="en-GB"/>
              </w:rPr>
              <w:t>Multicountry</w:t>
            </w:r>
            <w:proofErr w:type="spellEnd"/>
          </w:p>
        </w:tc>
        <w:tc>
          <w:tcPr>
            <w:tcW w:w="1617" w:type="dxa"/>
            <w:shd w:val="clear" w:color="auto" w:fill="auto"/>
            <w:vAlign w:val="center"/>
            <w:hideMark/>
          </w:tcPr>
          <w:p w14:paraId="02E6ACCC" w14:textId="77777777" w:rsidR="00AD6A55" w:rsidRPr="00DE1AF3" w:rsidRDefault="00AD6A55" w:rsidP="00AD6A55">
            <w:pPr>
              <w:pStyle w:val="TableText0"/>
              <w:rPr>
                <w:lang w:val="en-GB" w:eastAsia="en-GB"/>
              </w:rPr>
            </w:pPr>
            <w:r>
              <w:rPr>
                <w:lang w:val="en-GB" w:eastAsia="en-GB"/>
              </w:rPr>
              <w:t>General development support</w:t>
            </w:r>
          </w:p>
        </w:tc>
        <w:tc>
          <w:tcPr>
            <w:tcW w:w="1281" w:type="dxa"/>
            <w:vAlign w:val="center"/>
          </w:tcPr>
          <w:p w14:paraId="667FAF73"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5DF91D98" w14:textId="77777777" w:rsidTr="00AD6A55">
        <w:trPr>
          <w:cantSplit/>
          <w:trHeight w:val="900"/>
        </w:trPr>
        <w:tc>
          <w:tcPr>
            <w:tcW w:w="1079" w:type="dxa"/>
            <w:shd w:val="clear" w:color="auto" w:fill="auto"/>
            <w:noWrap/>
            <w:vAlign w:val="center"/>
            <w:hideMark/>
          </w:tcPr>
          <w:p w14:paraId="4069471C" w14:textId="77777777" w:rsidR="00AD6A55" w:rsidRPr="00DE1AF3" w:rsidRDefault="00AD6A55" w:rsidP="00AD6A55">
            <w:pPr>
              <w:pStyle w:val="TableText0"/>
              <w:rPr>
                <w:lang w:val="en-GB" w:eastAsia="en-GB"/>
              </w:rPr>
            </w:pPr>
            <w:r w:rsidRPr="00DE1AF3">
              <w:rPr>
                <w:lang w:val="en-GB" w:eastAsia="en-GB"/>
              </w:rPr>
              <w:t>INJ371</w:t>
            </w:r>
          </w:p>
        </w:tc>
        <w:tc>
          <w:tcPr>
            <w:tcW w:w="4168" w:type="dxa"/>
            <w:shd w:val="clear" w:color="000000" w:fill="FFFFFF"/>
            <w:vAlign w:val="center"/>
            <w:hideMark/>
          </w:tcPr>
          <w:p w14:paraId="21D9DAC2" w14:textId="77777777" w:rsidR="00AD6A55" w:rsidRPr="00DE1AF3" w:rsidRDefault="00AD6A55" w:rsidP="00AD6A55">
            <w:pPr>
              <w:pStyle w:val="TableText0"/>
              <w:rPr>
                <w:lang w:val="en-GB" w:eastAsia="en-GB"/>
              </w:rPr>
            </w:pPr>
            <w:r w:rsidRPr="00DE1AF3">
              <w:rPr>
                <w:lang w:val="en-GB" w:eastAsia="en-GB"/>
              </w:rPr>
              <w:t>Final Evaluation of Timor-Leste</w:t>
            </w:r>
            <w:r>
              <w:rPr>
                <w:lang w:val="en-GB" w:eastAsia="en-GB"/>
              </w:rPr>
              <w:t xml:space="preserve"> </w:t>
            </w:r>
            <w:r w:rsidRPr="00DE1AF3">
              <w:rPr>
                <w:lang w:val="en-GB" w:eastAsia="en-GB"/>
              </w:rPr>
              <w:t>Investment Budget Execution Support for Rural Infrastructure Development and Employment Generation</w:t>
            </w:r>
          </w:p>
        </w:tc>
        <w:tc>
          <w:tcPr>
            <w:tcW w:w="1437" w:type="dxa"/>
            <w:shd w:val="clear" w:color="000000" w:fill="FFFFFF"/>
            <w:noWrap/>
            <w:vAlign w:val="center"/>
            <w:hideMark/>
          </w:tcPr>
          <w:p w14:paraId="3DAA194C" w14:textId="77777777" w:rsidR="00AD6A55" w:rsidRPr="00DE1AF3" w:rsidRDefault="00AD6A55" w:rsidP="00AD6A55">
            <w:pPr>
              <w:pStyle w:val="TableText0"/>
              <w:rPr>
                <w:lang w:val="en-GB" w:eastAsia="en-GB"/>
              </w:rPr>
            </w:pPr>
            <w:r w:rsidRPr="00DE1AF3">
              <w:rPr>
                <w:lang w:val="en-GB" w:eastAsia="en-GB"/>
              </w:rPr>
              <w:t>Timor-Leste</w:t>
            </w:r>
          </w:p>
        </w:tc>
        <w:tc>
          <w:tcPr>
            <w:tcW w:w="1617" w:type="dxa"/>
            <w:shd w:val="clear" w:color="auto" w:fill="auto"/>
            <w:vAlign w:val="center"/>
            <w:hideMark/>
          </w:tcPr>
          <w:p w14:paraId="419943C3" w14:textId="77777777" w:rsidR="00AD6A55" w:rsidRPr="00DE1AF3" w:rsidRDefault="00AD6A55" w:rsidP="00AD6A55">
            <w:pPr>
              <w:pStyle w:val="TableText0"/>
              <w:rPr>
                <w:lang w:val="en-GB" w:eastAsia="en-GB"/>
              </w:rPr>
            </w:pPr>
            <w:r w:rsidRPr="00DE1AF3">
              <w:rPr>
                <w:lang w:val="en-GB" w:eastAsia="en-GB"/>
              </w:rPr>
              <w:t>Infrastructure</w:t>
            </w:r>
          </w:p>
        </w:tc>
        <w:tc>
          <w:tcPr>
            <w:tcW w:w="1281" w:type="dxa"/>
            <w:vAlign w:val="center"/>
          </w:tcPr>
          <w:p w14:paraId="2FC970CC"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7CE6963E" w14:textId="77777777" w:rsidTr="00AD6A55">
        <w:trPr>
          <w:cantSplit/>
          <w:trHeight w:val="900"/>
        </w:trPr>
        <w:tc>
          <w:tcPr>
            <w:tcW w:w="1079" w:type="dxa"/>
            <w:shd w:val="clear" w:color="auto" w:fill="auto"/>
            <w:vAlign w:val="center"/>
            <w:hideMark/>
          </w:tcPr>
          <w:p w14:paraId="38F1481B" w14:textId="77777777" w:rsidR="00AD6A55" w:rsidRPr="00DE1AF3" w:rsidRDefault="00AD6A55" w:rsidP="00AD6A55">
            <w:pPr>
              <w:pStyle w:val="TableText0"/>
              <w:rPr>
                <w:lang w:val="en-GB" w:eastAsia="en-GB"/>
              </w:rPr>
            </w:pPr>
            <w:r w:rsidRPr="00DE1AF3">
              <w:rPr>
                <w:lang w:val="en-GB" w:eastAsia="en-GB"/>
              </w:rPr>
              <w:t>INJ632</w:t>
            </w:r>
          </w:p>
        </w:tc>
        <w:tc>
          <w:tcPr>
            <w:tcW w:w="4168" w:type="dxa"/>
            <w:shd w:val="clear" w:color="000000" w:fill="FFFFFF"/>
            <w:vAlign w:val="center"/>
            <w:hideMark/>
          </w:tcPr>
          <w:p w14:paraId="1B67FF44" w14:textId="77777777" w:rsidR="00AD6A55" w:rsidRPr="00DE1AF3" w:rsidRDefault="00AD6A55" w:rsidP="00AD6A55">
            <w:pPr>
              <w:pStyle w:val="TableText0"/>
              <w:rPr>
                <w:lang w:val="en-GB" w:eastAsia="en-GB"/>
              </w:rPr>
            </w:pPr>
            <w:r w:rsidRPr="00DE1AF3">
              <w:rPr>
                <w:lang w:val="en-GB" w:eastAsia="en-GB"/>
              </w:rPr>
              <w:t>Independent Progress Review of the Australia Indonesia Electoral Support Program 2011–15</w:t>
            </w:r>
          </w:p>
        </w:tc>
        <w:tc>
          <w:tcPr>
            <w:tcW w:w="1437" w:type="dxa"/>
            <w:shd w:val="clear" w:color="000000" w:fill="FFFFFF"/>
            <w:noWrap/>
            <w:vAlign w:val="center"/>
            <w:hideMark/>
          </w:tcPr>
          <w:p w14:paraId="7FB883CE" w14:textId="77777777" w:rsidR="00AD6A55" w:rsidRPr="00DE1AF3" w:rsidRDefault="00AD6A55" w:rsidP="00AD6A55">
            <w:pPr>
              <w:pStyle w:val="TableText0"/>
              <w:rPr>
                <w:lang w:val="en-GB" w:eastAsia="en-GB"/>
              </w:rPr>
            </w:pPr>
            <w:r w:rsidRPr="00DE1AF3">
              <w:rPr>
                <w:lang w:val="en-GB" w:eastAsia="en-GB"/>
              </w:rPr>
              <w:t>Indonesia</w:t>
            </w:r>
          </w:p>
        </w:tc>
        <w:tc>
          <w:tcPr>
            <w:tcW w:w="1617" w:type="dxa"/>
            <w:shd w:val="clear" w:color="auto" w:fill="auto"/>
            <w:vAlign w:val="center"/>
            <w:hideMark/>
          </w:tcPr>
          <w:p w14:paraId="64A56733" w14:textId="77777777" w:rsidR="00AD6A55" w:rsidRPr="00DE1AF3" w:rsidRDefault="00AD6A55" w:rsidP="00AD6A55">
            <w:pPr>
              <w:pStyle w:val="TableText0"/>
              <w:rPr>
                <w:lang w:val="en-GB" w:eastAsia="en-GB"/>
              </w:rPr>
            </w:pPr>
            <w:r w:rsidRPr="00DE1AF3">
              <w:rPr>
                <w:lang w:val="en-GB" w:eastAsia="en-GB"/>
              </w:rPr>
              <w:t>Human rights</w:t>
            </w:r>
          </w:p>
        </w:tc>
        <w:tc>
          <w:tcPr>
            <w:tcW w:w="1281" w:type="dxa"/>
            <w:vAlign w:val="center"/>
          </w:tcPr>
          <w:p w14:paraId="387508FD"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6B900CD0" w14:textId="77777777" w:rsidTr="00AD6A55">
        <w:trPr>
          <w:cantSplit/>
          <w:trHeight w:val="900"/>
        </w:trPr>
        <w:tc>
          <w:tcPr>
            <w:tcW w:w="1079" w:type="dxa"/>
            <w:shd w:val="clear" w:color="auto" w:fill="auto"/>
            <w:vAlign w:val="center"/>
            <w:hideMark/>
          </w:tcPr>
          <w:p w14:paraId="351EBB8A" w14:textId="77777777" w:rsidR="00AD6A55" w:rsidRPr="00DE1AF3" w:rsidRDefault="00AD6A55" w:rsidP="00AD6A55">
            <w:pPr>
              <w:pStyle w:val="TableText0"/>
              <w:rPr>
                <w:lang w:val="en-GB" w:eastAsia="en-GB"/>
              </w:rPr>
            </w:pPr>
            <w:r w:rsidRPr="00DE1AF3">
              <w:rPr>
                <w:lang w:val="en-GB" w:eastAsia="en-GB"/>
              </w:rPr>
              <w:t>INJ657</w:t>
            </w:r>
          </w:p>
        </w:tc>
        <w:tc>
          <w:tcPr>
            <w:tcW w:w="4168" w:type="dxa"/>
            <w:shd w:val="clear" w:color="000000" w:fill="FFFFFF"/>
            <w:vAlign w:val="center"/>
            <w:hideMark/>
          </w:tcPr>
          <w:p w14:paraId="770D7013" w14:textId="77777777" w:rsidR="00AD6A55" w:rsidRPr="00DE1AF3" w:rsidRDefault="00AD6A55" w:rsidP="00AD6A55">
            <w:pPr>
              <w:pStyle w:val="TableText0"/>
              <w:rPr>
                <w:lang w:val="en-GB" w:eastAsia="en-GB"/>
              </w:rPr>
            </w:pPr>
            <w:r w:rsidRPr="00DE1AF3">
              <w:rPr>
                <w:lang w:val="en-GB" w:eastAsia="en-GB"/>
              </w:rPr>
              <w:t xml:space="preserve">Mid Term Review of Partnership agreement between AusAID and Australian Red Cross </w:t>
            </w:r>
          </w:p>
        </w:tc>
        <w:tc>
          <w:tcPr>
            <w:tcW w:w="1437" w:type="dxa"/>
            <w:shd w:val="clear" w:color="000000" w:fill="FFFFFF"/>
            <w:vAlign w:val="center"/>
            <w:hideMark/>
          </w:tcPr>
          <w:p w14:paraId="59918C07" w14:textId="77777777" w:rsidR="00AD6A55" w:rsidRPr="00DE1AF3" w:rsidRDefault="00AD6A55" w:rsidP="00AD6A55">
            <w:pPr>
              <w:pStyle w:val="TableText0"/>
              <w:rPr>
                <w:lang w:val="en-GB" w:eastAsia="en-GB"/>
              </w:rPr>
            </w:pPr>
            <w:proofErr w:type="spellStart"/>
            <w:r>
              <w:rPr>
                <w:lang w:val="en-GB" w:eastAsia="en-GB"/>
              </w:rPr>
              <w:t>Multicountry</w:t>
            </w:r>
            <w:proofErr w:type="spellEnd"/>
          </w:p>
        </w:tc>
        <w:tc>
          <w:tcPr>
            <w:tcW w:w="1617" w:type="dxa"/>
            <w:shd w:val="clear" w:color="auto" w:fill="auto"/>
            <w:vAlign w:val="center"/>
            <w:hideMark/>
          </w:tcPr>
          <w:p w14:paraId="3FB5BD96" w14:textId="77777777" w:rsidR="00AD6A55" w:rsidRPr="00DE1AF3" w:rsidRDefault="00AD6A55" w:rsidP="00AD6A55">
            <w:pPr>
              <w:pStyle w:val="TableText0"/>
              <w:rPr>
                <w:lang w:val="en-GB" w:eastAsia="en-GB"/>
              </w:rPr>
            </w:pPr>
            <w:r w:rsidRPr="00DE1AF3">
              <w:rPr>
                <w:lang w:val="en-GB" w:eastAsia="en-GB"/>
              </w:rPr>
              <w:t>Humanitarian</w:t>
            </w:r>
            <w:r>
              <w:rPr>
                <w:lang w:val="en-GB" w:eastAsia="en-GB"/>
              </w:rPr>
              <w:t xml:space="preserve"> response</w:t>
            </w:r>
          </w:p>
        </w:tc>
        <w:tc>
          <w:tcPr>
            <w:tcW w:w="1281" w:type="dxa"/>
            <w:vAlign w:val="center"/>
          </w:tcPr>
          <w:p w14:paraId="3A37038D"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363540FF" w14:textId="77777777" w:rsidTr="00AD6A55">
        <w:trPr>
          <w:cantSplit/>
          <w:trHeight w:val="900"/>
        </w:trPr>
        <w:tc>
          <w:tcPr>
            <w:tcW w:w="1079" w:type="dxa"/>
            <w:shd w:val="clear" w:color="auto" w:fill="auto"/>
            <w:noWrap/>
            <w:vAlign w:val="center"/>
            <w:hideMark/>
          </w:tcPr>
          <w:p w14:paraId="10488A8A" w14:textId="77777777" w:rsidR="00AD6A55" w:rsidRPr="00DE1AF3" w:rsidRDefault="00AD6A55" w:rsidP="00AD6A55">
            <w:pPr>
              <w:pStyle w:val="TableText0"/>
              <w:rPr>
                <w:lang w:val="en-GB" w:eastAsia="en-GB"/>
              </w:rPr>
            </w:pPr>
            <w:r w:rsidRPr="00DE1AF3">
              <w:rPr>
                <w:lang w:val="en-GB" w:eastAsia="en-GB"/>
              </w:rPr>
              <w:t>INJ675</w:t>
            </w:r>
          </w:p>
        </w:tc>
        <w:tc>
          <w:tcPr>
            <w:tcW w:w="4168" w:type="dxa"/>
            <w:shd w:val="clear" w:color="000000" w:fill="FFFFFF"/>
            <w:vAlign w:val="center"/>
            <w:hideMark/>
          </w:tcPr>
          <w:p w14:paraId="49F79717" w14:textId="77777777" w:rsidR="00AD6A55" w:rsidRPr="00DE1AF3" w:rsidRDefault="00AD6A55" w:rsidP="00AD6A55">
            <w:pPr>
              <w:pStyle w:val="TableText0"/>
              <w:rPr>
                <w:lang w:val="en-GB" w:eastAsia="en-GB"/>
              </w:rPr>
            </w:pPr>
            <w:r>
              <w:rPr>
                <w:lang w:val="en-GB" w:eastAsia="en-GB"/>
              </w:rPr>
              <w:t>Independent Progress Report</w:t>
            </w:r>
            <w:r w:rsidRPr="00DE1AF3">
              <w:rPr>
                <w:lang w:val="en-GB" w:eastAsia="en-GB"/>
              </w:rPr>
              <w:t xml:space="preserve"> </w:t>
            </w:r>
            <w:r>
              <w:rPr>
                <w:lang w:val="en-GB" w:eastAsia="en-GB"/>
              </w:rPr>
              <w:t xml:space="preserve">for the </w:t>
            </w:r>
            <w:r w:rsidRPr="00DE1AF3">
              <w:rPr>
                <w:lang w:val="en-GB" w:eastAsia="en-GB"/>
              </w:rPr>
              <w:t>Vanuatu Australia Police Project</w:t>
            </w:r>
            <w:r>
              <w:rPr>
                <w:lang w:val="en-GB" w:eastAsia="en-GB"/>
              </w:rPr>
              <w:t xml:space="preserve"> </w:t>
            </w:r>
          </w:p>
        </w:tc>
        <w:tc>
          <w:tcPr>
            <w:tcW w:w="1437" w:type="dxa"/>
            <w:shd w:val="clear" w:color="000000" w:fill="FFFFFF"/>
            <w:noWrap/>
            <w:vAlign w:val="center"/>
            <w:hideMark/>
          </w:tcPr>
          <w:p w14:paraId="3A6C27B8" w14:textId="77777777" w:rsidR="00AD6A55" w:rsidRPr="00DE1AF3" w:rsidRDefault="00AD6A55" w:rsidP="00AD6A55">
            <w:pPr>
              <w:pStyle w:val="TableText0"/>
              <w:rPr>
                <w:lang w:val="en-GB" w:eastAsia="en-GB"/>
              </w:rPr>
            </w:pPr>
            <w:r w:rsidRPr="00DE1AF3">
              <w:rPr>
                <w:lang w:val="en-GB" w:eastAsia="en-GB"/>
              </w:rPr>
              <w:t>Vanuatu</w:t>
            </w:r>
          </w:p>
        </w:tc>
        <w:tc>
          <w:tcPr>
            <w:tcW w:w="1617" w:type="dxa"/>
            <w:shd w:val="clear" w:color="auto" w:fill="auto"/>
            <w:vAlign w:val="center"/>
            <w:hideMark/>
          </w:tcPr>
          <w:p w14:paraId="623C99EE" w14:textId="77777777" w:rsidR="00AD6A55" w:rsidRPr="00DE1AF3" w:rsidRDefault="00AD6A55" w:rsidP="00AD6A55">
            <w:pPr>
              <w:pStyle w:val="TableText0"/>
              <w:rPr>
                <w:lang w:val="en-GB" w:eastAsia="en-GB"/>
              </w:rPr>
            </w:pPr>
            <w:r>
              <w:rPr>
                <w:lang w:val="en-GB" w:eastAsia="en-GB"/>
              </w:rPr>
              <w:t xml:space="preserve">Security </w:t>
            </w:r>
            <w:r w:rsidRPr="00DE1AF3">
              <w:rPr>
                <w:lang w:val="en-GB" w:eastAsia="en-GB"/>
              </w:rPr>
              <w:t>and justice</w:t>
            </w:r>
          </w:p>
        </w:tc>
        <w:tc>
          <w:tcPr>
            <w:tcW w:w="1281" w:type="dxa"/>
            <w:vAlign w:val="center"/>
          </w:tcPr>
          <w:p w14:paraId="49EA225E" w14:textId="77777777" w:rsidR="00AD6A55" w:rsidRPr="00DE1AF3" w:rsidRDefault="00AD6A55" w:rsidP="00AD6A55">
            <w:pPr>
              <w:pStyle w:val="TableText0"/>
              <w:rPr>
                <w:lang w:val="en-GB" w:eastAsia="en-GB"/>
              </w:rPr>
            </w:pPr>
            <w:r w:rsidRPr="00DE1AF3">
              <w:rPr>
                <w:lang w:val="en-GB" w:eastAsia="en-GB"/>
              </w:rPr>
              <w:t>No</w:t>
            </w:r>
          </w:p>
        </w:tc>
      </w:tr>
      <w:tr w:rsidR="00AD6A55" w:rsidRPr="00DE1AF3" w14:paraId="1DDBBF6C" w14:textId="77777777" w:rsidTr="00AD6A55">
        <w:trPr>
          <w:cantSplit/>
          <w:trHeight w:val="900"/>
        </w:trPr>
        <w:tc>
          <w:tcPr>
            <w:tcW w:w="1079" w:type="dxa"/>
            <w:shd w:val="clear" w:color="auto" w:fill="auto"/>
            <w:vAlign w:val="center"/>
            <w:hideMark/>
          </w:tcPr>
          <w:p w14:paraId="340B501A" w14:textId="77777777" w:rsidR="00AD6A55" w:rsidRPr="00DE1AF3" w:rsidRDefault="00AD6A55" w:rsidP="00AD6A55">
            <w:pPr>
              <w:pStyle w:val="TableText0"/>
              <w:rPr>
                <w:lang w:val="en-GB" w:eastAsia="en-GB"/>
              </w:rPr>
            </w:pPr>
            <w:r w:rsidRPr="00DE1AF3">
              <w:rPr>
                <w:lang w:val="en-GB" w:eastAsia="en-GB"/>
              </w:rPr>
              <w:t>INJ691</w:t>
            </w:r>
          </w:p>
        </w:tc>
        <w:tc>
          <w:tcPr>
            <w:tcW w:w="4168" w:type="dxa"/>
            <w:shd w:val="clear" w:color="000000" w:fill="FFFFFF"/>
            <w:vAlign w:val="center"/>
            <w:hideMark/>
          </w:tcPr>
          <w:p w14:paraId="310CCAA4" w14:textId="77777777" w:rsidR="00AD6A55" w:rsidRPr="00DE1AF3" w:rsidRDefault="00AD6A55" w:rsidP="00AD6A55">
            <w:pPr>
              <w:pStyle w:val="TableText0"/>
              <w:rPr>
                <w:lang w:val="en-GB" w:eastAsia="en-GB"/>
              </w:rPr>
            </w:pPr>
            <w:r w:rsidRPr="00DE1AF3">
              <w:rPr>
                <w:lang w:val="en-GB" w:eastAsia="en-GB"/>
              </w:rPr>
              <w:t xml:space="preserve">Mid Term Independent Review of the </w:t>
            </w:r>
            <w:proofErr w:type="spellStart"/>
            <w:r w:rsidRPr="00DE1AF3">
              <w:rPr>
                <w:lang w:val="en-GB" w:eastAsia="en-GB"/>
              </w:rPr>
              <w:t>RedR</w:t>
            </w:r>
            <w:proofErr w:type="spellEnd"/>
            <w:r w:rsidRPr="00DE1AF3">
              <w:rPr>
                <w:lang w:val="en-GB" w:eastAsia="en-GB"/>
              </w:rPr>
              <w:t xml:space="preserve"> Australia and AusAID Partnership Agreement</w:t>
            </w:r>
          </w:p>
        </w:tc>
        <w:tc>
          <w:tcPr>
            <w:tcW w:w="1437" w:type="dxa"/>
            <w:shd w:val="clear" w:color="000000" w:fill="FFFFFF"/>
            <w:noWrap/>
            <w:vAlign w:val="center"/>
            <w:hideMark/>
          </w:tcPr>
          <w:p w14:paraId="52C6BD35" w14:textId="77777777" w:rsidR="00AD6A55" w:rsidRPr="00DE1AF3" w:rsidRDefault="00AD6A55" w:rsidP="00AD6A55">
            <w:pPr>
              <w:pStyle w:val="TableText0"/>
              <w:rPr>
                <w:lang w:val="en-GB" w:eastAsia="en-GB"/>
              </w:rPr>
            </w:pPr>
            <w:proofErr w:type="spellStart"/>
            <w:r w:rsidRPr="00DE1AF3">
              <w:rPr>
                <w:lang w:val="en-GB" w:eastAsia="en-GB"/>
              </w:rPr>
              <w:t>Multicountry</w:t>
            </w:r>
            <w:proofErr w:type="spellEnd"/>
          </w:p>
        </w:tc>
        <w:tc>
          <w:tcPr>
            <w:tcW w:w="1617" w:type="dxa"/>
            <w:shd w:val="clear" w:color="auto" w:fill="auto"/>
            <w:vAlign w:val="center"/>
            <w:hideMark/>
          </w:tcPr>
          <w:p w14:paraId="2D558CF8" w14:textId="77777777" w:rsidR="00AD6A55" w:rsidRPr="00DE1AF3" w:rsidRDefault="00AD6A55" w:rsidP="00AD6A55">
            <w:pPr>
              <w:pStyle w:val="TableText0"/>
              <w:rPr>
                <w:lang w:val="en-GB" w:eastAsia="en-GB"/>
              </w:rPr>
            </w:pPr>
            <w:r w:rsidRPr="00DE1AF3">
              <w:rPr>
                <w:lang w:val="en-GB" w:eastAsia="en-GB"/>
              </w:rPr>
              <w:t>Humanitarian</w:t>
            </w:r>
            <w:r>
              <w:rPr>
                <w:lang w:val="en-GB" w:eastAsia="en-GB"/>
              </w:rPr>
              <w:t xml:space="preserve"> response</w:t>
            </w:r>
          </w:p>
        </w:tc>
        <w:tc>
          <w:tcPr>
            <w:tcW w:w="1281" w:type="dxa"/>
            <w:vAlign w:val="center"/>
          </w:tcPr>
          <w:p w14:paraId="460DE374"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441EC00D" w14:textId="77777777" w:rsidTr="00AD6A55">
        <w:trPr>
          <w:cantSplit/>
          <w:trHeight w:val="900"/>
        </w:trPr>
        <w:tc>
          <w:tcPr>
            <w:tcW w:w="1079" w:type="dxa"/>
            <w:shd w:val="clear" w:color="auto" w:fill="auto"/>
            <w:vAlign w:val="center"/>
            <w:hideMark/>
          </w:tcPr>
          <w:p w14:paraId="124B4364" w14:textId="77777777" w:rsidR="00AD6A55" w:rsidRPr="00DE1AF3" w:rsidRDefault="00AD6A55" w:rsidP="00AD6A55">
            <w:pPr>
              <w:pStyle w:val="TableText0"/>
              <w:rPr>
                <w:lang w:val="en-GB" w:eastAsia="en-GB"/>
              </w:rPr>
            </w:pPr>
            <w:r w:rsidRPr="00DE1AF3">
              <w:rPr>
                <w:lang w:val="en-GB" w:eastAsia="en-GB"/>
              </w:rPr>
              <w:t>INJ746</w:t>
            </w:r>
          </w:p>
        </w:tc>
        <w:tc>
          <w:tcPr>
            <w:tcW w:w="4168" w:type="dxa"/>
            <w:shd w:val="clear" w:color="000000" w:fill="FFFFFF"/>
            <w:vAlign w:val="center"/>
            <w:hideMark/>
          </w:tcPr>
          <w:p w14:paraId="6C650CCC" w14:textId="77777777" w:rsidR="00AD6A55" w:rsidRPr="00DE1AF3" w:rsidRDefault="00AD6A55" w:rsidP="00AD6A55">
            <w:pPr>
              <w:pStyle w:val="TableText0"/>
              <w:rPr>
                <w:lang w:val="en-GB" w:eastAsia="en-GB"/>
              </w:rPr>
            </w:pPr>
            <w:r w:rsidRPr="00DE1AF3">
              <w:rPr>
                <w:lang w:val="en-GB" w:eastAsia="en-GB"/>
              </w:rPr>
              <w:t>Independent External Review of the Secretariat of the Pacific Community (SPC)</w:t>
            </w:r>
          </w:p>
        </w:tc>
        <w:tc>
          <w:tcPr>
            <w:tcW w:w="1437" w:type="dxa"/>
            <w:shd w:val="clear" w:color="000000" w:fill="FFFFFF"/>
            <w:noWrap/>
            <w:vAlign w:val="center"/>
            <w:hideMark/>
          </w:tcPr>
          <w:p w14:paraId="7BA8D429" w14:textId="77777777" w:rsidR="00AD6A55" w:rsidRPr="00DE1AF3" w:rsidRDefault="00AD6A55" w:rsidP="00AD6A55">
            <w:pPr>
              <w:pStyle w:val="TableText0"/>
              <w:rPr>
                <w:lang w:val="en-GB" w:eastAsia="en-GB"/>
              </w:rPr>
            </w:pPr>
            <w:proofErr w:type="spellStart"/>
            <w:r>
              <w:rPr>
                <w:lang w:val="en-GB" w:eastAsia="en-GB"/>
              </w:rPr>
              <w:t>Multicountry</w:t>
            </w:r>
            <w:proofErr w:type="spellEnd"/>
          </w:p>
        </w:tc>
        <w:tc>
          <w:tcPr>
            <w:tcW w:w="1617" w:type="dxa"/>
            <w:shd w:val="clear" w:color="auto" w:fill="auto"/>
            <w:vAlign w:val="center"/>
            <w:hideMark/>
          </w:tcPr>
          <w:p w14:paraId="16E01206" w14:textId="77777777" w:rsidR="00AD6A55" w:rsidRPr="00DE1AF3" w:rsidRDefault="00AD6A55" w:rsidP="00AD6A55">
            <w:pPr>
              <w:pStyle w:val="TableText0"/>
              <w:rPr>
                <w:lang w:val="en-GB" w:eastAsia="en-GB"/>
              </w:rPr>
            </w:pPr>
            <w:r>
              <w:rPr>
                <w:lang w:val="en-GB" w:eastAsia="en-GB"/>
              </w:rPr>
              <w:t>General development support</w:t>
            </w:r>
          </w:p>
        </w:tc>
        <w:tc>
          <w:tcPr>
            <w:tcW w:w="1281" w:type="dxa"/>
            <w:vAlign w:val="center"/>
          </w:tcPr>
          <w:p w14:paraId="2D201DAA"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3FADE857" w14:textId="77777777" w:rsidTr="00AD6A55">
        <w:trPr>
          <w:cantSplit/>
          <w:trHeight w:val="900"/>
        </w:trPr>
        <w:tc>
          <w:tcPr>
            <w:tcW w:w="1079" w:type="dxa"/>
            <w:shd w:val="clear" w:color="auto" w:fill="auto"/>
            <w:vAlign w:val="center"/>
            <w:hideMark/>
          </w:tcPr>
          <w:p w14:paraId="6ABA7C86" w14:textId="77777777" w:rsidR="00AD6A55" w:rsidRPr="00DE1AF3" w:rsidRDefault="00AD6A55" w:rsidP="00AD6A55">
            <w:pPr>
              <w:pStyle w:val="TableText0"/>
              <w:rPr>
                <w:lang w:val="en-GB" w:eastAsia="en-GB"/>
              </w:rPr>
            </w:pPr>
            <w:r w:rsidRPr="00DE1AF3">
              <w:rPr>
                <w:lang w:val="en-GB" w:eastAsia="en-GB"/>
              </w:rPr>
              <w:t>INJ794</w:t>
            </w:r>
          </w:p>
        </w:tc>
        <w:tc>
          <w:tcPr>
            <w:tcW w:w="4168" w:type="dxa"/>
            <w:shd w:val="clear" w:color="000000" w:fill="FFFFFF"/>
            <w:vAlign w:val="center"/>
            <w:hideMark/>
          </w:tcPr>
          <w:p w14:paraId="0F481DAA" w14:textId="77777777" w:rsidR="00AD6A55" w:rsidRPr="00DE1AF3" w:rsidRDefault="00AD6A55" w:rsidP="00AD6A55">
            <w:pPr>
              <w:pStyle w:val="TableText0"/>
              <w:rPr>
                <w:lang w:val="en-GB" w:eastAsia="en-GB"/>
              </w:rPr>
            </w:pPr>
            <w:r w:rsidRPr="00DE1AF3">
              <w:rPr>
                <w:lang w:val="en-GB" w:eastAsia="en-GB"/>
              </w:rPr>
              <w:t xml:space="preserve">Independent Review of MTV Exit Asia III </w:t>
            </w:r>
          </w:p>
        </w:tc>
        <w:tc>
          <w:tcPr>
            <w:tcW w:w="1437" w:type="dxa"/>
            <w:shd w:val="clear" w:color="000000" w:fill="FFFFFF"/>
            <w:vAlign w:val="center"/>
            <w:hideMark/>
          </w:tcPr>
          <w:p w14:paraId="5CA6B555" w14:textId="77777777" w:rsidR="00AD6A55" w:rsidRPr="00DE1AF3" w:rsidRDefault="00AD6A55" w:rsidP="00AD6A55">
            <w:pPr>
              <w:pStyle w:val="TableText0"/>
              <w:rPr>
                <w:lang w:val="en-GB" w:eastAsia="en-GB"/>
              </w:rPr>
            </w:pPr>
            <w:proofErr w:type="spellStart"/>
            <w:r w:rsidRPr="00DE1AF3">
              <w:rPr>
                <w:lang w:val="en-GB" w:eastAsia="en-GB"/>
              </w:rPr>
              <w:t>Multicountry</w:t>
            </w:r>
            <w:proofErr w:type="spellEnd"/>
          </w:p>
        </w:tc>
        <w:tc>
          <w:tcPr>
            <w:tcW w:w="1617" w:type="dxa"/>
            <w:shd w:val="clear" w:color="auto" w:fill="auto"/>
            <w:vAlign w:val="center"/>
            <w:hideMark/>
          </w:tcPr>
          <w:p w14:paraId="02876F06" w14:textId="77777777" w:rsidR="00AD6A55" w:rsidRPr="00DE1AF3" w:rsidRDefault="00AD6A55" w:rsidP="00AD6A55">
            <w:pPr>
              <w:pStyle w:val="TableText0"/>
              <w:rPr>
                <w:lang w:val="en-GB" w:eastAsia="en-GB"/>
              </w:rPr>
            </w:pPr>
            <w:r>
              <w:rPr>
                <w:lang w:val="en-GB" w:eastAsia="en-GB"/>
              </w:rPr>
              <w:t>Human rights</w:t>
            </w:r>
          </w:p>
        </w:tc>
        <w:tc>
          <w:tcPr>
            <w:tcW w:w="1281" w:type="dxa"/>
            <w:vAlign w:val="center"/>
          </w:tcPr>
          <w:p w14:paraId="20BAF74C" w14:textId="77777777" w:rsidR="00AD6A55" w:rsidRPr="00DE1AF3" w:rsidRDefault="00AD6A55" w:rsidP="00AD6A55">
            <w:pPr>
              <w:pStyle w:val="TableText0"/>
              <w:rPr>
                <w:lang w:val="en-GB" w:eastAsia="en-GB"/>
              </w:rPr>
            </w:pPr>
            <w:r w:rsidRPr="00DE1AF3">
              <w:rPr>
                <w:lang w:val="en-GB" w:eastAsia="en-GB"/>
              </w:rPr>
              <w:t>Yes</w:t>
            </w:r>
          </w:p>
        </w:tc>
      </w:tr>
      <w:tr w:rsidR="00AD6A55" w:rsidRPr="00DE1AF3" w14:paraId="69A1968B" w14:textId="77777777" w:rsidTr="00AD6A55">
        <w:trPr>
          <w:cantSplit/>
          <w:trHeight w:val="900"/>
        </w:trPr>
        <w:tc>
          <w:tcPr>
            <w:tcW w:w="1079" w:type="dxa"/>
            <w:tcBorders>
              <w:bottom w:val="single" w:sz="4" w:space="0" w:color="31849B"/>
            </w:tcBorders>
            <w:shd w:val="clear" w:color="auto" w:fill="auto"/>
            <w:vAlign w:val="center"/>
            <w:hideMark/>
          </w:tcPr>
          <w:p w14:paraId="0DB73843" w14:textId="77777777" w:rsidR="00AD6A55" w:rsidRPr="00DE1AF3" w:rsidRDefault="00AD6A55" w:rsidP="00AD6A55">
            <w:pPr>
              <w:pStyle w:val="TableText0"/>
              <w:rPr>
                <w:lang w:val="en-GB" w:eastAsia="en-GB"/>
              </w:rPr>
            </w:pPr>
            <w:r w:rsidRPr="00DE1AF3">
              <w:rPr>
                <w:lang w:val="en-GB" w:eastAsia="en-GB"/>
              </w:rPr>
              <w:t>INK299</w:t>
            </w:r>
          </w:p>
        </w:tc>
        <w:tc>
          <w:tcPr>
            <w:tcW w:w="4168" w:type="dxa"/>
            <w:tcBorders>
              <w:bottom w:val="single" w:sz="4" w:space="0" w:color="31849B"/>
            </w:tcBorders>
            <w:shd w:val="clear" w:color="000000" w:fill="FFFFFF"/>
            <w:vAlign w:val="center"/>
            <w:hideMark/>
          </w:tcPr>
          <w:p w14:paraId="48F60FF9" w14:textId="77777777" w:rsidR="00AD6A55" w:rsidRPr="00DE1AF3" w:rsidRDefault="00AD6A55" w:rsidP="00AD6A55">
            <w:pPr>
              <w:pStyle w:val="TableText0"/>
              <w:rPr>
                <w:lang w:val="en-GB" w:eastAsia="en-GB"/>
              </w:rPr>
            </w:pPr>
            <w:r w:rsidRPr="00DE1AF3">
              <w:rPr>
                <w:lang w:val="en-GB" w:eastAsia="en-GB"/>
              </w:rPr>
              <w:t>Review of the Pacific Islands Forum Secretariat (PIFS)</w:t>
            </w:r>
          </w:p>
        </w:tc>
        <w:tc>
          <w:tcPr>
            <w:tcW w:w="1437" w:type="dxa"/>
            <w:tcBorders>
              <w:bottom w:val="single" w:sz="4" w:space="0" w:color="31849B"/>
            </w:tcBorders>
            <w:shd w:val="clear" w:color="000000" w:fill="FFFFFF"/>
            <w:noWrap/>
            <w:vAlign w:val="center"/>
            <w:hideMark/>
          </w:tcPr>
          <w:p w14:paraId="22CF8EB0" w14:textId="77777777" w:rsidR="00AD6A55" w:rsidRPr="00DE1AF3" w:rsidRDefault="00AD6A55" w:rsidP="00AD6A55">
            <w:pPr>
              <w:pStyle w:val="TableText0"/>
              <w:rPr>
                <w:lang w:val="en-GB" w:eastAsia="en-GB"/>
              </w:rPr>
            </w:pPr>
            <w:proofErr w:type="spellStart"/>
            <w:r w:rsidRPr="00DE1AF3">
              <w:rPr>
                <w:lang w:val="en-GB" w:eastAsia="en-GB"/>
              </w:rPr>
              <w:t>Multicountry</w:t>
            </w:r>
            <w:proofErr w:type="spellEnd"/>
          </w:p>
        </w:tc>
        <w:tc>
          <w:tcPr>
            <w:tcW w:w="1617" w:type="dxa"/>
            <w:tcBorders>
              <w:bottom w:val="single" w:sz="4" w:space="0" w:color="31849B"/>
            </w:tcBorders>
            <w:shd w:val="clear" w:color="auto" w:fill="auto"/>
            <w:vAlign w:val="center"/>
            <w:hideMark/>
          </w:tcPr>
          <w:p w14:paraId="0FA1B781" w14:textId="77777777" w:rsidR="00AD6A55" w:rsidRPr="00DE1AF3" w:rsidRDefault="00AD6A55" w:rsidP="00AD6A55">
            <w:pPr>
              <w:pStyle w:val="TableText0"/>
              <w:rPr>
                <w:lang w:val="en-GB" w:eastAsia="en-GB"/>
              </w:rPr>
            </w:pPr>
            <w:r>
              <w:rPr>
                <w:lang w:val="en-GB" w:eastAsia="en-GB"/>
              </w:rPr>
              <w:t>Improved government</w:t>
            </w:r>
          </w:p>
        </w:tc>
        <w:tc>
          <w:tcPr>
            <w:tcW w:w="1281" w:type="dxa"/>
            <w:tcBorders>
              <w:bottom w:val="single" w:sz="4" w:space="0" w:color="31849B"/>
            </w:tcBorders>
            <w:vAlign w:val="center"/>
          </w:tcPr>
          <w:p w14:paraId="4A0980DE" w14:textId="77777777" w:rsidR="00AD6A55" w:rsidRPr="00DE1AF3" w:rsidRDefault="00AD6A55" w:rsidP="00AD6A55">
            <w:pPr>
              <w:pStyle w:val="TableText0"/>
              <w:rPr>
                <w:lang w:val="en-GB" w:eastAsia="en-GB"/>
              </w:rPr>
            </w:pPr>
            <w:r w:rsidRPr="00DE1AF3">
              <w:rPr>
                <w:lang w:val="en-GB" w:eastAsia="en-GB"/>
              </w:rPr>
              <w:t>No</w:t>
            </w:r>
          </w:p>
        </w:tc>
      </w:tr>
    </w:tbl>
    <w:p w14:paraId="44F42D54" w14:textId="3E10FAFD" w:rsidR="00AA6520" w:rsidRDefault="00AA6520" w:rsidP="005643D3">
      <w:r>
        <w:br w:type="page"/>
      </w:r>
    </w:p>
    <w:bookmarkStart w:id="256" w:name="_Toc387394607"/>
    <w:bookmarkEnd w:id="247"/>
    <w:bookmarkEnd w:id="248"/>
    <w:bookmarkEnd w:id="249"/>
    <w:bookmarkEnd w:id="250"/>
    <w:bookmarkEnd w:id="251"/>
    <w:bookmarkEnd w:id="252"/>
    <w:bookmarkEnd w:id="253"/>
    <w:bookmarkEnd w:id="254"/>
    <w:bookmarkEnd w:id="255"/>
    <w:p w14:paraId="388668F0" w14:textId="117A428B" w:rsidR="00D008F6" w:rsidRDefault="00C40B57" w:rsidP="006B06F0">
      <w:pPr>
        <w:pStyle w:val="Heading1"/>
        <w:ind w:left="1843" w:hanging="1843"/>
      </w:pPr>
      <w:r>
        <w:rPr>
          <w:noProof/>
        </w:rPr>
        <w:lastRenderedPageBreak/>
        <mc:AlternateContent>
          <mc:Choice Requires="wps">
            <w:drawing>
              <wp:anchor distT="0" distB="0" distL="114300" distR="114300" simplePos="0" relativeHeight="251671040" behindDoc="1" locked="0" layoutInCell="1" allowOverlap="1" wp14:anchorId="313BCBEB" wp14:editId="27ABAD47">
                <wp:simplePos x="0" y="0"/>
                <wp:positionH relativeFrom="page">
                  <wp:align>left</wp:align>
                </wp:positionH>
                <wp:positionV relativeFrom="paragraph">
                  <wp:posOffset>753</wp:posOffset>
                </wp:positionV>
                <wp:extent cx="7610475" cy="1468800"/>
                <wp:effectExtent l="0" t="0" r="9525" b="0"/>
                <wp:wrapNone/>
                <wp:docPr id="10" name="Rectangle 10"/>
                <wp:cNvGraphicFramePr/>
                <a:graphic xmlns:a="http://schemas.openxmlformats.org/drawingml/2006/main">
                  <a:graphicData uri="http://schemas.microsoft.com/office/word/2010/wordprocessingShape">
                    <wps:wsp>
                      <wps:cNvSpPr/>
                      <wps:spPr>
                        <a:xfrm>
                          <a:off x="0" y="0"/>
                          <a:ext cx="7610475"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0;margin-top:.05pt;width:599.25pt;height:115.65pt;z-index:-251645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" fillcolor="#124486" stroked="f" strokeweight="2pt">
                <w10:wrap anchorx="page"/>
              </v:rect>
            </w:pict>
          </mc:Fallback>
        </mc:AlternateContent>
      </w:r>
      <w:r w:rsidR="00D008F6" w:rsidRPr="00E57F60">
        <w:t xml:space="preserve">Annex </w:t>
      </w:r>
      <w:r w:rsidR="00D659B6">
        <w:t>4</w:t>
      </w:r>
      <w:r w:rsidR="00D008F6" w:rsidRPr="00E57F60">
        <w:t xml:space="preserve">: </w:t>
      </w:r>
      <w:r w:rsidR="00D659B6">
        <w:t>List of evaluations providing evidence for each lesson</w:t>
      </w:r>
      <w:bookmarkEnd w:id="256"/>
    </w:p>
    <w:tbl>
      <w:tblPr>
        <w:tblpPr w:leftFromText="180" w:rightFromText="180" w:vertAnchor="text" w:horzAnchor="margin" w:tblpXSpec="center" w:tblpY="64"/>
        <w:tblOverlap w:val="never"/>
        <w:tblW w:w="10065" w:type="dxa"/>
        <w:tblBorders>
          <w:top w:val="single" w:sz="4" w:space="0" w:color="31849B"/>
          <w:bottom w:val="single" w:sz="4" w:space="0" w:color="31849B"/>
          <w:insideH w:val="single" w:sz="4" w:space="0" w:color="31849B"/>
        </w:tblBorders>
        <w:tblLook w:val="04A0" w:firstRow="1" w:lastRow="0" w:firstColumn="1" w:lastColumn="0" w:noHBand="0" w:noVBand="1"/>
      </w:tblPr>
      <w:tblGrid>
        <w:gridCol w:w="3403"/>
        <w:gridCol w:w="783"/>
        <w:gridCol w:w="5879"/>
      </w:tblGrid>
      <w:tr w:rsidR="00C40B57" w:rsidRPr="00447E65" w14:paraId="7E3E1C31" w14:textId="77777777" w:rsidTr="00315553">
        <w:trPr>
          <w:trHeight w:val="812"/>
          <w:tblHeader/>
        </w:trPr>
        <w:tc>
          <w:tcPr>
            <w:tcW w:w="3403" w:type="dxa"/>
            <w:shd w:val="clear" w:color="auto" w:fill="007FAD"/>
            <w:vAlign w:val="center"/>
            <w:hideMark/>
          </w:tcPr>
          <w:p w14:paraId="7891C110" w14:textId="77777777" w:rsidR="00C40B57" w:rsidRPr="00315553" w:rsidRDefault="00C40B57" w:rsidP="00893604">
            <w:pPr>
              <w:pStyle w:val="TableHeading21"/>
              <w:rPr>
                <w:i w:val="0"/>
                <w:lang w:val="en-GB" w:eastAsia="en-GB"/>
              </w:rPr>
            </w:pPr>
            <w:r w:rsidRPr="00315553">
              <w:rPr>
                <w:i w:val="0"/>
                <w:lang w:val="en-GB" w:eastAsia="en-GB"/>
              </w:rPr>
              <w:t>Lesson</w:t>
            </w:r>
          </w:p>
        </w:tc>
        <w:tc>
          <w:tcPr>
            <w:tcW w:w="6662" w:type="dxa"/>
            <w:gridSpan w:val="2"/>
            <w:shd w:val="clear" w:color="auto" w:fill="007FAD"/>
            <w:vAlign w:val="center"/>
            <w:hideMark/>
          </w:tcPr>
          <w:p w14:paraId="0AA8868A" w14:textId="77777777" w:rsidR="00C40B57" w:rsidRPr="00315553" w:rsidRDefault="00C40B57" w:rsidP="00893604">
            <w:pPr>
              <w:pStyle w:val="TableHeading21"/>
              <w:rPr>
                <w:i w:val="0"/>
                <w:lang w:val="en-GB" w:eastAsia="en-GB"/>
              </w:rPr>
            </w:pPr>
            <w:r w:rsidRPr="00315553">
              <w:rPr>
                <w:i w:val="0"/>
                <w:lang w:val="en-GB" w:eastAsia="en-GB"/>
              </w:rPr>
              <w:t>Evaluations providing evidence for the lesson</w:t>
            </w:r>
          </w:p>
        </w:tc>
      </w:tr>
      <w:tr w:rsidR="00C40B57" w:rsidRPr="00447E65" w14:paraId="2143CB75" w14:textId="77777777" w:rsidTr="00315553">
        <w:trPr>
          <w:trHeight w:val="435"/>
        </w:trPr>
        <w:tc>
          <w:tcPr>
            <w:tcW w:w="10065" w:type="dxa"/>
            <w:gridSpan w:val="3"/>
            <w:shd w:val="clear" w:color="auto" w:fill="auto"/>
            <w:noWrap/>
            <w:vAlign w:val="center"/>
            <w:hideMark/>
          </w:tcPr>
          <w:p w14:paraId="2FCC8F9E" w14:textId="77777777" w:rsidR="00C40B57" w:rsidRPr="00447E65" w:rsidRDefault="00C40B57" w:rsidP="00893604">
            <w:pPr>
              <w:pStyle w:val="TableText0"/>
              <w:rPr>
                <w:b/>
                <w:szCs w:val="17"/>
                <w:lang w:eastAsia="en-GB"/>
              </w:rPr>
            </w:pPr>
            <w:r w:rsidRPr="00447E65">
              <w:rPr>
                <w:b/>
                <w:szCs w:val="17"/>
                <w:lang w:eastAsia="en-GB"/>
              </w:rPr>
              <w:t>2. Program design and management</w:t>
            </w:r>
          </w:p>
          <w:p w14:paraId="55AE7823" w14:textId="77777777" w:rsidR="00C40B57" w:rsidRPr="000059B8" w:rsidRDefault="00C40B57" w:rsidP="00893604">
            <w:pPr>
              <w:pStyle w:val="TableText0"/>
              <w:rPr>
                <w:szCs w:val="17"/>
                <w:lang w:val="en-GB" w:eastAsia="en-GB"/>
              </w:rPr>
            </w:pPr>
          </w:p>
        </w:tc>
      </w:tr>
      <w:tr w:rsidR="00C40B57" w:rsidRPr="00447E65" w14:paraId="749A83E0" w14:textId="77777777" w:rsidTr="00315553">
        <w:trPr>
          <w:trHeight w:val="108"/>
        </w:trPr>
        <w:tc>
          <w:tcPr>
            <w:tcW w:w="3403" w:type="dxa"/>
            <w:vMerge w:val="restart"/>
            <w:shd w:val="clear" w:color="auto" w:fill="auto"/>
            <w:noWrap/>
            <w:vAlign w:val="center"/>
            <w:hideMark/>
          </w:tcPr>
          <w:p w14:paraId="40E0FAD4" w14:textId="01BC484A" w:rsidR="00C40B57" w:rsidRPr="000059B8" w:rsidRDefault="00C40B57" w:rsidP="00893604">
            <w:pPr>
              <w:pStyle w:val="TableText0"/>
              <w:rPr>
                <w:szCs w:val="17"/>
                <w:lang w:eastAsia="en-GB"/>
              </w:rPr>
            </w:pPr>
            <w:r w:rsidRPr="000059B8">
              <w:rPr>
                <w:szCs w:val="17"/>
                <w:lang w:eastAsia="en-GB"/>
              </w:rPr>
              <w:t>2.1 Improving monitoring and evaluation requires attention to outcomes, better intervention logic and more accessible information</w:t>
            </w:r>
          </w:p>
          <w:p w14:paraId="1203811E" w14:textId="77777777" w:rsidR="00C40B57" w:rsidRPr="00447E65" w:rsidRDefault="00C40B57" w:rsidP="00893604">
            <w:pPr>
              <w:pStyle w:val="TableText0"/>
              <w:rPr>
                <w:szCs w:val="17"/>
                <w:lang w:eastAsia="en-GB"/>
              </w:rPr>
            </w:pPr>
          </w:p>
        </w:tc>
        <w:tc>
          <w:tcPr>
            <w:tcW w:w="783" w:type="dxa"/>
            <w:shd w:val="clear" w:color="auto" w:fill="auto"/>
            <w:noWrap/>
            <w:vAlign w:val="center"/>
            <w:hideMark/>
          </w:tcPr>
          <w:p w14:paraId="2B7D172B" w14:textId="77777777" w:rsidR="00C40B57" w:rsidRPr="000059B8" w:rsidRDefault="00C40B57" w:rsidP="00893604">
            <w:pPr>
              <w:pStyle w:val="TableText0"/>
              <w:rPr>
                <w:szCs w:val="17"/>
                <w:lang w:val="en-GB" w:eastAsia="en-GB"/>
              </w:rPr>
            </w:pPr>
            <w:r w:rsidRPr="000059B8">
              <w:rPr>
                <w:szCs w:val="17"/>
                <w:lang w:val="en-GB" w:eastAsia="en-GB"/>
              </w:rPr>
              <w:t>ING002</w:t>
            </w:r>
          </w:p>
        </w:tc>
        <w:tc>
          <w:tcPr>
            <w:tcW w:w="5879" w:type="dxa"/>
            <w:shd w:val="clear" w:color="auto" w:fill="auto"/>
            <w:vAlign w:val="center"/>
          </w:tcPr>
          <w:p w14:paraId="78EE9A18" w14:textId="49AF57BE" w:rsidR="00C40B57" w:rsidRPr="000059B8" w:rsidRDefault="00E4559B" w:rsidP="00893604">
            <w:pPr>
              <w:pStyle w:val="TableText0"/>
              <w:rPr>
                <w:szCs w:val="17"/>
                <w:lang w:val="en-GB" w:eastAsia="en-GB"/>
              </w:rPr>
            </w:pPr>
            <w:r>
              <w:t>I</w:t>
            </w:r>
            <w:r w:rsidRPr="00940710">
              <w:t>ndependent evaluation of AusAID’s support to rural WASH in Timor-Leste</w:t>
            </w:r>
            <w:r>
              <w:t xml:space="preserve"> through the </w:t>
            </w:r>
            <w:r w:rsidRPr="00940710">
              <w:t>Rural Water Supply and Sanitation Program (RWSSP</w:t>
            </w:r>
            <w:r>
              <w:t>/BESIK</w:t>
            </w:r>
            <w:r w:rsidRPr="00940710">
              <w:t>)</w:t>
            </w:r>
          </w:p>
        </w:tc>
      </w:tr>
      <w:tr w:rsidR="00C40B57" w:rsidRPr="00447E65" w14:paraId="766852C6" w14:textId="77777777" w:rsidTr="00315553">
        <w:trPr>
          <w:trHeight w:val="103"/>
        </w:trPr>
        <w:tc>
          <w:tcPr>
            <w:tcW w:w="3403" w:type="dxa"/>
            <w:vMerge/>
            <w:shd w:val="clear" w:color="auto" w:fill="auto"/>
            <w:noWrap/>
            <w:vAlign w:val="center"/>
          </w:tcPr>
          <w:p w14:paraId="66C21DA3"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3FF7DA65" w14:textId="77777777" w:rsidR="00C40B57" w:rsidRPr="000059B8" w:rsidRDefault="00C40B57" w:rsidP="00893604">
            <w:pPr>
              <w:pStyle w:val="TableText0"/>
              <w:rPr>
                <w:szCs w:val="17"/>
                <w:lang w:val="en-GB" w:eastAsia="en-GB"/>
              </w:rPr>
            </w:pPr>
            <w:r w:rsidRPr="000059B8">
              <w:rPr>
                <w:szCs w:val="17"/>
                <w:lang w:val="en-GB" w:eastAsia="en-GB"/>
              </w:rPr>
              <w:t>ING754</w:t>
            </w:r>
          </w:p>
        </w:tc>
        <w:tc>
          <w:tcPr>
            <w:tcW w:w="5879" w:type="dxa"/>
            <w:shd w:val="clear" w:color="auto" w:fill="auto"/>
            <w:vAlign w:val="center"/>
          </w:tcPr>
          <w:p w14:paraId="228228EA" w14:textId="66C5F1C2" w:rsidR="00C40B57" w:rsidRPr="000059B8" w:rsidRDefault="00E4559B" w:rsidP="00893604">
            <w:pPr>
              <w:pStyle w:val="TableText0"/>
              <w:rPr>
                <w:szCs w:val="17"/>
                <w:lang w:val="en-GB" w:eastAsia="en-GB"/>
              </w:rPr>
            </w:pPr>
            <w:r w:rsidRPr="00DE1AF3">
              <w:rPr>
                <w:lang w:val="en-GB" w:eastAsia="en-GB"/>
              </w:rPr>
              <w:t xml:space="preserve">Mid Term Review </w:t>
            </w:r>
            <w:r>
              <w:rPr>
                <w:lang w:val="en-GB" w:eastAsia="en-GB"/>
              </w:rPr>
              <w:t xml:space="preserve"> of </w:t>
            </w:r>
            <w:r w:rsidRPr="00DE1AF3">
              <w:rPr>
                <w:lang w:val="en-GB" w:eastAsia="en-GB"/>
              </w:rPr>
              <w:t>Cambodian Agricultural Value Chain (CAVAC) program</w:t>
            </w:r>
          </w:p>
        </w:tc>
      </w:tr>
      <w:tr w:rsidR="00C40B57" w:rsidRPr="00447E65" w14:paraId="391422DC" w14:textId="77777777" w:rsidTr="00315553">
        <w:trPr>
          <w:trHeight w:val="103"/>
        </w:trPr>
        <w:tc>
          <w:tcPr>
            <w:tcW w:w="3403" w:type="dxa"/>
            <w:vMerge/>
            <w:shd w:val="clear" w:color="auto" w:fill="auto"/>
            <w:noWrap/>
            <w:vAlign w:val="center"/>
          </w:tcPr>
          <w:p w14:paraId="1B3C77DC"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79CEE532" w14:textId="77777777" w:rsidR="00C40B57" w:rsidRPr="000059B8" w:rsidRDefault="00C40B57" w:rsidP="00893604">
            <w:pPr>
              <w:pStyle w:val="TableText0"/>
              <w:rPr>
                <w:szCs w:val="17"/>
                <w:lang w:val="en-GB" w:eastAsia="en-GB"/>
              </w:rPr>
            </w:pPr>
            <w:r w:rsidRPr="000059B8">
              <w:rPr>
                <w:szCs w:val="17"/>
                <w:lang w:val="en-GB" w:eastAsia="en-GB"/>
              </w:rPr>
              <w:t>ING918</w:t>
            </w:r>
          </w:p>
        </w:tc>
        <w:tc>
          <w:tcPr>
            <w:tcW w:w="5879" w:type="dxa"/>
            <w:shd w:val="clear" w:color="auto" w:fill="auto"/>
            <w:vAlign w:val="center"/>
          </w:tcPr>
          <w:p w14:paraId="113BAACD" w14:textId="656B2A4F" w:rsidR="00C40B57" w:rsidRPr="000059B8" w:rsidRDefault="00E4559B" w:rsidP="00893604">
            <w:pPr>
              <w:pStyle w:val="TableText0"/>
              <w:rPr>
                <w:szCs w:val="17"/>
                <w:lang w:val="en-GB" w:eastAsia="en-GB"/>
              </w:rPr>
            </w:pPr>
            <w:r w:rsidRPr="00DE1AF3">
              <w:rPr>
                <w:lang w:val="en-GB" w:eastAsia="en-GB"/>
              </w:rPr>
              <w:t>End of Program Review of the Papua New Guinea–Australia Sexual Health Improvement Program (PASHIP)</w:t>
            </w:r>
          </w:p>
        </w:tc>
      </w:tr>
      <w:tr w:rsidR="00C40B57" w:rsidRPr="00447E65" w14:paraId="032E147A" w14:textId="77777777" w:rsidTr="00315553">
        <w:trPr>
          <w:trHeight w:val="103"/>
        </w:trPr>
        <w:tc>
          <w:tcPr>
            <w:tcW w:w="3403" w:type="dxa"/>
            <w:vMerge/>
            <w:shd w:val="clear" w:color="auto" w:fill="auto"/>
            <w:noWrap/>
            <w:vAlign w:val="center"/>
          </w:tcPr>
          <w:p w14:paraId="548A2817"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5330CFD9" w14:textId="77777777" w:rsidR="00C40B57" w:rsidRPr="000059B8" w:rsidRDefault="00C40B57" w:rsidP="00893604">
            <w:pPr>
              <w:pStyle w:val="TableText0"/>
              <w:rPr>
                <w:szCs w:val="17"/>
                <w:lang w:val="en-GB" w:eastAsia="en-GB"/>
              </w:rPr>
            </w:pPr>
            <w:r w:rsidRPr="000059B8">
              <w:rPr>
                <w:szCs w:val="17"/>
                <w:lang w:val="en-GB" w:eastAsia="en-GB"/>
              </w:rPr>
              <w:t>INH436</w:t>
            </w:r>
          </w:p>
        </w:tc>
        <w:tc>
          <w:tcPr>
            <w:tcW w:w="5879" w:type="dxa"/>
            <w:shd w:val="clear" w:color="auto" w:fill="auto"/>
            <w:vAlign w:val="center"/>
          </w:tcPr>
          <w:p w14:paraId="12A29B57" w14:textId="6F430389" w:rsidR="00C40B57" w:rsidRPr="000059B8" w:rsidRDefault="00E4559B" w:rsidP="00893604">
            <w:pPr>
              <w:pStyle w:val="TableText0"/>
              <w:rPr>
                <w:szCs w:val="17"/>
                <w:lang w:val="en-GB" w:eastAsia="en-GB"/>
              </w:rPr>
            </w:pPr>
            <w:r w:rsidRPr="00DE1AF3">
              <w:rPr>
                <w:lang w:val="en-GB" w:eastAsia="en-GB"/>
              </w:rPr>
              <w:t>Independent Progress Review of Australia-UNICEF Education Assistance to Papua and Papua Barat</w:t>
            </w:r>
          </w:p>
        </w:tc>
      </w:tr>
      <w:tr w:rsidR="00C40B57" w:rsidRPr="00447E65" w14:paraId="2EB9508B" w14:textId="77777777" w:rsidTr="00315553">
        <w:trPr>
          <w:trHeight w:val="103"/>
        </w:trPr>
        <w:tc>
          <w:tcPr>
            <w:tcW w:w="3403" w:type="dxa"/>
            <w:vMerge/>
            <w:shd w:val="clear" w:color="auto" w:fill="auto"/>
            <w:noWrap/>
            <w:vAlign w:val="center"/>
          </w:tcPr>
          <w:p w14:paraId="19D444D2"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7F60DE1D" w14:textId="51EE2BF8" w:rsidR="00C40B57" w:rsidRPr="000059B8" w:rsidRDefault="00C40B57" w:rsidP="00893604">
            <w:pPr>
              <w:pStyle w:val="TableText0"/>
              <w:rPr>
                <w:szCs w:val="17"/>
                <w:lang w:val="en-GB" w:eastAsia="en-GB"/>
              </w:rPr>
            </w:pPr>
            <w:r w:rsidRPr="000059B8">
              <w:rPr>
                <w:szCs w:val="17"/>
                <w:lang w:val="en-GB" w:eastAsia="en-GB"/>
              </w:rPr>
              <w:t>INH843 INI153</w:t>
            </w:r>
          </w:p>
        </w:tc>
        <w:tc>
          <w:tcPr>
            <w:tcW w:w="5879" w:type="dxa"/>
            <w:shd w:val="clear" w:color="auto" w:fill="auto"/>
            <w:vAlign w:val="center"/>
          </w:tcPr>
          <w:p w14:paraId="42360DB9" w14:textId="78EB81E6" w:rsidR="00C40B57" w:rsidRPr="000059B8" w:rsidRDefault="00E4559B" w:rsidP="00893604">
            <w:pPr>
              <w:pStyle w:val="TableText0"/>
              <w:rPr>
                <w:szCs w:val="17"/>
                <w:lang w:val="en-GB" w:eastAsia="en-GB"/>
              </w:rPr>
            </w:pPr>
            <w:r w:rsidRPr="00DE1AF3">
              <w:rPr>
                <w:lang w:val="en-GB" w:eastAsia="en-GB"/>
              </w:rPr>
              <w:t>Independent Review of two remote service delivery and community development programs in Papua New Guinea</w:t>
            </w:r>
          </w:p>
        </w:tc>
      </w:tr>
      <w:tr w:rsidR="00C40B57" w:rsidRPr="00447E65" w14:paraId="0866B2A3" w14:textId="77777777" w:rsidTr="00315553">
        <w:trPr>
          <w:trHeight w:val="103"/>
        </w:trPr>
        <w:tc>
          <w:tcPr>
            <w:tcW w:w="3403" w:type="dxa"/>
            <w:vMerge/>
            <w:shd w:val="clear" w:color="auto" w:fill="auto"/>
            <w:noWrap/>
            <w:vAlign w:val="center"/>
          </w:tcPr>
          <w:p w14:paraId="1653B246"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23EAEFBD" w14:textId="77777777" w:rsidR="00C40B57" w:rsidRPr="000059B8" w:rsidRDefault="00C40B57" w:rsidP="00893604">
            <w:pPr>
              <w:pStyle w:val="TableText0"/>
              <w:rPr>
                <w:szCs w:val="17"/>
                <w:lang w:val="en-GB" w:eastAsia="en-GB"/>
              </w:rPr>
            </w:pPr>
            <w:r w:rsidRPr="000059B8">
              <w:rPr>
                <w:szCs w:val="17"/>
                <w:lang w:val="en-GB" w:eastAsia="en-GB"/>
              </w:rPr>
              <w:t>INI194</w:t>
            </w:r>
          </w:p>
        </w:tc>
        <w:tc>
          <w:tcPr>
            <w:tcW w:w="5879" w:type="dxa"/>
            <w:shd w:val="clear" w:color="auto" w:fill="auto"/>
            <w:vAlign w:val="center"/>
          </w:tcPr>
          <w:p w14:paraId="06FBE401" w14:textId="68D499A0" w:rsidR="00C40B57" w:rsidRPr="000059B8" w:rsidRDefault="00E4559B" w:rsidP="00893604">
            <w:pPr>
              <w:pStyle w:val="TableText0"/>
              <w:rPr>
                <w:szCs w:val="17"/>
                <w:lang w:val="en-GB" w:eastAsia="en-GB"/>
              </w:rPr>
            </w:pPr>
            <w:r>
              <w:rPr>
                <w:lang w:val="en-GB" w:eastAsia="en-GB"/>
              </w:rPr>
              <w:t xml:space="preserve">Independent Progress Report for </w:t>
            </w:r>
            <w:r w:rsidRPr="00DE1AF3">
              <w:rPr>
                <w:lang w:val="en-GB" w:eastAsia="en-GB"/>
              </w:rPr>
              <w:t>PNG–Australia Law &amp; Justice Partnership</w:t>
            </w:r>
          </w:p>
        </w:tc>
      </w:tr>
      <w:tr w:rsidR="00C40B57" w:rsidRPr="00447E65" w14:paraId="42AF93D7" w14:textId="77777777" w:rsidTr="00315553">
        <w:trPr>
          <w:trHeight w:val="103"/>
        </w:trPr>
        <w:tc>
          <w:tcPr>
            <w:tcW w:w="3403" w:type="dxa"/>
            <w:vMerge/>
            <w:shd w:val="clear" w:color="auto" w:fill="auto"/>
            <w:noWrap/>
            <w:vAlign w:val="center"/>
          </w:tcPr>
          <w:p w14:paraId="66DFDA80"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34CE3EB0" w14:textId="77777777" w:rsidR="00C40B57" w:rsidRPr="000059B8" w:rsidRDefault="00C40B57" w:rsidP="00893604">
            <w:pPr>
              <w:pStyle w:val="TableText0"/>
              <w:rPr>
                <w:szCs w:val="17"/>
                <w:lang w:val="en-GB" w:eastAsia="en-GB"/>
              </w:rPr>
            </w:pPr>
            <w:r w:rsidRPr="000059B8">
              <w:rPr>
                <w:szCs w:val="17"/>
                <w:lang w:val="en-GB" w:eastAsia="en-GB"/>
              </w:rPr>
              <w:t>INI592</w:t>
            </w:r>
          </w:p>
        </w:tc>
        <w:tc>
          <w:tcPr>
            <w:tcW w:w="5879" w:type="dxa"/>
            <w:shd w:val="clear" w:color="auto" w:fill="auto"/>
            <w:vAlign w:val="center"/>
          </w:tcPr>
          <w:p w14:paraId="6747A5C6" w14:textId="3F1675C7" w:rsidR="00C40B57" w:rsidRPr="000059B8" w:rsidRDefault="00E4559B" w:rsidP="00893604">
            <w:pPr>
              <w:pStyle w:val="TableText0"/>
              <w:rPr>
                <w:szCs w:val="17"/>
                <w:lang w:val="en-GB" w:eastAsia="en-GB"/>
              </w:rPr>
            </w:pPr>
            <w:r w:rsidRPr="00DE1AF3">
              <w:rPr>
                <w:lang w:val="en-GB" w:eastAsia="en-GB"/>
              </w:rPr>
              <w:t xml:space="preserve">Independent Completion Review </w:t>
            </w:r>
            <w:r>
              <w:rPr>
                <w:lang w:val="en-GB" w:eastAsia="en-GB"/>
              </w:rPr>
              <w:t xml:space="preserve">of the </w:t>
            </w:r>
            <w:r w:rsidRPr="00DE1AF3">
              <w:rPr>
                <w:lang w:val="en-GB" w:eastAsia="en-GB"/>
              </w:rPr>
              <w:t>Civil Society Water, Sanitation and Hygiene Fund</w:t>
            </w:r>
          </w:p>
        </w:tc>
      </w:tr>
      <w:tr w:rsidR="00C40B57" w:rsidRPr="00447E65" w14:paraId="6943F3B3" w14:textId="77777777" w:rsidTr="00315553">
        <w:trPr>
          <w:trHeight w:val="103"/>
        </w:trPr>
        <w:tc>
          <w:tcPr>
            <w:tcW w:w="3403" w:type="dxa"/>
            <w:vMerge/>
            <w:shd w:val="clear" w:color="auto" w:fill="auto"/>
            <w:noWrap/>
            <w:vAlign w:val="center"/>
          </w:tcPr>
          <w:p w14:paraId="64C7830F"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54FBBC20" w14:textId="77777777" w:rsidR="00C40B57" w:rsidRPr="000059B8" w:rsidRDefault="00C40B57" w:rsidP="00893604">
            <w:pPr>
              <w:pStyle w:val="TableText0"/>
              <w:rPr>
                <w:szCs w:val="17"/>
                <w:lang w:val="en-GB" w:eastAsia="en-GB"/>
              </w:rPr>
            </w:pPr>
            <w:r w:rsidRPr="000059B8">
              <w:rPr>
                <w:szCs w:val="17"/>
                <w:lang w:val="en-GB" w:eastAsia="en-GB"/>
              </w:rPr>
              <w:t>INJ235</w:t>
            </w:r>
          </w:p>
        </w:tc>
        <w:tc>
          <w:tcPr>
            <w:tcW w:w="5879" w:type="dxa"/>
            <w:shd w:val="clear" w:color="auto" w:fill="auto"/>
            <w:vAlign w:val="center"/>
          </w:tcPr>
          <w:p w14:paraId="586D041F" w14:textId="5BB12749" w:rsidR="00C40B57" w:rsidRPr="000059B8" w:rsidRDefault="00E4559B" w:rsidP="00893604">
            <w:pPr>
              <w:pStyle w:val="TableText0"/>
              <w:rPr>
                <w:szCs w:val="17"/>
                <w:lang w:val="en-GB" w:eastAsia="en-GB"/>
              </w:rPr>
            </w:pPr>
            <w:r>
              <w:rPr>
                <w:lang w:val="en-GB" w:eastAsia="en-GB"/>
              </w:rPr>
              <w:t xml:space="preserve">Independent Progress Review of </w:t>
            </w:r>
            <w:r w:rsidRPr="00DE1AF3">
              <w:rPr>
                <w:lang w:val="en-GB" w:eastAsia="en-GB"/>
              </w:rPr>
              <w:t>Education in Emergencies Capacity Building</w:t>
            </w:r>
          </w:p>
        </w:tc>
      </w:tr>
      <w:tr w:rsidR="00C40B57" w:rsidRPr="00447E65" w14:paraId="7CE6D7D2" w14:textId="77777777" w:rsidTr="00315553">
        <w:trPr>
          <w:trHeight w:val="103"/>
        </w:trPr>
        <w:tc>
          <w:tcPr>
            <w:tcW w:w="3403" w:type="dxa"/>
            <w:vMerge/>
            <w:shd w:val="clear" w:color="auto" w:fill="auto"/>
            <w:noWrap/>
            <w:vAlign w:val="center"/>
          </w:tcPr>
          <w:p w14:paraId="6EE8FD14"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7B41ED69" w14:textId="77777777" w:rsidR="00C40B57" w:rsidRPr="000059B8" w:rsidRDefault="00C40B57" w:rsidP="00893604">
            <w:pPr>
              <w:pStyle w:val="TableText0"/>
              <w:rPr>
                <w:szCs w:val="17"/>
                <w:lang w:val="en-GB" w:eastAsia="en-GB"/>
              </w:rPr>
            </w:pPr>
            <w:r w:rsidRPr="000059B8">
              <w:rPr>
                <w:szCs w:val="17"/>
                <w:lang w:val="en-GB" w:eastAsia="en-GB"/>
              </w:rPr>
              <w:t>INJ675</w:t>
            </w:r>
          </w:p>
        </w:tc>
        <w:tc>
          <w:tcPr>
            <w:tcW w:w="5879" w:type="dxa"/>
            <w:shd w:val="clear" w:color="auto" w:fill="auto"/>
            <w:vAlign w:val="center"/>
          </w:tcPr>
          <w:p w14:paraId="2B3DCCCE" w14:textId="363D0D1D" w:rsidR="00C40B57" w:rsidRPr="000059B8" w:rsidRDefault="00E4559B" w:rsidP="00893604">
            <w:pPr>
              <w:pStyle w:val="TableText0"/>
              <w:rPr>
                <w:szCs w:val="17"/>
                <w:lang w:val="en-GB" w:eastAsia="en-GB"/>
              </w:rPr>
            </w:pPr>
            <w:r>
              <w:rPr>
                <w:lang w:val="en-GB" w:eastAsia="en-GB"/>
              </w:rPr>
              <w:t>Independent Progress Report</w:t>
            </w:r>
            <w:r w:rsidRPr="00DE1AF3">
              <w:rPr>
                <w:lang w:val="en-GB" w:eastAsia="en-GB"/>
              </w:rPr>
              <w:t xml:space="preserve"> </w:t>
            </w:r>
            <w:r>
              <w:rPr>
                <w:lang w:val="en-GB" w:eastAsia="en-GB"/>
              </w:rPr>
              <w:t xml:space="preserve">for the </w:t>
            </w:r>
            <w:r w:rsidRPr="00DE1AF3">
              <w:rPr>
                <w:lang w:val="en-GB" w:eastAsia="en-GB"/>
              </w:rPr>
              <w:t>Vanuatu Australia Police Project</w:t>
            </w:r>
          </w:p>
        </w:tc>
      </w:tr>
      <w:tr w:rsidR="00C40B57" w:rsidRPr="00447E65" w14:paraId="5625F6ED" w14:textId="77777777" w:rsidTr="00315553">
        <w:trPr>
          <w:trHeight w:val="105"/>
        </w:trPr>
        <w:tc>
          <w:tcPr>
            <w:tcW w:w="3403" w:type="dxa"/>
            <w:vMerge w:val="restart"/>
            <w:shd w:val="clear" w:color="auto" w:fill="auto"/>
            <w:noWrap/>
            <w:vAlign w:val="center"/>
            <w:hideMark/>
          </w:tcPr>
          <w:p w14:paraId="5EA09EFA" w14:textId="77777777" w:rsidR="00C40B57" w:rsidRPr="000059B8" w:rsidRDefault="00C40B57" w:rsidP="00893604">
            <w:pPr>
              <w:pStyle w:val="TableText0"/>
              <w:rPr>
                <w:szCs w:val="17"/>
                <w:lang w:eastAsia="en-GB"/>
              </w:rPr>
            </w:pPr>
            <w:r w:rsidRPr="000059B8">
              <w:rPr>
                <w:szCs w:val="17"/>
                <w:lang w:eastAsia="en-GB"/>
              </w:rPr>
              <w:t xml:space="preserve">2.2 Poor coordination adversely affects effectiveness </w:t>
            </w:r>
          </w:p>
          <w:p w14:paraId="52FFB768" w14:textId="77777777" w:rsidR="00C40B57" w:rsidRPr="00447E65" w:rsidRDefault="00C40B57" w:rsidP="00893604">
            <w:pPr>
              <w:pStyle w:val="TableText0"/>
              <w:rPr>
                <w:szCs w:val="17"/>
                <w:lang w:eastAsia="en-GB"/>
              </w:rPr>
            </w:pPr>
          </w:p>
        </w:tc>
        <w:tc>
          <w:tcPr>
            <w:tcW w:w="783" w:type="dxa"/>
            <w:shd w:val="clear" w:color="auto" w:fill="auto"/>
            <w:noWrap/>
            <w:vAlign w:val="center"/>
            <w:hideMark/>
          </w:tcPr>
          <w:p w14:paraId="372C01C6" w14:textId="77777777" w:rsidR="00C40B57" w:rsidRPr="000059B8" w:rsidRDefault="00C40B57" w:rsidP="00893604">
            <w:pPr>
              <w:pStyle w:val="TableText0"/>
              <w:rPr>
                <w:szCs w:val="17"/>
                <w:lang w:val="en-GB" w:eastAsia="en-GB"/>
              </w:rPr>
            </w:pPr>
            <w:r w:rsidRPr="000059B8">
              <w:rPr>
                <w:szCs w:val="17"/>
                <w:lang w:val="en-GB" w:eastAsia="en-GB"/>
              </w:rPr>
              <w:t>ING002</w:t>
            </w:r>
          </w:p>
        </w:tc>
        <w:tc>
          <w:tcPr>
            <w:tcW w:w="5879" w:type="dxa"/>
            <w:shd w:val="clear" w:color="auto" w:fill="auto"/>
            <w:vAlign w:val="center"/>
          </w:tcPr>
          <w:p w14:paraId="2E4CDF79" w14:textId="256136AD" w:rsidR="00C40B57" w:rsidRPr="000059B8" w:rsidRDefault="00E4559B" w:rsidP="00893604">
            <w:pPr>
              <w:pStyle w:val="TableText0"/>
              <w:rPr>
                <w:szCs w:val="17"/>
                <w:lang w:val="en-GB" w:eastAsia="en-GB"/>
              </w:rPr>
            </w:pPr>
            <w:r>
              <w:t>I</w:t>
            </w:r>
            <w:r w:rsidRPr="00940710">
              <w:t>ndependent evaluation of AusAID’s support to rural WASH in Timor-Leste</w:t>
            </w:r>
            <w:r>
              <w:t xml:space="preserve"> through the </w:t>
            </w:r>
            <w:r w:rsidRPr="00940710">
              <w:t>Rural Water Supply and Sanitation Program (RWSSP</w:t>
            </w:r>
            <w:r>
              <w:t>/BESIK</w:t>
            </w:r>
            <w:r w:rsidRPr="00940710">
              <w:t>)</w:t>
            </w:r>
          </w:p>
        </w:tc>
      </w:tr>
      <w:tr w:rsidR="00C40B57" w:rsidRPr="00447E65" w14:paraId="66651180" w14:textId="77777777" w:rsidTr="00315553">
        <w:trPr>
          <w:trHeight w:val="104"/>
        </w:trPr>
        <w:tc>
          <w:tcPr>
            <w:tcW w:w="3403" w:type="dxa"/>
            <w:vMerge/>
            <w:shd w:val="clear" w:color="auto" w:fill="auto"/>
            <w:noWrap/>
            <w:vAlign w:val="center"/>
          </w:tcPr>
          <w:p w14:paraId="097ED75D"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6218C886" w14:textId="77777777" w:rsidR="00C40B57" w:rsidRPr="000059B8" w:rsidRDefault="00C40B57" w:rsidP="00893604">
            <w:pPr>
              <w:pStyle w:val="TableText0"/>
              <w:rPr>
                <w:szCs w:val="17"/>
                <w:lang w:val="en-GB" w:eastAsia="en-GB"/>
              </w:rPr>
            </w:pPr>
            <w:r w:rsidRPr="000059B8">
              <w:rPr>
                <w:szCs w:val="17"/>
                <w:lang w:val="en-GB" w:eastAsia="en-GB"/>
              </w:rPr>
              <w:t>INH528</w:t>
            </w:r>
          </w:p>
        </w:tc>
        <w:tc>
          <w:tcPr>
            <w:tcW w:w="5879" w:type="dxa"/>
            <w:shd w:val="clear" w:color="auto" w:fill="auto"/>
            <w:vAlign w:val="center"/>
          </w:tcPr>
          <w:p w14:paraId="6BD1B04B" w14:textId="156B4133" w:rsidR="00C40B57" w:rsidRPr="000059B8" w:rsidRDefault="00E4559B" w:rsidP="00893604">
            <w:pPr>
              <w:pStyle w:val="TableText0"/>
              <w:rPr>
                <w:szCs w:val="17"/>
                <w:lang w:val="en-GB" w:eastAsia="en-GB"/>
              </w:rPr>
            </w:pPr>
            <w:r w:rsidRPr="00DE1AF3">
              <w:rPr>
                <w:lang w:val="en-GB" w:eastAsia="en-GB"/>
              </w:rPr>
              <w:t xml:space="preserve">Independent Progress Report </w:t>
            </w:r>
            <w:r>
              <w:rPr>
                <w:lang w:val="en-GB" w:eastAsia="en-GB"/>
              </w:rPr>
              <w:t xml:space="preserve">for </w:t>
            </w:r>
            <w:r w:rsidRPr="00DE1AF3">
              <w:rPr>
                <w:lang w:val="en-GB" w:eastAsia="en-GB"/>
              </w:rPr>
              <w:t>Pacific Leadership Program</w:t>
            </w:r>
          </w:p>
        </w:tc>
      </w:tr>
      <w:tr w:rsidR="00C40B57" w:rsidRPr="00447E65" w14:paraId="7C56825A" w14:textId="77777777" w:rsidTr="00315553">
        <w:trPr>
          <w:trHeight w:val="104"/>
        </w:trPr>
        <w:tc>
          <w:tcPr>
            <w:tcW w:w="3403" w:type="dxa"/>
            <w:vMerge/>
            <w:shd w:val="clear" w:color="auto" w:fill="auto"/>
            <w:noWrap/>
            <w:vAlign w:val="center"/>
          </w:tcPr>
          <w:p w14:paraId="4E5D36D6"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690D99B0" w14:textId="77777777" w:rsidR="00C40B57" w:rsidRPr="000059B8" w:rsidRDefault="00C40B57" w:rsidP="00893604">
            <w:pPr>
              <w:pStyle w:val="TableText0"/>
              <w:rPr>
                <w:szCs w:val="17"/>
                <w:lang w:val="en-GB" w:eastAsia="en-GB"/>
              </w:rPr>
            </w:pPr>
            <w:r w:rsidRPr="000059B8">
              <w:rPr>
                <w:szCs w:val="17"/>
                <w:lang w:val="en-GB" w:eastAsia="en-GB"/>
              </w:rPr>
              <w:t>INH602</w:t>
            </w:r>
          </w:p>
        </w:tc>
        <w:tc>
          <w:tcPr>
            <w:tcW w:w="5879" w:type="dxa"/>
            <w:shd w:val="clear" w:color="auto" w:fill="auto"/>
            <w:vAlign w:val="center"/>
          </w:tcPr>
          <w:p w14:paraId="49CDEEFF" w14:textId="4EB0F54D" w:rsidR="00C40B57" w:rsidRPr="000059B8" w:rsidRDefault="00E4559B" w:rsidP="00893604">
            <w:pPr>
              <w:pStyle w:val="TableText0"/>
              <w:rPr>
                <w:szCs w:val="17"/>
                <w:lang w:val="en-GB" w:eastAsia="en-GB"/>
              </w:rPr>
            </w:pPr>
            <w:r w:rsidRPr="00DE1AF3">
              <w:rPr>
                <w:lang w:val="en-GB" w:eastAsia="en-GB"/>
              </w:rPr>
              <w:t>Mid Term Evaluation of the School Sector Reform Program</w:t>
            </w:r>
          </w:p>
        </w:tc>
      </w:tr>
      <w:tr w:rsidR="00C40B57" w:rsidRPr="00447E65" w14:paraId="710B52E5" w14:textId="77777777" w:rsidTr="00315553">
        <w:trPr>
          <w:trHeight w:val="104"/>
        </w:trPr>
        <w:tc>
          <w:tcPr>
            <w:tcW w:w="3403" w:type="dxa"/>
            <w:vMerge/>
            <w:shd w:val="clear" w:color="auto" w:fill="auto"/>
            <w:noWrap/>
            <w:vAlign w:val="center"/>
          </w:tcPr>
          <w:p w14:paraId="1DD3AF1C"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5CF174C0" w14:textId="278F5C5E" w:rsidR="00C40B57" w:rsidRPr="000059B8" w:rsidRDefault="00C40B57" w:rsidP="00893604">
            <w:pPr>
              <w:pStyle w:val="TableText0"/>
              <w:rPr>
                <w:szCs w:val="17"/>
                <w:lang w:val="en-GB" w:eastAsia="en-GB"/>
              </w:rPr>
            </w:pPr>
            <w:r w:rsidRPr="000059B8">
              <w:rPr>
                <w:szCs w:val="17"/>
                <w:lang w:val="en-GB" w:eastAsia="en-GB"/>
              </w:rPr>
              <w:t>INJ241 INJ398 INI309</w:t>
            </w:r>
          </w:p>
        </w:tc>
        <w:tc>
          <w:tcPr>
            <w:tcW w:w="5879" w:type="dxa"/>
            <w:shd w:val="clear" w:color="auto" w:fill="auto"/>
            <w:vAlign w:val="center"/>
          </w:tcPr>
          <w:p w14:paraId="3618D0B4" w14:textId="75BF7884" w:rsidR="00C40B57" w:rsidRPr="000059B8" w:rsidRDefault="000A7732" w:rsidP="00893604">
            <w:pPr>
              <w:pStyle w:val="TableText0"/>
              <w:rPr>
                <w:szCs w:val="17"/>
                <w:lang w:val="en-GB" w:eastAsia="en-GB"/>
              </w:rPr>
            </w:pPr>
            <w:r w:rsidRPr="00DE1AF3">
              <w:rPr>
                <w:lang w:val="en-GB" w:eastAsia="en-GB"/>
              </w:rPr>
              <w:t>Independent Review of Two AusAID Funded UNICEF Projects on Child Survival and Nutrition and Maternal Health in Nepal</w:t>
            </w:r>
          </w:p>
        </w:tc>
      </w:tr>
      <w:tr w:rsidR="00C40B57" w:rsidRPr="00447E65" w14:paraId="6775A86C" w14:textId="77777777" w:rsidTr="00315553">
        <w:trPr>
          <w:trHeight w:val="104"/>
        </w:trPr>
        <w:tc>
          <w:tcPr>
            <w:tcW w:w="3403" w:type="dxa"/>
            <w:vMerge/>
            <w:shd w:val="clear" w:color="auto" w:fill="auto"/>
            <w:noWrap/>
            <w:vAlign w:val="center"/>
          </w:tcPr>
          <w:p w14:paraId="5A77FC4C" w14:textId="77777777" w:rsidR="00C40B57" w:rsidRPr="000059B8" w:rsidRDefault="00C40B57" w:rsidP="00893604">
            <w:pPr>
              <w:pStyle w:val="TableText0"/>
              <w:rPr>
                <w:szCs w:val="17"/>
                <w:lang w:eastAsia="en-GB"/>
              </w:rPr>
            </w:pPr>
          </w:p>
        </w:tc>
        <w:tc>
          <w:tcPr>
            <w:tcW w:w="783" w:type="dxa"/>
            <w:shd w:val="clear" w:color="auto" w:fill="auto"/>
            <w:noWrap/>
            <w:vAlign w:val="center"/>
          </w:tcPr>
          <w:p w14:paraId="4816D909" w14:textId="77777777" w:rsidR="00C40B57" w:rsidRPr="000059B8" w:rsidRDefault="00C40B57" w:rsidP="00893604">
            <w:pPr>
              <w:pStyle w:val="TableText0"/>
              <w:rPr>
                <w:szCs w:val="17"/>
                <w:lang w:val="en-GB" w:eastAsia="en-GB"/>
              </w:rPr>
            </w:pPr>
            <w:r w:rsidRPr="000059B8">
              <w:rPr>
                <w:szCs w:val="17"/>
                <w:lang w:val="en-GB" w:eastAsia="en-GB"/>
              </w:rPr>
              <w:t>INJ675</w:t>
            </w:r>
          </w:p>
        </w:tc>
        <w:tc>
          <w:tcPr>
            <w:tcW w:w="5879" w:type="dxa"/>
            <w:shd w:val="clear" w:color="auto" w:fill="auto"/>
            <w:vAlign w:val="center"/>
          </w:tcPr>
          <w:p w14:paraId="2F90F78D" w14:textId="4D7F4F39" w:rsidR="00C40B57" w:rsidRPr="000059B8" w:rsidRDefault="00E4559B" w:rsidP="00893604">
            <w:pPr>
              <w:pStyle w:val="TableText0"/>
              <w:rPr>
                <w:szCs w:val="17"/>
                <w:lang w:val="en-GB" w:eastAsia="en-GB"/>
              </w:rPr>
            </w:pPr>
            <w:r>
              <w:rPr>
                <w:lang w:val="en-GB" w:eastAsia="en-GB"/>
              </w:rPr>
              <w:t>Independent Progress Report</w:t>
            </w:r>
            <w:r w:rsidRPr="00DE1AF3">
              <w:rPr>
                <w:lang w:val="en-GB" w:eastAsia="en-GB"/>
              </w:rPr>
              <w:t xml:space="preserve"> </w:t>
            </w:r>
            <w:r>
              <w:rPr>
                <w:lang w:val="en-GB" w:eastAsia="en-GB"/>
              </w:rPr>
              <w:t xml:space="preserve">for the </w:t>
            </w:r>
            <w:r w:rsidRPr="00DE1AF3">
              <w:rPr>
                <w:lang w:val="en-GB" w:eastAsia="en-GB"/>
              </w:rPr>
              <w:t>Vanuatu Australia Police Project</w:t>
            </w:r>
          </w:p>
        </w:tc>
      </w:tr>
      <w:tr w:rsidR="00C40B57" w:rsidRPr="00447E65" w14:paraId="7564C5DA" w14:textId="77777777" w:rsidTr="00315553">
        <w:trPr>
          <w:trHeight w:val="108"/>
        </w:trPr>
        <w:tc>
          <w:tcPr>
            <w:tcW w:w="3403" w:type="dxa"/>
            <w:vMerge w:val="restart"/>
            <w:shd w:val="clear" w:color="auto" w:fill="auto"/>
            <w:noWrap/>
            <w:vAlign w:val="center"/>
            <w:hideMark/>
          </w:tcPr>
          <w:p w14:paraId="6D35B0D8" w14:textId="280F0D82" w:rsidR="00C40B57" w:rsidRPr="000059B8" w:rsidRDefault="00C40B57" w:rsidP="00893604">
            <w:pPr>
              <w:pStyle w:val="TableText0"/>
              <w:rPr>
                <w:szCs w:val="17"/>
                <w:lang w:eastAsia="en-GB"/>
              </w:rPr>
            </w:pPr>
            <w:r w:rsidRPr="000059B8">
              <w:rPr>
                <w:szCs w:val="17"/>
                <w:lang w:eastAsia="en-GB"/>
              </w:rPr>
              <w:t>2.3 Implementation is stronger where there is close engagement by DFAT staff and the role of managing contractors is clear</w:t>
            </w:r>
          </w:p>
          <w:p w14:paraId="3FCE33B2" w14:textId="77777777" w:rsidR="00C40B57" w:rsidRPr="00447E65" w:rsidRDefault="00C40B57" w:rsidP="00893604">
            <w:pPr>
              <w:pStyle w:val="TableText0"/>
              <w:rPr>
                <w:szCs w:val="17"/>
                <w:lang w:eastAsia="en-GB"/>
              </w:rPr>
            </w:pPr>
          </w:p>
        </w:tc>
        <w:tc>
          <w:tcPr>
            <w:tcW w:w="783" w:type="dxa"/>
            <w:shd w:val="clear" w:color="auto" w:fill="auto"/>
            <w:vAlign w:val="center"/>
            <w:hideMark/>
          </w:tcPr>
          <w:p w14:paraId="64A21CC9" w14:textId="77777777" w:rsidR="00C40B57" w:rsidRPr="000059B8" w:rsidRDefault="00C40B57" w:rsidP="00893604">
            <w:pPr>
              <w:pStyle w:val="TableText0"/>
              <w:rPr>
                <w:szCs w:val="17"/>
                <w:lang w:val="en-GB" w:eastAsia="en-GB"/>
              </w:rPr>
            </w:pPr>
            <w:r w:rsidRPr="000059B8">
              <w:rPr>
                <w:szCs w:val="17"/>
                <w:lang w:val="en-GB" w:eastAsia="en-GB"/>
              </w:rPr>
              <w:t>ING357</w:t>
            </w:r>
          </w:p>
        </w:tc>
        <w:tc>
          <w:tcPr>
            <w:tcW w:w="5879" w:type="dxa"/>
            <w:shd w:val="clear" w:color="auto" w:fill="auto"/>
            <w:vAlign w:val="center"/>
          </w:tcPr>
          <w:p w14:paraId="3A374527" w14:textId="6485F8DC" w:rsidR="00C40B57" w:rsidRPr="000059B8" w:rsidRDefault="000A7732" w:rsidP="00893604">
            <w:pPr>
              <w:pStyle w:val="TableText0"/>
              <w:rPr>
                <w:szCs w:val="17"/>
                <w:lang w:val="en-GB" w:eastAsia="en-GB"/>
              </w:rPr>
            </w:pPr>
            <w:r>
              <w:t xml:space="preserve">Evaluation of </w:t>
            </w:r>
            <w:r w:rsidRPr="00DE1AF3">
              <w:t>Public Sector Capability Development Program (PSCDP) in Timor-Leste</w:t>
            </w:r>
          </w:p>
        </w:tc>
      </w:tr>
      <w:tr w:rsidR="00C40B57" w:rsidRPr="00447E65" w14:paraId="0F2D495B" w14:textId="77777777" w:rsidTr="00315553">
        <w:trPr>
          <w:trHeight w:val="103"/>
        </w:trPr>
        <w:tc>
          <w:tcPr>
            <w:tcW w:w="3403" w:type="dxa"/>
            <w:vMerge/>
            <w:shd w:val="clear" w:color="auto" w:fill="auto"/>
            <w:noWrap/>
            <w:vAlign w:val="center"/>
          </w:tcPr>
          <w:p w14:paraId="3607307C" w14:textId="77777777" w:rsidR="00C40B57" w:rsidRPr="000059B8" w:rsidRDefault="00C40B57" w:rsidP="00893604">
            <w:pPr>
              <w:pStyle w:val="TableText0"/>
              <w:rPr>
                <w:iCs/>
                <w:szCs w:val="17"/>
                <w:lang w:eastAsia="en-GB"/>
              </w:rPr>
            </w:pPr>
          </w:p>
        </w:tc>
        <w:tc>
          <w:tcPr>
            <w:tcW w:w="783" w:type="dxa"/>
            <w:shd w:val="clear" w:color="auto" w:fill="auto"/>
            <w:vAlign w:val="center"/>
          </w:tcPr>
          <w:p w14:paraId="4CDBDB4A" w14:textId="77777777" w:rsidR="00C40B57" w:rsidRPr="000059B8" w:rsidRDefault="00C40B57" w:rsidP="00893604">
            <w:pPr>
              <w:pStyle w:val="TableText0"/>
              <w:rPr>
                <w:szCs w:val="17"/>
                <w:lang w:val="en-GB" w:eastAsia="en-GB"/>
              </w:rPr>
            </w:pPr>
            <w:r w:rsidRPr="000059B8">
              <w:rPr>
                <w:szCs w:val="17"/>
                <w:lang w:val="en-GB" w:eastAsia="en-GB"/>
              </w:rPr>
              <w:t>ING967</w:t>
            </w:r>
          </w:p>
        </w:tc>
        <w:tc>
          <w:tcPr>
            <w:tcW w:w="5879" w:type="dxa"/>
            <w:shd w:val="clear" w:color="auto" w:fill="auto"/>
            <w:vAlign w:val="center"/>
          </w:tcPr>
          <w:p w14:paraId="29788259" w14:textId="02A8F873" w:rsidR="00C40B57" w:rsidRPr="000059B8" w:rsidRDefault="000A7732" w:rsidP="00893604">
            <w:pPr>
              <w:pStyle w:val="TableText0"/>
              <w:rPr>
                <w:szCs w:val="17"/>
                <w:lang w:val="en-GB" w:eastAsia="en-GB"/>
              </w:rPr>
            </w:pPr>
            <w:r>
              <w:rPr>
                <w:lang w:val="en-GB" w:eastAsia="en-GB"/>
              </w:rPr>
              <w:t>Mid-term Review</w:t>
            </w:r>
            <w:r w:rsidRPr="00DE1AF3">
              <w:rPr>
                <w:lang w:val="en-GB" w:eastAsia="en-GB"/>
              </w:rPr>
              <w:t xml:space="preserve"> </w:t>
            </w:r>
            <w:r>
              <w:rPr>
                <w:lang w:val="en-GB" w:eastAsia="en-GB"/>
              </w:rPr>
              <w:t xml:space="preserve">of </w:t>
            </w:r>
            <w:r w:rsidRPr="00DE1AF3">
              <w:rPr>
                <w:lang w:val="en-GB" w:eastAsia="en-GB"/>
              </w:rPr>
              <w:t xml:space="preserve">Implementation Support Program to P135 Phase II in </w:t>
            </w:r>
            <w:proofErr w:type="spellStart"/>
            <w:r w:rsidRPr="00DE1AF3">
              <w:rPr>
                <w:lang w:val="en-GB" w:eastAsia="en-GB"/>
              </w:rPr>
              <w:t>Quang</w:t>
            </w:r>
            <w:proofErr w:type="spellEnd"/>
            <w:r w:rsidRPr="00DE1AF3">
              <w:rPr>
                <w:lang w:val="en-GB" w:eastAsia="en-GB"/>
              </w:rPr>
              <w:t xml:space="preserve"> Ngai Province</w:t>
            </w:r>
          </w:p>
        </w:tc>
      </w:tr>
      <w:tr w:rsidR="00C40B57" w:rsidRPr="00447E65" w14:paraId="6E6F34FF" w14:textId="77777777" w:rsidTr="00315553">
        <w:trPr>
          <w:trHeight w:val="103"/>
        </w:trPr>
        <w:tc>
          <w:tcPr>
            <w:tcW w:w="3403" w:type="dxa"/>
            <w:vMerge/>
            <w:shd w:val="clear" w:color="auto" w:fill="auto"/>
            <w:noWrap/>
            <w:vAlign w:val="center"/>
          </w:tcPr>
          <w:p w14:paraId="5763E44D" w14:textId="77777777" w:rsidR="00C40B57" w:rsidRPr="000059B8" w:rsidRDefault="00C40B57" w:rsidP="00893604">
            <w:pPr>
              <w:pStyle w:val="TableText0"/>
              <w:rPr>
                <w:iCs/>
                <w:szCs w:val="17"/>
                <w:lang w:eastAsia="en-GB"/>
              </w:rPr>
            </w:pPr>
          </w:p>
        </w:tc>
        <w:tc>
          <w:tcPr>
            <w:tcW w:w="783" w:type="dxa"/>
            <w:shd w:val="clear" w:color="auto" w:fill="auto"/>
            <w:vAlign w:val="center"/>
          </w:tcPr>
          <w:p w14:paraId="2E3A3950" w14:textId="77777777" w:rsidR="00C40B57" w:rsidRPr="000059B8" w:rsidRDefault="00C40B57" w:rsidP="00893604">
            <w:pPr>
              <w:pStyle w:val="TableText0"/>
              <w:rPr>
                <w:szCs w:val="17"/>
                <w:lang w:val="en-GB" w:eastAsia="en-GB"/>
              </w:rPr>
            </w:pPr>
            <w:r w:rsidRPr="000059B8">
              <w:rPr>
                <w:szCs w:val="17"/>
                <w:lang w:val="en-GB" w:eastAsia="en-GB"/>
              </w:rPr>
              <w:t>INH095</w:t>
            </w:r>
          </w:p>
        </w:tc>
        <w:tc>
          <w:tcPr>
            <w:tcW w:w="5879" w:type="dxa"/>
            <w:shd w:val="clear" w:color="auto" w:fill="auto"/>
            <w:vAlign w:val="center"/>
          </w:tcPr>
          <w:p w14:paraId="0AB575A7" w14:textId="3040A328" w:rsidR="00C40B57" w:rsidRPr="000059B8" w:rsidRDefault="000A7732" w:rsidP="00893604">
            <w:pPr>
              <w:pStyle w:val="TableText0"/>
              <w:rPr>
                <w:szCs w:val="17"/>
                <w:lang w:val="en-GB" w:eastAsia="en-GB"/>
              </w:rPr>
            </w:pPr>
            <w:r>
              <w:rPr>
                <w:lang w:val="en-GB" w:eastAsia="en-GB"/>
              </w:rPr>
              <w:t>Independent Completion Report</w:t>
            </w:r>
            <w:r w:rsidRPr="00DE1AF3">
              <w:rPr>
                <w:lang w:val="en-GB" w:eastAsia="en-GB"/>
              </w:rPr>
              <w:t xml:space="preserve"> </w:t>
            </w:r>
            <w:r>
              <w:rPr>
                <w:lang w:val="en-GB" w:eastAsia="en-GB"/>
              </w:rPr>
              <w:t xml:space="preserve">for </w:t>
            </w:r>
            <w:r w:rsidRPr="00DE1AF3">
              <w:rPr>
                <w:lang w:val="en-GB" w:eastAsia="en-GB"/>
              </w:rPr>
              <w:t>Laos–Australian Scholarships Program</w:t>
            </w:r>
          </w:p>
        </w:tc>
      </w:tr>
      <w:tr w:rsidR="00C40B57" w:rsidRPr="00447E65" w14:paraId="598A7EA5" w14:textId="77777777" w:rsidTr="00315553">
        <w:trPr>
          <w:trHeight w:val="103"/>
        </w:trPr>
        <w:tc>
          <w:tcPr>
            <w:tcW w:w="3403" w:type="dxa"/>
            <w:vMerge/>
            <w:shd w:val="clear" w:color="auto" w:fill="auto"/>
            <w:noWrap/>
            <w:vAlign w:val="center"/>
          </w:tcPr>
          <w:p w14:paraId="3B5116B8" w14:textId="77777777" w:rsidR="00C40B57" w:rsidRPr="000059B8" w:rsidRDefault="00C40B57" w:rsidP="00893604">
            <w:pPr>
              <w:pStyle w:val="TableText0"/>
              <w:rPr>
                <w:iCs/>
                <w:szCs w:val="17"/>
                <w:lang w:eastAsia="en-GB"/>
              </w:rPr>
            </w:pPr>
          </w:p>
        </w:tc>
        <w:tc>
          <w:tcPr>
            <w:tcW w:w="783" w:type="dxa"/>
            <w:shd w:val="clear" w:color="auto" w:fill="auto"/>
            <w:vAlign w:val="center"/>
          </w:tcPr>
          <w:p w14:paraId="30E162E4" w14:textId="77777777" w:rsidR="00C40B57" w:rsidRPr="000059B8" w:rsidRDefault="00C40B57" w:rsidP="00893604">
            <w:pPr>
              <w:pStyle w:val="TableText0"/>
              <w:rPr>
                <w:szCs w:val="17"/>
                <w:lang w:val="en-GB" w:eastAsia="en-GB"/>
              </w:rPr>
            </w:pPr>
            <w:r w:rsidRPr="000059B8">
              <w:rPr>
                <w:szCs w:val="17"/>
                <w:lang w:val="en-GB" w:eastAsia="en-GB"/>
              </w:rPr>
              <w:t>INH528</w:t>
            </w:r>
          </w:p>
        </w:tc>
        <w:tc>
          <w:tcPr>
            <w:tcW w:w="5879" w:type="dxa"/>
            <w:shd w:val="clear" w:color="auto" w:fill="auto"/>
            <w:vAlign w:val="center"/>
          </w:tcPr>
          <w:p w14:paraId="519B9AB2" w14:textId="7B0F7CB6" w:rsidR="00C40B57" w:rsidRPr="000059B8" w:rsidRDefault="00E4559B" w:rsidP="00893604">
            <w:pPr>
              <w:pStyle w:val="TableText0"/>
              <w:rPr>
                <w:szCs w:val="17"/>
                <w:lang w:val="en-GB" w:eastAsia="en-GB"/>
              </w:rPr>
            </w:pPr>
            <w:r w:rsidRPr="00DE1AF3">
              <w:rPr>
                <w:lang w:val="en-GB" w:eastAsia="en-GB"/>
              </w:rPr>
              <w:t xml:space="preserve">Independent Progress Report </w:t>
            </w:r>
            <w:r>
              <w:rPr>
                <w:lang w:val="en-GB" w:eastAsia="en-GB"/>
              </w:rPr>
              <w:t xml:space="preserve">for </w:t>
            </w:r>
            <w:r w:rsidRPr="00DE1AF3">
              <w:rPr>
                <w:lang w:val="en-GB" w:eastAsia="en-GB"/>
              </w:rPr>
              <w:t>Pacific Leadership Program</w:t>
            </w:r>
          </w:p>
        </w:tc>
      </w:tr>
      <w:tr w:rsidR="00C40B57" w:rsidRPr="00447E65" w14:paraId="79019345" w14:textId="77777777" w:rsidTr="00315553">
        <w:trPr>
          <w:trHeight w:val="103"/>
        </w:trPr>
        <w:tc>
          <w:tcPr>
            <w:tcW w:w="3403" w:type="dxa"/>
            <w:vMerge/>
            <w:shd w:val="clear" w:color="auto" w:fill="auto"/>
            <w:noWrap/>
            <w:vAlign w:val="center"/>
          </w:tcPr>
          <w:p w14:paraId="312973EE" w14:textId="77777777" w:rsidR="00C40B57" w:rsidRPr="000059B8" w:rsidRDefault="00C40B57" w:rsidP="00893604">
            <w:pPr>
              <w:pStyle w:val="TableText0"/>
              <w:rPr>
                <w:iCs/>
                <w:szCs w:val="17"/>
                <w:lang w:eastAsia="en-GB"/>
              </w:rPr>
            </w:pPr>
          </w:p>
        </w:tc>
        <w:tc>
          <w:tcPr>
            <w:tcW w:w="783" w:type="dxa"/>
            <w:shd w:val="clear" w:color="auto" w:fill="auto"/>
            <w:vAlign w:val="center"/>
          </w:tcPr>
          <w:p w14:paraId="1E515232" w14:textId="1C303D7E" w:rsidR="00C40B57" w:rsidRPr="000059B8" w:rsidRDefault="000A7732" w:rsidP="00893604">
            <w:pPr>
              <w:pStyle w:val="TableText0"/>
              <w:rPr>
                <w:szCs w:val="17"/>
                <w:lang w:val="en-GB" w:eastAsia="en-GB"/>
              </w:rPr>
            </w:pPr>
            <w:r w:rsidRPr="000059B8">
              <w:rPr>
                <w:szCs w:val="17"/>
                <w:lang w:val="en-GB" w:eastAsia="en-GB"/>
              </w:rPr>
              <w:t>INH</w:t>
            </w:r>
            <w:r>
              <w:rPr>
                <w:szCs w:val="17"/>
                <w:lang w:val="en-GB" w:eastAsia="en-GB"/>
              </w:rPr>
              <w:t>1</w:t>
            </w:r>
            <w:r w:rsidRPr="000059B8">
              <w:rPr>
                <w:szCs w:val="17"/>
                <w:lang w:val="en-GB" w:eastAsia="en-GB"/>
              </w:rPr>
              <w:t>57</w:t>
            </w:r>
          </w:p>
        </w:tc>
        <w:tc>
          <w:tcPr>
            <w:tcW w:w="5879" w:type="dxa"/>
            <w:shd w:val="clear" w:color="auto" w:fill="auto"/>
            <w:vAlign w:val="center"/>
          </w:tcPr>
          <w:p w14:paraId="30CB0EBF" w14:textId="01B3C97E" w:rsidR="00C40B57" w:rsidRPr="000059B8" w:rsidRDefault="000A7732" w:rsidP="00893604">
            <w:pPr>
              <w:pStyle w:val="TableText0"/>
              <w:rPr>
                <w:szCs w:val="17"/>
                <w:lang w:val="en-GB" w:eastAsia="en-GB"/>
              </w:rPr>
            </w:pPr>
            <w:r>
              <w:rPr>
                <w:lang w:val="en-GB" w:eastAsia="en-GB"/>
              </w:rPr>
              <w:t xml:space="preserve">Independent Progress Report for </w:t>
            </w:r>
            <w:r w:rsidRPr="00DE1AF3">
              <w:rPr>
                <w:lang w:val="en-GB" w:eastAsia="en-GB"/>
              </w:rPr>
              <w:t>ASEAN Australia Development Cooperation Program Phase II</w:t>
            </w:r>
          </w:p>
        </w:tc>
      </w:tr>
      <w:tr w:rsidR="00C40B57" w:rsidRPr="00447E65" w14:paraId="656800F9" w14:textId="77777777" w:rsidTr="00315553">
        <w:trPr>
          <w:trHeight w:val="103"/>
        </w:trPr>
        <w:tc>
          <w:tcPr>
            <w:tcW w:w="3403" w:type="dxa"/>
            <w:vMerge/>
            <w:shd w:val="clear" w:color="auto" w:fill="auto"/>
            <w:noWrap/>
            <w:vAlign w:val="center"/>
          </w:tcPr>
          <w:p w14:paraId="4C7BAEC2" w14:textId="77777777" w:rsidR="00C40B57" w:rsidRPr="000059B8" w:rsidRDefault="00C40B57" w:rsidP="00893604">
            <w:pPr>
              <w:pStyle w:val="TableText0"/>
              <w:rPr>
                <w:iCs/>
                <w:szCs w:val="17"/>
                <w:lang w:eastAsia="en-GB"/>
              </w:rPr>
            </w:pPr>
          </w:p>
        </w:tc>
        <w:tc>
          <w:tcPr>
            <w:tcW w:w="783" w:type="dxa"/>
            <w:shd w:val="clear" w:color="auto" w:fill="auto"/>
            <w:vAlign w:val="center"/>
          </w:tcPr>
          <w:p w14:paraId="3FEC2982" w14:textId="77777777" w:rsidR="00C40B57" w:rsidRPr="000059B8" w:rsidRDefault="00C40B57" w:rsidP="00893604">
            <w:pPr>
              <w:pStyle w:val="TableText0"/>
              <w:rPr>
                <w:szCs w:val="17"/>
                <w:lang w:val="en-GB" w:eastAsia="en-GB"/>
              </w:rPr>
            </w:pPr>
            <w:r w:rsidRPr="000059B8">
              <w:rPr>
                <w:szCs w:val="17"/>
                <w:lang w:val="en-GB" w:eastAsia="en-GB"/>
              </w:rPr>
              <w:t>INI171</w:t>
            </w:r>
          </w:p>
        </w:tc>
        <w:tc>
          <w:tcPr>
            <w:tcW w:w="5879" w:type="dxa"/>
            <w:shd w:val="clear" w:color="auto" w:fill="auto"/>
            <w:vAlign w:val="center"/>
          </w:tcPr>
          <w:p w14:paraId="620142AE" w14:textId="2E6C38BA" w:rsidR="00C40B57" w:rsidRPr="000059B8" w:rsidRDefault="000A7732" w:rsidP="00893604">
            <w:pPr>
              <w:pStyle w:val="TableText0"/>
              <w:rPr>
                <w:szCs w:val="17"/>
                <w:lang w:val="en-GB" w:eastAsia="en-GB"/>
              </w:rPr>
            </w:pPr>
            <w:r>
              <w:rPr>
                <w:lang w:val="en-GB" w:eastAsia="en-GB"/>
              </w:rPr>
              <w:t xml:space="preserve">Independent Progress Report for </w:t>
            </w:r>
            <w:r w:rsidRPr="00DE1AF3">
              <w:rPr>
                <w:lang w:val="en-GB" w:eastAsia="en-GB"/>
              </w:rPr>
              <w:t>Provincial Road Management Facility (PRMF)</w:t>
            </w:r>
          </w:p>
        </w:tc>
      </w:tr>
      <w:tr w:rsidR="00C40B57" w:rsidRPr="00447E65" w14:paraId="4DA140FC" w14:textId="77777777" w:rsidTr="00315553">
        <w:trPr>
          <w:trHeight w:val="103"/>
        </w:trPr>
        <w:tc>
          <w:tcPr>
            <w:tcW w:w="3403" w:type="dxa"/>
            <w:vMerge/>
            <w:shd w:val="clear" w:color="auto" w:fill="auto"/>
            <w:noWrap/>
            <w:vAlign w:val="center"/>
          </w:tcPr>
          <w:p w14:paraId="61FA42A5" w14:textId="77777777" w:rsidR="00C40B57" w:rsidRPr="000059B8" w:rsidRDefault="00C40B57" w:rsidP="00893604">
            <w:pPr>
              <w:pStyle w:val="TableText0"/>
              <w:rPr>
                <w:iCs/>
                <w:szCs w:val="17"/>
                <w:lang w:eastAsia="en-GB"/>
              </w:rPr>
            </w:pPr>
          </w:p>
        </w:tc>
        <w:tc>
          <w:tcPr>
            <w:tcW w:w="783" w:type="dxa"/>
            <w:shd w:val="clear" w:color="auto" w:fill="auto"/>
            <w:vAlign w:val="center"/>
          </w:tcPr>
          <w:p w14:paraId="58DBAD40" w14:textId="77777777" w:rsidR="00C40B57" w:rsidRPr="000059B8" w:rsidRDefault="00C40B57" w:rsidP="00893604">
            <w:pPr>
              <w:pStyle w:val="TableText0"/>
              <w:rPr>
                <w:szCs w:val="17"/>
                <w:lang w:val="en-GB" w:eastAsia="en-GB"/>
              </w:rPr>
            </w:pPr>
            <w:r w:rsidRPr="000059B8">
              <w:rPr>
                <w:szCs w:val="17"/>
                <w:lang w:val="en-GB" w:eastAsia="en-GB"/>
              </w:rPr>
              <w:t>INI422</w:t>
            </w:r>
          </w:p>
        </w:tc>
        <w:tc>
          <w:tcPr>
            <w:tcW w:w="5879" w:type="dxa"/>
            <w:shd w:val="clear" w:color="auto" w:fill="auto"/>
            <w:vAlign w:val="center"/>
          </w:tcPr>
          <w:p w14:paraId="7E924D02" w14:textId="08C90846" w:rsidR="00C40B57" w:rsidRPr="000059B8" w:rsidRDefault="000A7732" w:rsidP="00893604">
            <w:pPr>
              <w:pStyle w:val="TableText0"/>
              <w:rPr>
                <w:szCs w:val="17"/>
                <w:lang w:val="en-GB" w:eastAsia="en-GB"/>
              </w:rPr>
            </w:pPr>
            <w:r w:rsidRPr="00DE1AF3">
              <w:rPr>
                <w:lang w:val="en-GB" w:eastAsia="en-GB"/>
              </w:rPr>
              <w:t xml:space="preserve">Independent Progress Review </w:t>
            </w:r>
            <w:r>
              <w:rPr>
                <w:lang w:val="en-GB" w:eastAsia="en-GB"/>
              </w:rPr>
              <w:t xml:space="preserve">of the </w:t>
            </w:r>
            <w:r w:rsidRPr="00DE1AF3">
              <w:rPr>
                <w:lang w:val="en-GB" w:eastAsia="en-GB"/>
              </w:rPr>
              <w:t>Australia Indonesia Facility for Disaster Reduction</w:t>
            </w:r>
          </w:p>
        </w:tc>
      </w:tr>
      <w:tr w:rsidR="00C40B57" w:rsidRPr="00447E65" w14:paraId="36B5F1DA" w14:textId="77777777" w:rsidTr="00315553">
        <w:trPr>
          <w:trHeight w:val="103"/>
        </w:trPr>
        <w:tc>
          <w:tcPr>
            <w:tcW w:w="3403" w:type="dxa"/>
            <w:vMerge/>
            <w:shd w:val="clear" w:color="auto" w:fill="auto"/>
            <w:noWrap/>
            <w:vAlign w:val="center"/>
          </w:tcPr>
          <w:p w14:paraId="3E46D5BE" w14:textId="77777777" w:rsidR="00C40B57" w:rsidRPr="000059B8" w:rsidRDefault="00C40B57" w:rsidP="00893604">
            <w:pPr>
              <w:pStyle w:val="TableText0"/>
              <w:rPr>
                <w:iCs/>
                <w:szCs w:val="17"/>
                <w:lang w:eastAsia="en-GB"/>
              </w:rPr>
            </w:pPr>
          </w:p>
        </w:tc>
        <w:tc>
          <w:tcPr>
            <w:tcW w:w="783" w:type="dxa"/>
            <w:shd w:val="clear" w:color="auto" w:fill="auto"/>
            <w:vAlign w:val="center"/>
          </w:tcPr>
          <w:p w14:paraId="3E82BDD4" w14:textId="77777777" w:rsidR="00C40B57" w:rsidRPr="000059B8" w:rsidRDefault="00C40B57" w:rsidP="00893604">
            <w:pPr>
              <w:pStyle w:val="TableText0"/>
              <w:rPr>
                <w:szCs w:val="17"/>
                <w:lang w:val="en-GB" w:eastAsia="en-GB"/>
              </w:rPr>
            </w:pPr>
            <w:r w:rsidRPr="000059B8">
              <w:rPr>
                <w:szCs w:val="17"/>
                <w:lang w:val="en-GB" w:eastAsia="en-GB"/>
              </w:rPr>
              <w:t>INI865</w:t>
            </w:r>
          </w:p>
        </w:tc>
        <w:tc>
          <w:tcPr>
            <w:tcW w:w="5879" w:type="dxa"/>
            <w:shd w:val="clear" w:color="auto" w:fill="auto"/>
            <w:vAlign w:val="center"/>
          </w:tcPr>
          <w:p w14:paraId="38B945C2" w14:textId="234F0A99" w:rsidR="00C40B57" w:rsidRPr="000059B8" w:rsidRDefault="000A7732" w:rsidP="00893604">
            <w:pPr>
              <w:pStyle w:val="TableText0"/>
              <w:rPr>
                <w:szCs w:val="17"/>
                <w:lang w:val="en-GB" w:eastAsia="en-GB"/>
              </w:rPr>
            </w:pPr>
            <w:r w:rsidRPr="00DE1AF3">
              <w:rPr>
                <w:lang w:val="en-GB" w:eastAsia="en-GB"/>
              </w:rPr>
              <w:t xml:space="preserve">Independent Mid Term Review </w:t>
            </w:r>
            <w:r>
              <w:rPr>
                <w:lang w:val="en-GB" w:eastAsia="en-GB"/>
              </w:rPr>
              <w:t xml:space="preserve">of the </w:t>
            </w:r>
            <w:r w:rsidRPr="00DE1AF3">
              <w:rPr>
                <w:lang w:val="en-GB" w:eastAsia="en-GB"/>
              </w:rPr>
              <w:t>Australian Community Rehabilitation Program Phase 3</w:t>
            </w:r>
          </w:p>
        </w:tc>
      </w:tr>
      <w:tr w:rsidR="00C40B57" w:rsidRPr="00447E65" w14:paraId="7852FD5E" w14:textId="77777777" w:rsidTr="00315553">
        <w:trPr>
          <w:trHeight w:val="103"/>
        </w:trPr>
        <w:tc>
          <w:tcPr>
            <w:tcW w:w="3403" w:type="dxa"/>
            <w:vMerge/>
            <w:shd w:val="clear" w:color="auto" w:fill="auto"/>
            <w:noWrap/>
            <w:vAlign w:val="center"/>
          </w:tcPr>
          <w:p w14:paraId="7D0C11E2" w14:textId="77777777" w:rsidR="00C40B57" w:rsidRPr="000059B8" w:rsidRDefault="00C40B57" w:rsidP="00893604">
            <w:pPr>
              <w:pStyle w:val="TableText0"/>
              <w:rPr>
                <w:iCs/>
                <w:szCs w:val="17"/>
                <w:lang w:eastAsia="en-GB"/>
              </w:rPr>
            </w:pPr>
          </w:p>
        </w:tc>
        <w:tc>
          <w:tcPr>
            <w:tcW w:w="783" w:type="dxa"/>
            <w:shd w:val="clear" w:color="auto" w:fill="auto"/>
            <w:vAlign w:val="center"/>
          </w:tcPr>
          <w:p w14:paraId="5316F533" w14:textId="77777777" w:rsidR="00C40B57" w:rsidRPr="000059B8" w:rsidRDefault="00C40B57" w:rsidP="00893604">
            <w:pPr>
              <w:pStyle w:val="TableText0"/>
              <w:rPr>
                <w:szCs w:val="17"/>
                <w:lang w:val="en-GB" w:eastAsia="en-GB"/>
              </w:rPr>
            </w:pPr>
            <w:r w:rsidRPr="000059B8">
              <w:rPr>
                <w:szCs w:val="17"/>
                <w:lang w:val="en-GB" w:eastAsia="en-GB"/>
              </w:rPr>
              <w:t>INJ189</w:t>
            </w:r>
          </w:p>
        </w:tc>
        <w:tc>
          <w:tcPr>
            <w:tcW w:w="5879" w:type="dxa"/>
            <w:shd w:val="clear" w:color="auto" w:fill="auto"/>
            <w:vAlign w:val="center"/>
          </w:tcPr>
          <w:p w14:paraId="32C98729" w14:textId="2A5646A8" w:rsidR="00C40B57" w:rsidRPr="000059B8" w:rsidRDefault="000A7732" w:rsidP="00893604">
            <w:pPr>
              <w:pStyle w:val="TableText0"/>
              <w:rPr>
                <w:szCs w:val="17"/>
                <w:lang w:val="en-GB" w:eastAsia="en-GB"/>
              </w:rPr>
            </w:pPr>
            <w:r>
              <w:rPr>
                <w:lang w:val="en-GB" w:eastAsia="en-GB"/>
              </w:rPr>
              <w:t xml:space="preserve">Independent Completion Report for </w:t>
            </w:r>
            <w:r w:rsidRPr="00DE1AF3">
              <w:rPr>
                <w:lang w:val="en-GB" w:eastAsia="en-GB"/>
              </w:rPr>
              <w:t>Zimbabwe NGO Food and Water Initiative</w:t>
            </w:r>
          </w:p>
        </w:tc>
      </w:tr>
    </w:tbl>
    <w:tbl>
      <w:tblPr>
        <w:tblpPr w:leftFromText="180" w:rightFromText="180" w:vertAnchor="text" w:horzAnchor="margin" w:tblpXSpec="center" w:tblpY="-136"/>
        <w:tblOverlap w:val="never"/>
        <w:tblW w:w="10065" w:type="dxa"/>
        <w:tblBorders>
          <w:top w:val="single" w:sz="4" w:space="0" w:color="31849B"/>
          <w:bottom w:val="single" w:sz="4" w:space="0" w:color="31849B"/>
          <w:insideH w:val="single" w:sz="4" w:space="0" w:color="31849B"/>
        </w:tblBorders>
        <w:tblLook w:val="04A0" w:firstRow="1" w:lastRow="0" w:firstColumn="1" w:lastColumn="0" w:noHBand="0" w:noVBand="1"/>
      </w:tblPr>
      <w:tblGrid>
        <w:gridCol w:w="3403"/>
        <w:gridCol w:w="783"/>
        <w:gridCol w:w="5879"/>
      </w:tblGrid>
      <w:tr w:rsidR="00893604" w:rsidRPr="00E57F60" w14:paraId="6EEDC477" w14:textId="77777777" w:rsidTr="00315553">
        <w:trPr>
          <w:trHeight w:val="315"/>
        </w:trPr>
        <w:tc>
          <w:tcPr>
            <w:tcW w:w="10065" w:type="dxa"/>
            <w:gridSpan w:val="3"/>
            <w:shd w:val="clear" w:color="auto" w:fill="auto"/>
            <w:noWrap/>
            <w:vAlign w:val="center"/>
            <w:hideMark/>
          </w:tcPr>
          <w:p w14:paraId="0EC5D87C" w14:textId="77777777" w:rsidR="00893604" w:rsidRPr="00315553" w:rsidRDefault="00893604" w:rsidP="00893604">
            <w:pPr>
              <w:pStyle w:val="TableText0"/>
              <w:rPr>
                <w:b/>
                <w:lang w:eastAsia="en-GB"/>
              </w:rPr>
            </w:pPr>
            <w:r w:rsidRPr="00315553">
              <w:rPr>
                <w:b/>
                <w:lang w:eastAsia="en-GB"/>
              </w:rPr>
              <w:lastRenderedPageBreak/>
              <w:t>3. Supporting capacity development and sustainable reforms</w:t>
            </w:r>
          </w:p>
          <w:p w14:paraId="570ED427" w14:textId="77777777" w:rsidR="00893604" w:rsidRPr="00B81F3C" w:rsidRDefault="00893604" w:rsidP="00893604">
            <w:pPr>
              <w:pStyle w:val="TableText0"/>
              <w:rPr>
                <w:lang w:val="en-GB" w:eastAsia="en-GB"/>
              </w:rPr>
            </w:pPr>
          </w:p>
        </w:tc>
      </w:tr>
      <w:tr w:rsidR="00893604" w:rsidRPr="00E57F60" w14:paraId="33697C70" w14:textId="77777777" w:rsidTr="00315553">
        <w:trPr>
          <w:trHeight w:val="91"/>
        </w:trPr>
        <w:tc>
          <w:tcPr>
            <w:tcW w:w="3403" w:type="dxa"/>
            <w:vMerge w:val="restart"/>
            <w:shd w:val="clear" w:color="auto" w:fill="auto"/>
            <w:noWrap/>
            <w:vAlign w:val="center"/>
            <w:hideMark/>
          </w:tcPr>
          <w:p w14:paraId="32970371" w14:textId="77777777" w:rsidR="00893604" w:rsidRPr="00447E65" w:rsidRDefault="00893604" w:rsidP="00893604">
            <w:pPr>
              <w:pStyle w:val="TableText0"/>
              <w:rPr>
                <w:lang w:eastAsia="en-GB"/>
              </w:rPr>
            </w:pPr>
            <w:r w:rsidRPr="00B81F3C">
              <w:rPr>
                <w:lang w:eastAsia="en-GB"/>
              </w:rPr>
              <w:t xml:space="preserve">3.1 Capacity development is most effective when it is driven by partners, uses a range of methods and takes the local context into account </w:t>
            </w:r>
          </w:p>
        </w:tc>
        <w:tc>
          <w:tcPr>
            <w:tcW w:w="783" w:type="dxa"/>
            <w:shd w:val="clear" w:color="auto" w:fill="auto"/>
            <w:noWrap/>
            <w:vAlign w:val="center"/>
            <w:hideMark/>
          </w:tcPr>
          <w:p w14:paraId="666BC36A" w14:textId="77777777" w:rsidR="00893604" w:rsidRPr="00B81F3C" w:rsidRDefault="00893604" w:rsidP="00893604">
            <w:pPr>
              <w:pStyle w:val="TableText0"/>
              <w:rPr>
                <w:lang w:val="en-GB" w:eastAsia="en-GB"/>
              </w:rPr>
            </w:pPr>
            <w:r w:rsidRPr="00B81F3C">
              <w:rPr>
                <w:lang w:val="en-GB" w:eastAsia="en-GB"/>
              </w:rPr>
              <w:t>INE887 INJ788</w:t>
            </w:r>
          </w:p>
        </w:tc>
        <w:tc>
          <w:tcPr>
            <w:tcW w:w="5879" w:type="dxa"/>
            <w:shd w:val="clear" w:color="auto" w:fill="auto"/>
            <w:vAlign w:val="center"/>
          </w:tcPr>
          <w:p w14:paraId="4F34B0A5" w14:textId="77777777" w:rsidR="00893604" w:rsidRPr="00B81F3C" w:rsidRDefault="00893604" w:rsidP="00893604">
            <w:pPr>
              <w:pStyle w:val="TableText0"/>
              <w:rPr>
                <w:lang w:val="en-GB" w:eastAsia="en-GB"/>
              </w:rPr>
            </w:pPr>
            <w:r w:rsidRPr="00DE1AF3">
              <w:t>Independent Completion Review</w:t>
            </w:r>
            <w:r>
              <w:t xml:space="preserve"> of</w:t>
            </w:r>
            <w:r w:rsidRPr="00DE1AF3">
              <w:t xml:space="preserve"> Australian Civil Society Program Fiji</w:t>
            </w:r>
          </w:p>
        </w:tc>
      </w:tr>
      <w:tr w:rsidR="00893604" w:rsidRPr="00E57F60" w14:paraId="20EECAB1" w14:textId="77777777" w:rsidTr="00315553">
        <w:trPr>
          <w:trHeight w:val="89"/>
        </w:trPr>
        <w:tc>
          <w:tcPr>
            <w:tcW w:w="3403" w:type="dxa"/>
            <w:vMerge/>
            <w:shd w:val="clear" w:color="auto" w:fill="auto"/>
            <w:noWrap/>
            <w:vAlign w:val="center"/>
          </w:tcPr>
          <w:p w14:paraId="70D7AE00" w14:textId="77777777" w:rsidR="00893604" w:rsidRPr="00B81F3C" w:rsidRDefault="00893604" w:rsidP="00893604">
            <w:pPr>
              <w:pStyle w:val="TableText0"/>
              <w:rPr>
                <w:lang w:eastAsia="en-GB"/>
              </w:rPr>
            </w:pPr>
          </w:p>
        </w:tc>
        <w:tc>
          <w:tcPr>
            <w:tcW w:w="783" w:type="dxa"/>
            <w:shd w:val="clear" w:color="auto" w:fill="auto"/>
            <w:noWrap/>
            <w:vAlign w:val="center"/>
          </w:tcPr>
          <w:p w14:paraId="1D3B239F" w14:textId="77777777" w:rsidR="00893604" w:rsidRPr="00B81F3C" w:rsidRDefault="00893604" w:rsidP="00893604">
            <w:pPr>
              <w:pStyle w:val="TableText0"/>
              <w:rPr>
                <w:lang w:val="en-GB" w:eastAsia="en-GB"/>
              </w:rPr>
            </w:pPr>
            <w:r w:rsidRPr="00B81F3C">
              <w:rPr>
                <w:lang w:val="en-GB" w:eastAsia="en-GB"/>
              </w:rPr>
              <w:t>ING002</w:t>
            </w:r>
          </w:p>
        </w:tc>
        <w:tc>
          <w:tcPr>
            <w:tcW w:w="5879" w:type="dxa"/>
            <w:shd w:val="clear" w:color="auto" w:fill="auto"/>
            <w:vAlign w:val="center"/>
          </w:tcPr>
          <w:p w14:paraId="00D25AB7" w14:textId="77777777" w:rsidR="00893604" w:rsidRPr="00B81F3C" w:rsidRDefault="00893604" w:rsidP="00893604">
            <w:pPr>
              <w:pStyle w:val="TableText0"/>
              <w:rPr>
                <w:lang w:val="en-GB" w:eastAsia="en-GB"/>
              </w:rPr>
            </w:pPr>
            <w:r>
              <w:t>I</w:t>
            </w:r>
            <w:r w:rsidRPr="00940710">
              <w:t>ndependent evaluation of AusAID’s support to rural WASH in Timor-Leste</w:t>
            </w:r>
            <w:r>
              <w:t xml:space="preserve"> through the </w:t>
            </w:r>
            <w:r w:rsidRPr="00940710">
              <w:t>Rural Water Supply and Sanitation Program (RWSSP</w:t>
            </w:r>
            <w:r>
              <w:t>/BESIK</w:t>
            </w:r>
            <w:r w:rsidRPr="00940710">
              <w:t>)</w:t>
            </w:r>
          </w:p>
        </w:tc>
      </w:tr>
      <w:tr w:rsidR="00893604" w:rsidRPr="00E57F60" w14:paraId="672E2E24" w14:textId="77777777" w:rsidTr="00315553">
        <w:trPr>
          <w:trHeight w:val="89"/>
        </w:trPr>
        <w:tc>
          <w:tcPr>
            <w:tcW w:w="3403" w:type="dxa"/>
            <w:vMerge/>
            <w:shd w:val="clear" w:color="auto" w:fill="auto"/>
            <w:noWrap/>
            <w:vAlign w:val="center"/>
          </w:tcPr>
          <w:p w14:paraId="03E2A23A" w14:textId="77777777" w:rsidR="00893604" w:rsidRPr="00B81F3C" w:rsidRDefault="00893604" w:rsidP="00893604">
            <w:pPr>
              <w:pStyle w:val="TableText0"/>
              <w:rPr>
                <w:lang w:eastAsia="en-GB"/>
              </w:rPr>
            </w:pPr>
          </w:p>
        </w:tc>
        <w:tc>
          <w:tcPr>
            <w:tcW w:w="783" w:type="dxa"/>
            <w:shd w:val="clear" w:color="auto" w:fill="auto"/>
            <w:noWrap/>
            <w:vAlign w:val="center"/>
          </w:tcPr>
          <w:p w14:paraId="28763359" w14:textId="77777777" w:rsidR="00893604" w:rsidRPr="00B81F3C" w:rsidRDefault="00893604" w:rsidP="00893604">
            <w:pPr>
              <w:pStyle w:val="TableText0"/>
              <w:rPr>
                <w:lang w:val="en-GB" w:eastAsia="en-GB"/>
              </w:rPr>
            </w:pPr>
            <w:r w:rsidRPr="00B81F3C">
              <w:rPr>
                <w:lang w:val="en-GB" w:eastAsia="en-GB"/>
              </w:rPr>
              <w:t>ING357</w:t>
            </w:r>
          </w:p>
        </w:tc>
        <w:tc>
          <w:tcPr>
            <w:tcW w:w="5879" w:type="dxa"/>
            <w:shd w:val="clear" w:color="auto" w:fill="auto"/>
            <w:vAlign w:val="center"/>
          </w:tcPr>
          <w:p w14:paraId="599C95DD" w14:textId="6B2640AA" w:rsidR="00893604" w:rsidRPr="00B81F3C" w:rsidRDefault="00893604" w:rsidP="00893604">
            <w:pPr>
              <w:pStyle w:val="TableText0"/>
              <w:rPr>
                <w:lang w:val="en-GB" w:eastAsia="en-GB"/>
              </w:rPr>
            </w:pPr>
            <w:r>
              <w:t xml:space="preserve">Evaluation of </w:t>
            </w:r>
            <w:r w:rsidRPr="00DE1AF3">
              <w:t>Public Sector Capability Development Program (PSCDP) in Timor</w:t>
            </w:r>
            <w:r>
              <w:noBreakHyphen/>
            </w:r>
            <w:r w:rsidRPr="00DE1AF3">
              <w:t>Leste</w:t>
            </w:r>
          </w:p>
        </w:tc>
      </w:tr>
      <w:tr w:rsidR="00893604" w:rsidRPr="00E57F60" w14:paraId="21F4D4EE" w14:textId="77777777" w:rsidTr="00315553">
        <w:trPr>
          <w:trHeight w:val="89"/>
        </w:trPr>
        <w:tc>
          <w:tcPr>
            <w:tcW w:w="3403" w:type="dxa"/>
            <w:vMerge/>
            <w:shd w:val="clear" w:color="auto" w:fill="auto"/>
            <w:noWrap/>
            <w:vAlign w:val="center"/>
          </w:tcPr>
          <w:p w14:paraId="71ACFE0E" w14:textId="77777777" w:rsidR="00893604" w:rsidRPr="00447E65" w:rsidRDefault="00893604" w:rsidP="00893604">
            <w:pPr>
              <w:pStyle w:val="TableText0"/>
              <w:rPr>
                <w:lang w:eastAsia="en-GB"/>
              </w:rPr>
            </w:pPr>
          </w:p>
        </w:tc>
        <w:tc>
          <w:tcPr>
            <w:tcW w:w="783" w:type="dxa"/>
            <w:shd w:val="clear" w:color="auto" w:fill="auto"/>
            <w:noWrap/>
            <w:vAlign w:val="center"/>
          </w:tcPr>
          <w:p w14:paraId="149B5D45" w14:textId="77777777" w:rsidR="00893604" w:rsidRPr="00447E65" w:rsidRDefault="00893604" w:rsidP="00893604">
            <w:pPr>
              <w:pStyle w:val="TableText0"/>
              <w:rPr>
                <w:lang w:val="en-GB" w:eastAsia="en-GB"/>
              </w:rPr>
            </w:pPr>
            <w:r w:rsidRPr="00447E65">
              <w:rPr>
                <w:lang w:val="en-GB" w:eastAsia="en-GB"/>
              </w:rPr>
              <w:t>ING854</w:t>
            </w:r>
          </w:p>
        </w:tc>
        <w:tc>
          <w:tcPr>
            <w:tcW w:w="5879" w:type="dxa"/>
            <w:shd w:val="clear" w:color="auto" w:fill="auto"/>
            <w:vAlign w:val="center"/>
          </w:tcPr>
          <w:p w14:paraId="2755CF0C" w14:textId="77777777" w:rsidR="00893604" w:rsidRPr="00447E65" w:rsidRDefault="00893604" w:rsidP="00893604">
            <w:pPr>
              <w:pStyle w:val="TableText0"/>
              <w:rPr>
                <w:lang w:val="en-GB" w:eastAsia="en-GB"/>
              </w:rPr>
            </w:pPr>
            <w:r w:rsidRPr="00DE1AF3">
              <w:rPr>
                <w:lang w:val="en-GB" w:eastAsia="en-GB"/>
              </w:rPr>
              <w:t>Independent Review of the Pacific Technical Assistance Mechanism (PACTAM)</w:t>
            </w:r>
          </w:p>
        </w:tc>
      </w:tr>
      <w:tr w:rsidR="00893604" w:rsidRPr="00E57F60" w14:paraId="6AAD324D" w14:textId="77777777" w:rsidTr="00315553">
        <w:trPr>
          <w:trHeight w:val="89"/>
        </w:trPr>
        <w:tc>
          <w:tcPr>
            <w:tcW w:w="3403" w:type="dxa"/>
            <w:vMerge/>
            <w:shd w:val="clear" w:color="auto" w:fill="auto"/>
            <w:noWrap/>
            <w:vAlign w:val="center"/>
          </w:tcPr>
          <w:p w14:paraId="48997292" w14:textId="77777777" w:rsidR="00893604" w:rsidRPr="00447E65" w:rsidRDefault="00893604" w:rsidP="00893604">
            <w:pPr>
              <w:pStyle w:val="TableText0"/>
              <w:rPr>
                <w:lang w:eastAsia="en-GB"/>
              </w:rPr>
            </w:pPr>
          </w:p>
        </w:tc>
        <w:tc>
          <w:tcPr>
            <w:tcW w:w="783" w:type="dxa"/>
            <w:shd w:val="clear" w:color="auto" w:fill="auto"/>
            <w:noWrap/>
            <w:vAlign w:val="center"/>
          </w:tcPr>
          <w:p w14:paraId="41CD2926" w14:textId="77777777" w:rsidR="00893604" w:rsidRPr="00447E65" w:rsidRDefault="00893604" w:rsidP="00893604">
            <w:pPr>
              <w:pStyle w:val="TableText0"/>
              <w:rPr>
                <w:lang w:val="en-GB" w:eastAsia="en-GB"/>
              </w:rPr>
            </w:pPr>
            <w:r w:rsidRPr="00447E65">
              <w:rPr>
                <w:lang w:val="en-GB" w:eastAsia="en-GB"/>
              </w:rPr>
              <w:t>INH436</w:t>
            </w:r>
          </w:p>
        </w:tc>
        <w:tc>
          <w:tcPr>
            <w:tcW w:w="5879" w:type="dxa"/>
            <w:shd w:val="clear" w:color="auto" w:fill="auto"/>
            <w:vAlign w:val="center"/>
          </w:tcPr>
          <w:p w14:paraId="76B07609" w14:textId="77777777" w:rsidR="00893604" w:rsidRPr="00447E65" w:rsidRDefault="00893604" w:rsidP="00893604">
            <w:pPr>
              <w:pStyle w:val="TableText0"/>
              <w:rPr>
                <w:lang w:val="en-GB" w:eastAsia="en-GB"/>
              </w:rPr>
            </w:pPr>
            <w:r w:rsidRPr="00DE1AF3">
              <w:rPr>
                <w:lang w:val="en-GB" w:eastAsia="en-GB"/>
              </w:rPr>
              <w:t>Independent Progress Review of Australia-UNICEF Education Assistance to Papua and Papua Barat</w:t>
            </w:r>
          </w:p>
        </w:tc>
      </w:tr>
      <w:tr w:rsidR="00893604" w:rsidRPr="00E57F60" w14:paraId="23563B07" w14:textId="77777777" w:rsidTr="00315553">
        <w:trPr>
          <w:trHeight w:val="89"/>
        </w:trPr>
        <w:tc>
          <w:tcPr>
            <w:tcW w:w="3403" w:type="dxa"/>
            <w:vMerge/>
            <w:shd w:val="clear" w:color="auto" w:fill="auto"/>
            <w:noWrap/>
            <w:vAlign w:val="center"/>
          </w:tcPr>
          <w:p w14:paraId="116F978E" w14:textId="77777777" w:rsidR="00893604" w:rsidRPr="00447E65" w:rsidRDefault="00893604" w:rsidP="00893604">
            <w:pPr>
              <w:pStyle w:val="TableText0"/>
              <w:rPr>
                <w:lang w:eastAsia="en-GB"/>
              </w:rPr>
            </w:pPr>
          </w:p>
        </w:tc>
        <w:tc>
          <w:tcPr>
            <w:tcW w:w="783" w:type="dxa"/>
            <w:shd w:val="clear" w:color="auto" w:fill="auto"/>
            <w:noWrap/>
            <w:vAlign w:val="center"/>
          </w:tcPr>
          <w:p w14:paraId="0115E56D" w14:textId="77777777" w:rsidR="00893604" w:rsidRPr="00447E65" w:rsidRDefault="00893604" w:rsidP="00893604">
            <w:pPr>
              <w:pStyle w:val="TableText0"/>
              <w:rPr>
                <w:lang w:val="en-GB" w:eastAsia="en-GB"/>
              </w:rPr>
            </w:pPr>
            <w:r w:rsidRPr="00447E65">
              <w:rPr>
                <w:lang w:val="en-GB" w:eastAsia="en-GB"/>
              </w:rPr>
              <w:t>INH528</w:t>
            </w:r>
          </w:p>
        </w:tc>
        <w:tc>
          <w:tcPr>
            <w:tcW w:w="5879" w:type="dxa"/>
            <w:shd w:val="clear" w:color="auto" w:fill="auto"/>
            <w:vAlign w:val="center"/>
          </w:tcPr>
          <w:p w14:paraId="400F3AF9" w14:textId="77777777" w:rsidR="00893604" w:rsidRPr="00447E65" w:rsidRDefault="00893604" w:rsidP="00893604">
            <w:pPr>
              <w:pStyle w:val="TableText0"/>
              <w:rPr>
                <w:lang w:val="en-GB" w:eastAsia="en-GB"/>
              </w:rPr>
            </w:pPr>
            <w:r w:rsidRPr="00DE1AF3">
              <w:rPr>
                <w:lang w:val="en-GB" w:eastAsia="en-GB"/>
              </w:rPr>
              <w:t xml:space="preserve">Independent Progress Report </w:t>
            </w:r>
            <w:r>
              <w:rPr>
                <w:lang w:val="en-GB" w:eastAsia="en-GB"/>
              </w:rPr>
              <w:t xml:space="preserve">for </w:t>
            </w:r>
            <w:r w:rsidRPr="00DE1AF3">
              <w:rPr>
                <w:lang w:val="en-GB" w:eastAsia="en-GB"/>
              </w:rPr>
              <w:t>Pacific Leadership Program</w:t>
            </w:r>
          </w:p>
        </w:tc>
      </w:tr>
      <w:tr w:rsidR="00893604" w:rsidRPr="00E57F60" w14:paraId="036BBE80" w14:textId="77777777" w:rsidTr="00315553">
        <w:trPr>
          <w:trHeight w:val="89"/>
        </w:trPr>
        <w:tc>
          <w:tcPr>
            <w:tcW w:w="3403" w:type="dxa"/>
            <w:vMerge/>
            <w:shd w:val="clear" w:color="auto" w:fill="auto"/>
            <w:noWrap/>
            <w:vAlign w:val="center"/>
          </w:tcPr>
          <w:p w14:paraId="3E232EF2" w14:textId="77777777" w:rsidR="00893604" w:rsidRPr="00447E65" w:rsidRDefault="00893604" w:rsidP="00893604">
            <w:pPr>
              <w:pStyle w:val="TableText0"/>
              <w:rPr>
                <w:lang w:eastAsia="en-GB"/>
              </w:rPr>
            </w:pPr>
          </w:p>
        </w:tc>
        <w:tc>
          <w:tcPr>
            <w:tcW w:w="783" w:type="dxa"/>
            <w:shd w:val="clear" w:color="auto" w:fill="auto"/>
            <w:noWrap/>
            <w:vAlign w:val="center"/>
          </w:tcPr>
          <w:p w14:paraId="66CCC49E" w14:textId="77777777" w:rsidR="00893604" w:rsidRPr="00447E65" w:rsidRDefault="00893604" w:rsidP="00893604">
            <w:pPr>
              <w:pStyle w:val="TableText0"/>
              <w:rPr>
                <w:lang w:val="en-GB" w:eastAsia="en-GB"/>
              </w:rPr>
            </w:pPr>
            <w:r w:rsidRPr="00447E65">
              <w:rPr>
                <w:lang w:val="en-GB" w:eastAsia="en-GB"/>
              </w:rPr>
              <w:t>INJ244</w:t>
            </w:r>
          </w:p>
        </w:tc>
        <w:tc>
          <w:tcPr>
            <w:tcW w:w="5879" w:type="dxa"/>
            <w:shd w:val="clear" w:color="auto" w:fill="auto"/>
            <w:vAlign w:val="center"/>
          </w:tcPr>
          <w:p w14:paraId="589FBEE8" w14:textId="77777777" w:rsidR="00893604" w:rsidRPr="00447E65" w:rsidRDefault="00893604" w:rsidP="00893604">
            <w:pPr>
              <w:pStyle w:val="TableText0"/>
              <w:rPr>
                <w:lang w:val="en-GB" w:eastAsia="en-GB"/>
              </w:rPr>
            </w:pPr>
            <w:r w:rsidRPr="00DE1AF3">
              <w:rPr>
                <w:lang w:val="en-GB" w:eastAsia="en-GB"/>
              </w:rPr>
              <w:t>Independent Progress Review of Partnership for Knowledge-Based Poverty Reduction (PKPR)</w:t>
            </w:r>
          </w:p>
        </w:tc>
      </w:tr>
      <w:tr w:rsidR="00893604" w:rsidRPr="00E57F60" w14:paraId="52C5E6E4" w14:textId="77777777" w:rsidTr="00315553">
        <w:trPr>
          <w:trHeight w:val="89"/>
        </w:trPr>
        <w:tc>
          <w:tcPr>
            <w:tcW w:w="3403" w:type="dxa"/>
            <w:vMerge/>
            <w:shd w:val="clear" w:color="auto" w:fill="auto"/>
            <w:noWrap/>
            <w:vAlign w:val="center"/>
          </w:tcPr>
          <w:p w14:paraId="5777DD69" w14:textId="77777777" w:rsidR="00893604" w:rsidRPr="00447E65" w:rsidRDefault="00893604" w:rsidP="00893604">
            <w:pPr>
              <w:pStyle w:val="TableText0"/>
              <w:rPr>
                <w:lang w:eastAsia="en-GB"/>
              </w:rPr>
            </w:pPr>
          </w:p>
        </w:tc>
        <w:tc>
          <w:tcPr>
            <w:tcW w:w="783" w:type="dxa"/>
            <w:shd w:val="clear" w:color="auto" w:fill="auto"/>
            <w:noWrap/>
            <w:vAlign w:val="center"/>
          </w:tcPr>
          <w:p w14:paraId="2C75E5BB" w14:textId="77777777" w:rsidR="00893604" w:rsidRPr="00447E65" w:rsidRDefault="00893604" w:rsidP="00893604">
            <w:pPr>
              <w:pStyle w:val="TableText0"/>
              <w:rPr>
                <w:lang w:val="en-GB" w:eastAsia="en-GB"/>
              </w:rPr>
            </w:pPr>
            <w:r w:rsidRPr="00447E65">
              <w:rPr>
                <w:lang w:val="en-GB" w:eastAsia="en-GB"/>
              </w:rPr>
              <w:t>INH602</w:t>
            </w:r>
          </w:p>
        </w:tc>
        <w:tc>
          <w:tcPr>
            <w:tcW w:w="5879" w:type="dxa"/>
            <w:shd w:val="clear" w:color="auto" w:fill="auto"/>
            <w:vAlign w:val="center"/>
          </w:tcPr>
          <w:p w14:paraId="41FAEF94" w14:textId="77777777" w:rsidR="00893604" w:rsidRPr="00447E65" w:rsidRDefault="00893604" w:rsidP="00893604">
            <w:pPr>
              <w:pStyle w:val="TableText0"/>
              <w:rPr>
                <w:lang w:val="en-GB" w:eastAsia="en-GB"/>
              </w:rPr>
            </w:pPr>
            <w:r w:rsidRPr="00DE1AF3">
              <w:rPr>
                <w:lang w:val="en-GB" w:eastAsia="en-GB"/>
              </w:rPr>
              <w:t>Mid Term Evaluation of the School Sector Reform Program</w:t>
            </w:r>
          </w:p>
        </w:tc>
      </w:tr>
      <w:tr w:rsidR="00893604" w:rsidRPr="00E57F60" w14:paraId="36BA1CC2" w14:textId="77777777" w:rsidTr="00315553">
        <w:trPr>
          <w:trHeight w:val="89"/>
        </w:trPr>
        <w:tc>
          <w:tcPr>
            <w:tcW w:w="3403" w:type="dxa"/>
            <w:vMerge/>
            <w:shd w:val="clear" w:color="auto" w:fill="auto"/>
            <w:noWrap/>
            <w:vAlign w:val="center"/>
          </w:tcPr>
          <w:p w14:paraId="0D37A8C6" w14:textId="77777777" w:rsidR="00893604" w:rsidRPr="00447E65" w:rsidRDefault="00893604" w:rsidP="00893604">
            <w:pPr>
              <w:pStyle w:val="TableText0"/>
              <w:rPr>
                <w:lang w:eastAsia="en-GB"/>
              </w:rPr>
            </w:pPr>
          </w:p>
        </w:tc>
        <w:tc>
          <w:tcPr>
            <w:tcW w:w="783" w:type="dxa"/>
            <w:shd w:val="clear" w:color="auto" w:fill="auto"/>
            <w:noWrap/>
            <w:vAlign w:val="center"/>
          </w:tcPr>
          <w:p w14:paraId="2B5275A5" w14:textId="77777777" w:rsidR="00893604" w:rsidRPr="00447E65" w:rsidRDefault="00893604" w:rsidP="00893604">
            <w:pPr>
              <w:pStyle w:val="TableText0"/>
              <w:rPr>
                <w:lang w:val="en-GB" w:eastAsia="en-GB"/>
              </w:rPr>
            </w:pPr>
            <w:r w:rsidRPr="00447E65">
              <w:rPr>
                <w:lang w:val="en-GB" w:eastAsia="en-GB"/>
              </w:rPr>
              <w:t>INH497</w:t>
            </w:r>
          </w:p>
        </w:tc>
        <w:tc>
          <w:tcPr>
            <w:tcW w:w="5879" w:type="dxa"/>
            <w:shd w:val="clear" w:color="auto" w:fill="auto"/>
            <w:vAlign w:val="center"/>
          </w:tcPr>
          <w:p w14:paraId="1577F9E2" w14:textId="77777777" w:rsidR="00893604" w:rsidRPr="00447E65" w:rsidRDefault="00893604" w:rsidP="00893604">
            <w:pPr>
              <w:pStyle w:val="TableText0"/>
              <w:rPr>
                <w:lang w:val="en-GB" w:eastAsia="en-GB"/>
              </w:rPr>
            </w:pPr>
            <w:r>
              <w:rPr>
                <w:lang w:val="en-GB" w:eastAsia="en-GB"/>
              </w:rPr>
              <w:t xml:space="preserve">Independent Completion Report for </w:t>
            </w:r>
            <w:r w:rsidRPr="00DE1AF3">
              <w:rPr>
                <w:lang w:val="en-GB" w:eastAsia="en-GB"/>
              </w:rPr>
              <w:t>Timor–Leste Asian Development Bank Infrastructure Project Management/Infrastructure Technical Assistance</w:t>
            </w:r>
          </w:p>
        </w:tc>
      </w:tr>
      <w:tr w:rsidR="00893604" w:rsidRPr="00E57F60" w14:paraId="4D523EC0" w14:textId="77777777" w:rsidTr="00315553">
        <w:trPr>
          <w:trHeight w:val="89"/>
        </w:trPr>
        <w:tc>
          <w:tcPr>
            <w:tcW w:w="3403" w:type="dxa"/>
            <w:vMerge/>
            <w:shd w:val="clear" w:color="auto" w:fill="auto"/>
            <w:noWrap/>
            <w:vAlign w:val="center"/>
          </w:tcPr>
          <w:p w14:paraId="1CEE0729" w14:textId="77777777" w:rsidR="00893604" w:rsidRPr="00447E65" w:rsidRDefault="00893604" w:rsidP="00893604">
            <w:pPr>
              <w:pStyle w:val="TableText0"/>
              <w:rPr>
                <w:lang w:eastAsia="en-GB"/>
              </w:rPr>
            </w:pPr>
          </w:p>
        </w:tc>
        <w:tc>
          <w:tcPr>
            <w:tcW w:w="783" w:type="dxa"/>
            <w:shd w:val="clear" w:color="auto" w:fill="auto"/>
            <w:noWrap/>
            <w:vAlign w:val="center"/>
          </w:tcPr>
          <w:p w14:paraId="72956AB6" w14:textId="77777777" w:rsidR="00893604" w:rsidRPr="00447E65" w:rsidRDefault="00893604" w:rsidP="00893604">
            <w:pPr>
              <w:pStyle w:val="TableText0"/>
              <w:rPr>
                <w:lang w:val="en-GB" w:eastAsia="en-GB"/>
              </w:rPr>
            </w:pPr>
            <w:r w:rsidRPr="00447E65">
              <w:rPr>
                <w:lang w:val="en-GB" w:eastAsia="en-GB"/>
              </w:rPr>
              <w:t>INI661</w:t>
            </w:r>
          </w:p>
        </w:tc>
        <w:tc>
          <w:tcPr>
            <w:tcW w:w="5879" w:type="dxa"/>
            <w:shd w:val="clear" w:color="auto" w:fill="auto"/>
            <w:vAlign w:val="center"/>
          </w:tcPr>
          <w:p w14:paraId="692BB882" w14:textId="77777777" w:rsidR="00893604" w:rsidRPr="00447E65" w:rsidRDefault="00893604" w:rsidP="00893604">
            <w:pPr>
              <w:pStyle w:val="TableText0"/>
              <w:rPr>
                <w:lang w:val="en-GB" w:eastAsia="en-GB"/>
              </w:rPr>
            </w:pPr>
            <w:r w:rsidRPr="00DE1AF3">
              <w:rPr>
                <w:lang w:val="en-GB" w:eastAsia="en-GB"/>
              </w:rPr>
              <w:t xml:space="preserve">Independent Review </w:t>
            </w:r>
            <w:r>
              <w:rPr>
                <w:lang w:val="en-GB" w:eastAsia="en-GB"/>
              </w:rPr>
              <w:t xml:space="preserve">of the </w:t>
            </w:r>
            <w:r w:rsidRPr="00DE1AF3">
              <w:rPr>
                <w:lang w:val="en-GB" w:eastAsia="en-GB"/>
              </w:rPr>
              <w:t>SIG-RAMSI Public Sector Improvement Program (PSIP) Year 4</w:t>
            </w:r>
          </w:p>
        </w:tc>
      </w:tr>
      <w:tr w:rsidR="00893604" w:rsidRPr="00E57F60" w14:paraId="7C5BD7A9" w14:textId="77777777" w:rsidTr="00315553">
        <w:trPr>
          <w:trHeight w:val="91"/>
        </w:trPr>
        <w:tc>
          <w:tcPr>
            <w:tcW w:w="3403" w:type="dxa"/>
            <w:vMerge w:val="restart"/>
            <w:shd w:val="clear" w:color="auto" w:fill="auto"/>
            <w:noWrap/>
            <w:vAlign w:val="center"/>
            <w:hideMark/>
          </w:tcPr>
          <w:p w14:paraId="673E1853" w14:textId="77777777" w:rsidR="00893604" w:rsidRPr="00447E65" w:rsidRDefault="00893604" w:rsidP="00893604">
            <w:pPr>
              <w:pStyle w:val="TableText0"/>
              <w:rPr>
                <w:lang w:eastAsia="en-GB"/>
              </w:rPr>
            </w:pPr>
            <w:r w:rsidRPr="00447E65">
              <w:rPr>
                <w:lang w:eastAsia="en-GB"/>
              </w:rPr>
              <w:t xml:space="preserve">3.2 Public sector reform requires better diagnosis and incremental approaches </w:t>
            </w:r>
          </w:p>
          <w:p w14:paraId="54381A6B" w14:textId="77777777" w:rsidR="00893604" w:rsidRPr="00447E65" w:rsidRDefault="00893604" w:rsidP="00893604">
            <w:pPr>
              <w:pStyle w:val="TableText0"/>
              <w:rPr>
                <w:lang w:eastAsia="en-GB"/>
              </w:rPr>
            </w:pPr>
          </w:p>
        </w:tc>
        <w:tc>
          <w:tcPr>
            <w:tcW w:w="783" w:type="dxa"/>
            <w:shd w:val="clear" w:color="auto" w:fill="auto"/>
            <w:noWrap/>
            <w:vAlign w:val="center"/>
            <w:hideMark/>
          </w:tcPr>
          <w:p w14:paraId="075A54CA" w14:textId="77777777" w:rsidR="00893604" w:rsidRPr="00447E65" w:rsidRDefault="00893604" w:rsidP="00893604">
            <w:pPr>
              <w:pStyle w:val="TableText0"/>
              <w:rPr>
                <w:lang w:val="en-GB" w:eastAsia="en-GB"/>
              </w:rPr>
            </w:pPr>
            <w:r w:rsidRPr="00447E65">
              <w:rPr>
                <w:lang w:val="en-GB" w:eastAsia="en-GB"/>
              </w:rPr>
              <w:t>ING357</w:t>
            </w:r>
          </w:p>
        </w:tc>
        <w:tc>
          <w:tcPr>
            <w:tcW w:w="5879" w:type="dxa"/>
            <w:shd w:val="clear" w:color="auto" w:fill="auto"/>
            <w:vAlign w:val="center"/>
          </w:tcPr>
          <w:p w14:paraId="2F737BA9" w14:textId="358B9A44" w:rsidR="00893604" w:rsidRPr="00447E65" w:rsidRDefault="00893604" w:rsidP="00893604">
            <w:pPr>
              <w:pStyle w:val="TableText0"/>
              <w:rPr>
                <w:lang w:val="en-GB" w:eastAsia="en-GB"/>
              </w:rPr>
            </w:pPr>
            <w:r>
              <w:t xml:space="preserve">Evaluation of </w:t>
            </w:r>
            <w:r w:rsidRPr="00DE1AF3">
              <w:t>Public Sector Capability Development Program (PSCDP) in Timor</w:t>
            </w:r>
            <w:r>
              <w:noBreakHyphen/>
            </w:r>
            <w:r w:rsidRPr="00DE1AF3">
              <w:t>Leste</w:t>
            </w:r>
          </w:p>
        </w:tc>
      </w:tr>
      <w:tr w:rsidR="00893604" w:rsidRPr="00E57F60" w14:paraId="3C625811" w14:textId="77777777" w:rsidTr="00315553">
        <w:trPr>
          <w:trHeight w:val="89"/>
        </w:trPr>
        <w:tc>
          <w:tcPr>
            <w:tcW w:w="3403" w:type="dxa"/>
            <w:vMerge/>
            <w:shd w:val="clear" w:color="auto" w:fill="auto"/>
            <w:noWrap/>
            <w:vAlign w:val="center"/>
          </w:tcPr>
          <w:p w14:paraId="6A6D635B" w14:textId="77777777" w:rsidR="00893604" w:rsidRPr="00447E65" w:rsidRDefault="00893604" w:rsidP="00893604">
            <w:pPr>
              <w:pStyle w:val="TableText0"/>
              <w:rPr>
                <w:lang w:eastAsia="en-GB"/>
              </w:rPr>
            </w:pPr>
          </w:p>
        </w:tc>
        <w:tc>
          <w:tcPr>
            <w:tcW w:w="783" w:type="dxa"/>
            <w:shd w:val="clear" w:color="auto" w:fill="auto"/>
            <w:noWrap/>
            <w:vAlign w:val="center"/>
          </w:tcPr>
          <w:p w14:paraId="018988BB" w14:textId="77777777" w:rsidR="00893604" w:rsidRPr="00447E65" w:rsidRDefault="00893604" w:rsidP="00893604">
            <w:pPr>
              <w:pStyle w:val="TableText0"/>
              <w:rPr>
                <w:lang w:val="en-GB" w:eastAsia="en-GB"/>
              </w:rPr>
            </w:pPr>
            <w:r w:rsidRPr="00447E65">
              <w:rPr>
                <w:lang w:val="en-GB" w:eastAsia="en-GB"/>
              </w:rPr>
              <w:t>ING723</w:t>
            </w:r>
          </w:p>
        </w:tc>
        <w:tc>
          <w:tcPr>
            <w:tcW w:w="5879" w:type="dxa"/>
            <w:shd w:val="clear" w:color="auto" w:fill="auto"/>
            <w:vAlign w:val="center"/>
          </w:tcPr>
          <w:p w14:paraId="144F2C47" w14:textId="77777777" w:rsidR="00893604" w:rsidRPr="00447E65" w:rsidRDefault="00893604" w:rsidP="00893604">
            <w:pPr>
              <w:pStyle w:val="TableText0"/>
              <w:rPr>
                <w:lang w:val="en-GB" w:eastAsia="en-GB"/>
              </w:rPr>
            </w:pPr>
            <w:r w:rsidRPr="00DE1AF3">
              <w:rPr>
                <w:lang w:val="en-GB" w:eastAsia="en-GB"/>
              </w:rPr>
              <w:t>ODE Evaluation of</w:t>
            </w:r>
            <w:r>
              <w:rPr>
                <w:lang w:val="en-GB" w:eastAsia="en-GB"/>
              </w:rPr>
              <w:t xml:space="preserve"> Australian</w:t>
            </w:r>
            <w:r w:rsidRPr="00DE1AF3">
              <w:rPr>
                <w:lang w:val="en-GB" w:eastAsia="en-GB"/>
              </w:rPr>
              <w:t xml:space="preserve"> Law and Justice </w:t>
            </w:r>
            <w:r>
              <w:rPr>
                <w:lang w:val="en-GB" w:eastAsia="en-GB"/>
              </w:rPr>
              <w:t>A</w:t>
            </w:r>
            <w:r w:rsidRPr="00DE1AF3">
              <w:rPr>
                <w:lang w:val="en-GB" w:eastAsia="en-GB"/>
              </w:rPr>
              <w:t>ssistance</w:t>
            </w:r>
            <w:r>
              <w:rPr>
                <w:lang w:val="en-GB" w:eastAsia="en-GB"/>
              </w:rPr>
              <w:t>:</w:t>
            </w:r>
            <w:r w:rsidRPr="00DE1AF3">
              <w:rPr>
                <w:lang w:val="en-GB" w:eastAsia="en-GB"/>
              </w:rPr>
              <w:t xml:space="preserve"> Cambodia case study</w:t>
            </w:r>
          </w:p>
        </w:tc>
      </w:tr>
      <w:tr w:rsidR="00893604" w:rsidRPr="00E57F60" w14:paraId="18D630B8" w14:textId="77777777" w:rsidTr="00315553">
        <w:trPr>
          <w:trHeight w:val="89"/>
        </w:trPr>
        <w:tc>
          <w:tcPr>
            <w:tcW w:w="3403" w:type="dxa"/>
            <w:vMerge/>
            <w:shd w:val="clear" w:color="auto" w:fill="auto"/>
            <w:noWrap/>
            <w:vAlign w:val="center"/>
          </w:tcPr>
          <w:p w14:paraId="23D952F7" w14:textId="77777777" w:rsidR="00893604" w:rsidRPr="00447E65" w:rsidRDefault="00893604" w:rsidP="00893604">
            <w:pPr>
              <w:pStyle w:val="TableText0"/>
              <w:rPr>
                <w:lang w:eastAsia="en-GB"/>
              </w:rPr>
            </w:pPr>
          </w:p>
        </w:tc>
        <w:tc>
          <w:tcPr>
            <w:tcW w:w="783" w:type="dxa"/>
            <w:shd w:val="clear" w:color="auto" w:fill="auto"/>
            <w:noWrap/>
            <w:vAlign w:val="center"/>
          </w:tcPr>
          <w:p w14:paraId="6350943C" w14:textId="77777777" w:rsidR="00893604" w:rsidRPr="00447E65" w:rsidRDefault="00893604" w:rsidP="00893604">
            <w:pPr>
              <w:pStyle w:val="TableText0"/>
              <w:rPr>
                <w:lang w:val="en-GB" w:eastAsia="en-GB"/>
              </w:rPr>
            </w:pPr>
            <w:r w:rsidRPr="00447E65">
              <w:rPr>
                <w:lang w:val="en-GB" w:eastAsia="en-GB"/>
              </w:rPr>
              <w:t>INH361</w:t>
            </w:r>
          </w:p>
        </w:tc>
        <w:tc>
          <w:tcPr>
            <w:tcW w:w="5879" w:type="dxa"/>
            <w:shd w:val="clear" w:color="auto" w:fill="auto"/>
            <w:vAlign w:val="center"/>
          </w:tcPr>
          <w:p w14:paraId="2553BF14" w14:textId="77777777" w:rsidR="00893604" w:rsidRPr="00447E65" w:rsidRDefault="00893604" w:rsidP="00893604">
            <w:pPr>
              <w:pStyle w:val="TableText0"/>
              <w:rPr>
                <w:lang w:val="en-GB" w:eastAsia="en-GB"/>
              </w:rPr>
            </w:pPr>
            <w:r w:rsidRPr="00782FD3">
              <w:rPr>
                <w:lang w:val="en-GB" w:eastAsia="en-GB"/>
              </w:rPr>
              <w:t>Independent Progress Review of</w:t>
            </w:r>
            <w:r>
              <w:rPr>
                <w:lang w:val="en-GB" w:eastAsia="en-GB"/>
              </w:rPr>
              <w:t xml:space="preserve"> </w:t>
            </w:r>
            <w:r w:rsidRPr="00DE1AF3">
              <w:rPr>
                <w:lang w:val="en-GB" w:eastAsia="en-GB"/>
              </w:rPr>
              <w:t>Support for Education Sector Development in Aceh (SEDIA)</w:t>
            </w:r>
          </w:p>
        </w:tc>
      </w:tr>
      <w:tr w:rsidR="00893604" w:rsidRPr="00E57F60" w14:paraId="42CD3D86" w14:textId="77777777" w:rsidTr="00315553">
        <w:trPr>
          <w:trHeight w:val="89"/>
        </w:trPr>
        <w:tc>
          <w:tcPr>
            <w:tcW w:w="3403" w:type="dxa"/>
            <w:vMerge/>
            <w:shd w:val="clear" w:color="auto" w:fill="auto"/>
            <w:noWrap/>
            <w:vAlign w:val="center"/>
          </w:tcPr>
          <w:p w14:paraId="6C17BD23" w14:textId="77777777" w:rsidR="00893604" w:rsidRPr="00447E65" w:rsidRDefault="00893604" w:rsidP="00893604">
            <w:pPr>
              <w:pStyle w:val="TableText0"/>
              <w:rPr>
                <w:lang w:eastAsia="en-GB"/>
              </w:rPr>
            </w:pPr>
          </w:p>
        </w:tc>
        <w:tc>
          <w:tcPr>
            <w:tcW w:w="783" w:type="dxa"/>
            <w:shd w:val="clear" w:color="auto" w:fill="auto"/>
            <w:noWrap/>
            <w:vAlign w:val="center"/>
          </w:tcPr>
          <w:p w14:paraId="65BFCDB1" w14:textId="77777777" w:rsidR="00893604" w:rsidRPr="00447E65" w:rsidRDefault="00893604" w:rsidP="00893604">
            <w:pPr>
              <w:pStyle w:val="TableText0"/>
              <w:rPr>
                <w:lang w:val="en-GB" w:eastAsia="en-GB"/>
              </w:rPr>
            </w:pPr>
            <w:r w:rsidRPr="00447E65">
              <w:rPr>
                <w:lang w:val="en-GB" w:eastAsia="en-GB"/>
              </w:rPr>
              <w:t>INI194</w:t>
            </w:r>
          </w:p>
        </w:tc>
        <w:tc>
          <w:tcPr>
            <w:tcW w:w="5879" w:type="dxa"/>
            <w:shd w:val="clear" w:color="auto" w:fill="auto"/>
            <w:vAlign w:val="center"/>
          </w:tcPr>
          <w:p w14:paraId="0A42E163" w14:textId="77777777" w:rsidR="00893604" w:rsidRPr="00447E65" w:rsidRDefault="00893604" w:rsidP="00893604">
            <w:pPr>
              <w:pStyle w:val="TableText0"/>
              <w:rPr>
                <w:lang w:val="en-GB" w:eastAsia="en-GB"/>
              </w:rPr>
            </w:pPr>
            <w:r>
              <w:rPr>
                <w:lang w:val="en-GB" w:eastAsia="en-GB"/>
              </w:rPr>
              <w:t xml:space="preserve">Independent Progress Report for </w:t>
            </w:r>
            <w:r w:rsidRPr="00DE1AF3">
              <w:rPr>
                <w:lang w:val="en-GB" w:eastAsia="en-GB"/>
              </w:rPr>
              <w:t>PNG–Australia Law &amp; Justice Partnership</w:t>
            </w:r>
          </w:p>
        </w:tc>
      </w:tr>
      <w:tr w:rsidR="00893604" w:rsidRPr="00E57F60" w14:paraId="4B1E2B0A" w14:textId="77777777" w:rsidTr="00315553">
        <w:trPr>
          <w:trHeight w:val="89"/>
        </w:trPr>
        <w:tc>
          <w:tcPr>
            <w:tcW w:w="3403" w:type="dxa"/>
            <w:vMerge/>
            <w:shd w:val="clear" w:color="auto" w:fill="auto"/>
            <w:noWrap/>
            <w:vAlign w:val="center"/>
          </w:tcPr>
          <w:p w14:paraId="56BE1E1D" w14:textId="77777777" w:rsidR="00893604" w:rsidRPr="00447E65" w:rsidRDefault="00893604" w:rsidP="00893604">
            <w:pPr>
              <w:pStyle w:val="TableText0"/>
              <w:rPr>
                <w:lang w:eastAsia="en-GB"/>
              </w:rPr>
            </w:pPr>
          </w:p>
        </w:tc>
        <w:tc>
          <w:tcPr>
            <w:tcW w:w="783" w:type="dxa"/>
            <w:shd w:val="clear" w:color="auto" w:fill="auto"/>
            <w:noWrap/>
            <w:vAlign w:val="center"/>
          </w:tcPr>
          <w:p w14:paraId="56960F9B" w14:textId="77777777" w:rsidR="00893604" w:rsidRPr="00447E65" w:rsidRDefault="00893604" w:rsidP="00893604">
            <w:pPr>
              <w:pStyle w:val="TableText0"/>
              <w:rPr>
                <w:lang w:val="en-GB" w:eastAsia="en-GB"/>
              </w:rPr>
            </w:pPr>
            <w:r w:rsidRPr="00447E65">
              <w:rPr>
                <w:lang w:val="en-GB" w:eastAsia="en-GB"/>
              </w:rPr>
              <w:t>INI355</w:t>
            </w:r>
          </w:p>
        </w:tc>
        <w:tc>
          <w:tcPr>
            <w:tcW w:w="5879" w:type="dxa"/>
            <w:shd w:val="clear" w:color="auto" w:fill="auto"/>
            <w:vAlign w:val="center"/>
          </w:tcPr>
          <w:p w14:paraId="55E19BAD" w14:textId="79D762AA" w:rsidR="00893604" w:rsidRPr="00447E65" w:rsidRDefault="00893604" w:rsidP="004D1092">
            <w:pPr>
              <w:pStyle w:val="TableText0"/>
              <w:rPr>
                <w:lang w:val="en-GB" w:eastAsia="en-GB"/>
              </w:rPr>
            </w:pPr>
            <w:r>
              <w:rPr>
                <w:lang w:val="en-GB" w:eastAsia="en-GB"/>
              </w:rPr>
              <w:t xml:space="preserve">Independent Progress Report for </w:t>
            </w:r>
            <w:r w:rsidRPr="00DE1AF3">
              <w:rPr>
                <w:lang w:val="en-GB" w:eastAsia="en-GB"/>
              </w:rPr>
              <w:t>Local Governance Innovations for Communities in Aceh, Phase II (LOGICA2)</w:t>
            </w:r>
          </w:p>
        </w:tc>
      </w:tr>
      <w:tr w:rsidR="00893604" w:rsidRPr="00E57F60" w14:paraId="7DAD978C" w14:textId="77777777" w:rsidTr="00315553">
        <w:trPr>
          <w:trHeight w:val="89"/>
        </w:trPr>
        <w:tc>
          <w:tcPr>
            <w:tcW w:w="3403" w:type="dxa"/>
            <w:vMerge/>
            <w:shd w:val="clear" w:color="auto" w:fill="auto"/>
            <w:noWrap/>
            <w:vAlign w:val="center"/>
          </w:tcPr>
          <w:p w14:paraId="5F660DC0" w14:textId="77777777" w:rsidR="00893604" w:rsidRPr="00447E65" w:rsidRDefault="00893604" w:rsidP="00893604">
            <w:pPr>
              <w:pStyle w:val="TableText0"/>
              <w:rPr>
                <w:lang w:eastAsia="en-GB"/>
              </w:rPr>
            </w:pPr>
          </w:p>
        </w:tc>
        <w:tc>
          <w:tcPr>
            <w:tcW w:w="783" w:type="dxa"/>
            <w:shd w:val="clear" w:color="auto" w:fill="auto"/>
            <w:noWrap/>
            <w:vAlign w:val="center"/>
          </w:tcPr>
          <w:p w14:paraId="692A66E6" w14:textId="77777777" w:rsidR="00893604" w:rsidRPr="00447E65" w:rsidRDefault="00893604" w:rsidP="00893604">
            <w:pPr>
              <w:pStyle w:val="TableText0"/>
              <w:rPr>
                <w:lang w:val="en-GB" w:eastAsia="en-GB"/>
              </w:rPr>
            </w:pPr>
            <w:r w:rsidRPr="00447E65">
              <w:rPr>
                <w:lang w:val="en-GB" w:eastAsia="en-GB"/>
              </w:rPr>
              <w:t>INI903</w:t>
            </w:r>
          </w:p>
        </w:tc>
        <w:tc>
          <w:tcPr>
            <w:tcW w:w="5879" w:type="dxa"/>
            <w:shd w:val="clear" w:color="auto" w:fill="auto"/>
            <w:vAlign w:val="center"/>
          </w:tcPr>
          <w:p w14:paraId="1ABA71D4" w14:textId="77777777" w:rsidR="00893604" w:rsidRPr="00447E65" w:rsidRDefault="00893604" w:rsidP="00893604">
            <w:pPr>
              <w:pStyle w:val="TableText0"/>
              <w:rPr>
                <w:lang w:val="en-GB" w:eastAsia="en-GB"/>
              </w:rPr>
            </w:pPr>
            <w:r w:rsidRPr="00DE1AF3">
              <w:rPr>
                <w:lang w:val="en-GB" w:eastAsia="en-GB"/>
              </w:rPr>
              <w:t>Independent Progress Review of the PNG–Australia Economic and Public Sector Program (EPSP)</w:t>
            </w:r>
          </w:p>
        </w:tc>
      </w:tr>
      <w:tr w:rsidR="00893604" w:rsidRPr="00E57F60" w14:paraId="0A3E5F50" w14:textId="77777777" w:rsidTr="00315553">
        <w:trPr>
          <w:trHeight w:val="79"/>
        </w:trPr>
        <w:tc>
          <w:tcPr>
            <w:tcW w:w="3403" w:type="dxa"/>
            <w:vMerge w:val="restart"/>
            <w:shd w:val="clear" w:color="auto" w:fill="auto"/>
            <w:noWrap/>
            <w:vAlign w:val="center"/>
            <w:hideMark/>
          </w:tcPr>
          <w:p w14:paraId="079BC548" w14:textId="77777777" w:rsidR="00893604" w:rsidRPr="00447E65" w:rsidRDefault="00893604" w:rsidP="00893604">
            <w:pPr>
              <w:pStyle w:val="TableText0"/>
              <w:rPr>
                <w:lang w:eastAsia="en-GB"/>
              </w:rPr>
            </w:pPr>
            <w:r w:rsidRPr="00447E65">
              <w:rPr>
                <w:lang w:eastAsia="en-GB"/>
              </w:rPr>
              <w:t>3.3 Improving opportunities for women requires long-term support and targeted programs</w:t>
            </w:r>
          </w:p>
          <w:p w14:paraId="7DEC1286" w14:textId="77777777" w:rsidR="00893604" w:rsidRPr="00447E65" w:rsidRDefault="00893604" w:rsidP="00893604">
            <w:pPr>
              <w:pStyle w:val="TableText0"/>
              <w:rPr>
                <w:lang w:eastAsia="en-GB"/>
              </w:rPr>
            </w:pPr>
          </w:p>
        </w:tc>
        <w:tc>
          <w:tcPr>
            <w:tcW w:w="783" w:type="dxa"/>
            <w:shd w:val="clear" w:color="auto" w:fill="auto"/>
            <w:noWrap/>
            <w:vAlign w:val="center"/>
            <w:hideMark/>
          </w:tcPr>
          <w:p w14:paraId="648FA7CC" w14:textId="77777777" w:rsidR="00893604" w:rsidRPr="00447E65" w:rsidRDefault="00893604" w:rsidP="00893604">
            <w:pPr>
              <w:pStyle w:val="TableText0"/>
              <w:rPr>
                <w:lang w:val="en-GB" w:eastAsia="en-GB"/>
              </w:rPr>
            </w:pPr>
            <w:r w:rsidRPr="00447E65">
              <w:rPr>
                <w:lang w:val="en-GB" w:eastAsia="en-GB"/>
              </w:rPr>
              <w:t>INF725</w:t>
            </w:r>
          </w:p>
        </w:tc>
        <w:tc>
          <w:tcPr>
            <w:tcW w:w="5879" w:type="dxa"/>
            <w:shd w:val="clear" w:color="auto" w:fill="auto"/>
            <w:vAlign w:val="center"/>
          </w:tcPr>
          <w:p w14:paraId="76252661" w14:textId="77777777" w:rsidR="00893604" w:rsidRPr="00447E65" w:rsidRDefault="00893604" w:rsidP="00893604">
            <w:pPr>
              <w:pStyle w:val="TableText0"/>
              <w:rPr>
                <w:lang w:val="en-GB" w:eastAsia="en-GB"/>
              </w:rPr>
            </w:pPr>
            <w:r>
              <w:t>Evaluation</w:t>
            </w:r>
            <w:r w:rsidRPr="00DE1AF3">
              <w:t xml:space="preserve"> </w:t>
            </w:r>
            <w:r>
              <w:t xml:space="preserve">of </w:t>
            </w:r>
            <w:r w:rsidRPr="00DE1AF3">
              <w:t>Africa–Australian Development Scholarships Management Program</w:t>
            </w:r>
          </w:p>
        </w:tc>
      </w:tr>
      <w:tr w:rsidR="00893604" w:rsidRPr="00E57F60" w14:paraId="09007EB3" w14:textId="77777777" w:rsidTr="00315553">
        <w:trPr>
          <w:trHeight w:val="78"/>
        </w:trPr>
        <w:tc>
          <w:tcPr>
            <w:tcW w:w="3403" w:type="dxa"/>
            <w:vMerge/>
            <w:shd w:val="clear" w:color="auto" w:fill="auto"/>
            <w:noWrap/>
            <w:vAlign w:val="center"/>
          </w:tcPr>
          <w:p w14:paraId="15DB2E25" w14:textId="77777777" w:rsidR="00893604" w:rsidRPr="00B81F3C" w:rsidRDefault="00893604" w:rsidP="00315553">
            <w:pPr>
              <w:pStyle w:val="TableText0"/>
              <w:rPr>
                <w:rFonts w:asciiTheme="minorHAnsi" w:hAnsiTheme="minorHAnsi"/>
                <w:bCs/>
                <w:iCs/>
                <w:sz w:val="18"/>
                <w:szCs w:val="18"/>
                <w:lang w:eastAsia="en-GB"/>
              </w:rPr>
            </w:pPr>
          </w:p>
        </w:tc>
        <w:tc>
          <w:tcPr>
            <w:tcW w:w="783" w:type="dxa"/>
            <w:shd w:val="clear" w:color="auto" w:fill="auto"/>
            <w:noWrap/>
            <w:vAlign w:val="center"/>
          </w:tcPr>
          <w:p w14:paraId="1486101E" w14:textId="77777777" w:rsidR="00893604" w:rsidRPr="00447E65" w:rsidRDefault="00893604" w:rsidP="00893604">
            <w:pPr>
              <w:pStyle w:val="TableText0"/>
              <w:rPr>
                <w:lang w:val="en-GB" w:eastAsia="en-GB"/>
              </w:rPr>
            </w:pPr>
            <w:r w:rsidRPr="00447E65">
              <w:rPr>
                <w:lang w:val="en-GB" w:eastAsia="en-GB"/>
              </w:rPr>
              <w:t>ING002</w:t>
            </w:r>
          </w:p>
        </w:tc>
        <w:tc>
          <w:tcPr>
            <w:tcW w:w="5879" w:type="dxa"/>
            <w:shd w:val="clear" w:color="auto" w:fill="auto"/>
            <w:vAlign w:val="center"/>
          </w:tcPr>
          <w:p w14:paraId="76251E18" w14:textId="77777777" w:rsidR="00893604" w:rsidRPr="00447E65" w:rsidRDefault="00893604" w:rsidP="00893604">
            <w:pPr>
              <w:pStyle w:val="TableText0"/>
              <w:rPr>
                <w:lang w:val="en-GB" w:eastAsia="en-GB"/>
              </w:rPr>
            </w:pPr>
            <w:r>
              <w:t>I</w:t>
            </w:r>
            <w:r w:rsidRPr="00940710">
              <w:t>ndependent evaluation of AusAID’s support to rural WASH in Timor-Leste</w:t>
            </w:r>
            <w:r>
              <w:t xml:space="preserve"> through the </w:t>
            </w:r>
            <w:r w:rsidRPr="00940710">
              <w:t>Rural Water Supply and Sanitation Program (RWSSP</w:t>
            </w:r>
            <w:r>
              <w:t>/BESIK</w:t>
            </w:r>
            <w:r w:rsidRPr="00940710">
              <w:t>)</w:t>
            </w:r>
          </w:p>
        </w:tc>
      </w:tr>
      <w:tr w:rsidR="00893604" w:rsidRPr="00E57F60" w14:paraId="0C6A5B44" w14:textId="77777777" w:rsidTr="00315553">
        <w:trPr>
          <w:trHeight w:val="78"/>
        </w:trPr>
        <w:tc>
          <w:tcPr>
            <w:tcW w:w="3403" w:type="dxa"/>
            <w:vMerge/>
            <w:shd w:val="clear" w:color="auto" w:fill="auto"/>
            <w:noWrap/>
            <w:vAlign w:val="center"/>
          </w:tcPr>
          <w:p w14:paraId="730955CB" w14:textId="77777777" w:rsidR="00893604" w:rsidRPr="00B81F3C" w:rsidRDefault="00893604" w:rsidP="00315553">
            <w:pPr>
              <w:pStyle w:val="TableText0"/>
              <w:rPr>
                <w:rFonts w:asciiTheme="minorHAnsi" w:hAnsiTheme="minorHAnsi"/>
                <w:bCs/>
                <w:iCs/>
                <w:sz w:val="18"/>
                <w:szCs w:val="18"/>
                <w:lang w:eastAsia="en-GB"/>
              </w:rPr>
            </w:pPr>
          </w:p>
        </w:tc>
        <w:tc>
          <w:tcPr>
            <w:tcW w:w="783" w:type="dxa"/>
            <w:shd w:val="clear" w:color="auto" w:fill="auto"/>
            <w:noWrap/>
            <w:vAlign w:val="center"/>
          </w:tcPr>
          <w:p w14:paraId="482D3280" w14:textId="77777777" w:rsidR="00893604" w:rsidRPr="00447E65" w:rsidRDefault="00893604" w:rsidP="00893604">
            <w:pPr>
              <w:pStyle w:val="TableText0"/>
              <w:rPr>
                <w:lang w:val="en-GB" w:eastAsia="en-GB"/>
              </w:rPr>
            </w:pPr>
            <w:r w:rsidRPr="00447E65">
              <w:rPr>
                <w:lang w:val="en-GB" w:eastAsia="en-GB"/>
              </w:rPr>
              <w:t>ING982</w:t>
            </w:r>
          </w:p>
        </w:tc>
        <w:tc>
          <w:tcPr>
            <w:tcW w:w="5879" w:type="dxa"/>
            <w:shd w:val="clear" w:color="auto" w:fill="auto"/>
            <w:vAlign w:val="center"/>
          </w:tcPr>
          <w:p w14:paraId="08F7259B" w14:textId="77777777" w:rsidR="00893604" w:rsidRPr="00447E65" w:rsidRDefault="00893604" w:rsidP="00893604">
            <w:pPr>
              <w:pStyle w:val="TableText0"/>
              <w:rPr>
                <w:lang w:val="en-GB" w:eastAsia="en-GB"/>
              </w:rPr>
            </w:pPr>
            <w:r>
              <w:rPr>
                <w:lang w:val="en-GB" w:eastAsia="en-GB"/>
              </w:rPr>
              <w:t>Independent Completion Report</w:t>
            </w:r>
            <w:r w:rsidRPr="00DE1AF3">
              <w:rPr>
                <w:lang w:val="en-GB" w:eastAsia="en-GB"/>
              </w:rPr>
              <w:t xml:space="preserve"> </w:t>
            </w:r>
            <w:r>
              <w:rPr>
                <w:lang w:val="en-GB" w:eastAsia="en-GB"/>
              </w:rPr>
              <w:t xml:space="preserve">for </w:t>
            </w:r>
            <w:r w:rsidRPr="00DE1AF3">
              <w:rPr>
                <w:lang w:val="en-GB" w:eastAsia="en-GB"/>
              </w:rPr>
              <w:t>Regional Rights Resource Team (RRRT)</w:t>
            </w:r>
          </w:p>
        </w:tc>
      </w:tr>
      <w:tr w:rsidR="00893604" w:rsidRPr="00E57F60" w14:paraId="6D670573" w14:textId="77777777" w:rsidTr="00315553">
        <w:trPr>
          <w:trHeight w:val="78"/>
        </w:trPr>
        <w:tc>
          <w:tcPr>
            <w:tcW w:w="3403" w:type="dxa"/>
            <w:vMerge/>
            <w:shd w:val="clear" w:color="auto" w:fill="auto"/>
            <w:noWrap/>
            <w:vAlign w:val="center"/>
          </w:tcPr>
          <w:p w14:paraId="673BFCC5" w14:textId="77777777" w:rsidR="00893604" w:rsidRPr="00B81F3C" w:rsidRDefault="00893604" w:rsidP="00315553">
            <w:pPr>
              <w:pStyle w:val="TableText0"/>
              <w:rPr>
                <w:rFonts w:asciiTheme="minorHAnsi" w:hAnsiTheme="minorHAnsi"/>
                <w:bCs/>
                <w:iCs/>
                <w:sz w:val="18"/>
                <w:szCs w:val="18"/>
                <w:lang w:eastAsia="en-GB"/>
              </w:rPr>
            </w:pPr>
          </w:p>
        </w:tc>
        <w:tc>
          <w:tcPr>
            <w:tcW w:w="783" w:type="dxa"/>
            <w:shd w:val="clear" w:color="auto" w:fill="auto"/>
            <w:noWrap/>
            <w:vAlign w:val="center"/>
          </w:tcPr>
          <w:p w14:paraId="035CECD5" w14:textId="77777777" w:rsidR="00893604" w:rsidRPr="00447E65" w:rsidRDefault="00893604" w:rsidP="00893604">
            <w:pPr>
              <w:pStyle w:val="TableText0"/>
              <w:rPr>
                <w:lang w:val="en-GB" w:eastAsia="en-GB"/>
              </w:rPr>
            </w:pPr>
            <w:r w:rsidRPr="00447E65">
              <w:rPr>
                <w:lang w:val="en-GB" w:eastAsia="en-GB"/>
              </w:rPr>
              <w:t>INI194</w:t>
            </w:r>
          </w:p>
        </w:tc>
        <w:tc>
          <w:tcPr>
            <w:tcW w:w="5879" w:type="dxa"/>
            <w:shd w:val="clear" w:color="auto" w:fill="auto"/>
            <w:vAlign w:val="center"/>
          </w:tcPr>
          <w:p w14:paraId="1EF66400" w14:textId="77777777" w:rsidR="00893604" w:rsidRPr="00447E65" w:rsidRDefault="00893604" w:rsidP="00893604">
            <w:pPr>
              <w:pStyle w:val="TableText0"/>
              <w:rPr>
                <w:lang w:val="en-GB" w:eastAsia="en-GB"/>
              </w:rPr>
            </w:pPr>
            <w:r>
              <w:rPr>
                <w:lang w:val="en-GB" w:eastAsia="en-GB"/>
              </w:rPr>
              <w:t xml:space="preserve">Independent Progress Report for </w:t>
            </w:r>
            <w:r w:rsidRPr="00DE1AF3">
              <w:rPr>
                <w:lang w:val="en-GB" w:eastAsia="en-GB"/>
              </w:rPr>
              <w:t>PNG–Australia Law &amp; Justice Partnership</w:t>
            </w:r>
          </w:p>
        </w:tc>
      </w:tr>
      <w:tr w:rsidR="00893604" w:rsidRPr="00E57F60" w14:paraId="3D03323A" w14:textId="77777777" w:rsidTr="00315553">
        <w:trPr>
          <w:trHeight w:val="78"/>
        </w:trPr>
        <w:tc>
          <w:tcPr>
            <w:tcW w:w="3403" w:type="dxa"/>
            <w:vMerge/>
            <w:shd w:val="clear" w:color="auto" w:fill="auto"/>
            <w:noWrap/>
            <w:vAlign w:val="center"/>
          </w:tcPr>
          <w:p w14:paraId="2449087C" w14:textId="77777777" w:rsidR="00893604" w:rsidRPr="00B81F3C" w:rsidRDefault="00893604" w:rsidP="00315553">
            <w:pPr>
              <w:pStyle w:val="TableText0"/>
              <w:rPr>
                <w:rFonts w:asciiTheme="minorHAnsi" w:hAnsiTheme="minorHAnsi"/>
                <w:bCs/>
                <w:iCs/>
                <w:sz w:val="18"/>
                <w:szCs w:val="18"/>
                <w:lang w:eastAsia="en-GB"/>
              </w:rPr>
            </w:pPr>
          </w:p>
        </w:tc>
        <w:tc>
          <w:tcPr>
            <w:tcW w:w="783" w:type="dxa"/>
            <w:shd w:val="clear" w:color="auto" w:fill="auto"/>
            <w:noWrap/>
            <w:vAlign w:val="center"/>
          </w:tcPr>
          <w:p w14:paraId="20D752B1" w14:textId="77777777" w:rsidR="00893604" w:rsidRPr="00447E65" w:rsidRDefault="00893604" w:rsidP="00893604">
            <w:pPr>
              <w:pStyle w:val="TableText0"/>
              <w:rPr>
                <w:lang w:val="en-GB" w:eastAsia="en-GB"/>
              </w:rPr>
            </w:pPr>
            <w:r w:rsidRPr="00447E65">
              <w:rPr>
                <w:lang w:val="en-GB" w:eastAsia="en-GB"/>
              </w:rPr>
              <w:t>INI311</w:t>
            </w:r>
          </w:p>
        </w:tc>
        <w:tc>
          <w:tcPr>
            <w:tcW w:w="5879" w:type="dxa"/>
            <w:shd w:val="clear" w:color="auto" w:fill="auto"/>
            <w:vAlign w:val="center"/>
          </w:tcPr>
          <w:p w14:paraId="7F8C1B60" w14:textId="77777777" w:rsidR="00893604" w:rsidRPr="00447E65" w:rsidRDefault="00893604" w:rsidP="00893604">
            <w:pPr>
              <w:pStyle w:val="TableText0"/>
              <w:rPr>
                <w:lang w:val="en-GB" w:eastAsia="en-GB"/>
              </w:rPr>
            </w:pPr>
            <w:r w:rsidRPr="00DE1AF3">
              <w:rPr>
                <w:lang w:val="en-GB" w:eastAsia="en-GB"/>
              </w:rPr>
              <w:t xml:space="preserve">Mid Term Review of the Vanuatu </w:t>
            </w:r>
            <w:proofErr w:type="spellStart"/>
            <w:r w:rsidRPr="00DE1AF3">
              <w:rPr>
                <w:lang w:val="en-GB" w:eastAsia="en-GB"/>
              </w:rPr>
              <w:t>Kastom</w:t>
            </w:r>
            <w:proofErr w:type="spellEnd"/>
            <w:r w:rsidRPr="00DE1AF3">
              <w:rPr>
                <w:lang w:val="en-GB" w:eastAsia="en-GB"/>
              </w:rPr>
              <w:t xml:space="preserve"> Governance Partnership Program</w:t>
            </w:r>
          </w:p>
        </w:tc>
      </w:tr>
      <w:tr w:rsidR="00893604" w:rsidRPr="00E57F60" w14:paraId="76243BF7" w14:textId="77777777" w:rsidTr="00315553">
        <w:trPr>
          <w:trHeight w:val="78"/>
        </w:trPr>
        <w:tc>
          <w:tcPr>
            <w:tcW w:w="3403" w:type="dxa"/>
            <w:vMerge/>
            <w:shd w:val="clear" w:color="auto" w:fill="auto"/>
            <w:noWrap/>
            <w:vAlign w:val="center"/>
          </w:tcPr>
          <w:p w14:paraId="3EAABAC1" w14:textId="77777777" w:rsidR="00893604" w:rsidRPr="00B81F3C" w:rsidRDefault="00893604" w:rsidP="00315553">
            <w:pPr>
              <w:pStyle w:val="TableText0"/>
              <w:rPr>
                <w:rFonts w:asciiTheme="minorHAnsi" w:hAnsiTheme="minorHAnsi"/>
                <w:bCs/>
                <w:iCs/>
                <w:sz w:val="18"/>
                <w:szCs w:val="18"/>
                <w:lang w:eastAsia="en-GB"/>
              </w:rPr>
            </w:pPr>
          </w:p>
        </w:tc>
        <w:tc>
          <w:tcPr>
            <w:tcW w:w="783" w:type="dxa"/>
            <w:shd w:val="clear" w:color="auto" w:fill="auto"/>
            <w:noWrap/>
            <w:vAlign w:val="center"/>
          </w:tcPr>
          <w:p w14:paraId="36CB563B" w14:textId="77777777" w:rsidR="00893604" w:rsidRPr="00447E65" w:rsidRDefault="00893604" w:rsidP="00893604">
            <w:pPr>
              <w:pStyle w:val="TableText0"/>
              <w:rPr>
                <w:lang w:val="en-GB" w:eastAsia="en-GB"/>
              </w:rPr>
            </w:pPr>
            <w:r w:rsidRPr="00447E65">
              <w:rPr>
                <w:lang w:val="en-GB" w:eastAsia="en-GB"/>
              </w:rPr>
              <w:t>INJ189</w:t>
            </w:r>
          </w:p>
        </w:tc>
        <w:tc>
          <w:tcPr>
            <w:tcW w:w="5879" w:type="dxa"/>
            <w:shd w:val="clear" w:color="auto" w:fill="auto"/>
            <w:vAlign w:val="center"/>
          </w:tcPr>
          <w:p w14:paraId="31B7E04A" w14:textId="77777777" w:rsidR="00893604" w:rsidRPr="00447E65" w:rsidRDefault="00893604" w:rsidP="00893604">
            <w:pPr>
              <w:pStyle w:val="TableText0"/>
              <w:rPr>
                <w:lang w:val="en-GB" w:eastAsia="en-GB"/>
              </w:rPr>
            </w:pPr>
            <w:r>
              <w:rPr>
                <w:lang w:val="en-GB" w:eastAsia="en-GB"/>
              </w:rPr>
              <w:t xml:space="preserve">Independent Completion Report for </w:t>
            </w:r>
            <w:r w:rsidRPr="00DE1AF3">
              <w:rPr>
                <w:lang w:val="en-GB" w:eastAsia="en-GB"/>
              </w:rPr>
              <w:t>Zimbabwe NGO Food and Water Initiative</w:t>
            </w:r>
          </w:p>
        </w:tc>
      </w:tr>
      <w:tr w:rsidR="00893604" w:rsidRPr="00E57F60" w14:paraId="3E52056A" w14:textId="77777777" w:rsidTr="00315553">
        <w:trPr>
          <w:trHeight w:val="78"/>
        </w:trPr>
        <w:tc>
          <w:tcPr>
            <w:tcW w:w="3403" w:type="dxa"/>
            <w:vMerge/>
            <w:shd w:val="clear" w:color="auto" w:fill="auto"/>
            <w:noWrap/>
            <w:vAlign w:val="center"/>
          </w:tcPr>
          <w:p w14:paraId="671D5EB3" w14:textId="77777777" w:rsidR="00893604" w:rsidRPr="00B81F3C" w:rsidRDefault="00893604" w:rsidP="00315553">
            <w:pPr>
              <w:pStyle w:val="TableText0"/>
              <w:rPr>
                <w:rFonts w:asciiTheme="minorHAnsi" w:hAnsiTheme="minorHAnsi"/>
                <w:bCs/>
                <w:iCs/>
                <w:sz w:val="18"/>
                <w:szCs w:val="18"/>
                <w:lang w:eastAsia="en-GB"/>
              </w:rPr>
            </w:pPr>
          </w:p>
        </w:tc>
        <w:tc>
          <w:tcPr>
            <w:tcW w:w="783" w:type="dxa"/>
            <w:shd w:val="clear" w:color="auto" w:fill="auto"/>
            <w:noWrap/>
            <w:vAlign w:val="center"/>
          </w:tcPr>
          <w:p w14:paraId="6CC6EF7D" w14:textId="77777777" w:rsidR="00893604" w:rsidRPr="00447E65" w:rsidRDefault="00893604" w:rsidP="00893604">
            <w:pPr>
              <w:pStyle w:val="TableText0"/>
              <w:rPr>
                <w:lang w:val="en-GB" w:eastAsia="en-GB"/>
              </w:rPr>
            </w:pPr>
            <w:r w:rsidRPr="00447E65">
              <w:rPr>
                <w:lang w:val="en-GB" w:eastAsia="en-GB"/>
              </w:rPr>
              <w:t>INJ794</w:t>
            </w:r>
          </w:p>
        </w:tc>
        <w:tc>
          <w:tcPr>
            <w:tcW w:w="5879" w:type="dxa"/>
            <w:shd w:val="clear" w:color="auto" w:fill="auto"/>
            <w:vAlign w:val="center"/>
          </w:tcPr>
          <w:p w14:paraId="26DE6EEB" w14:textId="77777777" w:rsidR="00893604" w:rsidRPr="00447E65" w:rsidRDefault="00893604" w:rsidP="00893604">
            <w:pPr>
              <w:pStyle w:val="TableText0"/>
              <w:rPr>
                <w:lang w:val="en-GB" w:eastAsia="en-GB"/>
              </w:rPr>
            </w:pPr>
            <w:r w:rsidRPr="00DE1AF3">
              <w:rPr>
                <w:lang w:val="en-GB" w:eastAsia="en-GB"/>
              </w:rPr>
              <w:t>Independent Review of MTV Exit Asia III</w:t>
            </w:r>
          </w:p>
        </w:tc>
      </w:tr>
    </w:tbl>
    <w:p w14:paraId="1B25D693" w14:textId="77777777" w:rsidR="00C74D1C" w:rsidRDefault="00C74D1C">
      <w:r>
        <w:br w:type="page"/>
      </w:r>
    </w:p>
    <w:tbl>
      <w:tblPr>
        <w:tblpPr w:leftFromText="180" w:rightFromText="180" w:vertAnchor="text" w:tblpXSpec="center" w:tblpY="1"/>
        <w:tblOverlap w:val="never"/>
        <w:tblW w:w="10065" w:type="dxa"/>
        <w:tblBorders>
          <w:top w:val="single" w:sz="4" w:space="0" w:color="31849B"/>
          <w:bottom w:val="single" w:sz="4" w:space="0" w:color="31849B"/>
          <w:insideH w:val="single" w:sz="4" w:space="0" w:color="31849B"/>
        </w:tblBorders>
        <w:tblLook w:val="04A0" w:firstRow="1" w:lastRow="0" w:firstColumn="1" w:lastColumn="0" w:noHBand="0" w:noVBand="1"/>
      </w:tblPr>
      <w:tblGrid>
        <w:gridCol w:w="3403"/>
        <w:gridCol w:w="783"/>
        <w:gridCol w:w="5879"/>
      </w:tblGrid>
      <w:tr w:rsidR="00C40B57" w:rsidRPr="00E57F60" w14:paraId="7B54BFE6" w14:textId="77777777" w:rsidTr="00315553">
        <w:trPr>
          <w:trHeight w:val="315"/>
        </w:trPr>
        <w:tc>
          <w:tcPr>
            <w:tcW w:w="10065" w:type="dxa"/>
            <w:gridSpan w:val="3"/>
            <w:shd w:val="clear" w:color="auto" w:fill="auto"/>
            <w:vAlign w:val="center"/>
            <w:hideMark/>
          </w:tcPr>
          <w:p w14:paraId="14CA4117" w14:textId="3B5A8825" w:rsidR="00C40B57" w:rsidRPr="00315553" w:rsidRDefault="00C40B57" w:rsidP="00893604">
            <w:pPr>
              <w:pStyle w:val="TableText0"/>
              <w:rPr>
                <w:b/>
                <w:lang w:val="en-GB" w:eastAsia="en-GB"/>
              </w:rPr>
            </w:pPr>
            <w:r w:rsidRPr="00315553">
              <w:rPr>
                <w:b/>
                <w:lang w:val="en-GB" w:eastAsia="en-GB"/>
              </w:rPr>
              <w:lastRenderedPageBreak/>
              <w:t>4. Engaging with partners to make Australian aid more effective</w:t>
            </w:r>
          </w:p>
          <w:p w14:paraId="2E2FD03F" w14:textId="77777777" w:rsidR="00C40B57" w:rsidRPr="00893604" w:rsidRDefault="00C40B57" w:rsidP="00893604">
            <w:pPr>
              <w:pStyle w:val="TableText0"/>
              <w:rPr>
                <w:lang w:val="en-GB" w:eastAsia="en-GB"/>
              </w:rPr>
            </w:pPr>
          </w:p>
        </w:tc>
      </w:tr>
      <w:tr w:rsidR="00C40B57" w:rsidRPr="00E57F60" w14:paraId="56066714" w14:textId="77777777" w:rsidTr="00315553">
        <w:trPr>
          <w:trHeight w:val="187"/>
        </w:trPr>
        <w:tc>
          <w:tcPr>
            <w:tcW w:w="3403" w:type="dxa"/>
            <w:vMerge w:val="restart"/>
            <w:shd w:val="clear" w:color="auto" w:fill="auto"/>
            <w:noWrap/>
            <w:vAlign w:val="center"/>
            <w:hideMark/>
          </w:tcPr>
          <w:p w14:paraId="7D52D18A" w14:textId="7D417278" w:rsidR="00C40B57" w:rsidRPr="00315553" w:rsidRDefault="00C40B57" w:rsidP="00315553">
            <w:pPr>
              <w:pStyle w:val="TableText0"/>
              <w:rPr>
                <w:lang w:val="en-GB" w:eastAsia="en-GB"/>
              </w:rPr>
            </w:pPr>
            <w:r w:rsidRPr="00315553">
              <w:rPr>
                <w:lang w:val="en-GB" w:eastAsia="en-GB"/>
              </w:rPr>
              <w:t xml:space="preserve">4.1 Working with multilateral organisations can promote efficiency and expand reach and policy influence but requires active DFAT management and engagement </w:t>
            </w:r>
          </w:p>
          <w:p w14:paraId="6D3D860E" w14:textId="77777777" w:rsidR="00C40B57" w:rsidRPr="00315553" w:rsidRDefault="00C40B57" w:rsidP="00315553">
            <w:pPr>
              <w:pStyle w:val="TableText0"/>
              <w:rPr>
                <w:lang w:val="en-GB" w:eastAsia="en-GB"/>
              </w:rPr>
            </w:pPr>
          </w:p>
        </w:tc>
        <w:tc>
          <w:tcPr>
            <w:tcW w:w="783" w:type="dxa"/>
            <w:shd w:val="clear" w:color="auto" w:fill="auto"/>
            <w:noWrap/>
            <w:vAlign w:val="center"/>
            <w:hideMark/>
          </w:tcPr>
          <w:p w14:paraId="6C4CA8B7" w14:textId="77777777" w:rsidR="00C40B57" w:rsidRPr="00893604" w:rsidRDefault="00C40B57" w:rsidP="00893604">
            <w:pPr>
              <w:pStyle w:val="TableText0"/>
              <w:rPr>
                <w:lang w:val="en-GB" w:eastAsia="en-GB"/>
              </w:rPr>
            </w:pPr>
            <w:r w:rsidRPr="00893604">
              <w:rPr>
                <w:lang w:val="en-GB" w:eastAsia="en-GB"/>
              </w:rPr>
              <w:t>ING236</w:t>
            </w:r>
          </w:p>
        </w:tc>
        <w:tc>
          <w:tcPr>
            <w:tcW w:w="5879" w:type="dxa"/>
            <w:shd w:val="clear" w:color="auto" w:fill="auto"/>
            <w:vAlign w:val="center"/>
          </w:tcPr>
          <w:p w14:paraId="6F3EC487" w14:textId="5F053545" w:rsidR="00C40B57" w:rsidRPr="00893604" w:rsidRDefault="000A7732" w:rsidP="00893604">
            <w:pPr>
              <w:pStyle w:val="TableText0"/>
              <w:rPr>
                <w:lang w:val="en-GB" w:eastAsia="en-GB"/>
              </w:rPr>
            </w:pPr>
            <w:r w:rsidRPr="00893604">
              <w:t>South Asia Regional Program Evaluation (AusAID-ADB South Asia Development Partnership Facility and AusAID-World Bank Facility for Decentralisation, Local Governance and Service Delivery)</w:t>
            </w:r>
          </w:p>
        </w:tc>
      </w:tr>
      <w:tr w:rsidR="00C40B57" w:rsidRPr="00E57F60" w14:paraId="15D46752" w14:textId="77777777" w:rsidTr="00315553">
        <w:trPr>
          <w:trHeight w:val="184"/>
        </w:trPr>
        <w:tc>
          <w:tcPr>
            <w:tcW w:w="3403" w:type="dxa"/>
            <w:vMerge/>
            <w:shd w:val="clear" w:color="auto" w:fill="auto"/>
            <w:noWrap/>
            <w:vAlign w:val="center"/>
          </w:tcPr>
          <w:p w14:paraId="4EAD43CE" w14:textId="77777777" w:rsidR="00C40B57" w:rsidRPr="00315553" w:rsidRDefault="00C40B57" w:rsidP="00315553">
            <w:pPr>
              <w:pStyle w:val="TableText0"/>
              <w:rPr>
                <w:bCs/>
                <w:iCs/>
                <w:lang w:eastAsia="en-GB"/>
              </w:rPr>
            </w:pPr>
          </w:p>
        </w:tc>
        <w:tc>
          <w:tcPr>
            <w:tcW w:w="783" w:type="dxa"/>
            <w:shd w:val="clear" w:color="auto" w:fill="auto"/>
            <w:noWrap/>
            <w:vAlign w:val="center"/>
          </w:tcPr>
          <w:p w14:paraId="680F11FF" w14:textId="77777777" w:rsidR="00C40B57" w:rsidRPr="00893604" w:rsidRDefault="00C40B57" w:rsidP="00893604">
            <w:pPr>
              <w:pStyle w:val="TableText0"/>
              <w:rPr>
                <w:lang w:val="en-GB" w:eastAsia="en-GB"/>
              </w:rPr>
            </w:pPr>
            <w:r w:rsidRPr="00893604">
              <w:rPr>
                <w:lang w:val="en-GB" w:eastAsia="en-GB"/>
              </w:rPr>
              <w:t>ING948</w:t>
            </w:r>
          </w:p>
        </w:tc>
        <w:tc>
          <w:tcPr>
            <w:tcW w:w="5879" w:type="dxa"/>
            <w:shd w:val="clear" w:color="auto" w:fill="auto"/>
            <w:vAlign w:val="center"/>
          </w:tcPr>
          <w:p w14:paraId="25324D83" w14:textId="4397932C" w:rsidR="00C40B57" w:rsidRPr="00893604" w:rsidRDefault="000A7732" w:rsidP="00893604">
            <w:pPr>
              <w:pStyle w:val="TableText0"/>
              <w:rPr>
                <w:lang w:val="en-GB" w:eastAsia="en-GB"/>
              </w:rPr>
            </w:pPr>
            <w:r w:rsidRPr="00893604">
              <w:rPr>
                <w:lang w:val="en-GB" w:eastAsia="en-GB"/>
              </w:rPr>
              <w:t>Mid-Term Review of the State- and Peace-Building Fund (SPF)</w:t>
            </w:r>
          </w:p>
        </w:tc>
      </w:tr>
      <w:tr w:rsidR="00C40B57" w:rsidRPr="00E57F60" w14:paraId="7A6C6500" w14:textId="77777777" w:rsidTr="00315553">
        <w:trPr>
          <w:trHeight w:val="184"/>
        </w:trPr>
        <w:tc>
          <w:tcPr>
            <w:tcW w:w="3403" w:type="dxa"/>
            <w:vMerge/>
            <w:shd w:val="clear" w:color="auto" w:fill="auto"/>
            <w:noWrap/>
            <w:vAlign w:val="center"/>
          </w:tcPr>
          <w:p w14:paraId="108C6845" w14:textId="77777777" w:rsidR="00C40B57" w:rsidRPr="00315553" w:rsidRDefault="00C40B57" w:rsidP="00315553">
            <w:pPr>
              <w:pStyle w:val="TableText0"/>
              <w:rPr>
                <w:bCs/>
                <w:iCs/>
                <w:lang w:eastAsia="en-GB"/>
              </w:rPr>
            </w:pPr>
          </w:p>
        </w:tc>
        <w:tc>
          <w:tcPr>
            <w:tcW w:w="783" w:type="dxa"/>
            <w:shd w:val="clear" w:color="auto" w:fill="auto"/>
            <w:noWrap/>
            <w:vAlign w:val="center"/>
          </w:tcPr>
          <w:p w14:paraId="7588CA5F" w14:textId="77777777" w:rsidR="00C40B57" w:rsidRPr="00893604" w:rsidRDefault="00C40B57" w:rsidP="00893604">
            <w:pPr>
              <w:pStyle w:val="TableText0"/>
              <w:rPr>
                <w:lang w:val="en-GB" w:eastAsia="en-GB"/>
              </w:rPr>
            </w:pPr>
            <w:r w:rsidRPr="00893604">
              <w:rPr>
                <w:lang w:val="en-GB" w:eastAsia="en-GB"/>
              </w:rPr>
              <w:t>INI426</w:t>
            </w:r>
          </w:p>
        </w:tc>
        <w:tc>
          <w:tcPr>
            <w:tcW w:w="5879" w:type="dxa"/>
            <w:shd w:val="clear" w:color="auto" w:fill="auto"/>
            <w:vAlign w:val="center"/>
          </w:tcPr>
          <w:p w14:paraId="1BC89E44" w14:textId="28F5E1BE" w:rsidR="00C40B57" w:rsidRPr="00893604" w:rsidRDefault="00447E65" w:rsidP="00893604">
            <w:pPr>
              <w:pStyle w:val="TableText0"/>
              <w:rPr>
                <w:lang w:val="en-GB" w:eastAsia="en-GB"/>
              </w:rPr>
            </w:pPr>
            <w:r w:rsidRPr="00893604">
              <w:rPr>
                <w:lang w:val="en-GB" w:eastAsia="en-GB"/>
              </w:rPr>
              <w:t>Independent Evaluation of Lessons Learned from UN Delivering as One</w:t>
            </w:r>
          </w:p>
        </w:tc>
      </w:tr>
      <w:tr w:rsidR="00C40B57" w:rsidRPr="00E57F60" w14:paraId="16428E5B" w14:textId="77777777" w:rsidTr="00315553">
        <w:trPr>
          <w:trHeight w:val="184"/>
        </w:trPr>
        <w:tc>
          <w:tcPr>
            <w:tcW w:w="3403" w:type="dxa"/>
            <w:vMerge/>
            <w:shd w:val="clear" w:color="auto" w:fill="auto"/>
            <w:noWrap/>
            <w:vAlign w:val="center"/>
          </w:tcPr>
          <w:p w14:paraId="2B6BAA16" w14:textId="77777777" w:rsidR="00C40B57" w:rsidRPr="00315553" w:rsidRDefault="00C40B57" w:rsidP="00315553">
            <w:pPr>
              <w:pStyle w:val="TableText0"/>
              <w:rPr>
                <w:bCs/>
                <w:iCs/>
                <w:lang w:eastAsia="en-GB"/>
              </w:rPr>
            </w:pPr>
          </w:p>
        </w:tc>
        <w:tc>
          <w:tcPr>
            <w:tcW w:w="783" w:type="dxa"/>
            <w:shd w:val="clear" w:color="auto" w:fill="auto"/>
            <w:noWrap/>
            <w:vAlign w:val="center"/>
          </w:tcPr>
          <w:p w14:paraId="5C68D5D9" w14:textId="77777777" w:rsidR="00C40B57" w:rsidRPr="00893604" w:rsidRDefault="00C40B57" w:rsidP="00893604">
            <w:pPr>
              <w:pStyle w:val="TableText0"/>
              <w:rPr>
                <w:lang w:val="en-GB" w:eastAsia="en-GB"/>
              </w:rPr>
            </w:pPr>
            <w:r w:rsidRPr="00893604">
              <w:rPr>
                <w:lang w:val="en-GB" w:eastAsia="en-GB"/>
              </w:rPr>
              <w:t>INI510</w:t>
            </w:r>
          </w:p>
        </w:tc>
        <w:tc>
          <w:tcPr>
            <w:tcW w:w="5879" w:type="dxa"/>
            <w:shd w:val="clear" w:color="auto" w:fill="auto"/>
            <w:vAlign w:val="center"/>
          </w:tcPr>
          <w:p w14:paraId="3CE0C717" w14:textId="2717CA88" w:rsidR="00C40B57" w:rsidRPr="00893604" w:rsidRDefault="00447E65" w:rsidP="00893604">
            <w:pPr>
              <w:pStyle w:val="TableText0"/>
              <w:rPr>
                <w:lang w:val="en-GB" w:eastAsia="en-GB"/>
              </w:rPr>
            </w:pPr>
            <w:r w:rsidRPr="00893604">
              <w:rPr>
                <w:lang w:val="en-GB" w:eastAsia="en-GB"/>
              </w:rPr>
              <w:t>Review of the Afghanistan Reconstruction Trust Fund</w:t>
            </w:r>
          </w:p>
        </w:tc>
      </w:tr>
      <w:tr w:rsidR="00C40B57" w:rsidRPr="00E57F60" w14:paraId="38A39721" w14:textId="77777777" w:rsidTr="00315553">
        <w:trPr>
          <w:trHeight w:val="184"/>
        </w:trPr>
        <w:tc>
          <w:tcPr>
            <w:tcW w:w="3403" w:type="dxa"/>
            <w:vMerge/>
            <w:shd w:val="clear" w:color="auto" w:fill="auto"/>
            <w:noWrap/>
            <w:vAlign w:val="center"/>
          </w:tcPr>
          <w:p w14:paraId="125BFA19" w14:textId="77777777" w:rsidR="00C40B57" w:rsidRPr="00315553" w:rsidRDefault="00C40B57" w:rsidP="00315553">
            <w:pPr>
              <w:pStyle w:val="TableText0"/>
              <w:rPr>
                <w:bCs/>
                <w:iCs/>
                <w:lang w:eastAsia="en-GB"/>
              </w:rPr>
            </w:pPr>
          </w:p>
        </w:tc>
        <w:tc>
          <w:tcPr>
            <w:tcW w:w="783" w:type="dxa"/>
            <w:shd w:val="clear" w:color="auto" w:fill="auto"/>
            <w:noWrap/>
            <w:vAlign w:val="center"/>
          </w:tcPr>
          <w:p w14:paraId="6D965E08" w14:textId="56C197D9" w:rsidR="00C40B57" w:rsidRPr="00893604" w:rsidRDefault="0065585C" w:rsidP="00893604">
            <w:pPr>
              <w:pStyle w:val="TableText0"/>
              <w:rPr>
                <w:lang w:val="en-GB" w:eastAsia="en-GB"/>
              </w:rPr>
            </w:pPr>
            <w:r w:rsidRPr="00893604">
              <w:rPr>
                <w:lang w:val="en-GB" w:eastAsia="en-GB"/>
              </w:rPr>
              <w:t>INI632</w:t>
            </w:r>
          </w:p>
        </w:tc>
        <w:tc>
          <w:tcPr>
            <w:tcW w:w="5879" w:type="dxa"/>
            <w:shd w:val="clear" w:color="auto" w:fill="auto"/>
            <w:vAlign w:val="center"/>
          </w:tcPr>
          <w:p w14:paraId="3CA247A7" w14:textId="2CCD7591" w:rsidR="00C40B57" w:rsidRPr="00893604" w:rsidRDefault="00447E65" w:rsidP="00893604">
            <w:pPr>
              <w:pStyle w:val="TableText0"/>
              <w:rPr>
                <w:lang w:val="en-GB" w:eastAsia="en-GB"/>
              </w:rPr>
            </w:pPr>
            <w:r w:rsidRPr="00893604">
              <w:rPr>
                <w:lang w:val="en-GB" w:eastAsia="en-GB"/>
              </w:rPr>
              <w:t>Mid Term Review of the Australia–WB Philippines Development Trust Fund</w:t>
            </w:r>
          </w:p>
        </w:tc>
      </w:tr>
      <w:tr w:rsidR="00C40B57" w:rsidRPr="00E57F60" w14:paraId="0E52AD6A" w14:textId="77777777" w:rsidTr="00315553">
        <w:trPr>
          <w:trHeight w:val="184"/>
        </w:trPr>
        <w:tc>
          <w:tcPr>
            <w:tcW w:w="3403" w:type="dxa"/>
            <w:vMerge/>
            <w:shd w:val="clear" w:color="auto" w:fill="auto"/>
            <w:noWrap/>
            <w:vAlign w:val="center"/>
          </w:tcPr>
          <w:p w14:paraId="76E98F12" w14:textId="77777777" w:rsidR="00C40B57" w:rsidRPr="00315553" w:rsidRDefault="00C40B57" w:rsidP="00315553">
            <w:pPr>
              <w:pStyle w:val="TableText0"/>
              <w:rPr>
                <w:bCs/>
                <w:iCs/>
                <w:lang w:eastAsia="en-GB"/>
              </w:rPr>
            </w:pPr>
          </w:p>
        </w:tc>
        <w:tc>
          <w:tcPr>
            <w:tcW w:w="783" w:type="dxa"/>
            <w:shd w:val="clear" w:color="auto" w:fill="auto"/>
            <w:noWrap/>
            <w:vAlign w:val="center"/>
          </w:tcPr>
          <w:p w14:paraId="7922ADAE" w14:textId="6123FB23" w:rsidR="00C40B57" w:rsidRPr="00893604" w:rsidRDefault="00C40B57" w:rsidP="00893604">
            <w:pPr>
              <w:pStyle w:val="TableText0"/>
              <w:rPr>
                <w:lang w:val="en-GB" w:eastAsia="en-GB"/>
              </w:rPr>
            </w:pPr>
            <w:r w:rsidRPr="00893604">
              <w:rPr>
                <w:lang w:val="en-GB" w:eastAsia="en-GB"/>
              </w:rPr>
              <w:t>INJ251 ING400</w:t>
            </w:r>
          </w:p>
        </w:tc>
        <w:tc>
          <w:tcPr>
            <w:tcW w:w="5879" w:type="dxa"/>
            <w:shd w:val="clear" w:color="auto" w:fill="auto"/>
            <w:vAlign w:val="center"/>
          </w:tcPr>
          <w:p w14:paraId="426DEE10" w14:textId="3C666826" w:rsidR="00C40B57" w:rsidRPr="00893604" w:rsidRDefault="00447E65" w:rsidP="00893604">
            <w:pPr>
              <w:pStyle w:val="TableText0"/>
              <w:rPr>
                <w:lang w:val="en-GB" w:eastAsia="en-GB"/>
              </w:rPr>
            </w:pPr>
            <w:r w:rsidRPr="00893604">
              <w:rPr>
                <w:lang w:val="en-GB" w:eastAsia="en-GB"/>
              </w:rPr>
              <w:t>Independent Progress Review of the UN Joint Program on Maternal and Neonatal Mortality Reduction</w:t>
            </w:r>
          </w:p>
        </w:tc>
      </w:tr>
      <w:tr w:rsidR="00C40B57" w:rsidRPr="00E57F60" w14:paraId="70344272" w14:textId="77777777" w:rsidTr="00315553">
        <w:trPr>
          <w:trHeight w:val="184"/>
        </w:trPr>
        <w:tc>
          <w:tcPr>
            <w:tcW w:w="3403" w:type="dxa"/>
            <w:vMerge/>
            <w:shd w:val="clear" w:color="auto" w:fill="auto"/>
            <w:noWrap/>
            <w:vAlign w:val="center"/>
          </w:tcPr>
          <w:p w14:paraId="14D36792" w14:textId="77777777" w:rsidR="00C40B57" w:rsidRPr="00315553" w:rsidRDefault="00C40B57" w:rsidP="00315553">
            <w:pPr>
              <w:pStyle w:val="TableText0"/>
              <w:rPr>
                <w:bCs/>
                <w:iCs/>
                <w:lang w:eastAsia="en-GB"/>
              </w:rPr>
            </w:pPr>
          </w:p>
        </w:tc>
        <w:tc>
          <w:tcPr>
            <w:tcW w:w="783" w:type="dxa"/>
            <w:shd w:val="clear" w:color="auto" w:fill="auto"/>
            <w:noWrap/>
            <w:vAlign w:val="center"/>
          </w:tcPr>
          <w:p w14:paraId="0D38F807" w14:textId="77777777" w:rsidR="00C40B57" w:rsidRPr="00893604" w:rsidRDefault="00C40B57" w:rsidP="00893604">
            <w:pPr>
              <w:pStyle w:val="TableText0"/>
              <w:rPr>
                <w:lang w:val="en-GB" w:eastAsia="en-GB"/>
              </w:rPr>
            </w:pPr>
            <w:r w:rsidRPr="00893604">
              <w:rPr>
                <w:lang w:val="en-GB" w:eastAsia="en-GB"/>
              </w:rPr>
              <w:t>INJ321</w:t>
            </w:r>
          </w:p>
        </w:tc>
        <w:tc>
          <w:tcPr>
            <w:tcW w:w="5879" w:type="dxa"/>
            <w:shd w:val="clear" w:color="auto" w:fill="auto"/>
            <w:vAlign w:val="center"/>
          </w:tcPr>
          <w:p w14:paraId="5D8FC98E" w14:textId="4F8E7FCE" w:rsidR="00C40B57" w:rsidRPr="00893604" w:rsidRDefault="00447E65" w:rsidP="00893604">
            <w:pPr>
              <w:pStyle w:val="TableText0"/>
              <w:rPr>
                <w:lang w:val="en-GB" w:eastAsia="en-GB"/>
              </w:rPr>
            </w:pPr>
            <w:r w:rsidRPr="00893604">
              <w:rPr>
                <w:lang w:val="en-GB" w:eastAsia="en-GB"/>
              </w:rPr>
              <w:t>Independent Review of AusAID’s Support to the UN in PNG through the UN Country Fund</w:t>
            </w:r>
          </w:p>
        </w:tc>
      </w:tr>
      <w:tr w:rsidR="00C40B57" w:rsidRPr="00E57F60" w14:paraId="0EF189C8" w14:textId="77777777" w:rsidTr="00315553">
        <w:trPr>
          <w:trHeight w:val="120"/>
        </w:trPr>
        <w:tc>
          <w:tcPr>
            <w:tcW w:w="3403" w:type="dxa"/>
            <w:vMerge w:val="restart"/>
            <w:shd w:val="clear" w:color="auto" w:fill="auto"/>
            <w:vAlign w:val="center"/>
            <w:hideMark/>
          </w:tcPr>
          <w:p w14:paraId="1A5752ED" w14:textId="77777777" w:rsidR="00C40B57" w:rsidRPr="00315553" w:rsidRDefault="00C40B57" w:rsidP="00315553">
            <w:pPr>
              <w:pStyle w:val="TableText0"/>
              <w:rPr>
                <w:lang w:val="en-GB" w:eastAsia="en-GB"/>
              </w:rPr>
            </w:pPr>
            <w:r w:rsidRPr="00315553">
              <w:rPr>
                <w:lang w:val="en-GB" w:eastAsia="en-GB"/>
              </w:rPr>
              <w:t xml:space="preserve">4.2 Support for civil society is most effective when underpinned by longer-term partnerships and selective use of core funding </w:t>
            </w:r>
          </w:p>
          <w:p w14:paraId="231512A9" w14:textId="77777777" w:rsidR="00C40B57" w:rsidRPr="00893604" w:rsidRDefault="00C40B57" w:rsidP="00315553">
            <w:pPr>
              <w:pStyle w:val="TableText0"/>
              <w:rPr>
                <w:lang w:val="en-GB" w:eastAsia="en-GB"/>
              </w:rPr>
            </w:pPr>
          </w:p>
        </w:tc>
        <w:tc>
          <w:tcPr>
            <w:tcW w:w="783" w:type="dxa"/>
            <w:shd w:val="clear" w:color="auto" w:fill="auto"/>
            <w:vAlign w:val="center"/>
            <w:hideMark/>
          </w:tcPr>
          <w:p w14:paraId="7A799896" w14:textId="77777777" w:rsidR="00C40B57" w:rsidRPr="00893604" w:rsidRDefault="00C40B57" w:rsidP="00893604">
            <w:pPr>
              <w:pStyle w:val="TableText0"/>
              <w:rPr>
                <w:lang w:val="en-GB" w:eastAsia="en-GB"/>
              </w:rPr>
            </w:pPr>
            <w:r w:rsidRPr="00893604">
              <w:rPr>
                <w:lang w:val="en-GB" w:eastAsia="en-GB"/>
              </w:rPr>
              <w:t>INE114</w:t>
            </w:r>
          </w:p>
        </w:tc>
        <w:tc>
          <w:tcPr>
            <w:tcW w:w="5879" w:type="dxa"/>
            <w:shd w:val="clear" w:color="auto" w:fill="auto"/>
            <w:vAlign w:val="center"/>
          </w:tcPr>
          <w:p w14:paraId="25DF9F5D" w14:textId="62ACD124" w:rsidR="00C40B57" w:rsidRPr="00893604" w:rsidRDefault="00447E65" w:rsidP="00893604">
            <w:pPr>
              <w:pStyle w:val="TableText0"/>
              <w:rPr>
                <w:lang w:val="en-GB" w:eastAsia="en-GB"/>
              </w:rPr>
            </w:pPr>
            <w:r w:rsidRPr="00893604">
              <w:t>Independent Completion Review of Provision of Core Funding Support to the SMERU Research Institute</w:t>
            </w:r>
          </w:p>
        </w:tc>
      </w:tr>
      <w:tr w:rsidR="00C40B57" w:rsidRPr="00E57F60" w14:paraId="6B3C854C" w14:textId="77777777" w:rsidTr="00315553">
        <w:trPr>
          <w:trHeight w:val="114"/>
        </w:trPr>
        <w:tc>
          <w:tcPr>
            <w:tcW w:w="3403" w:type="dxa"/>
            <w:vMerge/>
            <w:shd w:val="clear" w:color="auto" w:fill="auto"/>
            <w:vAlign w:val="center"/>
          </w:tcPr>
          <w:p w14:paraId="633F6CB6" w14:textId="77777777" w:rsidR="00C40B57" w:rsidRPr="00893604" w:rsidRDefault="00C40B57" w:rsidP="00315553">
            <w:pPr>
              <w:pStyle w:val="TableText0"/>
              <w:rPr>
                <w:bCs/>
                <w:iCs/>
                <w:lang w:eastAsia="en-GB"/>
              </w:rPr>
            </w:pPr>
          </w:p>
        </w:tc>
        <w:tc>
          <w:tcPr>
            <w:tcW w:w="783" w:type="dxa"/>
            <w:shd w:val="clear" w:color="auto" w:fill="auto"/>
            <w:vAlign w:val="center"/>
          </w:tcPr>
          <w:p w14:paraId="133A5EA8" w14:textId="1AE02BC5" w:rsidR="00C40B57" w:rsidRPr="00893604" w:rsidRDefault="00C40B57" w:rsidP="00893604">
            <w:pPr>
              <w:pStyle w:val="TableText0"/>
              <w:rPr>
                <w:lang w:val="en-GB" w:eastAsia="en-GB"/>
              </w:rPr>
            </w:pPr>
            <w:r w:rsidRPr="00893604">
              <w:rPr>
                <w:lang w:val="en-GB" w:eastAsia="en-GB"/>
              </w:rPr>
              <w:t>INE887 INJ788</w:t>
            </w:r>
          </w:p>
        </w:tc>
        <w:tc>
          <w:tcPr>
            <w:tcW w:w="5879" w:type="dxa"/>
            <w:shd w:val="clear" w:color="auto" w:fill="auto"/>
            <w:vAlign w:val="center"/>
          </w:tcPr>
          <w:p w14:paraId="414E1305" w14:textId="24FBE84E" w:rsidR="00C40B57" w:rsidRPr="00893604" w:rsidRDefault="000A7732" w:rsidP="00893604">
            <w:pPr>
              <w:pStyle w:val="TableText0"/>
              <w:rPr>
                <w:lang w:val="en-GB" w:eastAsia="en-GB"/>
              </w:rPr>
            </w:pPr>
            <w:r w:rsidRPr="00893604">
              <w:t>Independent Completion Review of Australian Civil Society Program Fiji</w:t>
            </w:r>
          </w:p>
        </w:tc>
      </w:tr>
      <w:tr w:rsidR="00C40B57" w:rsidRPr="00E57F60" w14:paraId="487118BB" w14:textId="77777777" w:rsidTr="00315553">
        <w:trPr>
          <w:trHeight w:val="114"/>
        </w:trPr>
        <w:tc>
          <w:tcPr>
            <w:tcW w:w="3403" w:type="dxa"/>
            <w:vMerge/>
            <w:shd w:val="clear" w:color="auto" w:fill="auto"/>
            <w:vAlign w:val="center"/>
          </w:tcPr>
          <w:p w14:paraId="0BD2B6B0" w14:textId="77777777" w:rsidR="00C40B57" w:rsidRPr="00893604" w:rsidRDefault="00C40B57" w:rsidP="00315553">
            <w:pPr>
              <w:pStyle w:val="TableText0"/>
              <w:rPr>
                <w:bCs/>
                <w:iCs/>
                <w:lang w:eastAsia="en-GB"/>
              </w:rPr>
            </w:pPr>
          </w:p>
        </w:tc>
        <w:tc>
          <w:tcPr>
            <w:tcW w:w="783" w:type="dxa"/>
            <w:shd w:val="clear" w:color="auto" w:fill="auto"/>
            <w:vAlign w:val="center"/>
          </w:tcPr>
          <w:p w14:paraId="2DB73E01" w14:textId="77777777" w:rsidR="00C40B57" w:rsidRPr="00893604" w:rsidRDefault="00C40B57" w:rsidP="00893604">
            <w:pPr>
              <w:pStyle w:val="TableText0"/>
              <w:rPr>
                <w:lang w:val="en-GB" w:eastAsia="en-GB"/>
              </w:rPr>
            </w:pPr>
            <w:r w:rsidRPr="00893604">
              <w:rPr>
                <w:lang w:val="en-GB" w:eastAsia="en-GB"/>
              </w:rPr>
              <w:t>ING002</w:t>
            </w:r>
          </w:p>
        </w:tc>
        <w:tc>
          <w:tcPr>
            <w:tcW w:w="5879" w:type="dxa"/>
            <w:shd w:val="clear" w:color="auto" w:fill="auto"/>
            <w:vAlign w:val="center"/>
          </w:tcPr>
          <w:p w14:paraId="69D26B73" w14:textId="30A207D1" w:rsidR="00C40B57" w:rsidRPr="00893604" w:rsidRDefault="00E4559B" w:rsidP="00893604">
            <w:pPr>
              <w:pStyle w:val="TableText0"/>
              <w:rPr>
                <w:lang w:val="en-GB" w:eastAsia="en-GB"/>
              </w:rPr>
            </w:pPr>
            <w:r w:rsidRPr="00893604">
              <w:t>Independent evaluation of AusAID’s support to rural WASH in Timor-Leste through the Rural Water Supply and Sanitation Program (RWSSP/BESIK)</w:t>
            </w:r>
          </w:p>
        </w:tc>
      </w:tr>
      <w:tr w:rsidR="00C40B57" w:rsidRPr="00E57F60" w14:paraId="648D158B" w14:textId="77777777" w:rsidTr="00315553">
        <w:trPr>
          <w:trHeight w:val="114"/>
        </w:trPr>
        <w:tc>
          <w:tcPr>
            <w:tcW w:w="3403" w:type="dxa"/>
            <w:vMerge/>
            <w:shd w:val="clear" w:color="auto" w:fill="auto"/>
            <w:vAlign w:val="center"/>
          </w:tcPr>
          <w:p w14:paraId="35CEA4BC" w14:textId="77777777" w:rsidR="00C40B57" w:rsidRPr="00893604" w:rsidRDefault="00C40B57" w:rsidP="00315553">
            <w:pPr>
              <w:pStyle w:val="TableText0"/>
              <w:rPr>
                <w:bCs/>
                <w:iCs/>
                <w:lang w:eastAsia="en-GB"/>
              </w:rPr>
            </w:pPr>
          </w:p>
        </w:tc>
        <w:tc>
          <w:tcPr>
            <w:tcW w:w="783" w:type="dxa"/>
            <w:shd w:val="clear" w:color="auto" w:fill="auto"/>
            <w:vAlign w:val="center"/>
          </w:tcPr>
          <w:p w14:paraId="5392A23A" w14:textId="77777777" w:rsidR="00C40B57" w:rsidRPr="00893604" w:rsidRDefault="00C40B57" w:rsidP="00893604">
            <w:pPr>
              <w:pStyle w:val="TableText0"/>
              <w:rPr>
                <w:lang w:val="en-GB" w:eastAsia="en-GB"/>
              </w:rPr>
            </w:pPr>
            <w:r w:rsidRPr="00893604">
              <w:rPr>
                <w:lang w:val="en-GB" w:eastAsia="en-GB"/>
              </w:rPr>
              <w:t>ING406</w:t>
            </w:r>
          </w:p>
        </w:tc>
        <w:tc>
          <w:tcPr>
            <w:tcW w:w="5879" w:type="dxa"/>
            <w:shd w:val="clear" w:color="auto" w:fill="auto"/>
            <w:vAlign w:val="center"/>
          </w:tcPr>
          <w:p w14:paraId="3B66746C" w14:textId="5312ABC0" w:rsidR="00C40B57" w:rsidRPr="00893604" w:rsidRDefault="00447E65" w:rsidP="00893604">
            <w:pPr>
              <w:pStyle w:val="TableText0"/>
              <w:rPr>
                <w:lang w:val="en-GB" w:eastAsia="en-GB"/>
              </w:rPr>
            </w:pPr>
            <w:r w:rsidRPr="00315553">
              <w:rPr>
                <w:lang w:val="en-GB" w:eastAsia="en-GB"/>
              </w:rPr>
              <w:t>Independent Progress Review of Eastern Indonesia Road Improvement Program</w:t>
            </w:r>
          </w:p>
        </w:tc>
      </w:tr>
      <w:tr w:rsidR="00C40B57" w:rsidRPr="00E57F60" w14:paraId="57509658" w14:textId="77777777" w:rsidTr="00315553">
        <w:trPr>
          <w:trHeight w:val="114"/>
        </w:trPr>
        <w:tc>
          <w:tcPr>
            <w:tcW w:w="3403" w:type="dxa"/>
            <w:vMerge/>
            <w:shd w:val="clear" w:color="auto" w:fill="auto"/>
            <w:vAlign w:val="center"/>
          </w:tcPr>
          <w:p w14:paraId="13806C2F" w14:textId="77777777" w:rsidR="00C40B57" w:rsidRPr="00893604" w:rsidRDefault="00C40B57" w:rsidP="00315553">
            <w:pPr>
              <w:pStyle w:val="TableText0"/>
              <w:rPr>
                <w:bCs/>
                <w:iCs/>
                <w:lang w:eastAsia="en-GB"/>
              </w:rPr>
            </w:pPr>
          </w:p>
        </w:tc>
        <w:tc>
          <w:tcPr>
            <w:tcW w:w="783" w:type="dxa"/>
            <w:shd w:val="clear" w:color="auto" w:fill="auto"/>
            <w:vAlign w:val="center"/>
          </w:tcPr>
          <w:p w14:paraId="40C31620" w14:textId="77777777" w:rsidR="00C40B57" w:rsidRPr="00893604" w:rsidRDefault="00C40B57" w:rsidP="00893604">
            <w:pPr>
              <w:pStyle w:val="TableText0"/>
              <w:rPr>
                <w:lang w:val="en-GB" w:eastAsia="en-GB"/>
              </w:rPr>
            </w:pPr>
            <w:r w:rsidRPr="00893604">
              <w:rPr>
                <w:lang w:val="en-GB" w:eastAsia="en-GB"/>
              </w:rPr>
              <w:t>INH528</w:t>
            </w:r>
          </w:p>
        </w:tc>
        <w:tc>
          <w:tcPr>
            <w:tcW w:w="5879" w:type="dxa"/>
            <w:shd w:val="clear" w:color="auto" w:fill="auto"/>
            <w:vAlign w:val="center"/>
          </w:tcPr>
          <w:p w14:paraId="1734954E" w14:textId="740FE1AE" w:rsidR="00C40B57" w:rsidRPr="00893604" w:rsidRDefault="00E4559B" w:rsidP="00893604">
            <w:pPr>
              <w:pStyle w:val="TableText0"/>
              <w:rPr>
                <w:lang w:val="en-GB" w:eastAsia="en-GB"/>
              </w:rPr>
            </w:pPr>
            <w:r w:rsidRPr="00893604">
              <w:rPr>
                <w:lang w:val="en-GB" w:eastAsia="en-GB"/>
              </w:rPr>
              <w:t>Independent Progress Report for Pacific Leadership Program</w:t>
            </w:r>
          </w:p>
        </w:tc>
      </w:tr>
      <w:tr w:rsidR="00C40B57" w:rsidRPr="00E57F60" w14:paraId="5F8548DB" w14:textId="77777777" w:rsidTr="00315553">
        <w:trPr>
          <w:trHeight w:val="114"/>
        </w:trPr>
        <w:tc>
          <w:tcPr>
            <w:tcW w:w="3403" w:type="dxa"/>
            <w:vMerge/>
            <w:shd w:val="clear" w:color="auto" w:fill="auto"/>
            <w:vAlign w:val="center"/>
          </w:tcPr>
          <w:p w14:paraId="49A492F9" w14:textId="77777777" w:rsidR="00C40B57" w:rsidRPr="00893604" w:rsidRDefault="00C40B57" w:rsidP="00315553">
            <w:pPr>
              <w:pStyle w:val="TableText0"/>
              <w:rPr>
                <w:bCs/>
                <w:iCs/>
                <w:lang w:eastAsia="en-GB"/>
              </w:rPr>
            </w:pPr>
          </w:p>
        </w:tc>
        <w:tc>
          <w:tcPr>
            <w:tcW w:w="783" w:type="dxa"/>
            <w:shd w:val="clear" w:color="auto" w:fill="auto"/>
            <w:vAlign w:val="center"/>
          </w:tcPr>
          <w:p w14:paraId="49A72E9A" w14:textId="77777777" w:rsidR="00C40B57" w:rsidRPr="00893604" w:rsidRDefault="00C40B57" w:rsidP="00893604">
            <w:pPr>
              <w:pStyle w:val="TableText0"/>
              <w:rPr>
                <w:lang w:val="en-GB" w:eastAsia="en-GB"/>
              </w:rPr>
            </w:pPr>
            <w:r w:rsidRPr="00893604">
              <w:rPr>
                <w:lang w:val="en-GB" w:eastAsia="en-GB"/>
              </w:rPr>
              <w:t>INI355</w:t>
            </w:r>
          </w:p>
        </w:tc>
        <w:tc>
          <w:tcPr>
            <w:tcW w:w="5879" w:type="dxa"/>
            <w:shd w:val="clear" w:color="auto" w:fill="auto"/>
            <w:vAlign w:val="center"/>
          </w:tcPr>
          <w:p w14:paraId="2DB3A31D" w14:textId="56F11A54" w:rsidR="00C40B57" w:rsidRPr="00893604" w:rsidRDefault="000A7732" w:rsidP="004D1092">
            <w:pPr>
              <w:pStyle w:val="TableText0"/>
              <w:rPr>
                <w:lang w:val="en-GB" w:eastAsia="en-GB"/>
              </w:rPr>
            </w:pPr>
            <w:r w:rsidRPr="00893604">
              <w:rPr>
                <w:lang w:val="en-GB" w:eastAsia="en-GB"/>
              </w:rPr>
              <w:t>Independent Progress Report for Local Governance Innovations for Communities in Aceh, Phase II (LOGICA2)</w:t>
            </w:r>
          </w:p>
        </w:tc>
      </w:tr>
      <w:tr w:rsidR="00C40B57" w:rsidRPr="00E57F60" w14:paraId="68F7D7ED" w14:textId="77777777" w:rsidTr="00315553">
        <w:trPr>
          <w:trHeight w:val="114"/>
        </w:trPr>
        <w:tc>
          <w:tcPr>
            <w:tcW w:w="3403" w:type="dxa"/>
            <w:vMerge/>
            <w:shd w:val="clear" w:color="auto" w:fill="auto"/>
            <w:vAlign w:val="center"/>
          </w:tcPr>
          <w:p w14:paraId="1748D1AD" w14:textId="77777777" w:rsidR="00C40B57" w:rsidRPr="00893604" w:rsidRDefault="00C40B57" w:rsidP="00315553">
            <w:pPr>
              <w:pStyle w:val="TableText0"/>
              <w:rPr>
                <w:bCs/>
                <w:iCs/>
                <w:lang w:eastAsia="en-GB"/>
              </w:rPr>
            </w:pPr>
          </w:p>
        </w:tc>
        <w:tc>
          <w:tcPr>
            <w:tcW w:w="783" w:type="dxa"/>
            <w:shd w:val="clear" w:color="auto" w:fill="auto"/>
            <w:vAlign w:val="center"/>
          </w:tcPr>
          <w:p w14:paraId="5FA0A4B3" w14:textId="77777777" w:rsidR="00C40B57" w:rsidRPr="00893604" w:rsidRDefault="00C40B57" w:rsidP="00893604">
            <w:pPr>
              <w:pStyle w:val="TableText0"/>
              <w:rPr>
                <w:lang w:val="en-GB" w:eastAsia="en-GB"/>
              </w:rPr>
            </w:pPr>
            <w:r w:rsidRPr="00893604">
              <w:rPr>
                <w:lang w:val="en-GB" w:eastAsia="en-GB"/>
              </w:rPr>
              <w:t>INI592</w:t>
            </w:r>
          </w:p>
        </w:tc>
        <w:tc>
          <w:tcPr>
            <w:tcW w:w="5879" w:type="dxa"/>
            <w:shd w:val="clear" w:color="auto" w:fill="auto"/>
            <w:vAlign w:val="center"/>
          </w:tcPr>
          <w:p w14:paraId="30DB527A" w14:textId="7E44FDC9" w:rsidR="00C40B57" w:rsidRPr="00893604" w:rsidRDefault="00E4559B" w:rsidP="00893604">
            <w:pPr>
              <w:pStyle w:val="TableText0"/>
              <w:rPr>
                <w:lang w:val="en-GB" w:eastAsia="en-GB"/>
              </w:rPr>
            </w:pPr>
            <w:r w:rsidRPr="00893604">
              <w:rPr>
                <w:lang w:val="en-GB" w:eastAsia="en-GB"/>
              </w:rPr>
              <w:t>Independent Completion Review of the Civil Society Water, Sanitation and Hygiene Fund</w:t>
            </w:r>
          </w:p>
        </w:tc>
      </w:tr>
      <w:tr w:rsidR="00C40B57" w:rsidRPr="00E57F60" w14:paraId="06BD75B2" w14:textId="77777777" w:rsidTr="00315553">
        <w:trPr>
          <w:trHeight w:val="114"/>
        </w:trPr>
        <w:tc>
          <w:tcPr>
            <w:tcW w:w="3403" w:type="dxa"/>
            <w:vMerge/>
            <w:shd w:val="clear" w:color="auto" w:fill="auto"/>
            <w:vAlign w:val="center"/>
          </w:tcPr>
          <w:p w14:paraId="0723957D" w14:textId="77777777" w:rsidR="00C40B57" w:rsidRPr="00893604" w:rsidRDefault="00C40B57" w:rsidP="00315553">
            <w:pPr>
              <w:pStyle w:val="TableText0"/>
              <w:rPr>
                <w:bCs/>
                <w:iCs/>
                <w:lang w:eastAsia="en-GB"/>
              </w:rPr>
            </w:pPr>
          </w:p>
        </w:tc>
        <w:tc>
          <w:tcPr>
            <w:tcW w:w="783" w:type="dxa"/>
            <w:shd w:val="clear" w:color="auto" w:fill="auto"/>
            <w:vAlign w:val="center"/>
          </w:tcPr>
          <w:p w14:paraId="7B2A8F95" w14:textId="77777777" w:rsidR="00C40B57" w:rsidRPr="00893604" w:rsidRDefault="00C40B57" w:rsidP="00893604">
            <w:pPr>
              <w:pStyle w:val="TableText0"/>
              <w:rPr>
                <w:lang w:val="en-GB" w:eastAsia="en-GB"/>
              </w:rPr>
            </w:pPr>
            <w:r w:rsidRPr="00893604">
              <w:rPr>
                <w:lang w:val="en-GB" w:eastAsia="en-GB"/>
              </w:rPr>
              <w:t>INI674</w:t>
            </w:r>
          </w:p>
        </w:tc>
        <w:tc>
          <w:tcPr>
            <w:tcW w:w="5879" w:type="dxa"/>
            <w:shd w:val="clear" w:color="auto" w:fill="auto"/>
            <w:vAlign w:val="center"/>
          </w:tcPr>
          <w:p w14:paraId="2AD349A8" w14:textId="37C90081" w:rsidR="00C40B57" w:rsidRPr="00893604" w:rsidRDefault="00447E65" w:rsidP="00893604">
            <w:pPr>
              <w:pStyle w:val="TableText0"/>
              <w:rPr>
                <w:lang w:val="en-GB" w:eastAsia="en-GB"/>
              </w:rPr>
            </w:pPr>
            <w:r w:rsidRPr="00893604">
              <w:rPr>
                <w:lang w:val="en-GB" w:eastAsia="en-GB"/>
              </w:rPr>
              <w:t>Independent Progress Review of the Solomon Islands Media Assistance Scheme Phase 3</w:t>
            </w:r>
          </w:p>
        </w:tc>
      </w:tr>
      <w:tr w:rsidR="00C40B57" w:rsidRPr="00E57F60" w14:paraId="0DC13389" w14:textId="77777777" w:rsidTr="00315553">
        <w:trPr>
          <w:trHeight w:val="114"/>
        </w:trPr>
        <w:tc>
          <w:tcPr>
            <w:tcW w:w="3403" w:type="dxa"/>
            <w:vMerge/>
            <w:shd w:val="clear" w:color="auto" w:fill="auto"/>
            <w:vAlign w:val="center"/>
          </w:tcPr>
          <w:p w14:paraId="2D58E1F7" w14:textId="77777777" w:rsidR="00C40B57" w:rsidRPr="00893604" w:rsidRDefault="00C40B57" w:rsidP="00315553">
            <w:pPr>
              <w:pStyle w:val="TableText0"/>
              <w:rPr>
                <w:bCs/>
                <w:iCs/>
                <w:lang w:eastAsia="en-GB"/>
              </w:rPr>
            </w:pPr>
          </w:p>
        </w:tc>
        <w:tc>
          <w:tcPr>
            <w:tcW w:w="783" w:type="dxa"/>
            <w:shd w:val="clear" w:color="auto" w:fill="auto"/>
            <w:vAlign w:val="center"/>
          </w:tcPr>
          <w:p w14:paraId="45E19254" w14:textId="77777777" w:rsidR="00C40B57" w:rsidRPr="00893604" w:rsidRDefault="00C40B57" w:rsidP="00893604">
            <w:pPr>
              <w:pStyle w:val="TableText0"/>
              <w:rPr>
                <w:lang w:val="en-GB" w:eastAsia="en-GB"/>
              </w:rPr>
            </w:pPr>
            <w:r w:rsidRPr="00893604">
              <w:rPr>
                <w:lang w:val="en-GB" w:eastAsia="en-GB"/>
              </w:rPr>
              <w:t>INI941</w:t>
            </w:r>
          </w:p>
        </w:tc>
        <w:tc>
          <w:tcPr>
            <w:tcW w:w="5879" w:type="dxa"/>
            <w:shd w:val="clear" w:color="auto" w:fill="auto"/>
            <w:vAlign w:val="center"/>
          </w:tcPr>
          <w:p w14:paraId="79B772EF" w14:textId="6EF07BE3" w:rsidR="00C40B57" w:rsidRPr="00893604" w:rsidRDefault="00447E65" w:rsidP="00893604">
            <w:pPr>
              <w:pStyle w:val="TableText0"/>
              <w:rPr>
                <w:lang w:val="en-GB" w:eastAsia="en-GB"/>
              </w:rPr>
            </w:pPr>
            <w:r w:rsidRPr="00893604">
              <w:rPr>
                <w:lang w:val="en-GB" w:eastAsia="en-GB"/>
              </w:rPr>
              <w:t>Mid Term Review of AusAID NGO Cooperation Program Partnership Agreements</w:t>
            </w:r>
          </w:p>
        </w:tc>
      </w:tr>
      <w:tr w:rsidR="00C40B57" w:rsidRPr="00E57F60" w14:paraId="12AD7FB8" w14:textId="77777777" w:rsidTr="00315553">
        <w:trPr>
          <w:trHeight w:val="114"/>
        </w:trPr>
        <w:tc>
          <w:tcPr>
            <w:tcW w:w="3403" w:type="dxa"/>
            <w:vMerge/>
            <w:shd w:val="clear" w:color="auto" w:fill="auto"/>
            <w:vAlign w:val="center"/>
          </w:tcPr>
          <w:p w14:paraId="47E2DA39" w14:textId="77777777" w:rsidR="00C40B57" w:rsidRPr="00893604" w:rsidRDefault="00C40B57" w:rsidP="00315553">
            <w:pPr>
              <w:pStyle w:val="TableText0"/>
              <w:rPr>
                <w:bCs/>
                <w:iCs/>
                <w:lang w:eastAsia="en-GB"/>
              </w:rPr>
            </w:pPr>
          </w:p>
        </w:tc>
        <w:tc>
          <w:tcPr>
            <w:tcW w:w="783" w:type="dxa"/>
            <w:shd w:val="clear" w:color="auto" w:fill="auto"/>
            <w:vAlign w:val="center"/>
          </w:tcPr>
          <w:p w14:paraId="64DA932C" w14:textId="77777777" w:rsidR="00C40B57" w:rsidRPr="00893604" w:rsidRDefault="00C40B57" w:rsidP="00893604">
            <w:pPr>
              <w:pStyle w:val="TableText0"/>
              <w:rPr>
                <w:lang w:val="en-GB" w:eastAsia="en-GB"/>
              </w:rPr>
            </w:pPr>
            <w:r w:rsidRPr="00893604">
              <w:rPr>
                <w:lang w:val="en-GB" w:eastAsia="en-GB"/>
              </w:rPr>
              <w:t>INJ135</w:t>
            </w:r>
          </w:p>
        </w:tc>
        <w:tc>
          <w:tcPr>
            <w:tcW w:w="5879" w:type="dxa"/>
            <w:shd w:val="clear" w:color="auto" w:fill="auto"/>
            <w:vAlign w:val="center"/>
          </w:tcPr>
          <w:p w14:paraId="304CF05A" w14:textId="1ACDA7D5" w:rsidR="00C40B57" w:rsidRPr="00893604" w:rsidRDefault="00447E65" w:rsidP="00893604">
            <w:pPr>
              <w:pStyle w:val="TableText0"/>
              <w:rPr>
                <w:lang w:val="en-GB" w:eastAsia="en-GB"/>
              </w:rPr>
            </w:pPr>
            <w:r w:rsidRPr="00893604">
              <w:rPr>
                <w:lang w:val="en-GB" w:eastAsia="en-GB"/>
              </w:rPr>
              <w:t>Interim Review of the Livelihoods and Food Security Trust Fund</w:t>
            </w:r>
          </w:p>
        </w:tc>
      </w:tr>
      <w:tr w:rsidR="00C40B57" w:rsidRPr="00E57F60" w14:paraId="4393B50B" w14:textId="77777777" w:rsidTr="00315553">
        <w:trPr>
          <w:trHeight w:val="114"/>
        </w:trPr>
        <w:tc>
          <w:tcPr>
            <w:tcW w:w="3403" w:type="dxa"/>
            <w:vMerge/>
            <w:shd w:val="clear" w:color="auto" w:fill="auto"/>
            <w:vAlign w:val="center"/>
          </w:tcPr>
          <w:p w14:paraId="25097336" w14:textId="77777777" w:rsidR="00C40B57" w:rsidRPr="00893604" w:rsidRDefault="00C40B57" w:rsidP="00315553">
            <w:pPr>
              <w:pStyle w:val="TableText0"/>
              <w:rPr>
                <w:bCs/>
                <w:iCs/>
                <w:lang w:eastAsia="en-GB"/>
              </w:rPr>
            </w:pPr>
          </w:p>
        </w:tc>
        <w:tc>
          <w:tcPr>
            <w:tcW w:w="783" w:type="dxa"/>
            <w:shd w:val="clear" w:color="auto" w:fill="auto"/>
            <w:vAlign w:val="center"/>
          </w:tcPr>
          <w:p w14:paraId="7695AF63" w14:textId="77777777" w:rsidR="00C40B57" w:rsidRPr="00893604" w:rsidRDefault="00C40B57" w:rsidP="00893604">
            <w:pPr>
              <w:pStyle w:val="TableText0"/>
              <w:rPr>
                <w:lang w:val="en-GB" w:eastAsia="en-GB"/>
              </w:rPr>
            </w:pPr>
            <w:r w:rsidRPr="00893604">
              <w:rPr>
                <w:lang w:val="en-GB" w:eastAsia="en-GB"/>
              </w:rPr>
              <w:t>INJ244</w:t>
            </w:r>
          </w:p>
        </w:tc>
        <w:tc>
          <w:tcPr>
            <w:tcW w:w="5879" w:type="dxa"/>
            <w:shd w:val="clear" w:color="auto" w:fill="auto"/>
            <w:vAlign w:val="center"/>
          </w:tcPr>
          <w:p w14:paraId="677661D2" w14:textId="131E6249" w:rsidR="00C40B57" w:rsidRPr="00893604" w:rsidRDefault="000A7732" w:rsidP="00893604">
            <w:pPr>
              <w:pStyle w:val="TableText0"/>
              <w:rPr>
                <w:lang w:val="en-GB" w:eastAsia="en-GB"/>
              </w:rPr>
            </w:pPr>
            <w:r w:rsidRPr="00893604">
              <w:rPr>
                <w:lang w:val="en-GB" w:eastAsia="en-GB"/>
              </w:rPr>
              <w:t>Independent Progress Review of Partnership for Knowledge-Based Poverty Reduction (PKPR)</w:t>
            </w:r>
          </w:p>
        </w:tc>
      </w:tr>
      <w:tr w:rsidR="00C40B57" w:rsidRPr="00E57F60" w14:paraId="50EC205A" w14:textId="77777777" w:rsidTr="00315553">
        <w:trPr>
          <w:trHeight w:val="114"/>
        </w:trPr>
        <w:tc>
          <w:tcPr>
            <w:tcW w:w="3403" w:type="dxa"/>
            <w:vMerge/>
            <w:shd w:val="clear" w:color="auto" w:fill="auto"/>
            <w:vAlign w:val="center"/>
          </w:tcPr>
          <w:p w14:paraId="14953539" w14:textId="77777777" w:rsidR="00C40B57" w:rsidRPr="00893604" w:rsidRDefault="00C40B57" w:rsidP="00315553">
            <w:pPr>
              <w:pStyle w:val="TableText0"/>
              <w:rPr>
                <w:bCs/>
                <w:iCs/>
                <w:lang w:eastAsia="en-GB"/>
              </w:rPr>
            </w:pPr>
          </w:p>
        </w:tc>
        <w:tc>
          <w:tcPr>
            <w:tcW w:w="783" w:type="dxa"/>
            <w:shd w:val="clear" w:color="auto" w:fill="auto"/>
            <w:vAlign w:val="center"/>
          </w:tcPr>
          <w:p w14:paraId="3B279776" w14:textId="77777777" w:rsidR="00C40B57" w:rsidRPr="00893604" w:rsidRDefault="00C40B57" w:rsidP="00893604">
            <w:pPr>
              <w:pStyle w:val="TableText0"/>
              <w:rPr>
                <w:lang w:val="en-GB" w:eastAsia="en-GB"/>
              </w:rPr>
            </w:pPr>
            <w:r w:rsidRPr="00893604">
              <w:rPr>
                <w:lang w:val="en-GB" w:eastAsia="en-GB"/>
              </w:rPr>
              <w:t>INJ657</w:t>
            </w:r>
          </w:p>
        </w:tc>
        <w:tc>
          <w:tcPr>
            <w:tcW w:w="5879" w:type="dxa"/>
            <w:shd w:val="clear" w:color="auto" w:fill="auto"/>
            <w:vAlign w:val="center"/>
          </w:tcPr>
          <w:p w14:paraId="78EA55D7" w14:textId="0FAD3FCC" w:rsidR="00C40B57" w:rsidRPr="00893604" w:rsidRDefault="00447E65" w:rsidP="00893604">
            <w:pPr>
              <w:pStyle w:val="TableText0"/>
              <w:rPr>
                <w:lang w:val="en-GB" w:eastAsia="en-GB"/>
              </w:rPr>
            </w:pPr>
            <w:r w:rsidRPr="00893604">
              <w:rPr>
                <w:lang w:val="en-GB" w:eastAsia="en-GB"/>
              </w:rPr>
              <w:t>Mid Term Review of Partnership agreement between AusAID and Australian Red Cross</w:t>
            </w:r>
          </w:p>
        </w:tc>
      </w:tr>
      <w:tr w:rsidR="00C40B57" w:rsidRPr="00E57F60" w14:paraId="5AFF2615" w14:textId="77777777" w:rsidTr="00315553">
        <w:trPr>
          <w:trHeight w:val="114"/>
        </w:trPr>
        <w:tc>
          <w:tcPr>
            <w:tcW w:w="3403" w:type="dxa"/>
            <w:vMerge/>
            <w:shd w:val="clear" w:color="auto" w:fill="auto"/>
            <w:vAlign w:val="center"/>
          </w:tcPr>
          <w:p w14:paraId="0DA1F14B" w14:textId="77777777" w:rsidR="00C40B57" w:rsidRPr="00893604" w:rsidRDefault="00C40B57" w:rsidP="00315553">
            <w:pPr>
              <w:pStyle w:val="TableText0"/>
              <w:rPr>
                <w:bCs/>
                <w:iCs/>
                <w:lang w:eastAsia="en-GB"/>
              </w:rPr>
            </w:pPr>
          </w:p>
        </w:tc>
        <w:tc>
          <w:tcPr>
            <w:tcW w:w="783" w:type="dxa"/>
            <w:shd w:val="clear" w:color="auto" w:fill="auto"/>
            <w:vAlign w:val="center"/>
          </w:tcPr>
          <w:p w14:paraId="18B2807F" w14:textId="77777777" w:rsidR="00C40B57" w:rsidRPr="00893604" w:rsidRDefault="00C40B57" w:rsidP="00893604">
            <w:pPr>
              <w:pStyle w:val="TableText0"/>
              <w:rPr>
                <w:lang w:val="en-GB" w:eastAsia="en-GB"/>
              </w:rPr>
            </w:pPr>
            <w:r w:rsidRPr="00893604">
              <w:rPr>
                <w:lang w:val="en-GB" w:eastAsia="en-GB"/>
              </w:rPr>
              <w:t>INJ691</w:t>
            </w:r>
          </w:p>
        </w:tc>
        <w:tc>
          <w:tcPr>
            <w:tcW w:w="5879" w:type="dxa"/>
            <w:shd w:val="clear" w:color="auto" w:fill="auto"/>
            <w:vAlign w:val="center"/>
          </w:tcPr>
          <w:p w14:paraId="12F84F19" w14:textId="04752E35" w:rsidR="00C40B57" w:rsidRPr="00893604" w:rsidRDefault="00447E65" w:rsidP="00893604">
            <w:pPr>
              <w:pStyle w:val="TableText0"/>
              <w:rPr>
                <w:lang w:val="en-GB" w:eastAsia="en-GB"/>
              </w:rPr>
            </w:pPr>
            <w:r w:rsidRPr="00893604">
              <w:rPr>
                <w:lang w:val="en-GB" w:eastAsia="en-GB"/>
              </w:rPr>
              <w:t xml:space="preserve">Mid Term Independent Review of the </w:t>
            </w:r>
            <w:proofErr w:type="spellStart"/>
            <w:r w:rsidRPr="00893604">
              <w:rPr>
                <w:lang w:val="en-GB" w:eastAsia="en-GB"/>
              </w:rPr>
              <w:t>RedR</w:t>
            </w:r>
            <w:proofErr w:type="spellEnd"/>
            <w:r w:rsidRPr="00893604">
              <w:rPr>
                <w:lang w:val="en-GB" w:eastAsia="en-GB"/>
              </w:rPr>
              <w:t xml:space="preserve"> Australia and AusAID Partnership Agreement</w:t>
            </w:r>
          </w:p>
        </w:tc>
      </w:tr>
      <w:tr w:rsidR="00C40B57" w:rsidRPr="00E57F60" w14:paraId="7DCE6DBB" w14:textId="77777777" w:rsidTr="00315553">
        <w:trPr>
          <w:trHeight w:val="121"/>
        </w:trPr>
        <w:tc>
          <w:tcPr>
            <w:tcW w:w="3403" w:type="dxa"/>
            <w:vMerge w:val="restart"/>
            <w:shd w:val="clear" w:color="auto" w:fill="auto"/>
            <w:vAlign w:val="center"/>
            <w:hideMark/>
          </w:tcPr>
          <w:p w14:paraId="4C27729B" w14:textId="77777777" w:rsidR="00C40B57" w:rsidRPr="00315553" w:rsidRDefault="00C40B57" w:rsidP="00315553">
            <w:pPr>
              <w:pStyle w:val="TableText0"/>
              <w:rPr>
                <w:lang w:val="en-GB" w:eastAsia="en-GB"/>
              </w:rPr>
            </w:pPr>
            <w:r w:rsidRPr="00315553">
              <w:rPr>
                <w:lang w:val="en-GB" w:eastAsia="en-GB"/>
              </w:rPr>
              <w:t xml:space="preserve">4.3 Regional initiatives require flexible funding, a strategic agenda and effective engagement of partners </w:t>
            </w:r>
          </w:p>
          <w:p w14:paraId="20648E2F" w14:textId="77777777" w:rsidR="00C40B57" w:rsidRPr="00893604" w:rsidRDefault="00C40B57" w:rsidP="00315553">
            <w:pPr>
              <w:pStyle w:val="TableText0"/>
              <w:rPr>
                <w:lang w:val="en-GB" w:eastAsia="en-GB"/>
              </w:rPr>
            </w:pPr>
          </w:p>
        </w:tc>
        <w:tc>
          <w:tcPr>
            <w:tcW w:w="783" w:type="dxa"/>
            <w:shd w:val="clear" w:color="auto" w:fill="auto"/>
            <w:vAlign w:val="center"/>
            <w:hideMark/>
          </w:tcPr>
          <w:p w14:paraId="4CAF6DCD" w14:textId="77777777" w:rsidR="00C40B57" w:rsidRPr="00893604" w:rsidRDefault="00C40B57" w:rsidP="00893604">
            <w:pPr>
              <w:pStyle w:val="TableText0"/>
              <w:rPr>
                <w:lang w:val="en-GB" w:eastAsia="en-GB"/>
              </w:rPr>
            </w:pPr>
            <w:r w:rsidRPr="00893604">
              <w:rPr>
                <w:lang w:val="en-GB" w:eastAsia="en-GB"/>
              </w:rPr>
              <w:t>ING982</w:t>
            </w:r>
          </w:p>
        </w:tc>
        <w:tc>
          <w:tcPr>
            <w:tcW w:w="5879" w:type="dxa"/>
            <w:shd w:val="clear" w:color="auto" w:fill="auto"/>
            <w:vAlign w:val="center"/>
          </w:tcPr>
          <w:p w14:paraId="01142B51" w14:textId="1E7A6A78" w:rsidR="00C40B57" w:rsidRPr="00893604" w:rsidRDefault="000A7732" w:rsidP="00893604">
            <w:pPr>
              <w:pStyle w:val="TableText0"/>
              <w:rPr>
                <w:lang w:val="en-GB" w:eastAsia="en-GB"/>
              </w:rPr>
            </w:pPr>
            <w:r w:rsidRPr="00893604">
              <w:rPr>
                <w:lang w:val="en-GB" w:eastAsia="en-GB"/>
              </w:rPr>
              <w:t>Independent Completion Report for Regional Rights Resource Team (RRRT)</w:t>
            </w:r>
          </w:p>
        </w:tc>
      </w:tr>
      <w:tr w:rsidR="00C40B57" w:rsidRPr="00E57F60" w14:paraId="31DBCAFE" w14:textId="77777777" w:rsidTr="00315553">
        <w:trPr>
          <w:trHeight w:val="118"/>
        </w:trPr>
        <w:tc>
          <w:tcPr>
            <w:tcW w:w="3403" w:type="dxa"/>
            <w:vMerge/>
            <w:shd w:val="clear" w:color="auto" w:fill="auto"/>
            <w:vAlign w:val="center"/>
          </w:tcPr>
          <w:p w14:paraId="73549EAF" w14:textId="77777777" w:rsidR="00C40B57" w:rsidRPr="00315553" w:rsidRDefault="00C40B57" w:rsidP="00315553">
            <w:pPr>
              <w:pStyle w:val="TableText0"/>
              <w:rPr>
                <w:bCs/>
                <w:iCs/>
                <w:lang w:eastAsia="en-GB"/>
              </w:rPr>
            </w:pPr>
          </w:p>
        </w:tc>
        <w:tc>
          <w:tcPr>
            <w:tcW w:w="783" w:type="dxa"/>
            <w:shd w:val="clear" w:color="auto" w:fill="auto"/>
            <w:vAlign w:val="center"/>
          </w:tcPr>
          <w:p w14:paraId="10589FC8" w14:textId="77777777" w:rsidR="00C40B57" w:rsidRPr="00893604" w:rsidRDefault="00C40B57" w:rsidP="00893604">
            <w:pPr>
              <w:pStyle w:val="TableText0"/>
              <w:rPr>
                <w:lang w:val="en-GB" w:eastAsia="en-GB"/>
              </w:rPr>
            </w:pPr>
            <w:r w:rsidRPr="00893604">
              <w:rPr>
                <w:lang w:val="en-GB" w:eastAsia="en-GB"/>
              </w:rPr>
              <w:t>INH528</w:t>
            </w:r>
          </w:p>
        </w:tc>
        <w:tc>
          <w:tcPr>
            <w:tcW w:w="5879" w:type="dxa"/>
            <w:shd w:val="clear" w:color="auto" w:fill="auto"/>
            <w:vAlign w:val="center"/>
          </w:tcPr>
          <w:p w14:paraId="32F6670A" w14:textId="79402A7A" w:rsidR="00C40B57" w:rsidRPr="00893604" w:rsidRDefault="00E4559B" w:rsidP="00893604">
            <w:pPr>
              <w:pStyle w:val="TableText0"/>
              <w:rPr>
                <w:lang w:val="en-GB" w:eastAsia="en-GB"/>
              </w:rPr>
            </w:pPr>
            <w:r w:rsidRPr="00893604">
              <w:rPr>
                <w:lang w:val="en-GB" w:eastAsia="en-GB"/>
              </w:rPr>
              <w:t>Independent Progress Report for Pacific Leadership Program</w:t>
            </w:r>
          </w:p>
        </w:tc>
      </w:tr>
      <w:tr w:rsidR="00C40B57" w:rsidRPr="00E57F60" w14:paraId="25159596" w14:textId="77777777" w:rsidTr="00315553">
        <w:trPr>
          <w:trHeight w:val="118"/>
        </w:trPr>
        <w:tc>
          <w:tcPr>
            <w:tcW w:w="3403" w:type="dxa"/>
            <w:vMerge/>
            <w:shd w:val="clear" w:color="auto" w:fill="auto"/>
            <w:vAlign w:val="center"/>
          </w:tcPr>
          <w:p w14:paraId="58073C60" w14:textId="77777777" w:rsidR="00C40B57" w:rsidRPr="00315553" w:rsidRDefault="00C40B57" w:rsidP="00315553">
            <w:pPr>
              <w:pStyle w:val="TableText0"/>
              <w:rPr>
                <w:bCs/>
                <w:iCs/>
                <w:lang w:eastAsia="en-GB"/>
              </w:rPr>
            </w:pPr>
          </w:p>
        </w:tc>
        <w:tc>
          <w:tcPr>
            <w:tcW w:w="783" w:type="dxa"/>
            <w:shd w:val="clear" w:color="auto" w:fill="auto"/>
            <w:vAlign w:val="center"/>
          </w:tcPr>
          <w:p w14:paraId="28A4215E" w14:textId="2DAA74F2" w:rsidR="00C40B57" w:rsidRPr="00893604" w:rsidRDefault="000A7732" w:rsidP="00893604">
            <w:pPr>
              <w:pStyle w:val="TableText0"/>
              <w:rPr>
                <w:lang w:val="en-GB" w:eastAsia="en-GB"/>
              </w:rPr>
            </w:pPr>
            <w:r w:rsidRPr="00893604">
              <w:rPr>
                <w:lang w:val="en-GB" w:eastAsia="en-GB"/>
              </w:rPr>
              <w:t>INH157</w:t>
            </w:r>
          </w:p>
        </w:tc>
        <w:tc>
          <w:tcPr>
            <w:tcW w:w="5879" w:type="dxa"/>
            <w:shd w:val="clear" w:color="auto" w:fill="auto"/>
            <w:vAlign w:val="center"/>
          </w:tcPr>
          <w:p w14:paraId="3BA0DB9B" w14:textId="7F552DAB" w:rsidR="00C40B57" w:rsidRPr="00893604" w:rsidRDefault="000A7732" w:rsidP="00893604">
            <w:pPr>
              <w:pStyle w:val="TableText0"/>
              <w:rPr>
                <w:lang w:val="en-GB" w:eastAsia="en-GB"/>
              </w:rPr>
            </w:pPr>
            <w:r w:rsidRPr="00893604">
              <w:rPr>
                <w:lang w:val="en-GB" w:eastAsia="en-GB"/>
              </w:rPr>
              <w:t>Independent Progress Report for ASEAN Australia Development Cooperation Program Phase II</w:t>
            </w:r>
          </w:p>
        </w:tc>
      </w:tr>
      <w:tr w:rsidR="00C40B57" w:rsidRPr="00E57F60" w14:paraId="73AA8501" w14:textId="77777777" w:rsidTr="00315553">
        <w:trPr>
          <w:trHeight w:val="118"/>
        </w:trPr>
        <w:tc>
          <w:tcPr>
            <w:tcW w:w="3403" w:type="dxa"/>
            <w:vMerge/>
            <w:shd w:val="clear" w:color="auto" w:fill="auto"/>
            <w:vAlign w:val="center"/>
          </w:tcPr>
          <w:p w14:paraId="481871E2" w14:textId="77777777" w:rsidR="00C40B57" w:rsidRPr="00315553" w:rsidRDefault="00C40B57" w:rsidP="00315553">
            <w:pPr>
              <w:pStyle w:val="TableText0"/>
              <w:rPr>
                <w:bCs/>
                <w:iCs/>
                <w:lang w:eastAsia="en-GB"/>
              </w:rPr>
            </w:pPr>
          </w:p>
        </w:tc>
        <w:tc>
          <w:tcPr>
            <w:tcW w:w="783" w:type="dxa"/>
            <w:shd w:val="clear" w:color="auto" w:fill="auto"/>
            <w:vAlign w:val="center"/>
          </w:tcPr>
          <w:p w14:paraId="6CD5D57F" w14:textId="77777777" w:rsidR="00C40B57" w:rsidRPr="00893604" w:rsidRDefault="00C40B57" w:rsidP="00893604">
            <w:pPr>
              <w:pStyle w:val="TableText0"/>
              <w:rPr>
                <w:lang w:val="en-GB" w:eastAsia="en-GB"/>
              </w:rPr>
            </w:pPr>
            <w:r w:rsidRPr="00893604">
              <w:rPr>
                <w:lang w:val="en-GB" w:eastAsia="en-GB"/>
              </w:rPr>
              <w:t>INJ746</w:t>
            </w:r>
          </w:p>
        </w:tc>
        <w:tc>
          <w:tcPr>
            <w:tcW w:w="5879" w:type="dxa"/>
            <w:shd w:val="clear" w:color="auto" w:fill="auto"/>
            <w:vAlign w:val="center"/>
          </w:tcPr>
          <w:p w14:paraId="626C66A4" w14:textId="2398CFB7" w:rsidR="00C40B57" w:rsidRPr="00893604" w:rsidRDefault="00447E65" w:rsidP="00893604">
            <w:pPr>
              <w:pStyle w:val="TableText0"/>
              <w:rPr>
                <w:lang w:val="en-GB" w:eastAsia="en-GB"/>
              </w:rPr>
            </w:pPr>
            <w:r w:rsidRPr="00893604">
              <w:rPr>
                <w:lang w:val="en-GB" w:eastAsia="en-GB"/>
              </w:rPr>
              <w:t>Independent External Review of the Secretariat of the Pacific Community (SPC)</w:t>
            </w:r>
          </w:p>
        </w:tc>
      </w:tr>
      <w:tr w:rsidR="00C40B57" w:rsidRPr="00E57F60" w14:paraId="7E0680EF" w14:textId="77777777" w:rsidTr="00315553">
        <w:trPr>
          <w:trHeight w:val="118"/>
        </w:trPr>
        <w:tc>
          <w:tcPr>
            <w:tcW w:w="3403" w:type="dxa"/>
            <w:vMerge/>
            <w:shd w:val="clear" w:color="auto" w:fill="auto"/>
            <w:vAlign w:val="center"/>
          </w:tcPr>
          <w:p w14:paraId="6FBD78FD" w14:textId="77777777" w:rsidR="00C40B57" w:rsidRPr="00315553" w:rsidRDefault="00C40B57" w:rsidP="00315553">
            <w:pPr>
              <w:pStyle w:val="TableText0"/>
              <w:rPr>
                <w:bCs/>
                <w:iCs/>
                <w:lang w:eastAsia="en-GB"/>
              </w:rPr>
            </w:pPr>
          </w:p>
        </w:tc>
        <w:tc>
          <w:tcPr>
            <w:tcW w:w="783" w:type="dxa"/>
            <w:shd w:val="clear" w:color="auto" w:fill="auto"/>
            <w:vAlign w:val="center"/>
          </w:tcPr>
          <w:p w14:paraId="52D7650A" w14:textId="77777777" w:rsidR="00C40B57" w:rsidRPr="00893604" w:rsidRDefault="00C40B57" w:rsidP="00893604">
            <w:pPr>
              <w:pStyle w:val="TableText0"/>
              <w:rPr>
                <w:lang w:val="en-GB" w:eastAsia="en-GB"/>
              </w:rPr>
            </w:pPr>
            <w:r w:rsidRPr="00893604">
              <w:rPr>
                <w:lang w:val="en-GB" w:eastAsia="en-GB"/>
              </w:rPr>
              <w:t>INK299</w:t>
            </w:r>
          </w:p>
        </w:tc>
        <w:tc>
          <w:tcPr>
            <w:tcW w:w="5879" w:type="dxa"/>
            <w:shd w:val="clear" w:color="auto" w:fill="auto"/>
            <w:vAlign w:val="center"/>
          </w:tcPr>
          <w:p w14:paraId="2C4C1676" w14:textId="38655608" w:rsidR="00C40B57" w:rsidRPr="00893604" w:rsidRDefault="00447E65" w:rsidP="00893604">
            <w:pPr>
              <w:pStyle w:val="TableText0"/>
              <w:rPr>
                <w:lang w:val="en-GB" w:eastAsia="en-GB"/>
              </w:rPr>
            </w:pPr>
            <w:r w:rsidRPr="00893604">
              <w:rPr>
                <w:lang w:val="en-GB" w:eastAsia="en-GB"/>
              </w:rPr>
              <w:t>Review of the Pacific Islands Forum Secretariat (PIFS)</w:t>
            </w:r>
          </w:p>
        </w:tc>
      </w:tr>
    </w:tbl>
    <w:p w14:paraId="1F1B62DC" w14:textId="2662D4B2" w:rsidR="00E57F60" w:rsidRPr="003B1843" w:rsidRDefault="00E57F60" w:rsidP="00C40B57">
      <w:pPr>
        <w:spacing w:before="0" w:after="0"/>
      </w:pPr>
    </w:p>
    <w:sectPr w:rsidR="00E57F60" w:rsidRPr="003B1843" w:rsidSect="00D2198E">
      <w:footerReference w:type="first" r:id="rId36"/>
      <w:footnotePr>
        <w:numRestart w:val="eachSect"/>
      </w:footnotePr>
      <w:type w:val="oddPage"/>
      <w:pgSz w:w="11906" w:h="16838" w:code="9"/>
      <w:pgMar w:top="1440" w:right="1440" w:bottom="1440" w:left="1440" w:header="576" w:footer="576"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2D87E" w14:textId="77777777" w:rsidR="001C620C" w:rsidRDefault="001C620C">
      <w:pPr>
        <w:spacing w:after="0"/>
      </w:pPr>
      <w:r>
        <w:separator/>
      </w:r>
    </w:p>
  </w:endnote>
  <w:endnote w:type="continuationSeparator" w:id="0">
    <w:p w14:paraId="4B3673F0" w14:textId="77777777" w:rsidR="001C620C" w:rsidRDefault="001C620C">
      <w:pPr>
        <w:spacing w:after="0"/>
      </w:pPr>
      <w:r>
        <w:continuationSeparator/>
      </w:r>
    </w:p>
  </w:endnote>
  <w:endnote w:type="continuationNotice" w:id="1">
    <w:p w14:paraId="49B347FD" w14:textId="77777777" w:rsidR="001C620C" w:rsidRDefault="001C62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etaSerif-Book">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oundersGrotesk-Regular">
    <w:altName w:val="Founders Grotesk Regular"/>
    <w:panose1 w:val="00000000000000000000"/>
    <w:charset w:val="4D"/>
    <w:family w:val="auto"/>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Gotham-Bold">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Trade Gothic LT Std">
    <w:altName w:val="Franklin Gothic Book"/>
    <w:panose1 w:val="00000000000000000000"/>
    <w:charset w:val="00"/>
    <w:family w:val="swiss"/>
    <w:notTrueType/>
    <w:pitch w:val="default"/>
    <w:sig w:usb0="00000003" w:usb1="00000000" w:usb2="00000000" w:usb3="00000000" w:csb0="00000001" w:csb1="00000000"/>
  </w:font>
  <w:font w:name="Helvetica 55 Roman">
    <w:altName w:val="Franklin Gothic 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30BA5" w14:textId="77777777" w:rsidR="004F1F1A" w:rsidRDefault="004F1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9537" w14:textId="77777777" w:rsidR="004F1F1A" w:rsidRDefault="004F1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AECA" w14:textId="77777777" w:rsidR="001C620C" w:rsidRDefault="001C620C" w:rsidP="00E337E0">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CAD8" w14:textId="77777777" w:rsidR="001C620C" w:rsidRDefault="001C620C" w:rsidP="00EC6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71DC">
      <w:rPr>
        <w:rStyle w:val="PageNumber"/>
        <w:noProof/>
      </w:rPr>
      <w:t>lvi</w:t>
    </w:r>
    <w:r>
      <w:rPr>
        <w:rStyle w:val="PageNumber"/>
      </w:rPr>
      <w:fldChar w:fldCharType="end"/>
    </w:r>
  </w:p>
  <w:p w14:paraId="480E2AD1" w14:textId="3249E0EF" w:rsidR="001C620C" w:rsidRDefault="001C620C" w:rsidP="00AD6A55">
    <w:pPr>
      <w:pStyle w:val="Footer"/>
      <w:ind w:right="360"/>
      <w:jc w:val="center"/>
    </w:pPr>
  </w:p>
  <w:p w14:paraId="628D8212" w14:textId="77777777" w:rsidR="001C620C" w:rsidRDefault="001C62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523465"/>
      <w:docPartObj>
        <w:docPartGallery w:val="Page Numbers (Bottom of Page)"/>
        <w:docPartUnique/>
      </w:docPartObj>
    </w:sdtPr>
    <w:sdtEndPr>
      <w:rPr>
        <w:noProof/>
      </w:rPr>
    </w:sdtEndPr>
    <w:sdtContent>
      <w:p w14:paraId="67066760" w14:textId="2F2452AF" w:rsidR="001C620C" w:rsidRDefault="001C620C" w:rsidP="00307E4D">
        <w:pPr>
          <w:pStyle w:val="Footer"/>
          <w:jc w:val="center"/>
        </w:pPr>
        <w:r>
          <w:fldChar w:fldCharType="begin"/>
        </w:r>
        <w:r>
          <w:instrText xml:space="preserve"> PAGE   \* MERGEFORMAT </w:instrText>
        </w:r>
        <w:r>
          <w:fldChar w:fldCharType="separate"/>
        </w:r>
        <w:r w:rsidR="004F1F1A">
          <w:rPr>
            <w:noProof/>
          </w:rPr>
          <w:t>vi</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157754"/>
      <w:docPartObj>
        <w:docPartGallery w:val="Page Numbers (Bottom of Page)"/>
        <w:docPartUnique/>
      </w:docPartObj>
    </w:sdtPr>
    <w:sdtEndPr>
      <w:rPr>
        <w:noProof/>
      </w:rPr>
    </w:sdtEndPr>
    <w:sdtContent>
      <w:p w14:paraId="50049897" w14:textId="77777777" w:rsidR="001C620C" w:rsidRDefault="001C620C">
        <w:pPr>
          <w:pStyle w:val="Footer"/>
          <w:jc w:val="center"/>
        </w:pPr>
        <w:r>
          <w:fldChar w:fldCharType="begin"/>
        </w:r>
        <w:r>
          <w:instrText xml:space="preserve"> PAGE   \* MERGEFORMAT </w:instrText>
        </w:r>
        <w:r>
          <w:fldChar w:fldCharType="separate"/>
        </w:r>
        <w:r w:rsidR="004F1F1A">
          <w:rPr>
            <w:noProof/>
          </w:rPr>
          <w:t>v</w:t>
        </w:r>
        <w:r>
          <w:rPr>
            <w:noProof/>
          </w:rPr>
          <w:fldChar w:fldCharType="end"/>
        </w:r>
      </w:p>
    </w:sdtContent>
  </w:sdt>
  <w:p w14:paraId="5B5EB9A9" w14:textId="77777777" w:rsidR="001C620C" w:rsidRDefault="001C620C" w:rsidP="00204A85">
    <w:pPr>
      <w:pStyle w:val="Footer"/>
      <w:tabs>
        <w:tab w:val="center" w:pos="4513"/>
      </w:tabs>
      <w:jc w:val="right"/>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331EF" w14:textId="77777777" w:rsidR="001C620C" w:rsidRDefault="001C620C">
    <w:pPr>
      <w:pStyle w:val="Footer"/>
      <w:jc w:val="center"/>
    </w:pPr>
  </w:p>
  <w:p w14:paraId="51BF6C93" w14:textId="77777777" w:rsidR="001C620C" w:rsidRDefault="001C620C" w:rsidP="005A72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59E6F" w14:textId="77777777" w:rsidR="001C620C" w:rsidRDefault="001C620C">
      <w:pPr>
        <w:spacing w:after="0"/>
      </w:pPr>
      <w:r>
        <w:separator/>
      </w:r>
    </w:p>
  </w:footnote>
  <w:footnote w:type="continuationSeparator" w:id="0">
    <w:p w14:paraId="427E649F" w14:textId="77777777" w:rsidR="001C620C" w:rsidRDefault="001C620C">
      <w:pPr>
        <w:spacing w:after="0"/>
      </w:pPr>
      <w:r>
        <w:continuationSeparator/>
      </w:r>
    </w:p>
  </w:footnote>
  <w:footnote w:type="continuationNotice" w:id="1">
    <w:p w14:paraId="0B5D554D" w14:textId="77777777" w:rsidR="001C620C" w:rsidRDefault="001C620C">
      <w:pPr>
        <w:spacing w:before="0" w:after="0" w:line="240" w:lineRule="auto"/>
      </w:pPr>
    </w:p>
  </w:footnote>
  <w:footnote w:id="2">
    <w:p w14:paraId="6E1117CE" w14:textId="5C739212" w:rsidR="001C620C" w:rsidRPr="00F016D6" w:rsidRDefault="001C620C" w:rsidP="00F016D6">
      <w:pPr>
        <w:pStyle w:val="FootnoteText1"/>
        <w:rPr>
          <w:rStyle w:val="footnotetextChar0"/>
        </w:rPr>
      </w:pPr>
      <w:r w:rsidRPr="00F016D6">
        <w:rPr>
          <w:rStyle w:val="FootnoteReference"/>
          <w:lang w:val="en-AU"/>
        </w:rPr>
        <w:footnoteRef/>
      </w:r>
      <w:r w:rsidRPr="00F016D6">
        <w:rPr>
          <w:rStyle w:val="FootnoteReference"/>
          <w:lang w:val="en-AU"/>
        </w:rPr>
        <w:t xml:space="preserve"> </w:t>
      </w:r>
      <w:r>
        <w:tab/>
      </w:r>
      <w:r w:rsidRPr="00F016D6">
        <w:rPr>
          <w:rStyle w:val="footnotetextChar0"/>
        </w:rPr>
        <w:t>At the time the reviewed evaluations were completed, and during the first part of this review, most of the Australian aid program was administered by AusAID, an executive agency. AusAID was integrated into the Department of Foreign Affairs and Trade (DFAT) in November 2013.</w:t>
      </w:r>
    </w:p>
  </w:footnote>
  <w:footnote w:id="3">
    <w:p w14:paraId="03241381" w14:textId="3A74BBE0" w:rsidR="001C620C" w:rsidRPr="00AD6A55" w:rsidRDefault="001C620C" w:rsidP="00F016D6">
      <w:pPr>
        <w:pStyle w:val="FootnoteText1"/>
        <w:rPr>
          <w:rStyle w:val="footnotetextChar0"/>
        </w:rPr>
      </w:pPr>
      <w:r w:rsidRPr="00AD6A55">
        <w:rPr>
          <w:rStyle w:val="FootnoteReference"/>
          <w:lang w:val="en-AU"/>
        </w:rPr>
        <w:footnoteRef/>
      </w:r>
      <w:r w:rsidRPr="00AD6A55">
        <w:rPr>
          <w:rStyle w:val="FootnoteReference"/>
          <w:lang w:val="en-AU"/>
        </w:rPr>
        <w:t xml:space="preserve"> </w:t>
      </w:r>
      <w:r>
        <w:tab/>
      </w:r>
      <w:r w:rsidRPr="00AD6A55">
        <w:rPr>
          <w:rStyle w:val="footnotetextChar0"/>
        </w:rPr>
        <w:t xml:space="preserve">DFAT defines independent evaluations as evaluations that are led by a person or team external to the program area where there is no undue influence exercised over the evaluation process or findings. </w:t>
      </w:r>
    </w:p>
  </w:footnote>
  <w:footnote w:id="4">
    <w:p w14:paraId="4704DDFB" w14:textId="4A5CD27B" w:rsidR="001C620C" w:rsidRPr="00AD6A55" w:rsidRDefault="001C620C" w:rsidP="00F016D6">
      <w:pPr>
        <w:pStyle w:val="FootnoteText1"/>
        <w:rPr>
          <w:rStyle w:val="footnotetextChar0"/>
        </w:rPr>
      </w:pPr>
      <w:r w:rsidRPr="005A759D">
        <w:rPr>
          <w:rStyle w:val="FootnoteReference"/>
        </w:rPr>
        <w:footnoteRef/>
      </w:r>
      <w:r w:rsidRPr="005A759D">
        <w:rPr>
          <w:rStyle w:val="FootnoteReference"/>
        </w:rPr>
        <w:t xml:space="preserve"> </w:t>
      </w:r>
      <w:r>
        <w:tab/>
      </w:r>
      <w:r w:rsidRPr="00AD6A55">
        <w:rPr>
          <w:rStyle w:val="footnotetextChar0"/>
        </w:rPr>
        <w:t xml:space="preserve">The initiative-level independent evaluation support function sat with the Program Effectiveness and Performance Division (PEPD) until February 2014, when it moved to ODE. At the same time, PEPD was renamed Contracting and Aid Management Division (ACD). By this time, the preparation of this report was in its final stages. </w:t>
      </w:r>
    </w:p>
  </w:footnote>
  <w:footnote w:id="5">
    <w:p w14:paraId="63098403" w14:textId="2B584815" w:rsidR="001C620C" w:rsidRPr="00AD6A55" w:rsidRDefault="001C620C" w:rsidP="00AD6A55">
      <w:pPr>
        <w:pStyle w:val="FootnoteText1"/>
        <w:rPr>
          <w:rStyle w:val="footnotetextChar0"/>
        </w:rPr>
      </w:pPr>
      <w:r w:rsidRPr="00AD6A55">
        <w:rPr>
          <w:rStyle w:val="FootnoteReference"/>
          <w:lang w:val="en-AU"/>
        </w:rPr>
        <w:footnoteRef/>
      </w:r>
      <w:r w:rsidRPr="009B6CF0">
        <w:t xml:space="preserve"> </w:t>
      </w:r>
      <w:r w:rsidRPr="009B6CF0">
        <w:tab/>
      </w:r>
      <w:r w:rsidRPr="00AD6A55">
        <w:rPr>
          <w:rStyle w:val="footnotetextChar0"/>
        </w:rPr>
        <w:t xml:space="preserve">The DFAT aid publications webpage is currently located at: </w:t>
      </w:r>
      <w:hyperlink r:id="rId1" w:history="1">
        <w:r w:rsidRPr="00AD6A55">
          <w:rPr>
            <w:rStyle w:val="footnotetextChar0"/>
          </w:rPr>
          <w:t>http://aid.dfat.gov.au/Publications/Pages/List.aspx?publicationcategory=Evaluation%20Reports</w:t>
        </w:r>
      </w:hyperlink>
      <w:r w:rsidRPr="00AD6A55">
        <w:rPr>
          <w:rStyle w:val="footnotetextChar0"/>
        </w:rPr>
        <w:t xml:space="preserve">. </w:t>
      </w:r>
    </w:p>
  </w:footnote>
  <w:footnote w:id="6">
    <w:p w14:paraId="2ADA3F35" w14:textId="32277123" w:rsidR="001C620C" w:rsidRPr="00E33DCF" w:rsidRDefault="001C620C" w:rsidP="005B01D1">
      <w:pPr>
        <w:pStyle w:val="FootnoteText1"/>
      </w:pPr>
      <w:r w:rsidRPr="005A759D">
        <w:rPr>
          <w:rStyle w:val="FootnoteReference"/>
        </w:rPr>
        <w:footnoteRef/>
      </w:r>
      <w:r w:rsidRPr="00E33DCF">
        <w:t xml:space="preserve"> </w:t>
      </w:r>
      <w:r>
        <w:tab/>
      </w:r>
      <w:r w:rsidRPr="00E33DCF">
        <w:t>‘Logical Framework’, or ‘</w:t>
      </w:r>
      <w:proofErr w:type="spellStart"/>
      <w:r w:rsidRPr="00E33DCF">
        <w:t>logframe</w:t>
      </w:r>
      <w:proofErr w:type="spellEnd"/>
      <w:r w:rsidRPr="00E33DCF">
        <w:t xml:space="preserve">’, describes both a general approach to project or </w:t>
      </w:r>
      <w:r>
        <w:t>program</w:t>
      </w:r>
      <w:r w:rsidRPr="00E33DCF">
        <w:t xml:space="preserve"> planning, monitoring and evaluation and</w:t>
      </w:r>
      <w:r>
        <w:t>—</w:t>
      </w:r>
      <w:r w:rsidRPr="00E33DCF">
        <w:t>in the form of a ‘</w:t>
      </w:r>
      <w:proofErr w:type="spellStart"/>
      <w:r w:rsidRPr="00E33DCF">
        <w:t>logframe</w:t>
      </w:r>
      <w:proofErr w:type="spellEnd"/>
      <w:r w:rsidRPr="00E33DCF">
        <w:t xml:space="preserve"> matrix’</w:t>
      </w:r>
      <w:r>
        <w:t>—</w:t>
      </w:r>
      <w:r w:rsidRPr="00E33DCF">
        <w:t xml:space="preserve">a discrete planning and monitoring tool for projects and </w:t>
      </w:r>
      <w:r>
        <w:t>program</w:t>
      </w:r>
      <w:r w:rsidRPr="00E33DCF">
        <w:t>s.</w:t>
      </w:r>
      <w:r>
        <w:t xml:space="preserve"> </w:t>
      </w:r>
      <w:r w:rsidRPr="00E33DCF">
        <w:t>Source:</w:t>
      </w:r>
      <w:r>
        <w:t xml:space="preserve"> </w:t>
      </w:r>
      <w:proofErr w:type="spellStart"/>
      <w:r w:rsidRPr="00E33DCF">
        <w:t>BetterEvaluation</w:t>
      </w:r>
      <w:proofErr w:type="spellEnd"/>
      <w:r w:rsidRPr="00E33DCF">
        <w:t xml:space="preserve"> website</w:t>
      </w:r>
      <w:r>
        <w:t>:</w:t>
      </w:r>
      <w:r w:rsidRPr="00EF0D69">
        <w:t xml:space="preserve"> http://betterevaluation.org/</w:t>
      </w:r>
      <w:r>
        <w:t>.</w:t>
      </w:r>
    </w:p>
  </w:footnote>
  <w:footnote w:id="7">
    <w:p w14:paraId="728D34EE" w14:textId="7C87FFA1" w:rsidR="001C620C" w:rsidRDefault="001C620C" w:rsidP="00584E91">
      <w:pPr>
        <w:pStyle w:val="FootnoteText1"/>
      </w:pPr>
      <w:r>
        <w:rPr>
          <w:rStyle w:val="FootnoteReference"/>
        </w:rPr>
        <w:footnoteRef/>
      </w:r>
      <w:r>
        <w:t xml:space="preserve"> </w:t>
      </w:r>
      <w:r>
        <w:tab/>
        <w:t>Office of Development Effectiveness</w:t>
      </w:r>
      <w:r w:rsidRPr="005B01D1">
        <w:t xml:space="preserve">, </w:t>
      </w:r>
      <w:r w:rsidRPr="00584E91">
        <w:t>Lessons from Australian aid: 2013 report on independent evaluation and quality assurance</w:t>
      </w:r>
      <w:r w:rsidRPr="005B01D1">
        <w:t>, 201</w:t>
      </w:r>
      <w:r>
        <w:t>4.</w:t>
      </w:r>
    </w:p>
  </w:footnote>
  <w:footnote w:id="8">
    <w:p w14:paraId="707817F6" w14:textId="0C06EF32" w:rsidR="001C620C" w:rsidRPr="004F3E1C" w:rsidRDefault="001C620C" w:rsidP="005B01D1">
      <w:pPr>
        <w:pStyle w:val="FootnoteText1"/>
      </w:pPr>
      <w:r w:rsidRPr="00BF38AF">
        <w:rPr>
          <w:rStyle w:val="FootnoteReference"/>
        </w:rPr>
        <w:footnoteRef/>
      </w:r>
      <w:r>
        <w:tab/>
      </w:r>
      <w:proofErr w:type="gramStart"/>
      <w:r w:rsidRPr="00782077">
        <w:rPr>
          <w:rStyle w:val="footnotetextChar0"/>
        </w:rPr>
        <w:t>Australian Government, Australia’s International Development Assistance Program, 2013–14</w:t>
      </w:r>
      <w:r>
        <w:rPr>
          <w:rStyle w:val="footnotetextChar0"/>
        </w:rPr>
        <w:t>, p13</w:t>
      </w:r>
      <w:r w:rsidRPr="00782077">
        <w:rPr>
          <w:rStyle w:val="footnotetextChar0"/>
        </w:rPr>
        <w:t>.</w:t>
      </w:r>
      <w:proofErr w:type="gramEnd"/>
    </w:p>
  </w:footnote>
  <w:footnote w:id="9">
    <w:p w14:paraId="4A3C2ADB" w14:textId="7B2FED12" w:rsidR="001C620C" w:rsidRPr="00834B12" w:rsidRDefault="001C620C" w:rsidP="005B01D1">
      <w:pPr>
        <w:pStyle w:val="FootnoteText1"/>
      </w:pPr>
      <w:r w:rsidRPr="00BF38AF">
        <w:rPr>
          <w:rStyle w:val="FootnoteReference"/>
        </w:rPr>
        <w:footnoteRef/>
      </w:r>
      <w:r>
        <w:tab/>
      </w:r>
      <w:proofErr w:type="gramStart"/>
      <w:r w:rsidRPr="00782077">
        <w:rPr>
          <w:rStyle w:val="footnotetextChar0"/>
        </w:rPr>
        <w:t>Ibid, p. 119.</w:t>
      </w:r>
      <w:proofErr w:type="gramEnd"/>
    </w:p>
  </w:footnote>
  <w:footnote w:id="10">
    <w:p w14:paraId="1698FA71" w14:textId="77777777" w:rsidR="001C620C" w:rsidRDefault="001C620C" w:rsidP="00BB45E2">
      <w:pPr>
        <w:pStyle w:val="FootnoteText1"/>
      </w:pPr>
      <w:r>
        <w:rPr>
          <w:rStyle w:val="FootnoteReference"/>
        </w:rPr>
        <w:footnoteRef/>
      </w:r>
      <w:r>
        <w:t xml:space="preserve"> </w:t>
      </w:r>
      <w:r>
        <w:tab/>
        <w:t>Office of Development Effectiveness</w:t>
      </w:r>
      <w:r w:rsidRPr="005B01D1">
        <w:t xml:space="preserve">, </w:t>
      </w:r>
      <w:r w:rsidRPr="00584E91">
        <w:t>Lessons from Australian aid: 2013 report on independent evaluation and quality assurance</w:t>
      </w:r>
      <w:r w:rsidRPr="005B01D1">
        <w:t>, 201</w:t>
      </w:r>
      <w:r>
        <w:t>4.</w:t>
      </w:r>
    </w:p>
  </w:footnote>
  <w:footnote w:id="11">
    <w:p w14:paraId="01450262" w14:textId="4C042495" w:rsidR="001C620C" w:rsidRPr="00980305" w:rsidRDefault="001C620C" w:rsidP="005B01D1">
      <w:pPr>
        <w:pStyle w:val="FootnoteText1"/>
        <w:rPr>
          <w:rStyle w:val="footnotetextChar0"/>
        </w:rPr>
      </w:pPr>
      <w:r w:rsidRPr="00BF38AF">
        <w:rPr>
          <w:rStyle w:val="FootnoteReference"/>
        </w:rPr>
        <w:footnoteRef/>
      </w:r>
      <w:r w:rsidRPr="00BF38AF">
        <w:rPr>
          <w:rStyle w:val="FootnoteReference"/>
        </w:rPr>
        <w:t xml:space="preserve"> </w:t>
      </w:r>
      <w:r>
        <w:tab/>
      </w:r>
      <w:r w:rsidRPr="00980305">
        <w:rPr>
          <w:rStyle w:val="footnotetextChar0"/>
        </w:rPr>
        <w:t>The World Bank</w:t>
      </w:r>
      <w:r w:rsidRPr="009F23F3">
        <w:rPr>
          <w:rStyle w:val="footnotetextChar0"/>
        </w:rPr>
        <w:t xml:space="preserve"> World development report on gender equality and development</w:t>
      </w:r>
      <w:r w:rsidRPr="00980305">
        <w:rPr>
          <w:rStyle w:val="footnotetextChar0"/>
        </w:rPr>
        <w:t xml:space="preserve"> (2012) highlights these linkages and the costs of not addressing gender inequality.</w:t>
      </w:r>
    </w:p>
  </w:footnote>
  <w:footnote w:id="12">
    <w:p w14:paraId="210E7DFC" w14:textId="33349A3E" w:rsidR="001C620C" w:rsidRDefault="001C620C" w:rsidP="005B01D1">
      <w:pPr>
        <w:pStyle w:val="FootnoteText1"/>
      </w:pPr>
      <w:r>
        <w:rPr>
          <w:rStyle w:val="FootnoteReference"/>
        </w:rPr>
        <w:footnoteRef/>
      </w:r>
      <w:r>
        <w:t xml:space="preserve"> </w:t>
      </w:r>
      <w:r>
        <w:tab/>
      </w:r>
      <w:proofErr w:type="gramStart"/>
      <w:r w:rsidRPr="00642298">
        <w:t>AusAID</w:t>
      </w:r>
      <w:r w:rsidRPr="005B01D1">
        <w:t>,</w:t>
      </w:r>
      <w:r w:rsidRPr="00642298">
        <w:t xml:space="preserve"> </w:t>
      </w:r>
      <w:r w:rsidRPr="00232816">
        <w:t>Australian multilateral assessment</w:t>
      </w:r>
      <w:r w:rsidRPr="005B01D1">
        <w:t>, 2012</w:t>
      </w:r>
      <w:r w:rsidRPr="00642298">
        <w:t>.</w:t>
      </w:r>
      <w:proofErr w:type="gramEnd"/>
    </w:p>
  </w:footnote>
  <w:footnote w:id="13">
    <w:p w14:paraId="4403FC6C" w14:textId="6BFB1345" w:rsidR="001C620C" w:rsidRPr="005B01D1" w:rsidRDefault="001C620C" w:rsidP="005B01D1">
      <w:pPr>
        <w:pStyle w:val="FootnoteText1"/>
      </w:pPr>
      <w:r w:rsidRPr="00BF38AF">
        <w:rPr>
          <w:rStyle w:val="FootnoteReference"/>
        </w:rPr>
        <w:footnoteRef/>
      </w:r>
      <w:r>
        <w:tab/>
      </w:r>
      <w:r w:rsidRPr="00AD6A55">
        <w:rPr>
          <w:i/>
        </w:rPr>
        <w:t>‘The Bank should continue to accept trust funds created to support operations in a single country, because these funds have generally worked well in filling financing gaps and deploying donor funds in line with recipient priorities. They have allowed donors to target priority issues or countries, while at the same time helping mitigate limits of bilateral aid expertise and enhance aid coordination.</w:t>
      </w:r>
      <w:r w:rsidRPr="005B01D1">
        <w:rPr>
          <w:i/>
        </w:rPr>
        <w:t>’</w:t>
      </w:r>
      <w:r w:rsidRPr="00AD6A55">
        <w:rPr>
          <w:i/>
        </w:rPr>
        <w:t xml:space="preserve"> </w:t>
      </w:r>
      <w:r>
        <w:t xml:space="preserve">World Bank Independent Evaluation Group, </w:t>
      </w:r>
      <w:r w:rsidRPr="00AD6A55">
        <w:t>Trust fund support for development: An evaluation of the World Bank’s trust fund portfolio</w:t>
      </w:r>
      <w:r w:rsidRPr="005B01D1">
        <w:t>, 2011, p. 84.</w:t>
      </w:r>
    </w:p>
  </w:footnote>
  <w:footnote w:id="14">
    <w:p w14:paraId="419E8DC8" w14:textId="037D0497" w:rsidR="001C620C" w:rsidRPr="00AB14E8" w:rsidRDefault="001C620C" w:rsidP="005B01D1">
      <w:pPr>
        <w:pStyle w:val="FootnoteText1"/>
        <w:rPr>
          <w:rStyle w:val="footnotetextChar0"/>
        </w:rPr>
      </w:pPr>
      <w:r w:rsidRPr="005774E5">
        <w:rPr>
          <w:rStyle w:val="FootnoteReference"/>
        </w:rPr>
        <w:footnoteRef/>
      </w:r>
      <w:r>
        <w:tab/>
      </w:r>
      <w:r w:rsidRPr="00AB14E8">
        <w:rPr>
          <w:rStyle w:val="footnotetextChar0"/>
        </w:rPr>
        <w:t>Data received on 30 October 2013 from the former AusAID’s statistics unit by AusAID’s Civil Society and Business Branch.</w:t>
      </w:r>
    </w:p>
  </w:footnote>
  <w:footnote w:id="15">
    <w:p w14:paraId="7AB200A1" w14:textId="6341CD23" w:rsidR="001C620C" w:rsidRPr="00AB14E8" w:rsidRDefault="001C620C" w:rsidP="005B01D1">
      <w:pPr>
        <w:pStyle w:val="FootnoteText1"/>
        <w:rPr>
          <w:rStyle w:val="footnotetextChar0"/>
        </w:rPr>
      </w:pPr>
      <w:r w:rsidRPr="005774E5">
        <w:rPr>
          <w:rStyle w:val="FootnoteReference"/>
        </w:rPr>
        <w:footnoteRef/>
      </w:r>
      <w:r>
        <w:tab/>
      </w:r>
      <w:r w:rsidRPr="00AB14E8">
        <w:rPr>
          <w:rStyle w:val="footnotetextChar0"/>
        </w:rPr>
        <w:t>Evaluation of the Secretariat of Pacific Initiative, 2012, p. 6.</w:t>
      </w:r>
    </w:p>
  </w:footnote>
  <w:footnote w:id="16">
    <w:p w14:paraId="19CF0B90" w14:textId="1C163258" w:rsidR="001C620C" w:rsidRPr="00973470" w:rsidRDefault="001C620C" w:rsidP="00702E0A">
      <w:pPr>
        <w:pStyle w:val="FootnoteText1"/>
      </w:pPr>
      <w:r w:rsidRPr="005774E5">
        <w:rPr>
          <w:rStyle w:val="FootnoteReference"/>
        </w:rPr>
        <w:footnoteRef/>
      </w:r>
      <w:r w:rsidRPr="005774E5">
        <w:rPr>
          <w:rStyle w:val="FootnoteReference"/>
        </w:rPr>
        <w:t xml:space="preserve"> </w:t>
      </w:r>
      <w:r>
        <w:tab/>
      </w:r>
      <w:r w:rsidRPr="00AB14E8">
        <w:rPr>
          <w:rStyle w:val="footnotetextChar0"/>
        </w:rPr>
        <w:t xml:space="preserve">AusAID, </w:t>
      </w:r>
      <w:r w:rsidRPr="00702E0A">
        <w:rPr>
          <w:rStyle w:val="footnotetextChar0"/>
        </w:rPr>
        <w:t>Australian aid: Promoting growth and stability—</w:t>
      </w:r>
      <w:proofErr w:type="gramStart"/>
      <w:r w:rsidRPr="00702E0A">
        <w:rPr>
          <w:rStyle w:val="footnotetextChar0"/>
        </w:rPr>
        <w:t>A</w:t>
      </w:r>
      <w:proofErr w:type="gramEnd"/>
      <w:r w:rsidRPr="00702E0A">
        <w:rPr>
          <w:rStyle w:val="footnotetextChar0"/>
        </w:rPr>
        <w:t xml:space="preserve"> white paper on the Australian Government’s overseas aid </w:t>
      </w:r>
      <w:r w:rsidRPr="00AB14E8">
        <w:rPr>
          <w:rStyle w:val="footnotetextChar0"/>
        </w:rPr>
        <w:t>p</w:t>
      </w:r>
      <w:r w:rsidRPr="00702E0A">
        <w:rPr>
          <w:rStyle w:val="footnotetextChar0"/>
        </w:rPr>
        <w:t>rogram</w:t>
      </w:r>
      <w:r w:rsidRPr="00AB14E8">
        <w:rPr>
          <w:rStyle w:val="footnotetextChar0"/>
        </w:rPr>
        <w:t>, Australian Government, 2005.</w:t>
      </w:r>
    </w:p>
  </w:footnote>
  <w:footnote w:id="17">
    <w:p w14:paraId="33645D00" w14:textId="2FF95AD6" w:rsidR="001C620C" w:rsidRPr="000F2448" w:rsidRDefault="001C620C" w:rsidP="005B01D1">
      <w:pPr>
        <w:pStyle w:val="FootnoteText1"/>
      </w:pPr>
      <w:r w:rsidRPr="00465E68">
        <w:rPr>
          <w:rStyle w:val="FootnoteReference"/>
        </w:rPr>
        <w:footnoteRef/>
      </w:r>
      <w:r w:rsidRPr="000F2448">
        <w:t xml:space="preserve"> </w:t>
      </w:r>
      <w:r>
        <w:tab/>
      </w:r>
      <w:r w:rsidRPr="000F2448">
        <w:t>A ‘monitored’ initiative is where the expected Australian Government funding over the life of the initiative is greater than $3 million</w:t>
      </w:r>
      <w:r>
        <w:t>,</w:t>
      </w:r>
      <w:r w:rsidRPr="000F2448">
        <w:t xml:space="preserve"> </w:t>
      </w:r>
      <w:r w:rsidRPr="000F2448">
        <w:rPr>
          <w:i/>
        </w:rPr>
        <w:t xml:space="preserve">or </w:t>
      </w:r>
      <w:r w:rsidRPr="000F2448">
        <w:t>the value is less than $3 million but the initiative is significant to country or corporate strategies or key relationships with other development partners</w:t>
      </w:r>
      <w:r>
        <w:t>,</w:t>
      </w:r>
      <w:r w:rsidRPr="000F2448">
        <w:t xml:space="preserve"> including other government agencies.</w:t>
      </w:r>
    </w:p>
  </w:footnote>
  <w:footnote w:id="18">
    <w:p w14:paraId="2C5097D3" w14:textId="61B180C4" w:rsidR="001C620C" w:rsidRPr="000F2448" w:rsidRDefault="001C620C" w:rsidP="005B01D1">
      <w:pPr>
        <w:pStyle w:val="FootnoteText1"/>
      </w:pPr>
      <w:r w:rsidRPr="00465E68">
        <w:rPr>
          <w:rStyle w:val="FootnoteReference"/>
        </w:rPr>
        <w:footnoteRef/>
      </w:r>
      <w:r w:rsidRPr="00465E68">
        <w:rPr>
          <w:rStyle w:val="FootnoteReference"/>
        </w:rPr>
        <w:t xml:space="preserve"> </w:t>
      </w:r>
      <w:r>
        <w:tab/>
      </w:r>
      <w:r w:rsidRPr="00364B53">
        <w:rPr>
          <w:rStyle w:val="footnotetextChar0"/>
        </w:rPr>
        <w:t>ODE will work with AusAID’s Whole of Government Branch as it works to apply uniform standards to ODA managed by other government agencies.</w:t>
      </w:r>
    </w:p>
  </w:footnote>
  <w:footnote w:id="19">
    <w:p w14:paraId="2ADD56CA" w14:textId="0A5AC303" w:rsidR="001C620C" w:rsidRPr="00364B53" w:rsidRDefault="001C620C" w:rsidP="005B01D1">
      <w:pPr>
        <w:pStyle w:val="FootnoteText1"/>
        <w:rPr>
          <w:rStyle w:val="footnotetextChar0"/>
        </w:rPr>
      </w:pPr>
      <w:r w:rsidRPr="00465E68">
        <w:rPr>
          <w:rStyle w:val="FootnoteReference"/>
        </w:rPr>
        <w:footnoteRef/>
      </w:r>
      <w:r w:rsidRPr="00465E68">
        <w:rPr>
          <w:rStyle w:val="FootnoteReference"/>
        </w:rPr>
        <w:t xml:space="preserve"> </w:t>
      </w:r>
      <w:r>
        <w:tab/>
      </w:r>
      <w:proofErr w:type="gramStart"/>
      <w:r w:rsidRPr="00364B53">
        <w:rPr>
          <w:rStyle w:val="footnotetextChar0"/>
        </w:rPr>
        <w:t xml:space="preserve">Patricia Rogers, </w:t>
      </w:r>
      <w:r w:rsidRPr="00702E0A">
        <w:rPr>
          <w:rStyle w:val="footnotetextChar0"/>
        </w:rPr>
        <w:t>Meta-evaluation of AusAID’s technical review process</w:t>
      </w:r>
      <w:r w:rsidRPr="00364B53">
        <w:rPr>
          <w:rStyle w:val="footnotetextChar0"/>
        </w:rPr>
        <w:t>, RMIT University, April 2011.</w:t>
      </w:r>
      <w:proofErr w:type="gramEnd"/>
    </w:p>
  </w:footnote>
  <w:footnote w:id="20">
    <w:p w14:paraId="085754C2" w14:textId="6D43552B" w:rsidR="001C620C" w:rsidRPr="00364B53" w:rsidRDefault="001C620C" w:rsidP="005B01D1">
      <w:pPr>
        <w:pStyle w:val="FootnoteText1"/>
        <w:rPr>
          <w:rStyle w:val="footnotetextChar0"/>
        </w:rPr>
      </w:pPr>
      <w:r w:rsidRPr="00465E68">
        <w:rPr>
          <w:rStyle w:val="FootnoteReference"/>
        </w:rPr>
        <w:footnoteRef/>
      </w:r>
      <w:r w:rsidRPr="000F2448">
        <w:t xml:space="preserve"> </w:t>
      </w:r>
      <w:r>
        <w:tab/>
      </w:r>
      <w:proofErr w:type="gramStart"/>
      <w:r w:rsidRPr="00364B53">
        <w:rPr>
          <w:rStyle w:val="footnotetextChar0"/>
        </w:rPr>
        <w:t xml:space="preserve">Commissioned in support of the </w:t>
      </w:r>
      <w:r w:rsidRPr="00AD6A55">
        <w:rPr>
          <w:rStyle w:val="footnotetextChar0"/>
        </w:rPr>
        <w:t>Independent review of aid effectiveness</w:t>
      </w:r>
      <w:r w:rsidRPr="00364B53">
        <w:rPr>
          <w:rStyle w:val="footnotetextChar0"/>
        </w:rPr>
        <w:t>.</w:t>
      </w:r>
      <w:proofErr w:type="gramEnd"/>
      <w:r w:rsidRPr="00364B53">
        <w:rPr>
          <w:rStyle w:val="footnotetextChar0"/>
        </w:rPr>
        <w:t xml:space="preserve"> This study reviewed evaluations from a four-year period from July 2006 to June 2010.</w:t>
      </w:r>
    </w:p>
  </w:footnote>
  <w:footnote w:id="21">
    <w:p w14:paraId="195B53FF" w14:textId="72ED465E" w:rsidR="001C620C" w:rsidRPr="00364B53" w:rsidRDefault="001C620C" w:rsidP="005B01D1">
      <w:pPr>
        <w:pStyle w:val="FootnoteText1"/>
        <w:rPr>
          <w:rStyle w:val="footnotetextChar0"/>
        </w:rPr>
      </w:pPr>
      <w:r w:rsidRPr="005774E5">
        <w:rPr>
          <w:rStyle w:val="FootnoteReference"/>
        </w:rPr>
        <w:footnoteRef/>
      </w:r>
      <w:r w:rsidRPr="005774E5">
        <w:rPr>
          <w:rStyle w:val="FootnoteReference"/>
        </w:rPr>
        <w:t xml:space="preserve"> </w:t>
      </w:r>
      <w:r>
        <w:tab/>
      </w:r>
      <w:r w:rsidRPr="00364B53">
        <w:rPr>
          <w:rStyle w:val="footnotetextChar0"/>
        </w:rPr>
        <w:t xml:space="preserve">In the 2011–12 financial </w:t>
      </w:r>
      <w:proofErr w:type="gramStart"/>
      <w:r w:rsidRPr="00364B53">
        <w:rPr>
          <w:rStyle w:val="footnotetextChar0"/>
        </w:rPr>
        <w:t>year</w:t>
      </w:r>
      <w:proofErr w:type="gramEnd"/>
      <w:r w:rsidRPr="00364B53">
        <w:rPr>
          <w:rStyle w:val="footnotetextChar0"/>
        </w:rPr>
        <w:t xml:space="preserve"> there were 588 monitored initiatives with an average duration of 5.3 years. Every initiative is required to undertake an evaluation at least once over its life. So, assuming an even split of evaluations per year, approximately 110–111 evaluations would be expected in 2012.</w:t>
      </w:r>
    </w:p>
  </w:footnote>
  <w:footnote w:id="22">
    <w:p w14:paraId="5FB215FB" w14:textId="13B16868" w:rsidR="001C620C" w:rsidRPr="00364B53" w:rsidRDefault="001C620C" w:rsidP="005B01D1">
      <w:pPr>
        <w:pStyle w:val="FootnoteText1"/>
        <w:rPr>
          <w:rStyle w:val="footnotetextChar0"/>
        </w:rPr>
      </w:pPr>
      <w:r w:rsidRPr="005774E5">
        <w:rPr>
          <w:rStyle w:val="FootnoteReference"/>
        </w:rPr>
        <w:footnoteRef/>
      </w:r>
      <w:r w:rsidRPr="005774E5">
        <w:rPr>
          <w:rStyle w:val="FootnoteReference"/>
        </w:rPr>
        <w:t xml:space="preserve"> </w:t>
      </w:r>
      <w:r>
        <w:tab/>
      </w:r>
      <w:r w:rsidRPr="00364B53">
        <w:rPr>
          <w:rStyle w:val="footnotetextChar0"/>
        </w:rPr>
        <w:t xml:space="preserve">Since the Bazeley study, which covered the 2006–2010 financial years, no financial year </w:t>
      </w:r>
      <w:proofErr w:type="spellStart"/>
      <w:r w:rsidRPr="00364B53">
        <w:rPr>
          <w:rStyle w:val="footnotetextChar0"/>
        </w:rPr>
        <w:t>stocktakes</w:t>
      </w:r>
      <w:proofErr w:type="spellEnd"/>
      <w:r w:rsidRPr="00364B53">
        <w:rPr>
          <w:rStyle w:val="footnotetextChar0"/>
        </w:rPr>
        <w:t xml:space="preserve"> of completed evaluations have been undertaken.</w:t>
      </w:r>
    </w:p>
  </w:footnote>
  <w:footnote w:id="23">
    <w:p w14:paraId="4E022ECD" w14:textId="53ED3944" w:rsidR="001C620C" w:rsidRPr="007602B6" w:rsidRDefault="001C620C" w:rsidP="005B01D1">
      <w:pPr>
        <w:pStyle w:val="FootnoteText1"/>
        <w:rPr>
          <w:rStyle w:val="footnotetextChar0"/>
        </w:rPr>
      </w:pPr>
      <w:r w:rsidRPr="005774E5">
        <w:rPr>
          <w:rStyle w:val="FootnoteReference"/>
        </w:rPr>
        <w:footnoteRef/>
      </w:r>
      <w:r w:rsidRPr="000F2448">
        <w:t xml:space="preserve"> </w:t>
      </w:r>
      <w:r>
        <w:tab/>
      </w:r>
      <w:r w:rsidRPr="007602B6">
        <w:rPr>
          <w:rStyle w:val="footnotetextChar0"/>
        </w:rPr>
        <w:t xml:space="preserve">‘Independent evaluations’ is hereafter used in these </w:t>
      </w:r>
      <w:r>
        <w:rPr>
          <w:rStyle w:val="footnotetextChar0"/>
        </w:rPr>
        <w:t>t</w:t>
      </w:r>
      <w:r w:rsidRPr="007602B6">
        <w:rPr>
          <w:rStyle w:val="footnotetextChar0"/>
        </w:rPr>
        <w:t xml:space="preserve">erms of </w:t>
      </w:r>
      <w:r>
        <w:rPr>
          <w:rStyle w:val="footnotetextChar0"/>
        </w:rPr>
        <w:t>r</w:t>
      </w:r>
      <w:r w:rsidRPr="007602B6">
        <w:rPr>
          <w:rStyle w:val="footnotetextChar0"/>
        </w:rPr>
        <w:t>eference to mean initiative-level independent evaluations.</w:t>
      </w:r>
    </w:p>
  </w:footnote>
  <w:footnote w:id="24">
    <w:p w14:paraId="0D009FDA" w14:textId="4B273740" w:rsidR="001C620C" w:rsidRPr="005B01D1" w:rsidRDefault="001C620C" w:rsidP="00AD6A55">
      <w:pPr>
        <w:pStyle w:val="FootnoteText1"/>
        <w:rPr>
          <w:rStyle w:val="footnotetextChar0"/>
        </w:rPr>
      </w:pPr>
      <w:r>
        <w:rPr>
          <w:rStyle w:val="FootnoteReference"/>
        </w:rPr>
        <w:footnoteRef/>
      </w:r>
      <w:r>
        <w:t xml:space="preserve"> </w:t>
      </w:r>
      <w:r>
        <w:tab/>
      </w:r>
      <w:r w:rsidRPr="005B01D1">
        <w:rPr>
          <w:rStyle w:val="footnotetextChar0"/>
        </w:rPr>
        <w:t>This question was dropped. The question had assumed that a high number of the evaluation reports under review would provide numerical ratings for quality. However, the quality review revealed that only 40 per cent of evaluations provided any numerical ratings, so the question was no longer relevant.</w:t>
      </w:r>
    </w:p>
  </w:footnote>
  <w:footnote w:id="25">
    <w:p w14:paraId="44CA4889" w14:textId="3FF21CA9" w:rsidR="001C620C" w:rsidRPr="007602B6" w:rsidRDefault="001C620C" w:rsidP="005B01D1">
      <w:pPr>
        <w:pStyle w:val="FootnoteText1"/>
        <w:rPr>
          <w:rStyle w:val="footnotetextChar0"/>
        </w:rPr>
      </w:pPr>
      <w:r w:rsidRPr="005774E5">
        <w:rPr>
          <w:rStyle w:val="FootnoteReference"/>
        </w:rPr>
        <w:footnoteRef/>
      </w:r>
      <w:r w:rsidRPr="005774E5">
        <w:rPr>
          <w:rStyle w:val="FootnoteReference"/>
        </w:rPr>
        <w:t xml:space="preserve"> </w:t>
      </w:r>
      <w:r>
        <w:rPr>
          <w:rStyle w:val="FootnoteReference"/>
          <w:sz w:val="20"/>
        </w:rPr>
        <w:tab/>
      </w:r>
      <w:r w:rsidRPr="007602B6">
        <w:rPr>
          <w:rStyle w:val="footnotetextChar0"/>
        </w:rPr>
        <w:t xml:space="preserve">For example, the ALNAP pro forma: </w:t>
      </w:r>
      <w:hyperlink r:id="rId2" w:history="1">
        <w:r w:rsidRPr="007602B6">
          <w:rPr>
            <w:rStyle w:val="footnotetextChar0"/>
          </w:rPr>
          <w:t>www.alnap.org/pool/files/QualityProforma05.pdf</w:t>
        </w:r>
      </w:hyperlink>
      <w:r w:rsidRPr="007602B6">
        <w:rPr>
          <w:rStyle w:val="footnotetextChar0"/>
        </w:rPr>
        <w:t>.</w:t>
      </w:r>
    </w:p>
  </w:footnote>
  <w:footnote w:id="26">
    <w:p w14:paraId="3D40AAE2" w14:textId="5F22D0FE" w:rsidR="001C620C" w:rsidRPr="00C159D7" w:rsidRDefault="001C620C" w:rsidP="005B01D1">
      <w:pPr>
        <w:pStyle w:val="FootnoteText1"/>
        <w:rPr>
          <w:rStyle w:val="footnotetextChar0"/>
        </w:rPr>
      </w:pPr>
      <w:r w:rsidRPr="005774E5">
        <w:rPr>
          <w:rStyle w:val="FootnoteReference"/>
        </w:rPr>
        <w:footnoteRef/>
      </w:r>
      <w:r w:rsidRPr="005774E5">
        <w:rPr>
          <w:rStyle w:val="FootnoteReference"/>
        </w:rPr>
        <w:t xml:space="preserve"> </w:t>
      </w:r>
      <w:r>
        <w:tab/>
      </w:r>
      <w:r w:rsidRPr="00C159D7">
        <w:rPr>
          <w:rStyle w:val="footnotetextChar0"/>
        </w:rPr>
        <w:t xml:space="preserve">Originally it was planned that there would be an additional key evaluation question: ‘Are there any trends or patterns regarding the effectiveness, sustainability or other characteristics of evaluated initiatives?’ However, this had assumed a high number of the evaluation reports under review would rate initiatives against the Australian aid quality criteria. The </w:t>
      </w:r>
      <w:r w:rsidRPr="00702E0A">
        <w:rPr>
          <w:rStyle w:val="footnotetextChar0"/>
        </w:rPr>
        <w:t>Quality of Australian aid operational evaluations</w:t>
      </w:r>
      <w:r w:rsidRPr="00C159D7">
        <w:rPr>
          <w:rStyle w:val="footnotetextChar0"/>
        </w:rPr>
        <w:t xml:space="preserve"> review revealed that only 40 per cent provided ratings, so this is no longer a focus of this evaluation synthesis.</w:t>
      </w:r>
    </w:p>
  </w:footnote>
  <w:footnote w:id="27">
    <w:p w14:paraId="7E372216" w14:textId="6BDDDDA8" w:rsidR="001C620C" w:rsidRPr="00775B1A" w:rsidRDefault="001C620C" w:rsidP="005B01D1">
      <w:pPr>
        <w:pStyle w:val="FootnoteText1"/>
        <w:rPr>
          <w:rStyle w:val="footnotetextChar0"/>
        </w:rPr>
      </w:pPr>
      <w:r w:rsidRPr="005774E5">
        <w:rPr>
          <w:rStyle w:val="FootnoteReference"/>
        </w:rPr>
        <w:footnoteRef/>
      </w:r>
      <w:r w:rsidRPr="00EE6D47">
        <w:t xml:space="preserve"> </w:t>
      </w:r>
      <w:r>
        <w:tab/>
      </w:r>
      <w:r w:rsidRPr="00775B1A">
        <w:rPr>
          <w:rStyle w:val="footnotetextChar0"/>
        </w:rPr>
        <w:t>Innovative initiatives may be defined as ‘initiatives where new and untested approaches were funded’. Initiatives in a high-risk setting may be defined based on the evidence from the initiatives but include those implemented in fragile and conflict-affected states, as per the Organization for Economic Cooperation and Development (OECD) definition.</w:t>
      </w:r>
    </w:p>
  </w:footnote>
  <w:footnote w:id="28">
    <w:p w14:paraId="115BCAFA" w14:textId="17E0828E" w:rsidR="001C620C" w:rsidRPr="00C40B57" w:rsidRDefault="001C620C" w:rsidP="005B01D1">
      <w:pPr>
        <w:pStyle w:val="FootnoteText1"/>
        <w:rPr>
          <w:rStyle w:val="footnotetextChar0"/>
        </w:rPr>
      </w:pPr>
      <w:r w:rsidRPr="005774E5">
        <w:rPr>
          <w:rStyle w:val="FootnoteReference"/>
        </w:rPr>
        <w:footnoteRef/>
      </w:r>
      <w:r w:rsidRPr="001816F9">
        <w:rPr>
          <w:rStyle w:val="FootnoteReference"/>
        </w:rPr>
        <w:t xml:space="preserve"> </w:t>
      </w:r>
      <w:r>
        <w:tab/>
      </w:r>
      <w:r w:rsidRPr="00C40B57">
        <w:rPr>
          <w:rStyle w:val="footnotetextChar0"/>
        </w:rPr>
        <w:t xml:space="preserve">The DFAT aid publications webpage is currently located at: </w:t>
      </w:r>
      <w:hyperlink r:id="rId3" w:history="1">
        <w:r w:rsidRPr="00C40B57">
          <w:rPr>
            <w:rStyle w:val="footnotetextChar0"/>
          </w:rPr>
          <w:t>http://aid.dfat.gov.au/Publications/Pages/List.aspx?publicationcategory=Evaluation%20Reports</w:t>
        </w:r>
      </w:hyperlink>
      <w:r w:rsidRPr="00C40B57">
        <w:rPr>
          <w:rStyle w:val="footnotetextChar0"/>
        </w:rPr>
        <w:t xml:space="preserve">. </w:t>
      </w:r>
    </w:p>
  </w:footnote>
  <w:footnote w:id="29">
    <w:p w14:paraId="5EA66FF6" w14:textId="77777777" w:rsidR="001C620C" w:rsidRDefault="001C620C" w:rsidP="00AD6A55">
      <w:pPr>
        <w:pStyle w:val="FootnoteText"/>
      </w:pPr>
      <w:r>
        <w:rPr>
          <w:rStyle w:val="FootnoteReference"/>
        </w:rPr>
        <w:footnoteRef/>
      </w:r>
      <w:r>
        <w:t xml:space="preserve"> </w:t>
      </w:r>
      <w:proofErr w:type="gramStart"/>
      <w:r>
        <w:t>C</w:t>
      </w:r>
      <w:proofErr w:type="spellStart"/>
      <w:r>
        <w:rPr>
          <w:lang w:val="en-GB" w:eastAsia="en-GB"/>
        </w:rPr>
        <w:t>ompleted</w:t>
      </w:r>
      <w:proofErr w:type="spellEnd"/>
      <w:r>
        <w:rPr>
          <w:lang w:val="en-GB" w:eastAsia="en-GB"/>
        </w:rPr>
        <w:t xml:space="preserve"> in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5988A" w14:textId="77777777" w:rsidR="004F1F1A" w:rsidRDefault="004F1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5D716" w14:textId="77777777" w:rsidR="004F1F1A" w:rsidRDefault="004F1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CCC12" w14:textId="5AC77937" w:rsidR="001C620C" w:rsidRDefault="001C620C">
    <w:pPr>
      <w:pStyle w:val="Header"/>
    </w:pPr>
    <w:r>
      <w:rPr>
        <w:noProof/>
      </w:rPr>
      <w:drawing>
        <wp:anchor distT="0" distB="0" distL="114300" distR="114300" simplePos="0" relativeHeight="251656704" behindDoc="1" locked="0" layoutInCell="1" allowOverlap="1" wp14:anchorId="1AAEC702" wp14:editId="5F783F04">
          <wp:simplePos x="0" y="0"/>
          <wp:positionH relativeFrom="page">
            <wp:posOffset>0</wp:posOffset>
          </wp:positionH>
          <wp:positionV relativeFrom="page">
            <wp:posOffset>10753725</wp:posOffset>
          </wp:positionV>
          <wp:extent cx="7551420" cy="3414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 ODE report insid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420" cy="3414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D30A" w14:textId="77777777" w:rsidR="001C620C" w:rsidRDefault="001C62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B732B" w14:textId="05582386" w:rsidR="001C620C" w:rsidRDefault="00C971DC">
    <w:pPr>
      <w:pStyle w:val="Header"/>
    </w:pPr>
    <w:fldSimple w:instr=" FILENAME   \* MERGEFORMAT ">
      <w:r>
        <w:rPr>
          <w:noProof/>
        </w:rPr>
        <w:t>20140513 Learning from Australian aid operational evaluations - FINAL.docx</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F48BA" w14:textId="77777777" w:rsidR="001C620C" w:rsidRPr="00F3602E" w:rsidRDefault="001C620C" w:rsidP="00F3602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F571A" w14:textId="77777777" w:rsidR="001C620C" w:rsidRPr="00F3602E" w:rsidRDefault="001C620C" w:rsidP="00F3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15641AE"/>
    <w:lvl w:ilvl="0">
      <w:start w:val="1"/>
      <w:numFmt w:val="decimal"/>
      <w:pStyle w:val="NumberList3"/>
      <w:lvlText w:val="%1."/>
      <w:lvlJc w:val="left"/>
      <w:pPr>
        <w:tabs>
          <w:tab w:val="num" w:pos="643"/>
        </w:tabs>
        <w:ind w:left="643" w:hanging="360"/>
      </w:pPr>
    </w:lvl>
  </w:abstractNum>
  <w:abstractNum w:abstractNumId="1">
    <w:nsid w:val="00056976"/>
    <w:multiLevelType w:val="hybridMultilevel"/>
    <w:tmpl w:val="3AD8C940"/>
    <w:lvl w:ilvl="0" w:tplc="43B2909A">
      <w:start w:val="1"/>
      <w:numFmt w:val="decimal"/>
      <w:pStyle w:val="BoxList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06971CA"/>
    <w:multiLevelType w:val="hybridMultilevel"/>
    <w:tmpl w:val="04B61190"/>
    <w:lvl w:ilvl="0" w:tplc="FD181C7A">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20D66F2"/>
    <w:multiLevelType w:val="hybridMultilevel"/>
    <w:tmpl w:val="6BB8E278"/>
    <w:lvl w:ilvl="0" w:tplc="FA564518">
      <w:start w:val="1"/>
      <w:numFmt w:val="lowerLetter"/>
      <w:pStyle w:val="Table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81652CC"/>
    <w:multiLevelType w:val="hybridMultilevel"/>
    <w:tmpl w:val="F2F655F8"/>
    <w:lvl w:ilvl="0" w:tplc="884060DA">
      <w:start w:val="1"/>
      <w:numFmt w:val="bullet"/>
      <w:pStyle w:val="body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0C0D0F18"/>
    <w:multiLevelType w:val="hybridMultilevel"/>
    <w:tmpl w:val="205E0F1A"/>
    <w:lvl w:ilvl="0" w:tplc="19B82424">
      <w:start w:val="1"/>
      <w:numFmt w:val="decimal"/>
      <w:lvlText w:val="1.%1"/>
      <w:lvlJc w:val="left"/>
      <w:pPr>
        <w:ind w:left="720" w:hanging="360"/>
      </w:pPr>
      <w:rPr>
        <w:rFonts w:hint="default"/>
      </w:r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B95276"/>
    <w:multiLevelType w:val="multilevel"/>
    <w:tmpl w:val="0809001F"/>
    <w:styleLink w:val="JSH"/>
    <w:lvl w:ilvl="0">
      <w:start w:val="1"/>
      <w:numFmt w:val="decimal"/>
      <w:lvlText w:val="%1."/>
      <w:lvlJc w:val="left"/>
      <w:pPr>
        <w:ind w:left="360" w:hanging="360"/>
      </w:pPr>
      <w:rPr>
        <w:rFonts w:asciiTheme="majorHAnsi" w:hAnsiTheme="majorHAnsi"/>
        <w:color w:val="F79646" w:themeColor="accent6"/>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FF4386"/>
    <w:multiLevelType w:val="hybridMultilevel"/>
    <w:tmpl w:val="63C6181C"/>
    <w:lvl w:ilvl="0" w:tplc="19B82424">
      <w:start w:val="1"/>
      <w:numFmt w:val="decimal"/>
      <w:lvlText w:val="1.%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8F637F"/>
    <w:multiLevelType w:val="hybridMultilevel"/>
    <w:tmpl w:val="989C0514"/>
    <w:lvl w:ilvl="0" w:tplc="0F00DAFA">
      <w:start w:val="1"/>
      <w:numFmt w:val="decimal"/>
      <w:lvlText w:val="%1."/>
      <w:lvlJc w:val="left"/>
      <w:pPr>
        <w:ind w:left="720" w:hanging="360"/>
      </w:p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7B1CB1"/>
    <w:multiLevelType w:val="hybridMultilevel"/>
    <w:tmpl w:val="1BCEED34"/>
    <w:lvl w:ilvl="0" w:tplc="E5126550">
      <w:start w:val="1"/>
      <w:numFmt w:val="lowerLetter"/>
      <w:pStyle w:val="TableListNumber20"/>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BB4224"/>
    <w:multiLevelType w:val="hybridMultilevel"/>
    <w:tmpl w:val="0E427BCE"/>
    <w:lvl w:ilvl="0" w:tplc="63842D90">
      <w:start w:val="1"/>
      <w:numFmt w:val="bullet"/>
      <w:pStyle w:val="Box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B1F2D"/>
    <w:multiLevelType w:val="hybridMultilevel"/>
    <w:tmpl w:val="7CBCA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7B7DD8"/>
    <w:multiLevelType w:val="hybridMultilevel"/>
    <w:tmpl w:val="BE4AD784"/>
    <w:lvl w:ilvl="0" w:tplc="A6C2F2AE">
      <w:start w:val="1"/>
      <w:numFmt w:val="lowerLetter"/>
      <w:pStyle w:val="TableNumberList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6">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4C3152"/>
    <w:multiLevelType w:val="hybridMultilevel"/>
    <w:tmpl w:val="B64AC264"/>
    <w:lvl w:ilvl="0" w:tplc="0E0E6DB6">
      <w:start w:val="1"/>
      <w:numFmt w:val="bullet"/>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5D5D07"/>
    <w:multiLevelType w:val="hybridMultilevel"/>
    <w:tmpl w:val="533C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cs="Times New Roman" w:hint="default"/>
        <w:color w:val="auto"/>
        <w:sz w:val="20"/>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0">
    <w:nsid w:val="25E50B03"/>
    <w:multiLevelType w:val="hybridMultilevel"/>
    <w:tmpl w:val="7ADE1DFC"/>
    <w:lvl w:ilvl="0" w:tplc="55C4CEC8">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25FC5EFF"/>
    <w:multiLevelType w:val="hybridMultilevel"/>
    <w:tmpl w:val="38A0C8C6"/>
    <w:lvl w:ilvl="0" w:tplc="69FE925C">
      <w:start w:val="1"/>
      <w:numFmt w:val="bullet"/>
      <w:pStyle w:val="QuoteBullet0"/>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B879D7"/>
    <w:multiLevelType w:val="multilevel"/>
    <w:tmpl w:val="B6D4831A"/>
    <w:styleLink w:val="Outlinebullets"/>
    <w:lvl w:ilvl="0">
      <w:start w:val="1"/>
      <w:numFmt w:val="bullet"/>
      <w:lvlText w:val=""/>
      <w:lvlJc w:val="left"/>
      <w:pPr>
        <w:tabs>
          <w:tab w:val="num" w:pos="284"/>
        </w:tabs>
        <w:ind w:left="284" w:hanging="284"/>
      </w:pPr>
      <w:rPr>
        <w:rFonts w:ascii="Wingdings 3" w:hAnsi="Wingdings 3"/>
        <w:spacing w:val="2"/>
        <w:w w:val="103"/>
        <w:sz w:val="22"/>
      </w:rPr>
    </w:lvl>
    <w:lvl w:ilvl="1">
      <w:start w:val="1"/>
      <w:numFmt w:val="bullet"/>
      <w:lvlText w:val=""/>
      <w:lvlJc w:val="left"/>
      <w:pPr>
        <w:tabs>
          <w:tab w:val="num" w:pos="567"/>
        </w:tabs>
        <w:ind w:left="567" w:hanging="283"/>
      </w:pPr>
      <w:rPr>
        <w:rFonts w:ascii="Wingdings 3" w:hAnsi="Wingdings 3" w:hint="default"/>
        <w:color w:val="auto"/>
      </w:rPr>
    </w:lvl>
    <w:lvl w:ilvl="2">
      <w:start w:val="1"/>
      <w:numFmt w:val="bullet"/>
      <w:lvlText w:val=""/>
      <w:lvlJc w:val="left"/>
      <w:pPr>
        <w:tabs>
          <w:tab w:val="num" w:pos="1080"/>
        </w:tabs>
        <w:ind w:left="1080" w:hanging="360"/>
      </w:pPr>
      <w:rPr>
        <w:rFonts w:ascii="Wingdings 3" w:hAnsi="Wingdings 3" w:hint="default"/>
        <w:color w:val="auto"/>
      </w:rPr>
    </w:lvl>
    <w:lvl w:ilvl="3">
      <w:start w:val="1"/>
      <w:numFmt w:val="bullet"/>
      <w:lvlText w:val=""/>
      <w:lvlJc w:val="left"/>
      <w:pPr>
        <w:tabs>
          <w:tab w:val="num" w:pos="1440"/>
        </w:tabs>
        <w:ind w:left="1440" w:hanging="360"/>
      </w:pPr>
      <w:rPr>
        <w:rFonts w:ascii="Wingdings 3" w:hAnsi="Wingdings 3" w:hint="default"/>
        <w:color w:val="auto"/>
      </w:rPr>
    </w:lvl>
    <w:lvl w:ilvl="4">
      <w:start w:val="1"/>
      <w:numFmt w:val="none"/>
      <w:lvlText w:val=""/>
      <w:lvlJc w:val="left"/>
      <w:pPr>
        <w:tabs>
          <w:tab w:val="num" w:pos="1800"/>
        </w:tabs>
        <w:ind w:left="1800" w:hanging="360"/>
      </w:pPr>
      <w:rPr>
        <w:rFonts w:hint="default"/>
        <w:b w:val="0"/>
        <w:i/>
      </w:rPr>
    </w:lvl>
    <w:lvl w:ilvl="5">
      <w:start w:val="1"/>
      <w:numFmt w:val="bullet"/>
      <w:lvlText w:val=""/>
      <w:lvlJc w:val="left"/>
      <w:pPr>
        <w:tabs>
          <w:tab w:val="num" w:pos="2160"/>
        </w:tabs>
        <w:ind w:left="2160" w:hanging="360"/>
      </w:pPr>
      <w:rPr>
        <w:rFonts w:ascii="Wingdings 3" w:hAnsi="Wingdings 3" w:hint="default"/>
        <w:color w:val="auto"/>
      </w:rPr>
    </w:lvl>
    <w:lvl w:ilvl="6">
      <w:start w:val="1"/>
      <w:numFmt w:val="bullet"/>
      <w:lvlText w:val=""/>
      <w:lvlJc w:val="left"/>
      <w:pPr>
        <w:tabs>
          <w:tab w:val="num" w:pos="2520"/>
        </w:tabs>
        <w:ind w:left="2520" w:hanging="360"/>
      </w:pPr>
      <w:rPr>
        <w:rFonts w:ascii="Wingdings 3" w:hAnsi="Wingdings 3" w:hint="default"/>
        <w:color w:val="auto"/>
      </w:rPr>
    </w:lvl>
    <w:lvl w:ilvl="7">
      <w:start w:val="1"/>
      <w:numFmt w:val="none"/>
      <w:lvlText w:val=""/>
      <w:lvlJc w:val="left"/>
      <w:pPr>
        <w:tabs>
          <w:tab w:val="num" w:pos="2880"/>
        </w:tabs>
        <w:ind w:left="2880" w:hanging="360"/>
      </w:pPr>
      <w:rPr>
        <w:rFonts w:ascii="Arial" w:hAnsi="Arial" w:hint="default"/>
        <w:b w:val="0"/>
        <w:i/>
      </w:rPr>
    </w:lvl>
    <w:lvl w:ilvl="8">
      <w:start w:val="1"/>
      <w:numFmt w:val="none"/>
      <w:lvlText w:val="%9"/>
      <w:lvlJc w:val="left"/>
      <w:pPr>
        <w:tabs>
          <w:tab w:val="num" w:pos="3240"/>
        </w:tabs>
        <w:ind w:left="3240" w:hanging="360"/>
      </w:pPr>
      <w:rPr>
        <w:rFonts w:ascii="Rockwell" w:hAnsi="Rockwell" w:hint="default"/>
      </w:rPr>
    </w:lvl>
  </w:abstractNum>
  <w:abstractNum w:abstractNumId="24">
    <w:nsid w:val="3369062D"/>
    <w:multiLevelType w:val="hybridMultilevel"/>
    <w:tmpl w:val="36D03192"/>
    <w:lvl w:ilvl="0" w:tplc="3544DA3A">
      <w:start w:val="1"/>
      <w:numFmt w:val="decimal"/>
      <w:lvlText w:val="%1."/>
      <w:lvlJc w:val="left"/>
      <w:pPr>
        <w:ind w:left="720" w:hanging="360"/>
      </w:pPr>
      <w:rPr>
        <w:rFonts w:hint="default"/>
      </w:r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7B3011"/>
    <w:multiLevelType w:val="hybridMultilevel"/>
    <w:tmpl w:val="794CB8BC"/>
    <w:lvl w:ilvl="0" w:tplc="CD4EE638">
      <w:start w:val="1"/>
      <w:numFmt w:val="bullet"/>
      <w:pStyle w:val="Itadbulletpoints"/>
      <w:lvlText w:val=""/>
      <w:lvlJc w:val="left"/>
      <w:pPr>
        <w:ind w:left="284" w:hanging="284"/>
      </w:pPr>
      <w:rPr>
        <w:rFonts w:ascii="Symbol" w:hAnsi="Symbol" w:hint="default"/>
        <w:color w:val="E478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087D42"/>
    <w:multiLevelType w:val="hybridMultilevel"/>
    <w:tmpl w:val="1632DCE8"/>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2F4A0B"/>
    <w:multiLevelType w:val="hybridMultilevel"/>
    <w:tmpl w:val="AD52AE40"/>
    <w:lvl w:ilvl="0" w:tplc="46908ECC">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7C5141D"/>
    <w:multiLevelType w:val="hybridMultilevel"/>
    <w:tmpl w:val="AF46A886"/>
    <w:lvl w:ilvl="0" w:tplc="7F1487F6">
      <w:start w:val="1"/>
      <w:numFmt w:val="lowerLetter"/>
      <w:pStyle w:val="BoxListNumber2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7E55361"/>
    <w:multiLevelType w:val="hybridMultilevel"/>
    <w:tmpl w:val="E39ECA52"/>
    <w:lvl w:ilvl="0" w:tplc="49FA75EC">
      <w:start w:val="1"/>
      <w:numFmt w:val="decimal"/>
      <w:pStyle w:val="Itadheading1"/>
      <w:lvlText w:val="%1."/>
      <w:lvlJc w:val="left"/>
      <w:pPr>
        <w:ind w:left="74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31">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32">
    <w:nsid w:val="4E100756"/>
    <w:multiLevelType w:val="hybridMultilevel"/>
    <w:tmpl w:val="4C943610"/>
    <w:lvl w:ilvl="0" w:tplc="9586D7A6">
      <w:start w:val="1"/>
      <w:numFmt w:val="decimal"/>
      <w:pStyle w:val="Table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F953E2A"/>
    <w:multiLevelType w:val="hybridMultilevel"/>
    <w:tmpl w:val="CC740780"/>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34">
    <w:nsid w:val="51E21A9F"/>
    <w:multiLevelType w:val="hybridMultilevel"/>
    <w:tmpl w:val="E49E4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F37AA8"/>
    <w:multiLevelType w:val="hybridMultilevel"/>
    <w:tmpl w:val="8176030C"/>
    <w:lvl w:ilvl="0" w:tplc="ACFA9CFC">
      <w:start w:val="1"/>
      <w:numFmt w:val="decimal"/>
      <w:pStyle w:val="TableListNumber0"/>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565E2D0D"/>
    <w:multiLevelType w:val="multilevel"/>
    <w:tmpl w:val="F2B4AC84"/>
    <w:lvl w:ilvl="0">
      <w:start w:val="1"/>
      <w:numFmt w:val="bullet"/>
      <w:pStyle w:val="IODPARCBullets"/>
      <w:lvlText w:val=""/>
      <w:lvlJc w:val="left"/>
      <w:pPr>
        <w:ind w:left="360" w:hanging="360"/>
      </w:pPr>
      <w:rPr>
        <w:rFonts w:ascii="Symbol" w:hAnsi="Symbol" w:hint="default"/>
        <w:b w:val="0"/>
        <w:i w:val="0"/>
        <w:color w:val="CCCC00"/>
        <w:sz w:val="28"/>
        <w:szCs w:val="22"/>
      </w:rPr>
    </w:lvl>
    <w:lvl w:ilvl="1">
      <w:start w:val="1"/>
      <w:numFmt w:val="bullet"/>
      <w:lvlText w:val=""/>
      <w:lvlJc w:val="left"/>
      <w:pPr>
        <w:ind w:left="284" w:hanging="114"/>
      </w:pPr>
      <w:rPr>
        <w:rFonts w:ascii="Wingdings" w:hAnsi="Wingdings"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8">
    <w:nsid w:val="598A5214"/>
    <w:multiLevelType w:val="hybridMultilevel"/>
    <w:tmpl w:val="7884C832"/>
    <w:lvl w:ilvl="0" w:tplc="07522316">
      <w:start w:val="1"/>
      <w:numFmt w:val="decimal"/>
      <w:pStyle w:val="TableNumberList"/>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2005F02"/>
    <w:multiLevelType w:val="multilevel"/>
    <w:tmpl w:val="1DCEF05E"/>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6674FED"/>
    <w:multiLevelType w:val="hybridMultilevel"/>
    <w:tmpl w:val="68863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44">
    <w:nsid w:val="68782377"/>
    <w:multiLevelType w:val="hybridMultilevel"/>
    <w:tmpl w:val="929853CC"/>
    <w:lvl w:ilvl="0" w:tplc="6FEC3EFA">
      <w:start w:val="1"/>
      <w:numFmt w:val="decimal"/>
      <w:lvlText w:val="2.%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6BF97A39"/>
    <w:multiLevelType w:val="hybridMultilevel"/>
    <w:tmpl w:val="67E2DFC8"/>
    <w:lvl w:ilvl="0" w:tplc="B1ACAE4E">
      <w:start w:val="1"/>
      <w:numFmt w:val="decimal"/>
      <w:lvlText w:val="6.%1"/>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6C0A0DF3"/>
    <w:multiLevelType w:val="hybridMultilevel"/>
    <w:tmpl w:val="4154A086"/>
    <w:lvl w:ilvl="0" w:tplc="1E700BF8">
      <w:start w:val="1"/>
      <w:numFmt w:val="decimal"/>
      <w:lvlText w:val="4.%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6E2D7BB5"/>
    <w:multiLevelType w:val="multilevel"/>
    <w:tmpl w:val="38929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6F572B06"/>
    <w:multiLevelType w:val="hybridMultilevel"/>
    <w:tmpl w:val="F4307968"/>
    <w:lvl w:ilvl="0" w:tplc="278CB2C2">
      <w:start w:val="1"/>
      <w:numFmt w:val="bullet"/>
      <w:pStyle w:val="List1"/>
      <w:lvlText w:val=""/>
      <w:lvlJc w:val="left"/>
      <w:pPr>
        <w:tabs>
          <w:tab w:val="num" w:pos="7231"/>
        </w:tabs>
        <w:ind w:left="7231" w:hanging="284"/>
      </w:pPr>
      <w:rPr>
        <w:rFonts w:ascii="Symbol" w:hAnsi="Symbol" w:hint="default"/>
      </w:rPr>
    </w:lvl>
    <w:lvl w:ilvl="1" w:tplc="47F4B984">
      <w:start w:val="1"/>
      <w:numFmt w:val="bullet"/>
      <w:lvlText w:val=""/>
      <w:lvlJc w:val="left"/>
      <w:pPr>
        <w:tabs>
          <w:tab w:val="num" w:pos="567"/>
        </w:tabs>
        <w:ind w:left="567" w:hanging="283"/>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50">
    <w:nsid w:val="75313036"/>
    <w:multiLevelType w:val="multilevel"/>
    <w:tmpl w:val="F808D96E"/>
    <w:lvl w:ilvl="0">
      <w:start w:val="1"/>
      <w:numFmt w:val="decimal"/>
      <w:pStyle w:val="ListNumber"/>
      <w:lvlText w:val="%1."/>
      <w:lvlJc w:val="left"/>
      <w:pPr>
        <w:tabs>
          <w:tab w:val="num" w:pos="1004"/>
        </w:tabs>
        <w:ind w:left="1004" w:hanging="284"/>
      </w:pPr>
      <w:rPr>
        <w:rFonts w:hint="default"/>
      </w:rPr>
    </w:lvl>
    <w:lvl w:ilvl="1">
      <w:start w:val="1"/>
      <w:numFmt w:val="decimal"/>
      <w:lvlText w:val="6.%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nsid w:val="78E81FDC"/>
    <w:multiLevelType w:val="hybridMultilevel"/>
    <w:tmpl w:val="A3BCDF96"/>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7D895045"/>
    <w:multiLevelType w:val="hybridMultilevel"/>
    <w:tmpl w:val="E460C918"/>
    <w:lvl w:ilvl="0" w:tplc="46581372">
      <w:start w:val="1"/>
      <w:numFmt w:val="decimal"/>
      <w:pStyle w:val="Itadnumbers"/>
      <w:lvlText w:val="%1."/>
      <w:lvlJc w:val="left"/>
      <w:pPr>
        <w:ind w:left="360" w:hanging="360"/>
      </w:pPr>
      <w:rPr>
        <w:rFonts w:hint="default"/>
        <w:color w:val="73B6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9E4773"/>
    <w:multiLevelType w:val="hybridMultilevel"/>
    <w:tmpl w:val="B088BC74"/>
    <w:lvl w:ilvl="0" w:tplc="F7644254">
      <w:start w:val="1"/>
      <w:numFmt w:val="decimal"/>
      <w:lvlText w:val="3.%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abstractNum w:abstractNumId="55">
    <w:nsid w:val="7F7A528B"/>
    <w:multiLevelType w:val="hybridMultilevel"/>
    <w:tmpl w:val="3742663C"/>
    <w:lvl w:ilvl="0" w:tplc="7758EF68">
      <w:start w:val="1"/>
      <w:numFmt w:val="bullet"/>
      <w:pStyle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7FF94B03"/>
    <w:multiLevelType w:val="hybridMultilevel"/>
    <w:tmpl w:val="CD0CC0D6"/>
    <w:lvl w:ilvl="0" w:tplc="2CBA6B4E">
      <w:start w:val="1"/>
      <w:numFmt w:val="decimal"/>
      <w:lvlText w:val="%1."/>
      <w:lvlJc w:val="left"/>
      <w:pPr>
        <w:ind w:left="720" w:hanging="360"/>
      </w:pPr>
      <w:rPr>
        <w:rFonts w:hint="default"/>
      </w:r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9"/>
  </w:num>
  <w:num w:numId="3">
    <w:abstractNumId w:val="51"/>
  </w:num>
  <w:num w:numId="4">
    <w:abstractNumId w:val="5"/>
  </w:num>
  <w:num w:numId="5">
    <w:abstractNumId w:val="2"/>
  </w:num>
  <w:num w:numId="6">
    <w:abstractNumId w:val="41"/>
  </w:num>
  <w:num w:numId="7">
    <w:abstractNumId w:val="21"/>
  </w:num>
  <w:num w:numId="8">
    <w:abstractNumId w:val="13"/>
  </w:num>
  <w:num w:numId="9">
    <w:abstractNumId w:val="27"/>
  </w:num>
  <w:num w:numId="10">
    <w:abstractNumId w:val="1"/>
  </w:num>
  <w:num w:numId="11">
    <w:abstractNumId w:val="29"/>
  </w:num>
  <w:num w:numId="12">
    <w:abstractNumId w:val="32"/>
  </w:num>
  <w:num w:numId="13">
    <w:abstractNumId w:val="3"/>
  </w:num>
  <w:num w:numId="14">
    <w:abstractNumId w:val="36"/>
  </w:num>
  <w:num w:numId="15">
    <w:abstractNumId w:val="54"/>
  </w:num>
  <w:num w:numId="16">
    <w:abstractNumId w:val="16"/>
  </w:num>
  <w:num w:numId="17">
    <w:abstractNumId w:val="4"/>
  </w:num>
  <w:num w:numId="18">
    <w:abstractNumId w:val="33"/>
  </w:num>
  <w:num w:numId="19">
    <w:abstractNumId w:val="25"/>
  </w:num>
  <w:num w:numId="20">
    <w:abstractNumId w:val="43"/>
  </w:num>
  <w:num w:numId="21">
    <w:abstractNumId w:val="49"/>
  </w:num>
  <w:num w:numId="22">
    <w:abstractNumId w:val="10"/>
  </w:num>
  <w:num w:numId="23">
    <w:abstractNumId w:val="22"/>
  </w:num>
  <w:num w:numId="24">
    <w:abstractNumId w:val="31"/>
  </w:num>
  <w:num w:numId="25">
    <w:abstractNumId w:val="35"/>
  </w:num>
  <w:num w:numId="26">
    <w:abstractNumId w:val="12"/>
  </w:num>
  <w:num w:numId="27">
    <w:abstractNumId w:val="37"/>
  </w:num>
  <w:num w:numId="28">
    <w:abstractNumId w:val="48"/>
  </w:num>
  <w:num w:numId="29">
    <w:abstractNumId w:val="8"/>
  </w:num>
  <w:num w:numId="30">
    <w:abstractNumId w:val="6"/>
  </w:num>
  <w:num w:numId="31">
    <w:abstractNumId w:val="40"/>
  </w:num>
  <w:num w:numId="32">
    <w:abstractNumId w:val="52"/>
  </w:num>
  <w:num w:numId="33">
    <w:abstractNumId w:val="30"/>
  </w:num>
  <w:num w:numId="34">
    <w:abstractNumId w:val="26"/>
  </w:num>
  <w:num w:numId="35">
    <w:abstractNumId w:val="19"/>
  </w:num>
  <w:num w:numId="36">
    <w:abstractNumId w:val="23"/>
  </w:num>
  <w:num w:numId="37">
    <w:abstractNumId w:val="11"/>
  </w:num>
  <w:num w:numId="38">
    <w:abstractNumId w:val="17"/>
  </w:num>
  <w:num w:numId="39">
    <w:abstractNumId w:val="7"/>
  </w:num>
  <w:num w:numId="40">
    <w:abstractNumId w:val="45"/>
  </w:num>
  <w:num w:numId="41">
    <w:abstractNumId w:val="50"/>
  </w:num>
  <w:num w:numId="42">
    <w:abstractNumId w:val="56"/>
  </w:num>
  <w:num w:numId="43">
    <w:abstractNumId w:val="24"/>
  </w:num>
  <w:num w:numId="44">
    <w:abstractNumId w:val="9"/>
  </w:num>
  <w:num w:numId="45">
    <w:abstractNumId w:val="18"/>
  </w:num>
  <w:num w:numId="46">
    <w:abstractNumId w:val="44"/>
  </w:num>
  <w:num w:numId="47">
    <w:abstractNumId w:val="53"/>
  </w:num>
  <w:num w:numId="48">
    <w:abstractNumId w:val="34"/>
  </w:num>
  <w:num w:numId="49">
    <w:abstractNumId w:val="46"/>
  </w:num>
  <w:num w:numId="50">
    <w:abstractNumId w:val="55"/>
  </w:num>
  <w:num w:numId="51">
    <w:abstractNumId w:val="47"/>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13"/>
  </w:num>
  <w:num w:numId="58">
    <w:abstractNumId w:val="32"/>
  </w:num>
  <w:num w:numId="59">
    <w:abstractNumId w:val="3"/>
  </w:num>
  <w:num w:numId="60">
    <w:abstractNumId w:val="27"/>
  </w:num>
  <w:num w:numId="61">
    <w:abstractNumId w:val="38"/>
  </w:num>
  <w:num w:numId="62">
    <w:abstractNumId w:val="15"/>
  </w:num>
  <w:num w:numId="63">
    <w:abstractNumId w:val="0"/>
  </w:num>
  <w:num w:numId="64">
    <w:abstractNumId w:val="55"/>
  </w:num>
  <w:num w:numId="65">
    <w:abstractNumId w:val="11"/>
  </w:num>
  <w:num w:numId="66">
    <w:abstractNumId w:val="20"/>
  </w:num>
  <w:num w:numId="67">
    <w:abstractNumId w:val="55"/>
  </w:num>
  <w:num w:numId="68">
    <w:abstractNumId w:val="55"/>
  </w:num>
  <w:num w:numId="69">
    <w:abstractNumId w:val="27"/>
  </w:num>
  <w:num w:numId="70">
    <w:abstractNumId w:val="32"/>
  </w:num>
  <w:num w:numId="71">
    <w:abstractNumId w:val="3"/>
  </w:num>
  <w:num w:numId="72">
    <w:abstractNumId w:val="55"/>
  </w:num>
  <w:num w:numId="73">
    <w:abstractNumId w:val="42"/>
  </w:num>
  <w:num w:numId="74">
    <w:abstractNumId w:val="14"/>
  </w:num>
  <w:num w:numId="75">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C7"/>
    <w:rsid w:val="0000032F"/>
    <w:rsid w:val="00001345"/>
    <w:rsid w:val="00002888"/>
    <w:rsid w:val="000057E0"/>
    <w:rsid w:val="000059B8"/>
    <w:rsid w:val="000063B3"/>
    <w:rsid w:val="000075C2"/>
    <w:rsid w:val="0000782F"/>
    <w:rsid w:val="000103B6"/>
    <w:rsid w:val="00010644"/>
    <w:rsid w:val="000106EB"/>
    <w:rsid w:val="000113AA"/>
    <w:rsid w:val="00011400"/>
    <w:rsid w:val="00011515"/>
    <w:rsid w:val="00011EC9"/>
    <w:rsid w:val="000133ED"/>
    <w:rsid w:val="000139D0"/>
    <w:rsid w:val="00013A29"/>
    <w:rsid w:val="00015006"/>
    <w:rsid w:val="00015313"/>
    <w:rsid w:val="0001612D"/>
    <w:rsid w:val="00020488"/>
    <w:rsid w:val="000232E1"/>
    <w:rsid w:val="00026815"/>
    <w:rsid w:val="00026AA1"/>
    <w:rsid w:val="00026DD6"/>
    <w:rsid w:val="000271F7"/>
    <w:rsid w:val="00027356"/>
    <w:rsid w:val="00027475"/>
    <w:rsid w:val="00031B92"/>
    <w:rsid w:val="00031BE4"/>
    <w:rsid w:val="00032EE0"/>
    <w:rsid w:val="00033046"/>
    <w:rsid w:val="000339FF"/>
    <w:rsid w:val="000366C2"/>
    <w:rsid w:val="0003703E"/>
    <w:rsid w:val="00037976"/>
    <w:rsid w:val="00040184"/>
    <w:rsid w:val="0004268F"/>
    <w:rsid w:val="00042ADA"/>
    <w:rsid w:val="00042E05"/>
    <w:rsid w:val="00044B9D"/>
    <w:rsid w:val="00046558"/>
    <w:rsid w:val="00046C29"/>
    <w:rsid w:val="00046D13"/>
    <w:rsid w:val="0005064B"/>
    <w:rsid w:val="00050A3C"/>
    <w:rsid w:val="000515FA"/>
    <w:rsid w:val="0005281C"/>
    <w:rsid w:val="00052F49"/>
    <w:rsid w:val="00053AE9"/>
    <w:rsid w:val="00053DBE"/>
    <w:rsid w:val="000546ED"/>
    <w:rsid w:val="00054E90"/>
    <w:rsid w:val="00055999"/>
    <w:rsid w:val="000575AD"/>
    <w:rsid w:val="00057CCF"/>
    <w:rsid w:val="00057D21"/>
    <w:rsid w:val="00060DFD"/>
    <w:rsid w:val="00061382"/>
    <w:rsid w:val="00061BAF"/>
    <w:rsid w:val="00063497"/>
    <w:rsid w:val="0006356C"/>
    <w:rsid w:val="00063C27"/>
    <w:rsid w:val="000652CA"/>
    <w:rsid w:val="000662EA"/>
    <w:rsid w:val="000671BE"/>
    <w:rsid w:val="00067283"/>
    <w:rsid w:val="0006773D"/>
    <w:rsid w:val="000701BF"/>
    <w:rsid w:val="00072058"/>
    <w:rsid w:val="0007259F"/>
    <w:rsid w:val="0007358A"/>
    <w:rsid w:val="00075CF4"/>
    <w:rsid w:val="0007619D"/>
    <w:rsid w:val="00080E64"/>
    <w:rsid w:val="00080EA9"/>
    <w:rsid w:val="00081B0F"/>
    <w:rsid w:val="00081F97"/>
    <w:rsid w:val="00083014"/>
    <w:rsid w:val="00085511"/>
    <w:rsid w:val="00085A5B"/>
    <w:rsid w:val="00085EB3"/>
    <w:rsid w:val="00085F41"/>
    <w:rsid w:val="00086108"/>
    <w:rsid w:val="00086497"/>
    <w:rsid w:val="00086AC6"/>
    <w:rsid w:val="00086CB0"/>
    <w:rsid w:val="000870A3"/>
    <w:rsid w:val="000906F1"/>
    <w:rsid w:val="000915BF"/>
    <w:rsid w:val="0009271B"/>
    <w:rsid w:val="00092774"/>
    <w:rsid w:val="000935D8"/>
    <w:rsid w:val="00093C0A"/>
    <w:rsid w:val="00094075"/>
    <w:rsid w:val="00094CF8"/>
    <w:rsid w:val="000A097D"/>
    <w:rsid w:val="000A26B7"/>
    <w:rsid w:val="000A2AB9"/>
    <w:rsid w:val="000A32F3"/>
    <w:rsid w:val="000A4B46"/>
    <w:rsid w:val="000A6831"/>
    <w:rsid w:val="000A7732"/>
    <w:rsid w:val="000A7AD8"/>
    <w:rsid w:val="000B03C8"/>
    <w:rsid w:val="000B0703"/>
    <w:rsid w:val="000B0986"/>
    <w:rsid w:val="000B0DD7"/>
    <w:rsid w:val="000B1F7A"/>
    <w:rsid w:val="000B2B49"/>
    <w:rsid w:val="000B2FF8"/>
    <w:rsid w:val="000B4C72"/>
    <w:rsid w:val="000B5A3A"/>
    <w:rsid w:val="000B77E5"/>
    <w:rsid w:val="000B7EA1"/>
    <w:rsid w:val="000C0017"/>
    <w:rsid w:val="000C0BAA"/>
    <w:rsid w:val="000C10BA"/>
    <w:rsid w:val="000C18E0"/>
    <w:rsid w:val="000C2095"/>
    <w:rsid w:val="000C20AF"/>
    <w:rsid w:val="000C269B"/>
    <w:rsid w:val="000C3344"/>
    <w:rsid w:val="000C3FAE"/>
    <w:rsid w:val="000C7373"/>
    <w:rsid w:val="000D01AA"/>
    <w:rsid w:val="000D08E8"/>
    <w:rsid w:val="000D0DAA"/>
    <w:rsid w:val="000D2E3C"/>
    <w:rsid w:val="000D372E"/>
    <w:rsid w:val="000D374B"/>
    <w:rsid w:val="000D407E"/>
    <w:rsid w:val="000D41A7"/>
    <w:rsid w:val="000D5560"/>
    <w:rsid w:val="000D5CA6"/>
    <w:rsid w:val="000D650D"/>
    <w:rsid w:val="000D72BA"/>
    <w:rsid w:val="000D7E22"/>
    <w:rsid w:val="000E03D7"/>
    <w:rsid w:val="000E0899"/>
    <w:rsid w:val="000E0AE4"/>
    <w:rsid w:val="000E17E5"/>
    <w:rsid w:val="000E25D0"/>
    <w:rsid w:val="000E328E"/>
    <w:rsid w:val="000E36B6"/>
    <w:rsid w:val="000E45AD"/>
    <w:rsid w:val="000E4FD9"/>
    <w:rsid w:val="000E5359"/>
    <w:rsid w:val="000E5671"/>
    <w:rsid w:val="000E5D1D"/>
    <w:rsid w:val="000E78B1"/>
    <w:rsid w:val="000F1020"/>
    <w:rsid w:val="000F1D23"/>
    <w:rsid w:val="000F2448"/>
    <w:rsid w:val="000F29C1"/>
    <w:rsid w:val="000F30A0"/>
    <w:rsid w:val="000F63F2"/>
    <w:rsid w:val="000F6CDF"/>
    <w:rsid w:val="000F74F4"/>
    <w:rsid w:val="000F7519"/>
    <w:rsid w:val="000F7CB9"/>
    <w:rsid w:val="000F7FDE"/>
    <w:rsid w:val="00100909"/>
    <w:rsid w:val="001010C3"/>
    <w:rsid w:val="001018BC"/>
    <w:rsid w:val="00101D47"/>
    <w:rsid w:val="001036B5"/>
    <w:rsid w:val="0010386C"/>
    <w:rsid w:val="00104691"/>
    <w:rsid w:val="00104E39"/>
    <w:rsid w:val="00105BC8"/>
    <w:rsid w:val="00105E90"/>
    <w:rsid w:val="00107C97"/>
    <w:rsid w:val="00110796"/>
    <w:rsid w:val="00111253"/>
    <w:rsid w:val="0011166F"/>
    <w:rsid w:val="001119A6"/>
    <w:rsid w:val="00112156"/>
    <w:rsid w:val="00112584"/>
    <w:rsid w:val="00112672"/>
    <w:rsid w:val="00112BB9"/>
    <w:rsid w:val="00112E16"/>
    <w:rsid w:val="00114000"/>
    <w:rsid w:val="001144AE"/>
    <w:rsid w:val="00114A63"/>
    <w:rsid w:val="00114AFE"/>
    <w:rsid w:val="00114BAC"/>
    <w:rsid w:val="00115622"/>
    <w:rsid w:val="00115CC4"/>
    <w:rsid w:val="00116854"/>
    <w:rsid w:val="00117609"/>
    <w:rsid w:val="00120E3E"/>
    <w:rsid w:val="00123198"/>
    <w:rsid w:val="001232AD"/>
    <w:rsid w:val="00123FB6"/>
    <w:rsid w:val="00124E81"/>
    <w:rsid w:val="00126215"/>
    <w:rsid w:val="001266B1"/>
    <w:rsid w:val="00127531"/>
    <w:rsid w:val="00127AE2"/>
    <w:rsid w:val="00127E58"/>
    <w:rsid w:val="00132B38"/>
    <w:rsid w:val="00133B01"/>
    <w:rsid w:val="00133F43"/>
    <w:rsid w:val="001375FA"/>
    <w:rsid w:val="00140CAA"/>
    <w:rsid w:val="00141455"/>
    <w:rsid w:val="00141658"/>
    <w:rsid w:val="00142524"/>
    <w:rsid w:val="00142C7C"/>
    <w:rsid w:val="0014565A"/>
    <w:rsid w:val="00145EBE"/>
    <w:rsid w:val="00146AA1"/>
    <w:rsid w:val="0014788F"/>
    <w:rsid w:val="001514D3"/>
    <w:rsid w:val="00151B57"/>
    <w:rsid w:val="001561E2"/>
    <w:rsid w:val="001566C1"/>
    <w:rsid w:val="00161E9C"/>
    <w:rsid w:val="001623BD"/>
    <w:rsid w:val="00164DF7"/>
    <w:rsid w:val="001654A2"/>
    <w:rsid w:val="0016573D"/>
    <w:rsid w:val="001658B2"/>
    <w:rsid w:val="00165EBE"/>
    <w:rsid w:val="00166C97"/>
    <w:rsid w:val="00167C80"/>
    <w:rsid w:val="00170545"/>
    <w:rsid w:val="001706F3"/>
    <w:rsid w:val="001709BE"/>
    <w:rsid w:val="00170ED3"/>
    <w:rsid w:val="00171AA7"/>
    <w:rsid w:val="00171B6D"/>
    <w:rsid w:val="00171C5E"/>
    <w:rsid w:val="001741D6"/>
    <w:rsid w:val="00174807"/>
    <w:rsid w:val="001757C2"/>
    <w:rsid w:val="00175AA2"/>
    <w:rsid w:val="0017776D"/>
    <w:rsid w:val="00177D17"/>
    <w:rsid w:val="001808C5"/>
    <w:rsid w:val="001816F9"/>
    <w:rsid w:val="00182381"/>
    <w:rsid w:val="00183298"/>
    <w:rsid w:val="0018455F"/>
    <w:rsid w:val="00185324"/>
    <w:rsid w:val="001859D4"/>
    <w:rsid w:val="00185B45"/>
    <w:rsid w:val="00185C83"/>
    <w:rsid w:val="0018698F"/>
    <w:rsid w:val="00187808"/>
    <w:rsid w:val="00187B3A"/>
    <w:rsid w:val="00187CFC"/>
    <w:rsid w:val="00193306"/>
    <w:rsid w:val="00193C12"/>
    <w:rsid w:val="001947E1"/>
    <w:rsid w:val="001951A9"/>
    <w:rsid w:val="00195262"/>
    <w:rsid w:val="0019619C"/>
    <w:rsid w:val="00196908"/>
    <w:rsid w:val="00196B2D"/>
    <w:rsid w:val="00197FF0"/>
    <w:rsid w:val="001A1A2D"/>
    <w:rsid w:val="001A1C49"/>
    <w:rsid w:val="001A5365"/>
    <w:rsid w:val="001A6E70"/>
    <w:rsid w:val="001B0159"/>
    <w:rsid w:val="001B0662"/>
    <w:rsid w:val="001B1191"/>
    <w:rsid w:val="001B12AA"/>
    <w:rsid w:val="001B1972"/>
    <w:rsid w:val="001B29E3"/>
    <w:rsid w:val="001B2B8F"/>
    <w:rsid w:val="001B3603"/>
    <w:rsid w:val="001B3678"/>
    <w:rsid w:val="001B38DB"/>
    <w:rsid w:val="001B4E64"/>
    <w:rsid w:val="001B62FE"/>
    <w:rsid w:val="001B6B0C"/>
    <w:rsid w:val="001B7CFB"/>
    <w:rsid w:val="001C0AA7"/>
    <w:rsid w:val="001C1440"/>
    <w:rsid w:val="001C150B"/>
    <w:rsid w:val="001C158A"/>
    <w:rsid w:val="001C2D74"/>
    <w:rsid w:val="001C58F9"/>
    <w:rsid w:val="001C5F2B"/>
    <w:rsid w:val="001C6115"/>
    <w:rsid w:val="001C620C"/>
    <w:rsid w:val="001C76AA"/>
    <w:rsid w:val="001C7788"/>
    <w:rsid w:val="001D0049"/>
    <w:rsid w:val="001D0C55"/>
    <w:rsid w:val="001D2AFC"/>
    <w:rsid w:val="001D33B9"/>
    <w:rsid w:val="001D3668"/>
    <w:rsid w:val="001D3B5D"/>
    <w:rsid w:val="001D3E3F"/>
    <w:rsid w:val="001D4D1F"/>
    <w:rsid w:val="001D647F"/>
    <w:rsid w:val="001D73A7"/>
    <w:rsid w:val="001E03BD"/>
    <w:rsid w:val="001E03C5"/>
    <w:rsid w:val="001E066C"/>
    <w:rsid w:val="001E259C"/>
    <w:rsid w:val="001E25BB"/>
    <w:rsid w:val="001E407F"/>
    <w:rsid w:val="001E4293"/>
    <w:rsid w:val="001E4387"/>
    <w:rsid w:val="001E65D7"/>
    <w:rsid w:val="001E7B4F"/>
    <w:rsid w:val="001F0EF0"/>
    <w:rsid w:val="001F1296"/>
    <w:rsid w:val="001F14BC"/>
    <w:rsid w:val="001F22B7"/>
    <w:rsid w:val="001F2FB6"/>
    <w:rsid w:val="001F3844"/>
    <w:rsid w:val="001F4103"/>
    <w:rsid w:val="001F41F5"/>
    <w:rsid w:val="001F76AF"/>
    <w:rsid w:val="002009A2"/>
    <w:rsid w:val="00201C56"/>
    <w:rsid w:val="00201ED9"/>
    <w:rsid w:val="00202DAF"/>
    <w:rsid w:val="0020319C"/>
    <w:rsid w:val="00204A85"/>
    <w:rsid w:val="00205937"/>
    <w:rsid w:val="00205C0E"/>
    <w:rsid w:val="002066BC"/>
    <w:rsid w:val="00207B35"/>
    <w:rsid w:val="00210484"/>
    <w:rsid w:val="00211DBF"/>
    <w:rsid w:val="00213188"/>
    <w:rsid w:val="00213B33"/>
    <w:rsid w:val="00214AB0"/>
    <w:rsid w:val="00214C61"/>
    <w:rsid w:val="0021718F"/>
    <w:rsid w:val="00217A92"/>
    <w:rsid w:val="00217B76"/>
    <w:rsid w:val="002203D4"/>
    <w:rsid w:val="002214E3"/>
    <w:rsid w:val="00221F72"/>
    <w:rsid w:val="00223521"/>
    <w:rsid w:val="00225C8E"/>
    <w:rsid w:val="002261C1"/>
    <w:rsid w:val="00230FEF"/>
    <w:rsid w:val="002312D4"/>
    <w:rsid w:val="0023156B"/>
    <w:rsid w:val="00231E21"/>
    <w:rsid w:val="00231FB4"/>
    <w:rsid w:val="00232816"/>
    <w:rsid w:val="00233396"/>
    <w:rsid w:val="00233698"/>
    <w:rsid w:val="00235A9B"/>
    <w:rsid w:val="00236ED3"/>
    <w:rsid w:val="00237349"/>
    <w:rsid w:val="002406EA"/>
    <w:rsid w:val="002417E5"/>
    <w:rsid w:val="00241DDF"/>
    <w:rsid w:val="002431FB"/>
    <w:rsid w:val="002435B3"/>
    <w:rsid w:val="0024414C"/>
    <w:rsid w:val="00245EE2"/>
    <w:rsid w:val="00246E65"/>
    <w:rsid w:val="00247895"/>
    <w:rsid w:val="00250E96"/>
    <w:rsid w:val="00251E13"/>
    <w:rsid w:val="00252499"/>
    <w:rsid w:val="00252642"/>
    <w:rsid w:val="00253EBC"/>
    <w:rsid w:val="002540D9"/>
    <w:rsid w:val="00254A3B"/>
    <w:rsid w:val="00254D0E"/>
    <w:rsid w:val="0025711F"/>
    <w:rsid w:val="00261C6D"/>
    <w:rsid w:val="002624D3"/>
    <w:rsid w:val="00262DE3"/>
    <w:rsid w:val="002637B5"/>
    <w:rsid w:val="00265085"/>
    <w:rsid w:val="002655BB"/>
    <w:rsid w:val="002655F1"/>
    <w:rsid w:val="00265900"/>
    <w:rsid w:val="00266059"/>
    <w:rsid w:val="002660D0"/>
    <w:rsid w:val="002663C6"/>
    <w:rsid w:val="00267EB9"/>
    <w:rsid w:val="0027007C"/>
    <w:rsid w:val="00270236"/>
    <w:rsid w:val="002703BD"/>
    <w:rsid w:val="00271002"/>
    <w:rsid w:val="00271B40"/>
    <w:rsid w:val="002738BA"/>
    <w:rsid w:val="002741D6"/>
    <w:rsid w:val="0027432D"/>
    <w:rsid w:val="002764C4"/>
    <w:rsid w:val="00276879"/>
    <w:rsid w:val="00276ED4"/>
    <w:rsid w:val="0027726C"/>
    <w:rsid w:val="0027754F"/>
    <w:rsid w:val="00280C10"/>
    <w:rsid w:val="00280FCC"/>
    <w:rsid w:val="00284611"/>
    <w:rsid w:val="00284622"/>
    <w:rsid w:val="00285B9B"/>
    <w:rsid w:val="00286882"/>
    <w:rsid w:val="0029158D"/>
    <w:rsid w:val="00292C18"/>
    <w:rsid w:val="00292CBC"/>
    <w:rsid w:val="0029345F"/>
    <w:rsid w:val="00293914"/>
    <w:rsid w:val="00294294"/>
    <w:rsid w:val="00294662"/>
    <w:rsid w:val="0029566C"/>
    <w:rsid w:val="00296017"/>
    <w:rsid w:val="00296A08"/>
    <w:rsid w:val="00296F2C"/>
    <w:rsid w:val="00297AD5"/>
    <w:rsid w:val="00297CD4"/>
    <w:rsid w:val="002A03FF"/>
    <w:rsid w:val="002A0F79"/>
    <w:rsid w:val="002A4358"/>
    <w:rsid w:val="002A612F"/>
    <w:rsid w:val="002B0CD0"/>
    <w:rsid w:val="002B103A"/>
    <w:rsid w:val="002B241C"/>
    <w:rsid w:val="002B264E"/>
    <w:rsid w:val="002B2ACF"/>
    <w:rsid w:val="002B3058"/>
    <w:rsid w:val="002B5340"/>
    <w:rsid w:val="002B5A3C"/>
    <w:rsid w:val="002B6552"/>
    <w:rsid w:val="002B7552"/>
    <w:rsid w:val="002B7980"/>
    <w:rsid w:val="002C0739"/>
    <w:rsid w:val="002C19BF"/>
    <w:rsid w:val="002C3F92"/>
    <w:rsid w:val="002C4866"/>
    <w:rsid w:val="002C4F17"/>
    <w:rsid w:val="002C57AA"/>
    <w:rsid w:val="002C5879"/>
    <w:rsid w:val="002C61F5"/>
    <w:rsid w:val="002C6D3E"/>
    <w:rsid w:val="002C74F1"/>
    <w:rsid w:val="002C7812"/>
    <w:rsid w:val="002D0313"/>
    <w:rsid w:val="002D0691"/>
    <w:rsid w:val="002D0E0F"/>
    <w:rsid w:val="002D3701"/>
    <w:rsid w:val="002D5D5C"/>
    <w:rsid w:val="002D635B"/>
    <w:rsid w:val="002D6A1F"/>
    <w:rsid w:val="002D7822"/>
    <w:rsid w:val="002D79F6"/>
    <w:rsid w:val="002D7B38"/>
    <w:rsid w:val="002E04A3"/>
    <w:rsid w:val="002E1D59"/>
    <w:rsid w:val="002E2B40"/>
    <w:rsid w:val="002E3732"/>
    <w:rsid w:val="002E429C"/>
    <w:rsid w:val="002E4A12"/>
    <w:rsid w:val="002E513A"/>
    <w:rsid w:val="002E5996"/>
    <w:rsid w:val="002E6060"/>
    <w:rsid w:val="002E646F"/>
    <w:rsid w:val="002E655D"/>
    <w:rsid w:val="002E74C6"/>
    <w:rsid w:val="002F17AE"/>
    <w:rsid w:val="002F38F5"/>
    <w:rsid w:val="002F5395"/>
    <w:rsid w:val="002F5DCE"/>
    <w:rsid w:val="002F5E43"/>
    <w:rsid w:val="002F78AB"/>
    <w:rsid w:val="0030063F"/>
    <w:rsid w:val="00302C01"/>
    <w:rsid w:val="0030430F"/>
    <w:rsid w:val="0030473F"/>
    <w:rsid w:val="003055BD"/>
    <w:rsid w:val="003067B4"/>
    <w:rsid w:val="0030698B"/>
    <w:rsid w:val="003074EB"/>
    <w:rsid w:val="003078AF"/>
    <w:rsid w:val="00307C6C"/>
    <w:rsid w:val="00307E4D"/>
    <w:rsid w:val="00307EBE"/>
    <w:rsid w:val="00312F7A"/>
    <w:rsid w:val="00314B57"/>
    <w:rsid w:val="00315553"/>
    <w:rsid w:val="00317A68"/>
    <w:rsid w:val="00317EA9"/>
    <w:rsid w:val="00320879"/>
    <w:rsid w:val="00320A3E"/>
    <w:rsid w:val="00320ECA"/>
    <w:rsid w:val="00322D59"/>
    <w:rsid w:val="00324AE8"/>
    <w:rsid w:val="00324E7C"/>
    <w:rsid w:val="00325585"/>
    <w:rsid w:val="00325DB3"/>
    <w:rsid w:val="0032691E"/>
    <w:rsid w:val="00327BF4"/>
    <w:rsid w:val="003315D2"/>
    <w:rsid w:val="0033188B"/>
    <w:rsid w:val="00331FFC"/>
    <w:rsid w:val="00332FD7"/>
    <w:rsid w:val="003342D9"/>
    <w:rsid w:val="0033630C"/>
    <w:rsid w:val="00336698"/>
    <w:rsid w:val="003375F1"/>
    <w:rsid w:val="00340355"/>
    <w:rsid w:val="00340EB2"/>
    <w:rsid w:val="00342BA6"/>
    <w:rsid w:val="00342F27"/>
    <w:rsid w:val="00345588"/>
    <w:rsid w:val="00347D3E"/>
    <w:rsid w:val="00347E60"/>
    <w:rsid w:val="00350B92"/>
    <w:rsid w:val="00350E1D"/>
    <w:rsid w:val="00350FB7"/>
    <w:rsid w:val="003521C9"/>
    <w:rsid w:val="0035342F"/>
    <w:rsid w:val="00353679"/>
    <w:rsid w:val="00353FEC"/>
    <w:rsid w:val="003541F1"/>
    <w:rsid w:val="00354D86"/>
    <w:rsid w:val="00355BFD"/>
    <w:rsid w:val="003574B1"/>
    <w:rsid w:val="00357B7D"/>
    <w:rsid w:val="003602A0"/>
    <w:rsid w:val="00360686"/>
    <w:rsid w:val="00360C5B"/>
    <w:rsid w:val="00360F95"/>
    <w:rsid w:val="0036163F"/>
    <w:rsid w:val="0036219D"/>
    <w:rsid w:val="00363552"/>
    <w:rsid w:val="00364359"/>
    <w:rsid w:val="003646FB"/>
    <w:rsid w:val="003647B2"/>
    <w:rsid w:val="00364B53"/>
    <w:rsid w:val="00364FB0"/>
    <w:rsid w:val="00366216"/>
    <w:rsid w:val="00367A23"/>
    <w:rsid w:val="003767C2"/>
    <w:rsid w:val="00376B71"/>
    <w:rsid w:val="00376B7A"/>
    <w:rsid w:val="003777A4"/>
    <w:rsid w:val="00382517"/>
    <w:rsid w:val="0038258D"/>
    <w:rsid w:val="00383ECA"/>
    <w:rsid w:val="00384A0E"/>
    <w:rsid w:val="00386EE0"/>
    <w:rsid w:val="00387253"/>
    <w:rsid w:val="003910E4"/>
    <w:rsid w:val="00391F68"/>
    <w:rsid w:val="003923F4"/>
    <w:rsid w:val="00393514"/>
    <w:rsid w:val="0039361E"/>
    <w:rsid w:val="003936DA"/>
    <w:rsid w:val="00394D66"/>
    <w:rsid w:val="00395C67"/>
    <w:rsid w:val="00395F5C"/>
    <w:rsid w:val="00396D95"/>
    <w:rsid w:val="0039784F"/>
    <w:rsid w:val="00397A37"/>
    <w:rsid w:val="003A04A0"/>
    <w:rsid w:val="003A1D92"/>
    <w:rsid w:val="003A2143"/>
    <w:rsid w:val="003A2E6D"/>
    <w:rsid w:val="003A32F0"/>
    <w:rsid w:val="003A3454"/>
    <w:rsid w:val="003A64CA"/>
    <w:rsid w:val="003B0028"/>
    <w:rsid w:val="003B0195"/>
    <w:rsid w:val="003B1843"/>
    <w:rsid w:val="003B2755"/>
    <w:rsid w:val="003B3916"/>
    <w:rsid w:val="003B425C"/>
    <w:rsid w:val="003B4A31"/>
    <w:rsid w:val="003B4CA3"/>
    <w:rsid w:val="003B517A"/>
    <w:rsid w:val="003B62B9"/>
    <w:rsid w:val="003B6E00"/>
    <w:rsid w:val="003B724F"/>
    <w:rsid w:val="003B78BA"/>
    <w:rsid w:val="003C154B"/>
    <w:rsid w:val="003C1619"/>
    <w:rsid w:val="003C21F9"/>
    <w:rsid w:val="003C23C9"/>
    <w:rsid w:val="003C3A2F"/>
    <w:rsid w:val="003C5211"/>
    <w:rsid w:val="003C6FF5"/>
    <w:rsid w:val="003C7E77"/>
    <w:rsid w:val="003D0146"/>
    <w:rsid w:val="003D0620"/>
    <w:rsid w:val="003D08B6"/>
    <w:rsid w:val="003D1CF7"/>
    <w:rsid w:val="003D2264"/>
    <w:rsid w:val="003D2B6D"/>
    <w:rsid w:val="003D352F"/>
    <w:rsid w:val="003D43B7"/>
    <w:rsid w:val="003D45CA"/>
    <w:rsid w:val="003D53E2"/>
    <w:rsid w:val="003D5537"/>
    <w:rsid w:val="003D5DBD"/>
    <w:rsid w:val="003D658A"/>
    <w:rsid w:val="003D7431"/>
    <w:rsid w:val="003D7BDA"/>
    <w:rsid w:val="003D7F35"/>
    <w:rsid w:val="003E167D"/>
    <w:rsid w:val="003E1D78"/>
    <w:rsid w:val="003E6D6D"/>
    <w:rsid w:val="003E6D92"/>
    <w:rsid w:val="003E7080"/>
    <w:rsid w:val="003E71A4"/>
    <w:rsid w:val="003E75A6"/>
    <w:rsid w:val="003E7895"/>
    <w:rsid w:val="003F0484"/>
    <w:rsid w:val="003F0D08"/>
    <w:rsid w:val="003F1E87"/>
    <w:rsid w:val="003F3B59"/>
    <w:rsid w:val="003F6743"/>
    <w:rsid w:val="003F6FF6"/>
    <w:rsid w:val="003F74FE"/>
    <w:rsid w:val="003F7C8A"/>
    <w:rsid w:val="00400246"/>
    <w:rsid w:val="00400FCD"/>
    <w:rsid w:val="00401114"/>
    <w:rsid w:val="00403044"/>
    <w:rsid w:val="00404F14"/>
    <w:rsid w:val="0040635E"/>
    <w:rsid w:val="004065E6"/>
    <w:rsid w:val="00407C37"/>
    <w:rsid w:val="00407D39"/>
    <w:rsid w:val="004127E5"/>
    <w:rsid w:val="0041546A"/>
    <w:rsid w:val="00415F6A"/>
    <w:rsid w:val="00416960"/>
    <w:rsid w:val="0041760B"/>
    <w:rsid w:val="0042152C"/>
    <w:rsid w:val="00421C58"/>
    <w:rsid w:val="00422EF0"/>
    <w:rsid w:val="0042347E"/>
    <w:rsid w:val="00423A51"/>
    <w:rsid w:val="00423ED0"/>
    <w:rsid w:val="004244AE"/>
    <w:rsid w:val="0042583A"/>
    <w:rsid w:val="00426225"/>
    <w:rsid w:val="00427762"/>
    <w:rsid w:val="00427C91"/>
    <w:rsid w:val="00431095"/>
    <w:rsid w:val="004327B7"/>
    <w:rsid w:val="00432C46"/>
    <w:rsid w:val="00435046"/>
    <w:rsid w:val="0043646A"/>
    <w:rsid w:val="0043653B"/>
    <w:rsid w:val="00437914"/>
    <w:rsid w:val="00437B14"/>
    <w:rsid w:val="00440EA0"/>
    <w:rsid w:val="00440F71"/>
    <w:rsid w:val="0044143B"/>
    <w:rsid w:val="00443763"/>
    <w:rsid w:val="00443BD3"/>
    <w:rsid w:val="0044400E"/>
    <w:rsid w:val="00444720"/>
    <w:rsid w:val="00444C57"/>
    <w:rsid w:val="00445DB0"/>
    <w:rsid w:val="0044798A"/>
    <w:rsid w:val="00447E65"/>
    <w:rsid w:val="00450307"/>
    <w:rsid w:val="00451B3A"/>
    <w:rsid w:val="00452418"/>
    <w:rsid w:val="00452770"/>
    <w:rsid w:val="00452BD9"/>
    <w:rsid w:val="00452FB9"/>
    <w:rsid w:val="0045311B"/>
    <w:rsid w:val="00453A99"/>
    <w:rsid w:val="00453B87"/>
    <w:rsid w:val="00453CAC"/>
    <w:rsid w:val="004544B0"/>
    <w:rsid w:val="00456546"/>
    <w:rsid w:val="00456F96"/>
    <w:rsid w:val="0046174A"/>
    <w:rsid w:val="00462C9D"/>
    <w:rsid w:val="00463B5E"/>
    <w:rsid w:val="00464FB3"/>
    <w:rsid w:val="00465E68"/>
    <w:rsid w:val="00466087"/>
    <w:rsid w:val="0047042D"/>
    <w:rsid w:val="004706BC"/>
    <w:rsid w:val="00470983"/>
    <w:rsid w:val="00470ABA"/>
    <w:rsid w:val="00471EA8"/>
    <w:rsid w:val="004739E2"/>
    <w:rsid w:val="004742DB"/>
    <w:rsid w:val="00474413"/>
    <w:rsid w:val="00474417"/>
    <w:rsid w:val="004761DA"/>
    <w:rsid w:val="00476489"/>
    <w:rsid w:val="00477775"/>
    <w:rsid w:val="004802D3"/>
    <w:rsid w:val="00480D05"/>
    <w:rsid w:val="00482145"/>
    <w:rsid w:val="004822BC"/>
    <w:rsid w:val="00482830"/>
    <w:rsid w:val="0048295D"/>
    <w:rsid w:val="004829F1"/>
    <w:rsid w:val="00483CC3"/>
    <w:rsid w:val="00484375"/>
    <w:rsid w:val="004850EC"/>
    <w:rsid w:val="004861A4"/>
    <w:rsid w:val="004863D3"/>
    <w:rsid w:val="00486A8E"/>
    <w:rsid w:val="0048716B"/>
    <w:rsid w:val="004876BF"/>
    <w:rsid w:val="004900B9"/>
    <w:rsid w:val="00490483"/>
    <w:rsid w:val="004906FB"/>
    <w:rsid w:val="00492BD3"/>
    <w:rsid w:val="004932A9"/>
    <w:rsid w:val="004957C3"/>
    <w:rsid w:val="00495961"/>
    <w:rsid w:val="00497D20"/>
    <w:rsid w:val="004A24DF"/>
    <w:rsid w:val="004A311E"/>
    <w:rsid w:val="004A3348"/>
    <w:rsid w:val="004A3F61"/>
    <w:rsid w:val="004A4A7D"/>
    <w:rsid w:val="004A6F77"/>
    <w:rsid w:val="004B02AB"/>
    <w:rsid w:val="004B06BD"/>
    <w:rsid w:val="004B1F04"/>
    <w:rsid w:val="004B3E67"/>
    <w:rsid w:val="004B60AB"/>
    <w:rsid w:val="004B6A25"/>
    <w:rsid w:val="004B6E7A"/>
    <w:rsid w:val="004B7186"/>
    <w:rsid w:val="004C27E0"/>
    <w:rsid w:val="004C2B33"/>
    <w:rsid w:val="004C2BFE"/>
    <w:rsid w:val="004C2E24"/>
    <w:rsid w:val="004C3706"/>
    <w:rsid w:val="004C3BB3"/>
    <w:rsid w:val="004C414F"/>
    <w:rsid w:val="004C4DBE"/>
    <w:rsid w:val="004C6F11"/>
    <w:rsid w:val="004C6F4F"/>
    <w:rsid w:val="004D0D92"/>
    <w:rsid w:val="004D1092"/>
    <w:rsid w:val="004D1AFE"/>
    <w:rsid w:val="004D24FE"/>
    <w:rsid w:val="004D3B7F"/>
    <w:rsid w:val="004D4B62"/>
    <w:rsid w:val="004D5E8C"/>
    <w:rsid w:val="004D677F"/>
    <w:rsid w:val="004D79BE"/>
    <w:rsid w:val="004E03E7"/>
    <w:rsid w:val="004E1265"/>
    <w:rsid w:val="004E1E03"/>
    <w:rsid w:val="004E3F8C"/>
    <w:rsid w:val="004E47B9"/>
    <w:rsid w:val="004E5558"/>
    <w:rsid w:val="004E559B"/>
    <w:rsid w:val="004E5F3B"/>
    <w:rsid w:val="004E66DF"/>
    <w:rsid w:val="004E6EEE"/>
    <w:rsid w:val="004E70DB"/>
    <w:rsid w:val="004F0355"/>
    <w:rsid w:val="004F0982"/>
    <w:rsid w:val="004F1F1A"/>
    <w:rsid w:val="004F2371"/>
    <w:rsid w:val="004F26A0"/>
    <w:rsid w:val="004F2D3F"/>
    <w:rsid w:val="004F3E1C"/>
    <w:rsid w:val="004F6732"/>
    <w:rsid w:val="004F767D"/>
    <w:rsid w:val="0050279E"/>
    <w:rsid w:val="00502AE8"/>
    <w:rsid w:val="00503569"/>
    <w:rsid w:val="00503DC7"/>
    <w:rsid w:val="00504D77"/>
    <w:rsid w:val="00504F91"/>
    <w:rsid w:val="00505762"/>
    <w:rsid w:val="00506903"/>
    <w:rsid w:val="00506C2F"/>
    <w:rsid w:val="00506E1F"/>
    <w:rsid w:val="00506E9C"/>
    <w:rsid w:val="005078F1"/>
    <w:rsid w:val="00507A03"/>
    <w:rsid w:val="00507B80"/>
    <w:rsid w:val="00507CC3"/>
    <w:rsid w:val="005105DE"/>
    <w:rsid w:val="0051288D"/>
    <w:rsid w:val="00512991"/>
    <w:rsid w:val="00515A02"/>
    <w:rsid w:val="00517850"/>
    <w:rsid w:val="00521750"/>
    <w:rsid w:val="00521ABB"/>
    <w:rsid w:val="00525C3F"/>
    <w:rsid w:val="00526122"/>
    <w:rsid w:val="005265E2"/>
    <w:rsid w:val="005270E2"/>
    <w:rsid w:val="005271A4"/>
    <w:rsid w:val="005304BA"/>
    <w:rsid w:val="00530C72"/>
    <w:rsid w:val="0053134E"/>
    <w:rsid w:val="0053240E"/>
    <w:rsid w:val="00533C59"/>
    <w:rsid w:val="005342CA"/>
    <w:rsid w:val="0053433F"/>
    <w:rsid w:val="00534B83"/>
    <w:rsid w:val="00536B44"/>
    <w:rsid w:val="005407C1"/>
    <w:rsid w:val="00540AA8"/>
    <w:rsid w:val="00541C76"/>
    <w:rsid w:val="00541D18"/>
    <w:rsid w:val="00542805"/>
    <w:rsid w:val="00542A2E"/>
    <w:rsid w:val="005434DB"/>
    <w:rsid w:val="00544674"/>
    <w:rsid w:val="00544B02"/>
    <w:rsid w:val="005454B2"/>
    <w:rsid w:val="005455C9"/>
    <w:rsid w:val="0054626A"/>
    <w:rsid w:val="00546B1C"/>
    <w:rsid w:val="00550F4B"/>
    <w:rsid w:val="005517A7"/>
    <w:rsid w:val="00551F22"/>
    <w:rsid w:val="005524B2"/>
    <w:rsid w:val="005529A9"/>
    <w:rsid w:val="00552AA3"/>
    <w:rsid w:val="00553CBD"/>
    <w:rsid w:val="00555896"/>
    <w:rsid w:val="005562B7"/>
    <w:rsid w:val="00556908"/>
    <w:rsid w:val="00556BC9"/>
    <w:rsid w:val="00557F10"/>
    <w:rsid w:val="0056004B"/>
    <w:rsid w:val="0056058C"/>
    <w:rsid w:val="00560ACD"/>
    <w:rsid w:val="00561912"/>
    <w:rsid w:val="00561BAF"/>
    <w:rsid w:val="00562474"/>
    <w:rsid w:val="00562EB0"/>
    <w:rsid w:val="005638DE"/>
    <w:rsid w:val="00563C63"/>
    <w:rsid w:val="00563DCE"/>
    <w:rsid w:val="005643D3"/>
    <w:rsid w:val="005645BF"/>
    <w:rsid w:val="005649A1"/>
    <w:rsid w:val="00565770"/>
    <w:rsid w:val="005660C2"/>
    <w:rsid w:val="00570F3C"/>
    <w:rsid w:val="00570F3E"/>
    <w:rsid w:val="00571187"/>
    <w:rsid w:val="00572BAC"/>
    <w:rsid w:val="00573661"/>
    <w:rsid w:val="005739C4"/>
    <w:rsid w:val="0057468F"/>
    <w:rsid w:val="0057532A"/>
    <w:rsid w:val="00575E54"/>
    <w:rsid w:val="005771D2"/>
    <w:rsid w:val="005774E5"/>
    <w:rsid w:val="00577EDC"/>
    <w:rsid w:val="0058027B"/>
    <w:rsid w:val="005803AB"/>
    <w:rsid w:val="005812C6"/>
    <w:rsid w:val="00581BBF"/>
    <w:rsid w:val="00584BDF"/>
    <w:rsid w:val="00584E91"/>
    <w:rsid w:val="005856CA"/>
    <w:rsid w:val="005857B1"/>
    <w:rsid w:val="005858FA"/>
    <w:rsid w:val="00585C21"/>
    <w:rsid w:val="00590A4F"/>
    <w:rsid w:val="00591956"/>
    <w:rsid w:val="00592F85"/>
    <w:rsid w:val="00593490"/>
    <w:rsid w:val="0059481D"/>
    <w:rsid w:val="00595026"/>
    <w:rsid w:val="005956F6"/>
    <w:rsid w:val="0059696E"/>
    <w:rsid w:val="005972A4"/>
    <w:rsid w:val="005A19F2"/>
    <w:rsid w:val="005A1A6C"/>
    <w:rsid w:val="005A2790"/>
    <w:rsid w:val="005A3244"/>
    <w:rsid w:val="005A4A40"/>
    <w:rsid w:val="005A5402"/>
    <w:rsid w:val="005A72C4"/>
    <w:rsid w:val="005A759D"/>
    <w:rsid w:val="005B0146"/>
    <w:rsid w:val="005B01D1"/>
    <w:rsid w:val="005B087B"/>
    <w:rsid w:val="005B1196"/>
    <w:rsid w:val="005B1398"/>
    <w:rsid w:val="005B1450"/>
    <w:rsid w:val="005B18D3"/>
    <w:rsid w:val="005B276E"/>
    <w:rsid w:val="005B34C7"/>
    <w:rsid w:val="005B3B6E"/>
    <w:rsid w:val="005B3CE1"/>
    <w:rsid w:val="005B461C"/>
    <w:rsid w:val="005B57BB"/>
    <w:rsid w:val="005B7811"/>
    <w:rsid w:val="005C009F"/>
    <w:rsid w:val="005C1034"/>
    <w:rsid w:val="005C2A90"/>
    <w:rsid w:val="005C53D5"/>
    <w:rsid w:val="005C5B86"/>
    <w:rsid w:val="005C741C"/>
    <w:rsid w:val="005D039D"/>
    <w:rsid w:val="005D0B2C"/>
    <w:rsid w:val="005D1B7F"/>
    <w:rsid w:val="005D1B96"/>
    <w:rsid w:val="005D2374"/>
    <w:rsid w:val="005D2831"/>
    <w:rsid w:val="005D2C43"/>
    <w:rsid w:val="005D4669"/>
    <w:rsid w:val="005D72FC"/>
    <w:rsid w:val="005E2143"/>
    <w:rsid w:val="005E27F6"/>
    <w:rsid w:val="005E4437"/>
    <w:rsid w:val="005E583E"/>
    <w:rsid w:val="005E5AEF"/>
    <w:rsid w:val="005E64A6"/>
    <w:rsid w:val="005E6FAF"/>
    <w:rsid w:val="005E75C1"/>
    <w:rsid w:val="005E7ED7"/>
    <w:rsid w:val="005F1827"/>
    <w:rsid w:val="005F35AD"/>
    <w:rsid w:val="005F5328"/>
    <w:rsid w:val="005F607B"/>
    <w:rsid w:val="005F608D"/>
    <w:rsid w:val="005F610E"/>
    <w:rsid w:val="005F670E"/>
    <w:rsid w:val="00600355"/>
    <w:rsid w:val="00600D70"/>
    <w:rsid w:val="00601396"/>
    <w:rsid w:val="006027E4"/>
    <w:rsid w:val="00603B64"/>
    <w:rsid w:val="00604742"/>
    <w:rsid w:val="00604855"/>
    <w:rsid w:val="0060678A"/>
    <w:rsid w:val="00611530"/>
    <w:rsid w:val="00611AAB"/>
    <w:rsid w:val="0061269C"/>
    <w:rsid w:val="00612BB8"/>
    <w:rsid w:val="00612D3D"/>
    <w:rsid w:val="00615736"/>
    <w:rsid w:val="006157F9"/>
    <w:rsid w:val="00615EBC"/>
    <w:rsid w:val="00616058"/>
    <w:rsid w:val="006163E1"/>
    <w:rsid w:val="00616BB5"/>
    <w:rsid w:val="006179A0"/>
    <w:rsid w:val="00617AC2"/>
    <w:rsid w:val="0062018F"/>
    <w:rsid w:val="0062226A"/>
    <w:rsid w:val="0062333E"/>
    <w:rsid w:val="00623C79"/>
    <w:rsid w:val="00623C97"/>
    <w:rsid w:val="00624056"/>
    <w:rsid w:val="00625A39"/>
    <w:rsid w:val="0062742C"/>
    <w:rsid w:val="006316DD"/>
    <w:rsid w:val="00631B22"/>
    <w:rsid w:val="00632898"/>
    <w:rsid w:val="00632D23"/>
    <w:rsid w:val="00632DCB"/>
    <w:rsid w:val="00633151"/>
    <w:rsid w:val="006344DA"/>
    <w:rsid w:val="006357F1"/>
    <w:rsid w:val="006378D1"/>
    <w:rsid w:val="00637D34"/>
    <w:rsid w:val="00640EAD"/>
    <w:rsid w:val="006413E8"/>
    <w:rsid w:val="00642298"/>
    <w:rsid w:val="0064340B"/>
    <w:rsid w:val="006434EB"/>
    <w:rsid w:val="0064462D"/>
    <w:rsid w:val="00644EAD"/>
    <w:rsid w:val="006461E2"/>
    <w:rsid w:val="00646E0A"/>
    <w:rsid w:val="006503BB"/>
    <w:rsid w:val="0065172E"/>
    <w:rsid w:val="006535EA"/>
    <w:rsid w:val="00655819"/>
    <w:rsid w:val="0065585C"/>
    <w:rsid w:val="006569F6"/>
    <w:rsid w:val="00660A3D"/>
    <w:rsid w:val="006634FA"/>
    <w:rsid w:val="006635E5"/>
    <w:rsid w:val="0066517A"/>
    <w:rsid w:val="006658D8"/>
    <w:rsid w:val="006658E9"/>
    <w:rsid w:val="006660FE"/>
    <w:rsid w:val="0066672F"/>
    <w:rsid w:val="006668C6"/>
    <w:rsid w:val="006679B5"/>
    <w:rsid w:val="00670092"/>
    <w:rsid w:val="0067037C"/>
    <w:rsid w:val="0067040D"/>
    <w:rsid w:val="00670D47"/>
    <w:rsid w:val="006711F2"/>
    <w:rsid w:val="00671516"/>
    <w:rsid w:val="0067172D"/>
    <w:rsid w:val="00671C11"/>
    <w:rsid w:val="0067317B"/>
    <w:rsid w:val="006753EF"/>
    <w:rsid w:val="006755F7"/>
    <w:rsid w:val="006757F3"/>
    <w:rsid w:val="00675D3D"/>
    <w:rsid w:val="0067624A"/>
    <w:rsid w:val="00676906"/>
    <w:rsid w:val="0067750C"/>
    <w:rsid w:val="00683F8F"/>
    <w:rsid w:val="00684C66"/>
    <w:rsid w:val="00685035"/>
    <w:rsid w:val="00686438"/>
    <w:rsid w:val="00687739"/>
    <w:rsid w:val="00690422"/>
    <w:rsid w:val="006909C4"/>
    <w:rsid w:val="006928ED"/>
    <w:rsid w:val="00692B58"/>
    <w:rsid w:val="00693644"/>
    <w:rsid w:val="006945F1"/>
    <w:rsid w:val="0069463A"/>
    <w:rsid w:val="00694770"/>
    <w:rsid w:val="00695024"/>
    <w:rsid w:val="006954E8"/>
    <w:rsid w:val="00695AC2"/>
    <w:rsid w:val="006962F8"/>
    <w:rsid w:val="00697CBC"/>
    <w:rsid w:val="006A0281"/>
    <w:rsid w:val="006A05AD"/>
    <w:rsid w:val="006A2188"/>
    <w:rsid w:val="006A2403"/>
    <w:rsid w:val="006A334B"/>
    <w:rsid w:val="006A3A42"/>
    <w:rsid w:val="006A42CB"/>
    <w:rsid w:val="006A5B5E"/>
    <w:rsid w:val="006A5EC2"/>
    <w:rsid w:val="006A6832"/>
    <w:rsid w:val="006A6F43"/>
    <w:rsid w:val="006A7113"/>
    <w:rsid w:val="006A7A74"/>
    <w:rsid w:val="006A7E74"/>
    <w:rsid w:val="006B056A"/>
    <w:rsid w:val="006B06F0"/>
    <w:rsid w:val="006B2B0D"/>
    <w:rsid w:val="006B3472"/>
    <w:rsid w:val="006B4086"/>
    <w:rsid w:val="006B4D32"/>
    <w:rsid w:val="006B4E54"/>
    <w:rsid w:val="006B6B94"/>
    <w:rsid w:val="006B78C6"/>
    <w:rsid w:val="006B7B71"/>
    <w:rsid w:val="006C0439"/>
    <w:rsid w:val="006C1210"/>
    <w:rsid w:val="006C26EB"/>
    <w:rsid w:val="006C4F2F"/>
    <w:rsid w:val="006C62B2"/>
    <w:rsid w:val="006C62E8"/>
    <w:rsid w:val="006C6800"/>
    <w:rsid w:val="006C7EB6"/>
    <w:rsid w:val="006D1DA4"/>
    <w:rsid w:val="006D1F21"/>
    <w:rsid w:val="006D22BA"/>
    <w:rsid w:val="006D2592"/>
    <w:rsid w:val="006D2C61"/>
    <w:rsid w:val="006D305B"/>
    <w:rsid w:val="006D5E30"/>
    <w:rsid w:val="006D6D7B"/>
    <w:rsid w:val="006D77DD"/>
    <w:rsid w:val="006D7A0B"/>
    <w:rsid w:val="006E008A"/>
    <w:rsid w:val="006E0550"/>
    <w:rsid w:val="006E06AE"/>
    <w:rsid w:val="006E0E54"/>
    <w:rsid w:val="006E2F25"/>
    <w:rsid w:val="006E4B2D"/>
    <w:rsid w:val="006E4E2A"/>
    <w:rsid w:val="006E5454"/>
    <w:rsid w:val="006E55C9"/>
    <w:rsid w:val="006E5939"/>
    <w:rsid w:val="006E5E1D"/>
    <w:rsid w:val="006E5EE4"/>
    <w:rsid w:val="006E6ED4"/>
    <w:rsid w:val="006E784F"/>
    <w:rsid w:val="006E7DA7"/>
    <w:rsid w:val="006E7F99"/>
    <w:rsid w:val="006F1238"/>
    <w:rsid w:val="006F1CBF"/>
    <w:rsid w:val="006F3E72"/>
    <w:rsid w:val="006F5023"/>
    <w:rsid w:val="006F5743"/>
    <w:rsid w:val="006F5B5A"/>
    <w:rsid w:val="006F6014"/>
    <w:rsid w:val="006F6DBB"/>
    <w:rsid w:val="006F6E3D"/>
    <w:rsid w:val="006F7FDE"/>
    <w:rsid w:val="00701656"/>
    <w:rsid w:val="00701838"/>
    <w:rsid w:val="00702E0A"/>
    <w:rsid w:val="007036A1"/>
    <w:rsid w:val="007036E0"/>
    <w:rsid w:val="007049CE"/>
    <w:rsid w:val="00704FE3"/>
    <w:rsid w:val="00705B66"/>
    <w:rsid w:val="007064A0"/>
    <w:rsid w:val="00706D28"/>
    <w:rsid w:val="00711D7C"/>
    <w:rsid w:val="00712439"/>
    <w:rsid w:val="0071289E"/>
    <w:rsid w:val="00714BA6"/>
    <w:rsid w:val="00714CD1"/>
    <w:rsid w:val="00715826"/>
    <w:rsid w:val="00715907"/>
    <w:rsid w:val="00715CE3"/>
    <w:rsid w:val="00715EA4"/>
    <w:rsid w:val="00716B56"/>
    <w:rsid w:val="007172C1"/>
    <w:rsid w:val="007173B0"/>
    <w:rsid w:val="00720369"/>
    <w:rsid w:val="00720493"/>
    <w:rsid w:val="00721310"/>
    <w:rsid w:val="0072148D"/>
    <w:rsid w:val="007216E7"/>
    <w:rsid w:val="0072363F"/>
    <w:rsid w:val="007251D3"/>
    <w:rsid w:val="00725B43"/>
    <w:rsid w:val="00726D29"/>
    <w:rsid w:val="00727515"/>
    <w:rsid w:val="007276E6"/>
    <w:rsid w:val="0073006E"/>
    <w:rsid w:val="00730969"/>
    <w:rsid w:val="007310C3"/>
    <w:rsid w:val="007317B7"/>
    <w:rsid w:val="0073189C"/>
    <w:rsid w:val="00731AA3"/>
    <w:rsid w:val="00732C84"/>
    <w:rsid w:val="00733846"/>
    <w:rsid w:val="00733ACA"/>
    <w:rsid w:val="00734EB6"/>
    <w:rsid w:val="00735DCD"/>
    <w:rsid w:val="0073736C"/>
    <w:rsid w:val="007379E3"/>
    <w:rsid w:val="007406CC"/>
    <w:rsid w:val="0074157A"/>
    <w:rsid w:val="00741E07"/>
    <w:rsid w:val="007426B0"/>
    <w:rsid w:val="007428E5"/>
    <w:rsid w:val="00742CAA"/>
    <w:rsid w:val="00743A65"/>
    <w:rsid w:val="00744A7B"/>
    <w:rsid w:val="00744D9B"/>
    <w:rsid w:val="00750F71"/>
    <w:rsid w:val="00751C2D"/>
    <w:rsid w:val="007532F6"/>
    <w:rsid w:val="00755014"/>
    <w:rsid w:val="00755CC0"/>
    <w:rsid w:val="007573D0"/>
    <w:rsid w:val="00757B62"/>
    <w:rsid w:val="007602B6"/>
    <w:rsid w:val="00763D7C"/>
    <w:rsid w:val="0076425A"/>
    <w:rsid w:val="00764A7B"/>
    <w:rsid w:val="00764C29"/>
    <w:rsid w:val="0076641F"/>
    <w:rsid w:val="007667B3"/>
    <w:rsid w:val="00766B44"/>
    <w:rsid w:val="00767429"/>
    <w:rsid w:val="007708DE"/>
    <w:rsid w:val="00770969"/>
    <w:rsid w:val="0077229B"/>
    <w:rsid w:val="00772D67"/>
    <w:rsid w:val="007732DE"/>
    <w:rsid w:val="00773806"/>
    <w:rsid w:val="00774EFB"/>
    <w:rsid w:val="007754ED"/>
    <w:rsid w:val="00775B1A"/>
    <w:rsid w:val="00775BB1"/>
    <w:rsid w:val="00776BAC"/>
    <w:rsid w:val="00776D8C"/>
    <w:rsid w:val="007778E8"/>
    <w:rsid w:val="007803BD"/>
    <w:rsid w:val="00780418"/>
    <w:rsid w:val="007812EB"/>
    <w:rsid w:val="00782077"/>
    <w:rsid w:val="00782FD3"/>
    <w:rsid w:val="00783BCA"/>
    <w:rsid w:val="00783F78"/>
    <w:rsid w:val="00783FB6"/>
    <w:rsid w:val="00784955"/>
    <w:rsid w:val="007870D9"/>
    <w:rsid w:val="00787857"/>
    <w:rsid w:val="00790402"/>
    <w:rsid w:val="00791522"/>
    <w:rsid w:val="00792217"/>
    <w:rsid w:val="007929EB"/>
    <w:rsid w:val="00793655"/>
    <w:rsid w:val="00793721"/>
    <w:rsid w:val="007946E0"/>
    <w:rsid w:val="00795B53"/>
    <w:rsid w:val="00795DFF"/>
    <w:rsid w:val="0079727A"/>
    <w:rsid w:val="007A0314"/>
    <w:rsid w:val="007A4492"/>
    <w:rsid w:val="007A4EE7"/>
    <w:rsid w:val="007A5ECF"/>
    <w:rsid w:val="007A5F3A"/>
    <w:rsid w:val="007A6A6E"/>
    <w:rsid w:val="007A745F"/>
    <w:rsid w:val="007B067D"/>
    <w:rsid w:val="007B0D18"/>
    <w:rsid w:val="007B15E3"/>
    <w:rsid w:val="007B1B74"/>
    <w:rsid w:val="007B1DDF"/>
    <w:rsid w:val="007B30FE"/>
    <w:rsid w:val="007B3F42"/>
    <w:rsid w:val="007B6376"/>
    <w:rsid w:val="007B63F5"/>
    <w:rsid w:val="007B6C46"/>
    <w:rsid w:val="007C062B"/>
    <w:rsid w:val="007C1D1B"/>
    <w:rsid w:val="007C3B62"/>
    <w:rsid w:val="007C3E03"/>
    <w:rsid w:val="007C3E3D"/>
    <w:rsid w:val="007C3FCD"/>
    <w:rsid w:val="007C4441"/>
    <w:rsid w:val="007C4619"/>
    <w:rsid w:val="007C4EA6"/>
    <w:rsid w:val="007C50F0"/>
    <w:rsid w:val="007C556B"/>
    <w:rsid w:val="007C60FB"/>
    <w:rsid w:val="007C639A"/>
    <w:rsid w:val="007D011B"/>
    <w:rsid w:val="007D07F6"/>
    <w:rsid w:val="007D0C36"/>
    <w:rsid w:val="007D0F30"/>
    <w:rsid w:val="007D2396"/>
    <w:rsid w:val="007D2F49"/>
    <w:rsid w:val="007D3FCB"/>
    <w:rsid w:val="007E173A"/>
    <w:rsid w:val="007E1C55"/>
    <w:rsid w:val="007E48E2"/>
    <w:rsid w:val="007E7349"/>
    <w:rsid w:val="007E7BE4"/>
    <w:rsid w:val="007F011C"/>
    <w:rsid w:val="007F029F"/>
    <w:rsid w:val="007F03E6"/>
    <w:rsid w:val="007F0772"/>
    <w:rsid w:val="007F1068"/>
    <w:rsid w:val="007F10F2"/>
    <w:rsid w:val="007F1DA0"/>
    <w:rsid w:val="007F24D5"/>
    <w:rsid w:val="007F2552"/>
    <w:rsid w:val="007F3416"/>
    <w:rsid w:val="007F3CC5"/>
    <w:rsid w:val="007F431C"/>
    <w:rsid w:val="007F6AF7"/>
    <w:rsid w:val="007F7011"/>
    <w:rsid w:val="00801163"/>
    <w:rsid w:val="00801561"/>
    <w:rsid w:val="0080157B"/>
    <w:rsid w:val="00801A8C"/>
    <w:rsid w:val="00802DF9"/>
    <w:rsid w:val="00805207"/>
    <w:rsid w:val="00805815"/>
    <w:rsid w:val="00805E71"/>
    <w:rsid w:val="00806639"/>
    <w:rsid w:val="008109D0"/>
    <w:rsid w:val="00811A26"/>
    <w:rsid w:val="00812E83"/>
    <w:rsid w:val="00814064"/>
    <w:rsid w:val="008148DF"/>
    <w:rsid w:val="00816835"/>
    <w:rsid w:val="0082163D"/>
    <w:rsid w:val="0082333A"/>
    <w:rsid w:val="00823453"/>
    <w:rsid w:val="00823C52"/>
    <w:rsid w:val="008257FD"/>
    <w:rsid w:val="00825EBE"/>
    <w:rsid w:val="0082625D"/>
    <w:rsid w:val="00827321"/>
    <w:rsid w:val="00827AEF"/>
    <w:rsid w:val="00827FAC"/>
    <w:rsid w:val="008305AB"/>
    <w:rsid w:val="00830681"/>
    <w:rsid w:val="008315FA"/>
    <w:rsid w:val="008328B4"/>
    <w:rsid w:val="0083295A"/>
    <w:rsid w:val="00832A45"/>
    <w:rsid w:val="00832D6D"/>
    <w:rsid w:val="00833B4E"/>
    <w:rsid w:val="00834B12"/>
    <w:rsid w:val="00834E13"/>
    <w:rsid w:val="00835545"/>
    <w:rsid w:val="008364E0"/>
    <w:rsid w:val="008365E9"/>
    <w:rsid w:val="00841B16"/>
    <w:rsid w:val="00841C2D"/>
    <w:rsid w:val="0084435A"/>
    <w:rsid w:val="008453C3"/>
    <w:rsid w:val="00846997"/>
    <w:rsid w:val="0084714C"/>
    <w:rsid w:val="008520B1"/>
    <w:rsid w:val="0085275A"/>
    <w:rsid w:val="00853343"/>
    <w:rsid w:val="008537B5"/>
    <w:rsid w:val="00856631"/>
    <w:rsid w:val="00856C15"/>
    <w:rsid w:val="00856E2A"/>
    <w:rsid w:val="00860984"/>
    <w:rsid w:val="00860A65"/>
    <w:rsid w:val="00860B13"/>
    <w:rsid w:val="00860ED5"/>
    <w:rsid w:val="00862E14"/>
    <w:rsid w:val="00863240"/>
    <w:rsid w:val="00864218"/>
    <w:rsid w:val="0086430F"/>
    <w:rsid w:val="00865848"/>
    <w:rsid w:val="00866774"/>
    <w:rsid w:val="00866E4D"/>
    <w:rsid w:val="00870115"/>
    <w:rsid w:val="008715B9"/>
    <w:rsid w:val="00872DEB"/>
    <w:rsid w:val="00873589"/>
    <w:rsid w:val="00873E7E"/>
    <w:rsid w:val="0087400E"/>
    <w:rsid w:val="008743B1"/>
    <w:rsid w:val="00875593"/>
    <w:rsid w:val="00875D8F"/>
    <w:rsid w:val="00875E7B"/>
    <w:rsid w:val="008801E4"/>
    <w:rsid w:val="0088030E"/>
    <w:rsid w:val="00880E5D"/>
    <w:rsid w:val="00880F42"/>
    <w:rsid w:val="00881A18"/>
    <w:rsid w:val="008824AE"/>
    <w:rsid w:val="00884ADC"/>
    <w:rsid w:val="0088507C"/>
    <w:rsid w:val="0089003C"/>
    <w:rsid w:val="00890973"/>
    <w:rsid w:val="00892A89"/>
    <w:rsid w:val="00892FD2"/>
    <w:rsid w:val="00893430"/>
    <w:rsid w:val="00893604"/>
    <w:rsid w:val="00893867"/>
    <w:rsid w:val="00894041"/>
    <w:rsid w:val="0089414D"/>
    <w:rsid w:val="00894E2B"/>
    <w:rsid w:val="008951CD"/>
    <w:rsid w:val="0089576B"/>
    <w:rsid w:val="00895872"/>
    <w:rsid w:val="00895CB6"/>
    <w:rsid w:val="00895DB2"/>
    <w:rsid w:val="00896E3D"/>
    <w:rsid w:val="008976F9"/>
    <w:rsid w:val="008A16E0"/>
    <w:rsid w:val="008A37BD"/>
    <w:rsid w:val="008A4350"/>
    <w:rsid w:val="008A4620"/>
    <w:rsid w:val="008A4B11"/>
    <w:rsid w:val="008A554B"/>
    <w:rsid w:val="008A614A"/>
    <w:rsid w:val="008A61AF"/>
    <w:rsid w:val="008A7513"/>
    <w:rsid w:val="008B06C8"/>
    <w:rsid w:val="008B07F4"/>
    <w:rsid w:val="008B0F6A"/>
    <w:rsid w:val="008B1475"/>
    <w:rsid w:val="008B291B"/>
    <w:rsid w:val="008B45A6"/>
    <w:rsid w:val="008B4F7C"/>
    <w:rsid w:val="008B6C5A"/>
    <w:rsid w:val="008B6F6C"/>
    <w:rsid w:val="008B7077"/>
    <w:rsid w:val="008C1EFD"/>
    <w:rsid w:val="008C2AE3"/>
    <w:rsid w:val="008C35AB"/>
    <w:rsid w:val="008C3CAD"/>
    <w:rsid w:val="008C4600"/>
    <w:rsid w:val="008C4A42"/>
    <w:rsid w:val="008C4BEE"/>
    <w:rsid w:val="008C5A02"/>
    <w:rsid w:val="008C7811"/>
    <w:rsid w:val="008C7C02"/>
    <w:rsid w:val="008D0356"/>
    <w:rsid w:val="008D09FB"/>
    <w:rsid w:val="008D1926"/>
    <w:rsid w:val="008D1D3B"/>
    <w:rsid w:val="008D1E78"/>
    <w:rsid w:val="008D1F66"/>
    <w:rsid w:val="008D32BA"/>
    <w:rsid w:val="008D4FEF"/>
    <w:rsid w:val="008D5825"/>
    <w:rsid w:val="008D59AF"/>
    <w:rsid w:val="008D5E41"/>
    <w:rsid w:val="008D64EA"/>
    <w:rsid w:val="008D68B1"/>
    <w:rsid w:val="008D7155"/>
    <w:rsid w:val="008E0470"/>
    <w:rsid w:val="008E12D4"/>
    <w:rsid w:val="008E1618"/>
    <w:rsid w:val="008E2905"/>
    <w:rsid w:val="008E3798"/>
    <w:rsid w:val="008E473B"/>
    <w:rsid w:val="008E5D87"/>
    <w:rsid w:val="008E67FE"/>
    <w:rsid w:val="008E71F4"/>
    <w:rsid w:val="008E73B9"/>
    <w:rsid w:val="008F1332"/>
    <w:rsid w:val="008F3AA8"/>
    <w:rsid w:val="008F3D2F"/>
    <w:rsid w:val="008F3FB2"/>
    <w:rsid w:val="008F5406"/>
    <w:rsid w:val="008F76EA"/>
    <w:rsid w:val="008F7B5B"/>
    <w:rsid w:val="009035F5"/>
    <w:rsid w:val="009046A1"/>
    <w:rsid w:val="009101E7"/>
    <w:rsid w:val="00911A08"/>
    <w:rsid w:val="00911F8D"/>
    <w:rsid w:val="009121BE"/>
    <w:rsid w:val="00912499"/>
    <w:rsid w:val="00912E85"/>
    <w:rsid w:val="00912ED2"/>
    <w:rsid w:val="00912F51"/>
    <w:rsid w:val="00915A24"/>
    <w:rsid w:val="00916320"/>
    <w:rsid w:val="00917362"/>
    <w:rsid w:val="00917876"/>
    <w:rsid w:val="00920107"/>
    <w:rsid w:val="00920884"/>
    <w:rsid w:val="0092253F"/>
    <w:rsid w:val="009229A4"/>
    <w:rsid w:val="00922B17"/>
    <w:rsid w:val="00923398"/>
    <w:rsid w:val="00923FB6"/>
    <w:rsid w:val="009260AF"/>
    <w:rsid w:val="00927D2E"/>
    <w:rsid w:val="0093077E"/>
    <w:rsid w:val="00930DEE"/>
    <w:rsid w:val="00932C6D"/>
    <w:rsid w:val="009337B7"/>
    <w:rsid w:val="009342F3"/>
    <w:rsid w:val="00935618"/>
    <w:rsid w:val="0093651E"/>
    <w:rsid w:val="00936F01"/>
    <w:rsid w:val="00937774"/>
    <w:rsid w:val="00937A1D"/>
    <w:rsid w:val="00937FCC"/>
    <w:rsid w:val="00940706"/>
    <w:rsid w:val="00940710"/>
    <w:rsid w:val="00940EB8"/>
    <w:rsid w:val="009423AD"/>
    <w:rsid w:val="00943F62"/>
    <w:rsid w:val="0094548A"/>
    <w:rsid w:val="00945B67"/>
    <w:rsid w:val="00945E3D"/>
    <w:rsid w:val="00946F0C"/>
    <w:rsid w:val="009474A2"/>
    <w:rsid w:val="00947870"/>
    <w:rsid w:val="00950146"/>
    <w:rsid w:val="00952792"/>
    <w:rsid w:val="00953E7C"/>
    <w:rsid w:val="00954123"/>
    <w:rsid w:val="009574E9"/>
    <w:rsid w:val="0096081E"/>
    <w:rsid w:val="00961243"/>
    <w:rsid w:val="00961BB0"/>
    <w:rsid w:val="00961F26"/>
    <w:rsid w:val="00964314"/>
    <w:rsid w:val="00965121"/>
    <w:rsid w:val="009657A3"/>
    <w:rsid w:val="009723C8"/>
    <w:rsid w:val="0097250D"/>
    <w:rsid w:val="00973158"/>
    <w:rsid w:val="00973251"/>
    <w:rsid w:val="00973470"/>
    <w:rsid w:val="00974891"/>
    <w:rsid w:val="00974B77"/>
    <w:rsid w:val="00974C8F"/>
    <w:rsid w:val="00974E52"/>
    <w:rsid w:val="00975454"/>
    <w:rsid w:val="009760FB"/>
    <w:rsid w:val="009763B6"/>
    <w:rsid w:val="00976D59"/>
    <w:rsid w:val="00977BCA"/>
    <w:rsid w:val="00980305"/>
    <w:rsid w:val="00980B0D"/>
    <w:rsid w:val="009814FE"/>
    <w:rsid w:val="00981632"/>
    <w:rsid w:val="00984427"/>
    <w:rsid w:val="00985418"/>
    <w:rsid w:val="0098587E"/>
    <w:rsid w:val="0098662E"/>
    <w:rsid w:val="00986FAB"/>
    <w:rsid w:val="0099048F"/>
    <w:rsid w:val="00991F65"/>
    <w:rsid w:val="0099226A"/>
    <w:rsid w:val="00992497"/>
    <w:rsid w:val="00993BAA"/>
    <w:rsid w:val="00994C66"/>
    <w:rsid w:val="00995780"/>
    <w:rsid w:val="00995FB4"/>
    <w:rsid w:val="00995FD1"/>
    <w:rsid w:val="009A0EE5"/>
    <w:rsid w:val="009A23D9"/>
    <w:rsid w:val="009A41FC"/>
    <w:rsid w:val="009A4785"/>
    <w:rsid w:val="009A49C5"/>
    <w:rsid w:val="009A50B6"/>
    <w:rsid w:val="009A5129"/>
    <w:rsid w:val="009A5182"/>
    <w:rsid w:val="009A51FB"/>
    <w:rsid w:val="009A5BC3"/>
    <w:rsid w:val="009A65FA"/>
    <w:rsid w:val="009A6E0B"/>
    <w:rsid w:val="009A7B1E"/>
    <w:rsid w:val="009B1E6F"/>
    <w:rsid w:val="009B30BB"/>
    <w:rsid w:val="009B3636"/>
    <w:rsid w:val="009B566C"/>
    <w:rsid w:val="009B61ED"/>
    <w:rsid w:val="009B644C"/>
    <w:rsid w:val="009B6CF0"/>
    <w:rsid w:val="009B7090"/>
    <w:rsid w:val="009B7EC9"/>
    <w:rsid w:val="009C020B"/>
    <w:rsid w:val="009C0531"/>
    <w:rsid w:val="009C1140"/>
    <w:rsid w:val="009C11AC"/>
    <w:rsid w:val="009C1922"/>
    <w:rsid w:val="009C285D"/>
    <w:rsid w:val="009C32A9"/>
    <w:rsid w:val="009C375D"/>
    <w:rsid w:val="009C43CF"/>
    <w:rsid w:val="009C49DE"/>
    <w:rsid w:val="009C7BA5"/>
    <w:rsid w:val="009C7C44"/>
    <w:rsid w:val="009C7D23"/>
    <w:rsid w:val="009D1B1C"/>
    <w:rsid w:val="009D2973"/>
    <w:rsid w:val="009D41AE"/>
    <w:rsid w:val="009D41B4"/>
    <w:rsid w:val="009D4F1A"/>
    <w:rsid w:val="009D6575"/>
    <w:rsid w:val="009E026D"/>
    <w:rsid w:val="009E0273"/>
    <w:rsid w:val="009E0570"/>
    <w:rsid w:val="009E09F5"/>
    <w:rsid w:val="009E16DE"/>
    <w:rsid w:val="009E1E41"/>
    <w:rsid w:val="009E3B68"/>
    <w:rsid w:val="009E4390"/>
    <w:rsid w:val="009E5330"/>
    <w:rsid w:val="009E6932"/>
    <w:rsid w:val="009E77A6"/>
    <w:rsid w:val="009E7985"/>
    <w:rsid w:val="009F01E1"/>
    <w:rsid w:val="009F04E5"/>
    <w:rsid w:val="009F13C5"/>
    <w:rsid w:val="009F23F3"/>
    <w:rsid w:val="009F30C8"/>
    <w:rsid w:val="009F3175"/>
    <w:rsid w:val="009F3C1A"/>
    <w:rsid w:val="009F4BBA"/>
    <w:rsid w:val="009F6C81"/>
    <w:rsid w:val="009F79CD"/>
    <w:rsid w:val="009F7C6D"/>
    <w:rsid w:val="00A006CD"/>
    <w:rsid w:val="00A01056"/>
    <w:rsid w:val="00A01A65"/>
    <w:rsid w:val="00A021F3"/>
    <w:rsid w:val="00A032B5"/>
    <w:rsid w:val="00A043F4"/>
    <w:rsid w:val="00A049D1"/>
    <w:rsid w:val="00A06DB2"/>
    <w:rsid w:val="00A0742C"/>
    <w:rsid w:val="00A1036D"/>
    <w:rsid w:val="00A107C4"/>
    <w:rsid w:val="00A117C8"/>
    <w:rsid w:val="00A13CCF"/>
    <w:rsid w:val="00A15582"/>
    <w:rsid w:val="00A15806"/>
    <w:rsid w:val="00A16626"/>
    <w:rsid w:val="00A21198"/>
    <w:rsid w:val="00A21FAE"/>
    <w:rsid w:val="00A22743"/>
    <w:rsid w:val="00A23F94"/>
    <w:rsid w:val="00A24900"/>
    <w:rsid w:val="00A2496B"/>
    <w:rsid w:val="00A2570C"/>
    <w:rsid w:val="00A26421"/>
    <w:rsid w:val="00A269D5"/>
    <w:rsid w:val="00A26C20"/>
    <w:rsid w:val="00A27187"/>
    <w:rsid w:val="00A27C59"/>
    <w:rsid w:val="00A3777A"/>
    <w:rsid w:val="00A4240E"/>
    <w:rsid w:val="00A4270C"/>
    <w:rsid w:val="00A43E9D"/>
    <w:rsid w:val="00A51127"/>
    <w:rsid w:val="00A5142F"/>
    <w:rsid w:val="00A52E82"/>
    <w:rsid w:val="00A54D1F"/>
    <w:rsid w:val="00A5509C"/>
    <w:rsid w:val="00A5587C"/>
    <w:rsid w:val="00A562C4"/>
    <w:rsid w:val="00A564A7"/>
    <w:rsid w:val="00A57594"/>
    <w:rsid w:val="00A6012D"/>
    <w:rsid w:val="00A60415"/>
    <w:rsid w:val="00A60CD4"/>
    <w:rsid w:val="00A6243F"/>
    <w:rsid w:val="00A63A66"/>
    <w:rsid w:val="00A63C96"/>
    <w:rsid w:val="00A64109"/>
    <w:rsid w:val="00A65379"/>
    <w:rsid w:val="00A6660E"/>
    <w:rsid w:val="00A70DA8"/>
    <w:rsid w:val="00A72825"/>
    <w:rsid w:val="00A7338A"/>
    <w:rsid w:val="00A7413F"/>
    <w:rsid w:val="00A7693E"/>
    <w:rsid w:val="00A81190"/>
    <w:rsid w:val="00A84050"/>
    <w:rsid w:val="00A860C7"/>
    <w:rsid w:val="00A90BEE"/>
    <w:rsid w:val="00A90D79"/>
    <w:rsid w:val="00A9197E"/>
    <w:rsid w:val="00A9331B"/>
    <w:rsid w:val="00A93398"/>
    <w:rsid w:val="00A94536"/>
    <w:rsid w:val="00A94BEC"/>
    <w:rsid w:val="00A96025"/>
    <w:rsid w:val="00A964D9"/>
    <w:rsid w:val="00A9652E"/>
    <w:rsid w:val="00A974CA"/>
    <w:rsid w:val="00A97D5F"/>
    <w:rsid w:val="00A97DE2"/>
    <w:rsid w:val="00AA0240"/>
    <w:rsid w:val="00AA07E8"/>
    <w:rsid w:val="00AA171D"/>
    <w:rsid w:val="00AA19BC"/>
    <w:rsid w:val="00AA1E8F"/>
    <w:rsid w:val="00AA238B"/>
    <w:rsid w:val="00AA271E"/>
    <w:rsid w:val="00AA3359"/>
    <w:rsid w:val="00AA409B"/>
    <w:rsid w:val="00AA53A1"/>
    <w:rsid w:val="00AA60F8"/>
    <w:rsid w:val="00AA6520"/>
    <w:rsid w:val="00AB08B9"/>
    <w:rsid w:val="00AB14E8"/>
    <w:rsid w:val="00AB1E4E"/>
    <w:rsid w:val="00AB20C0"/>
    <w:rsid w:val="00AB6A7F"/>
    <w:rsid w:val="00AB6E42"/>
    <w:rsid w:val="00AB715D"/>
    <w:rsid w:val="00AC0077"/>
    <w:rsid w:val="00AC09B9"/>
    <w:rsid w:val="00AC0EB4"/>
    <w:rsid w:val="00AC1AF8"/>
    <w:rsid w:val="00AC2FB8"/>
    <w:rsid w:val="00AC3CD2"/>
    <w:rsid w:val="00AC43D3"/>
    <w:rsid w:val="00AC60F9"/>
    <w:rsid w:val="00AC68C3"/>
    <w:rsid w:val="00AC7632"/>
    <w:rsid w:val="00AC794C"/>
    <w:rsid w:val="00AD0CD0"/>
    <w:rsid w:val="00AD1BCB"/>
    <w:rsid w:val="00AD2271"/>
    <w:rsid w:val="00AD228D"/>
    <w:rsid w:val="00AD2BAC"/>
    <w:rsid w:val="00AD3722"/>
    <w:rsid w:val="00AD3983"/>
    <w:rsid w:val="00AD59CB"/>
    <w:rsid w:val="00AD6433"/>
    <w:rsid w:val="00AD6752"/>
    <w:rsid w:val="00AD6A55"/>
    <w:rsid w:val="00AD78C4"/>
    <w:rsid w:val="00AD78FC"/>
    <w:rsid w:val="00AD7E7B"/>
    <w:rsid w:val="00AE02A6"/>
    <w:rsid w:val="00AE0B56"/>
    <w:rsid w:val="00AE1BD2"/>
    <w:rsid w:val="00AE2025"/>
    <w:rsid w:val="00AE2E9E"/>
    <w:rsid w:val="00AE3FD9"/>
    <w:rsid w:val="00AE57F5"/>
    <w:rsid w:val="00AF2AB0"/>
    <w:rsid w:val="00AF3243"/>
    <w:rsid w:val="00AF3A95"/>
    <w:rsid w:val="00AF498C"/>
    <w:rsid w:val="00AF636E"/>
    <w:rsid w:val="00AF6650"/>
    <w:rsid w:val="00AF72AC"/>
    <w:rsid w:val="00AF76E4"/>
    <w:rsid w:val="00AF795D"/>
    <w:rsid w:val="00B00568"/>
    <w:rsid w:val="00B00AE6"/>
    <w:rsid w:val="00B0143E"/>
    <w:rsid w:val="00B0231E"/>
    <w:rsid w:val="00B0296F"/>
    <w:rsid w:val="00B031A4"/>
    <w:rsid w:val="00B0352C"/>
    <w:rsid w:val="00B046CC"/>
    <w:rsid w:val="00B04A75"/>
    <w:rsid w:val="00B04CDE"/>
    <w:rsid w:val="00B0560C"/>
    <w:rsid w:val="00B057D1"/>
    <w:rsid w:val="00B05E40"/>
    <w:rsid w:val="00B0602F"/>
    <w:rsid w:val="00B06EC3"/>
    <w:rsid w:val="00B075FB"/>
    <w:rsid w:val="00B07912"/>
    <w:rsid w:val="00B07974"/>
    <w:rsid w:val="00B10BC0"/>
    <w:rsid w:val="00B112F0"/>
    <w:rsid w:val="00B113AF"/>
    <w:rsid w:val="00B1180B"/>
    <w:rsid w:val="00B11A0D"/>
    <w:rsid w:val="00B135B7"/>
    <w:rsid w:val="00B1363E"/>
    <w:rsid w:val="00B13D7C"/>
    <w:rsid w:val="00B141F2"/>
    <w:rsid w:val="00B143C8"/>
    <w:rsid w:val="00B1647E"/>
    <w:rsid w:val="00B16DBB"/>
    <w:rsid w:val="00B16EA2"/>
    <w:rsid w:val="00B17E99"/>
    <w:rsid w:val="00B2120D"/>
    <w:rsid w:val="00B22B29"/>
    <w:rsid w:val="00B22B67"/>
    <w:rsid w:val="00B2351F"/>
    <w:rsid w:val="00B24C8F"/>
    <w:rsid w:val="00B25051"/>
    <w:rsid w:val="00B2595B"/>
    <w:rsid w:val="00B267BC"/>
    <w:rsid w:val="00B26AD6"/>
    <w:rsid w:val="00B278E4"/>
    <w:rsid w:val="00B3000D"/>
    <w:rsid w:val="00B30978"/>
    <w:rsid w:val="00B30A4E"/>
    <w:rsid w:val="00B338D8"/>
    <w:rsid w:val="00B3511A"/>
    <w:rsid w:val="00B35B5D"/>
    <w:rsid w:val="00B364B8"/>
    <w:rsid w:val="00B36C12"/>
    <w:rsid w:val="00B401DD"/>
    <w:rsid w:val="00B41190"/>
    <w:rsid w:val="00B41283"/>
    <w:rsid w:val="00B43047"/>
    <w:rsid w:val="00B452E6"/>
    <w:rsid w:val="00B46E3B"/>
    <w:rsid w:val="00B47199"/>
    <w:rsid w:val="00B47CCE"/>
    <w:rsid w:val="00B505A0"/>
    <w:rsid w:val="00B50D30"/>
    <w:rsid w:val="00B51D36"/>
    <w:rsid w:val="00B53560"/>
    <w:rsid w:val="00B53F8B"/>
    <w:rsid w:val="00B540F8"/>
    <w:rsid w:val="00B5440B"/>
    <w:rsid w:val="00B55F41"/>
    <w:rsid w:val="00B60B08"/>
    <w:rsid w:val="00B60BAC"/>
    <w:rsid w:val="00B62111"/>
    <w:rsid w:val="00B62AF5"/>
    <w:rsid w:val="00B63F76"/>
    <w:rsid w:val="00B64994"/>
    <w:rsid w:val="00B64B2D"/>
    <w:rsid w:val="00B650C1"/>
    <w:rsid w:val="00B65798"/>
    <w:rsid w:val="00B65BFC"/>
    <w:rsid w:val="00B65DBF"/>
    <w:rsid w:val="00B6677D"/>
    <w:rsid w:val="00B66A20"/>
    <w:rsid w:val="00B67DF2"/>
    <w:rsid w:val="00B7037D"/>
    <w:rsid w:val="00B70D5F"/>
    <w:rsid w:val="00B72055"/>
    <w:rsid w:val="00B72700"/>
    <w:rsid w:val="00B73B04"/>
    <w:rsid w:val="00B73C28"/>
    <w:rsid w:val="00B743B7"/>
    <w:rsid w:val="00B74F83"/>
    <w:rsid w:val="00B75DB8"/>
    <w:rsid w:val="00B76D27"/>
    <w:rsid w:val="00B80D87"/>
    <w:rsid w:val="00B81C2E"/>
    <w:rsid w:val="00B81F3C"/>
    <w:rsid w:val="00B82397"/>
    <w:rsid w:val="00B8345A"/>
    <w:rsid w:val="00B83716"/>
    <w:rsid w:val="00B83CD6"/>
    <w:rsid w:val="00B84BE7"/>
    <w:rsid w:val="00B854A3"/>
    <w:rsid w:val="00B859E2"/>
    <w:rsid w:val="00B870A7"/>
    <w:rsid w:val="00B878EC"/>
    <w:rsid w:val="00B904E8"/>
    <w:rsid w:val="00B9052B"/>
    <w:rsid w:val="00B90796"/>
    <w:rsid w:val="00B90BFF"/>
    <w:rsid w:val="00B90EF4"/>
    <w:rsid w:val="00B94114"/>
    <w:rsid w:val="00B94889"/>
    <w:rsid w:val="00B95EEB"/>
    <w:rsid w:val="00B9707A"/>
    <w:rsid w:val="00B97C03"/>
    <w:rsid w:val="00BA0E9A"/>
    <w:rsid w:val="00BA106C"/>
    <w:rsid w:val="00BA2C04"/>
    <w:rsid w:val="00BA3923"/>
    <w:rsid w:val="00BA5205"/>
    <w:rsid w:val="00BA5CF0"/>
    <w:rsid w:val="00BA5E2E"/>
    <w:rsid w:val="00BA619E"/>
    <w:rsid w:val="00BA7CAC"/>
    <w:rsid w:val="00BA7D06"/>
    <w:rsid w:val="00BB0162"/>
    <w:rsid w:val="00BB044B"/>
    <w:rsid w:val="00BB057F"/>
    <w:rsid w:val="00BB065D"/>
    <w:rsid w:val="00BB0DF8"/>
    <w:rsid w:val="00BB1574"/>
    <w:rsid w:val="00BB45E2"/>
    <w:rsid w:val="00BB5800"/>
    <w:rsid w:val="00BB6AA3"/>
    <w:rsid w:val="00BB727B"/>
    <w:rsid w:val="00BC08FA"/>
    <w:rsid w:val="00BC15DE"/>
    <w:rsid w:val="00BC3301"/>
    <w:rsid w:val="00BC3A03"/>
    <w:rsid w:val="00BC48D3"/>
    <w:rsid w:val="00BC4C2D"/>
    <w:rsid w:val="00BC55E1"/>
    <w:rsid w:val="00BC5E4B"/>
    <w:rsid w:val="00BD0294"/>
    <w:rsid w:val="00BD0424"/>
    <w:rsid w:val="00BD072F"/>
    <w:rsid w:val="00BD0A86"/>
    <w:rsid w:val="00BD12D9"/>
    <w:rsid w:val="00BD22AE"/>
    <w:rsid w:val="00BD2332"/>
    <w:rsid w:val="00BD2F36"/>
    <w:rsid w:val="00BD346C"/>
    <w:rsid w:val="00BD4D4B"/>
    <w:rsid w:val="00BD67FA"/>
    <w:rsid w:val="00BE0E18"/>
    <w:rsid w:val="00BE1051"/>
    <w:rsid w:val="00BE1EA9"/>
    <w:rsid w:val="00BE3A81"/>
    <w:rsid w:val="00BE3C22"/>
    <w:rsid w:val="00BE3F14"/>
    <w:rsid w:val="00BE5419"/>
    <w:rsid w:val="00BE5601"/>
    <w:rsid w:val="00BF0373"/>
    <w:rsid w:val="00BF0CDA"/>
    <w:rsid w:val="00BF122F"/>
    <w:rsid w:val="00BF38AF"/>
    <w:rsid w:val="00BF3A1D"/>
    <w:rsid w:val="00BF42BA"/>
    <w:rsid w:val="00BF5D3D"/>
    <w:rsid w:val="00BF697D"/>
    <w:rsid w:val="00BF6EF5"/>
    <w:rsid w:val="00C00D33"/>
    <w:rsid w:val="00C01122"/>
    <w:rsid w:val="00C03924"/>
    <w:rsid w:val="00C03EA5"/>
    <w:rsid w:val="00C043AF"/>
    <w:rsid w:val="00C0445D"/>
    <w:rsid w:val="00C046B3"/>
    <w:rsid w:val="00C049B6"/>
    <w:rsid w:val="00C04F97"/>
    <w:rsid w:val="00C053E5"/>
    <w:rsid w:val="00C06228"/>
    <w:rsid w:val="00C06D8B"/>
    <w:rsid w:val="00C07495"/>
    <w:rsid w:val="00C07F1B"/>
    <w:rsid w:val="00C12C53"/>
    <w:rsid w:val="00C13DDE"/>
    <w:rsid w:val="00C146F6"/>
    <w:rsid w:val="00C14720"/>
    <w:rsid w:val="00C159D7"/>
    <w:rsid w:val="00C15F78"/>
    <w:rsid w:val="00C162B7"/>
    <w:rsid w:val="00C17385"/>
    <w:rsid w:val="00C21A84"/>
    <w:rsid w:val="00C2336A"/>
    <w:rsid w:val="00C239D5"/>
    <w:rsid w:val="00C23D5B"/>
    <w:rsid w:val="00C23F6A"/>
    <w:rsid w:val="00C242F1"/>
    <w:rsid w:val="00C25065"/>
    <w:rsid w:val="00C2553A"/>
    <w:rsid w:val="00C2557C"/>
    <w:rsid w:val="00C25A38"/>
    <w:rsid w:val="00C25BC1"/>
    <w:rsid w:val="00C25E81"/>
    <w:rsid w:val="00C27586"/>
    <w:rsid w:val="00C27D79"/>
    <w:rsid w:val="00C30B0E"/>
    <w:rsid w:val="00C30F23"/>
    <w:rsid w:val="00C31188"/>
    <w:rsid w:val="00C321EC"/>
    <w:rsid w:val="00C331CE"/>
    <w:rsid w:val="00C35B5A"/>
    <w:rsid w:val="00C35FA5"/>
    <w:rsid w:val="00C36116"/>
    <w:rsid w:val="00C37C0C"/>
    <w:rsid w:val="00C37DD9"/>
    <w:rsid w:val="00C40B57"/>
    <w:rsid w:val="00C41043"/>
    <w:rsid w:val="00C427A4"/>
    <w:rsid w:val="00C427E5"/>
    <w:rsid w:val="00C437D5"/>
    <w:rsid w:val="00C44E6B"/>
    <w:rsid w:val="00C45148"/>
    <w:rsid w:val="00C45C28"/>
    <w:rsid w:val="00C45EFB"/>
    <w:rsid w:val="00C475C7"/>
    <w:rsid w:val="00C50F0D"/>
    <w:rsid w:val="00C5129E"/>
    <w:rsid w:val="00C51D29"/>
    <w:rsid w:val="00C53B21"/>
    <w:rsid w:val="00C53E07"/>
    <w:rsid w:val="00C54340"/>
    <w:rsid w:val="00C547FF"/>
    <w:rsid w:val="00C5522C"/>
    <w:rsid w:val="00C55D0C"/>
    <w:rsid w:val="00C55EF9"/>
    <w:rsid w:val="00C56E4B"/>
    <w:rsid w:val="00C5776A"/>
    <w:rsid w:val="00C57C4C"/>
    <w:rsid w:val="00C60D8C"/>
    <w:rsid w:val="00C62448"/>
    <w:rsid w:val="00C64847"/>
    <w:rsid w:val="00C65757"/>
    <w:rsid w:val="00C66398"/>
    <w:rsid w:val="00C666AD"/>
    <w:rsid w:val="00C67F44"/>
    <w:rsid w:val="00C70EBB"/>
    <w:rsid w:val="00C71FEC"/>
    <w:rsid w:val="00C738A5"/>
    <w:rsid w:val="00C7496F"/>
    <w:rsid w:val="00C74C4B"/>
    <w:rsid w:val="00C74D1C"/>
    <w:rsid w:val="00C75B39"/>
    <w:rsid w:val="00C75DE5"/>
    <w:rsid w:val="00C771CE"/>
    <w:rsid w:val="00C77616"/>
    <w:rsid w:val="00C82ABC"/>
    <w:rsid w:val="00C82F92"/>
    <w:rsid w:val="00C831DF"/>
    <w:rsid w:val="00C83AC5"/>
    <w:rsid w:val="00C842D8"/>
    <w:rsid w:val="00C84AF3"/>
    <w:rsid w:val="00C8559C"/>
    <w:rsid w:val="00C87829"/>
    <w:rsid w:val="00C90C19"/>
    <w:rsid w:val="00C91058"/>
    <w:rsid w:val="00C9213C"/>
    <w:rsid w:val="00C92341"/>
    <w:rsid w:val="00C92696"/>
    <w:rsid w:val="00C93218"/>
    <w:rsid w:val="00C94B63"/>
    <w:rsid w:val="00C9562E"/>
    <w:rsid w:val="00C957F8"/>
    <w:rsid w:val="00C965F9"/>
    <w:rsid w:val="00C96E2A"/>
    <w:rsid w:val="00C971DC"/>
    <w:rsid w:val="00C977C8"/>
    <w:rsid w:val="00CA0CC1"/>
    <w:rsid w:val="00CA15C8"/>
    <w:rsid w:val="00CA1F7D"/>
    <w:rsid w:val="00CA3041"/>
    <w:rsid w:val="00CA3F3B"/>
    <w:rsid w:val="00CA49C6"/>
    <w:rsid w:val="00CA66FB"/>
    <w:rsid w:val="00CB1AE8"/>
    <w:rsid w:val="00CB2084"/>
    <w:rsid w:val="00CB2308"/>
    <w:rsid w:val="00CB24DE"/>
    <w:rsid w:val="00CB26B4"/>
    <w:rsid w:val="00CB2F72"/>
    <w:rsid w:val="00CB3D60"/>
    <w:rsid w:val="00CB61A9"/>
    <w:rsid w:val="00CB67BC"/>
    <w:rsid w:val="00CB691E"/>
    <w:rsid w:val="00CB6A1B"/>
    <w:rsid w:val="00CB71A2"/>
    <w:rsid w:val="00CB7881"/>
    <w:rsid w:val="00CB7D81"/>
    <w:rsid w:val="00CC0C37"/>
    <w:rsid w:val="00CC1F30"/>
    <w:rsid w:val="00CC2F8B"/>
    <w:rsid w:val="00CC37C7"/>
    <w:rsid w:val="00CC3FE4"/>
    <w:rsid w:val="00CC4224"/>
    <w:rsid w:val="00CC4DB9"/>
    <w:rsid w:val="00CC6309"/>
    <w:rsid w:val="00CC65AE"/>
    <w:rsid w:val="00CC6C1A"/>
    <w:rsid w:val="00CC7635"/>
    <w:rsid w:val="00CC781F"/>
    <w:rsid w:val="00CC7974"/>
    <w:rsid w:val="00CD271D"/>
    <w:rsid w:val="00CD291B"/>
    <w:rsid w:val="00CD3C56"/>
    <w:rsid w:val="00CD4E02"/>
    <w:rsid w:val="00CD670D"/>
    <w:rsid w:val="00CE078E"/>
    <w:rsid w:val="00CE0EB4"/>
    <w:rsid w:val="00CE1E64"/>
    <w:rsid w:val="00CE263A"/>
    <w:rsid w:val="00CE3CCF"/>
    <w:rsid w:val="00CE46F2"/>
    <w:rsid w:val="00CF1303"/>
    <w:rsid w:val="00CF157E"/>
    <w:rsid w:val="00CF21FA"/>
    <w:rsid w:val="00CF282B"/>
    <w:rsid w:val="00CF2EC6"/>
    <w:rsid w:val="00CF3C37"/>
    <w:rsid w:val="00CF4C32"/>
    <w:rsid w:val="00CF4C5A"/>
    <w:rsid w:val="00CF6C64"/>
    <w:rsid w:val="00CF7E08"/>
    <w:rsid w:val="00D008F6"/>
    <w:rsid w:val="00D01574"/>
    <w:rsid w:val="00D01DA1"/>
    <w:rsid w:val="00D0393C"/>
    <w:rsid w:val="00D03A25"/>
    <w:rsid w:val="00D05761"/>
    <w:rsid w:val="00D05A29"/>
    <w:rsid w:val="00D06F23"/>
    <w:rsid w:val="00D07E79"/>
    <w:rsid w:val="00D1089A"/>
    <w:rsid w:val="00D113CE"/>
    <w:rsid w:val="00D124AE"/>
    <w:rsid w:val="00D12F3B"/>
    <w:rsid w:val="00D1355C"/>
    <w:rsid w:val="00D13678"/>
    <w:rsid w:val="00D148D0"/>
    <w:rsid w:val="00D17A91"/>
    <w:rsid w:val="00D200F9"/>
    <w:rsid w:val="00D20FD9"/>
    <w:rsid w:val="00D2198E"/>
    <w:rsid w:val="00D23F23"/>
    <w:rsid w:val="00D243F5"/>
    <w:rsid w:val="00D24E23"/>
    <w:rsid w:val="00D253EA"/>
    <w:rsid w:val="00D274C3"/>
    <w:rsid w:val="00D276EE"/>
    <w:rsid w:val="00D30B32"/>
    <w:rsid w:val="00D315F8"/>
    <w:rsid w:val="00D3623A"/>
    <w:rsid w:val="00D36293"/>
    <w:rsid w:val="00D36C4D"/>
    <w:rsid w:val="00D41573"/>
    <w:rsid w:val="00D419D0"/>
    <w:rsid w:val="00D4527F"/>
    <w:rsid w:val="00D454D5"/>
    <w:rsid w:val="00D45D1E"/>
    <w:rsid w:val="00D471AE"/>
    <w:rsid w:val="00D51375"/>
    <w:rsid w:val="00D52A64"/>
    <w:rsid w:val="00D52B3A"/>
    <w:rsid w:val="00D5376D"/>
    <w:rsid w:val="00D542B6"/>
    <w:rsid w:val="00D5461A"/>
    <w:rsid w:val="00D54811"/>
    <w:rsid w:val="00D558D6"/>
    <w:rsid w:val="00D55ADD"/>
    <w:rsid w:val="00D57A1E"/>
    <w:rsid w:val="00D57EE8"/>
    <w:rsid w:val="00D61891"/>
    <w:rsid w:val="00D618B1"/>
    <w:rsid w:val="00D62DFE"/>
    <w:rsid w:val="00D62F56"/>
    <w:rsid w:val="00D63B27"/>
    <w:rsid w:val="00D6418B"/>
    <w:rsid w:val="00D6544B"/>
    <w:rsid w:val="00D657F3"/>
    <w:rsid w:val="00D659B6"/>
    <w:rsid w:val="00D6776B"/>
    <w:rsid w:val="00D679E2"/>
    <w:rsid w:val="00D703BD"/>
    <w:rsid w:val="00D717CA"/>
    <w:rsid w:val="00D71A50"/>
    <w:rsid w:val="00D73C00"/>
    <w:rsid w:val="00D73DBF"/>
    <w:rsid w:val="00D73EA4"/>
    <w:rsid w:val="00D74F08"/>
    <w:rsid w:val="00D75552"/>
    <w:rsid w:val="00D766D8"/>
    <w:rsid w:val="00D76DAE"/>
    <w:rsid w:val="00D773DA"/>
    <w:rsid w:val="00D77AA3"/>
    <w:rsid w:val="00D81C8C"/>
    <w:rsid w:val="00D81D66"/>
    <w:rsid w:val="00D824CA"/>
    <w:rsid w:val="00D83014"/>
    <w:rsid w:val="00D83F9C"/>
    <w:rsid w:val="00D85147"/>
    <w:rsid w:val="00D852AF"/>
    <w:rsid w:val="00D85CB9"/>
    <w:rsid w:val="00D85ED4"/>
    <w:rsid w:val="00D90338"/>
    <w:rsid w:val="00D91598"/>
    <w:rsid w:val="00D91D67"/>
    <w:rsid w:val="00D92520"/>
    <w:rsid w:val="00D939C8"/>
    <w:rsid w:val="00D95392"/>
    <w:rsid w:val="00D95A02"/>
    <w:rsid w:val="00D95BAE"/>
    <w:rsid w:val="00D95C6F"/>
    <w:rsid w:val="00D96852"/>
    <w:rsid w:val="00D96F7C"/>
    <w:rsid w:val="00D97940"/>
    <w:rsid w:val="00D97942"/>
    <w:rsid w:val="00D97B38"/>
    <w:rsid w:val="00DA0083"/>
    <w:rsid w:val="00DA026C"/>
    <w:rsid w:val="00DA28F7"/>
    <w:rsid w:val="00DA367A"/>
    <w:rsid w:val="00DA41F2"/>
    <w:rsid w:val="00DA623A"/>
    <w:rsid w:val="00DA67CD"/>
    <w:rsid w:val="00DA7FF1"/>
    <w:rsid w:val="00DB0348"/>
    <w:rsid w:val="00DB04C9"/>
    <w:rsid w:val="00DB0840"/>
    <w:rsid w:val="00DB1253"/>
    <w:rsid w:val="00DB1C84"/>
    <w:rsid w:val="00DB27D0"/>
    <w:rsid w:val="00DB2913"/>
    <w:rsid w:val="00DB2C12"/>
    <w:rsid w:val="00DB44F2"/>
    <w:rsid w:val="00DB4636"/>
    <w:rsid w:val="00DB5661"/>
    <w:rsid w:val="00DB626C"/>
    <w:rsid w:val="00DC0544"/>
    <w:rsid w:val="00DC122C"/>
    <w:rsid w:val="00DC13B2"/>
    <w:rsid w:val="00DC2D0C"/>
    <w:rsid w:val="00DC2D4C"/>
    <w:rsid w:val="00DC38C4"/>
    <w:rsid w:val="00DC7E3A"/>
    <w:rsid w:val="00DD07A6"/>
    <w:rsid w:val="00DD16E0"/>
    <w:rsid w:val="00DD244C"/>
    <w:rsid w:val="00DD3097"/>
    <w:rsid w:val="00DD31EA"/>
    <w:rsid w:val="00DD351A"/>
    <w:rsid w:val="00DD4F49"/>
    <w:rsid w:val="00DD5B84"/>
    <w:rsid w:val="00DD7A0F"/>
    <w:rsid w:val="00DE06E7"/>
    <w:rsid w:val="00DE0CAE"/>
    <w:rsid w:val="00DE0D05"/>
    <w:rsid w:val="00DE1AF3"/>
    <w:rsid w:val="00DE3878"/>
    <w:rsid w:val="00DE3FBF"/>
    <w:rsid w:val="00DE5C0D"/>
    <w:rsid w:val="00DE60C5"/>
    <w:rsid w:val="00DF00BD"/>
    <w:rsid w:val="00DF0A75"/>
    <w:rsid w:val="00DF1B13"/>
    <w:rsid w:val="00DF1B3A"/>
    <w:rsid w:val="00DF3055"/>
    <w:rsid w:val="00DF40FA"/>
    <w:rsid w:val="00DF56DD"/>
    <w:rsid w:val="00DF6AB4"/>
    <w:rsid w:val="00DF7204"/>
    <w:rsid w:val="00E0083A"/>
    <w:rsid w:val="00E0085D"/>
    <w:rsid w:val="00E01822"/>
    <w:rsid w:val="00E01873"/>
    <w:rsid w:val="00E02652"/>
    <w:rsid w:val="00E027FE"/>
    <w:rsid w:val="00E02C2D"/>
    <w:rsid w:val="00E0378C"/>
    <w:rsid w:val="00E07213"/>
    <w:rsid w:val="00E07D7E"/>
    <w:rsid w:val="00E1116B"/>
    <w:rsid w:val="00E11385"/>
    <w:rsid w:val="00E129FC"/>
    <w:rsid w:val="00E13A69"/>
    <w:rsid w:val="00E1522E"/>
    <w:rsid w:val="00E1569A"/>
    <w:rsid w:val="00E21112"/>
    <w:rsid w:val="00E236E4"/>
    <w:rsid w:val="00E238BC"/>
    <w:rsid w:val="00E24EDE"/>
    <w:rsid w:val="00E25DA6"/>
    <w:rsid w:val="00E263B4"/>
    <w:rsid w:val="00E263E7"/>
    <w:rsid w:val="00E26C9D"/>
    <w:rsid w:val="00E2752C"/>
    <w:rsid w:val="00E27549"/>
    <w:rsid w:val="00E31DDC"/>
    <w:rsid w:val="00E322A0"/>
    <w:rsid w:val="00E3355E"/>
    <w:rsid w:val="00E337E0"/>
    <w:rsid w:val="00E3385D"/>
    <w:rsid w:val="00E33DCF"/>
    <w:rsid w:val="00E35DED"/>
    <w:rsid w:val="00E35DF1"/>
    <w:rsid w:val="00E37EC5"/>
    <w:rsid w:val="00E401DE"/>
    <w:rsid w:val="00E4076B"/>
    <w:rsid w:val="00E409B4"/>
    <w:rsid w:val="00E412BC"/>
    <w:rsid w:val="00E4199D"/>
    <w:rsid w:val="00E4250B"/>
    <w:rsid w:val="00E437BF"/>
    <w:rsid w:val="00E444D7"/>
    <w:rsid w:val="00E44D77"/>
    <w:rsid w:val="00E45393"/>
    <w:rsid w:val="00E4548D"/>
    <w:rsid w:val="00E4559B"/>
    <w:rsid w:val="00E4624D"/>
    <w:rsid w:val="00E465FE"/>
    <w:rsid w:val="00E468D3"/>
    <w:rsid w:val="00E47E87"/>
    <w:rsid w:val="00E47F19"/>
    <w:rsid w:val="00E50A68"/>
    <w:rsid w:val="00E50CBE"/>
    <w:rsid w:val="00E52433"/>
    <w:rsid w:val="00E540AE"/>
    <w:rsid w:val="00E54F5A"/>
    <w:rsid w:val="00E55D67"/>
    <w:rsid w:val="00E57894"/>
    <w:rsid w:val="00E57F60"/>
    <w:rsid w:val="00E60E4F"/>
    <w:rsid w:val="00E61CC5"/>
    <w:rsid w:val="00E61D99"/>
    <w:rsid w:val="00E6335B"/>
    <w:rsid w:val="00E64264"/>
    <w:rsid w:val="00E64476"/>
    <w:rsid w:val="00E644BF"/>
    <w:rsid w:val="00E65013"/>
    <w:rsid w:val="00E6524A"/>
    <w:rsid w:val="00E65435"/>
    <w:rsid w:val="00E66216"/>
    <w:rsid w:val="00E66F4A"/>
    <w:rsid w:val="00E674E0"/>
    <w:rsid w:val="00E67649"/>
    <w:rsid w:val="00E728C4"/>
    <w:rsid w:val="00E73359"/>
    <w:rsid w:val="00E7363E"/>
    <w:rsid w:val="00E73BD4"/>
    <w:rsid w:val="00E7414B"/>
    <w:rsid w:val="00E74211"/>
    <w:rsid w:val="00E742B0"/>
    <w:rsid w:val="00E746B6"/>
    <w:rsid w:val="00E7479E"/>
    <w:rsid w:val="00E74B6A"/>
    <w:rsid w:val="00E750AD"/>
    <w:rsid w:val="00E76048"/>
    <w:rsid w:val="00E80071"/>
    <w:rsid w:val="00E801F6"/>
    <w:rsid w:val="00E811E6"/>
    <w:rsid w:val="00E81F26"/>
    <w:rsid w:val="00E8228B"/>
    <w:rsid w:val="00E823F7"/>
    <w:rsid w:val="00E8463A"/>
    <w:rsid w:val="00E863DD"/>
    <w:rsid w:val="00E8704F"/>
    <w:rsid w:val="00E87334"/>
    <w:rsid w:val="00E87EF3"/>
    <w:rsid w:val="00E903B7"/>
    <w:rsid w:val="00E90E76"/>
    <w:rsid w:val="00E914CA"/>
    <w:rsid w:val="00E918F4"/>
    <w:rsid w:val="00E923A1"/>
    <w:rsid w:val="00E925F7"/>
    <w:rsid w:val="00E92858"/>
    <w:rsid w:val="00E92BAA"/>
    <w:rsid w:val="00E92F8F"/>
    <w:rsid w:val="00E943C0"/>
    <w:rsid w:val="00E945F0"/>
    <w:rsid w:val="00E957CF"/>
    <w:rsid w:val="00E961E9"/>
    <w:rsid w:val="00E9649D"/>
    <w:rsid w:val="00E96CFA"/>
    <w:rsid w:val="00E97E84"/>
    <w:rsid w:val="00EA1C67"/>
    <w:rsid w:val="00EA6DC4"/>
    <w:rsid w:val="00EA7985"/>
    <w:rsid w:val="00EA7DE9"/>
    <w:rsid w:val="00EB025E"/>
    <w:rsid w:val="00EB0D2A"/>
    <w:rsid w:val="00EB0D4C"/>
    <w:rsid w:val="00EB13B4"/>
    <w:rsid w:val="00EB21AA"/>
    <w:rsid w:val="00EB2589"/>
    <w:rsid w:val="00EB2EF0"/>
    <w:rsid w:val="00EB44FC"/>
    <w:rsid w:val="00EB4AC2"/>
    <w:rsid w:val="00EB654E"/>
    <w:rsid w:val="00EB68E2"/>
    <w:rsid w:val="00EB6C14"/>
    <w:rsid w:val="00EB7C67"/>
    <w:rsid w:val="00EC0590"/>
    <w:rsid w:val="00EC08A5"/>
    <w:rsid w:val="00EC0923"/>
    <w:rsid w:val="00EC1325"/>
    <w:rsid w:val="00EC386F"/>
    <w:rsid w:val="00EC3CBB"/>
    <w:rsid w:val="00EC53E3"/>
    <w:rsid w:val="00EC58CD"/>
    <w:rsid w:val="00EC6271"/>
    <w:rsid w:val="00EC6646"/>
    <w:rsid w:val="00EC6DDC"/>
    <w:rsid w:val="00EC7520"/>
    <w:rsid w:val="00ED0C66"/>
    <w:rsid w:val="00ED250E"/>
    <w:rsid w:val="00ED2575"/>
    <w:rsid w:val="00ED26E9"/>
    <w:rsid w:val="00ED2A55"/>
    <w:rsid w:val="00ED4EC0"/>
    <w:rsid w:val="00ED5A1E"/>
    <w:rsid w:val="00ED6283"/>
    <w:rsid w:val="00ED7436"/>
    <w:rsid w:val="00ED789E"/>
    <w:rsid w:val="00ED78FA"/>
    <w:rsid w:val="00EE0DC6"/>
    <w:rsid w:val="00EE12D5"/>
    <w:rsid w:val="00EE139A"/>
    <w:rsid w:val="00EE2B86"/>
    <w:rsid w:val="00EE433A"/>
    <w:rsid w:val="00EE708D"/>
    <w:rsid w:val="00EE7B06"/>
    <w:rsid w:val="00EE7CBB"/>
    <w:rsid w:val="00EE7CFC"/>
    <w:rsid w:val="00EF00DA"/>
    <w:rsid w:val="00EF0D69"/>
    <w:rsid w:val="00EF1E1B"/>
    <w:rsid w:val="00EF297A"/>
    <w:rsid w:val="00EF2B0D"/>
    <w:rsid w:val="00EF315C"/>
    <w:rsid w:val="00EF35D8"/>
    <w:rsid w:val="00EF38B8"/>
    <w:rsid w:val="00EF4592"/>
    <w:rsid w:val="00EF6A0F"/>
    <w:rsid w:val="00EF73E7"/>
    <w:rsid w:val="00EF7591"/>
    <w:rsid w:val="00EF7A00"/>
    <w:rsid w:val="00EF7CC9"/>
    <w:rsid w:val="00F0105B"/>
    <w:rsid w:val="00F01120"/>
    <w:rsid w:val="00F016D6"/>
    <w:rsid w:val="00F02708"/>
    <w:rsid w:val="00F05CCC"/>
    <w:rsid w:val="00F072FE"/>
    <w:rsid w:val="00F07EE5"/>
    <w:rsid w:val="00F07FBF"/>
    <w:rsid w:val="00F11FDE"/>
    <w:rsid w:val="00F14C2C"/>
    <w:rsid w:val="00F16610"/>
    <w:rsid w:val="00F173ED"/>
    <w:rsid w:val="00F20651"/>
    <w:rsid w:val="00F2219C"/>
    <w:rsid w:val="00F227D3"/>
    <w:rsid w:val="00F22CDF"/>
    <w:rsid w:val="00F22D98"/>
    <w:rsid w:val="00F2359E"/>
    <w:rsid w:val="00F243AC"/>
    <w:rsid w:val="00F25357"/>
    <w:rsid w:val="00F27445"/>
    <w:rsid w:val="00F279AF"/>
    <w:rsid w:val="00F30ADE"/>
    <w:rsid w:val="00F30FC2"/>
    <w:rsid w:val="00F312D4"/>
    <w:rsid w:val="00F31A35"/>
    <w:rsid w:val="00F327AA"/>
    <w:rsid w:val="00F33547"/>
    <w:rsid w:val="00F341AB"/>
    <w:rsid w:val="00F34299"/>
    <w:rsid w:val="00F35DC7"/>
    <w:rsid w:val="00F3602E"/>
    <w:rsid w:val="00F36ADD"/>
    <w:rsid w:val="00F403BA"/>
    <w:rsid w:val="00F4045D"/>
    <w:rsid w:val="00F4102E"/>
    <w:rsid w:val="00F4449D"/>
    <w:rsid w:val="00F44991"/>
    <w:rsid w:val="00F45588"/>
    <w:rsid w:val="00F45F53"/>
    <w:rsid w:val="00F516B4"/>
    <w:rsid w:val="00F51EDE"/>
    <w:rsid w:val="00F53251"/>
    <w:rsid w:val="00F53EFA"/>
    <w:rsid w:val="00F55AAC"/>
    <w:rsid w:val="00F56FF4"/>
    <w:rsid w:val="00F57308"/>
    <w:rsid w:val="00F60123"/>
    <w:rsid w:val="00F61011"/>
    <w:rsid w:val="00F630D5"/>
    <w:rsid w:val="00F6326D"/>
    <w:rsid w:val="00F64E3F"/>
    <w:rsid w:val="00F65301"/>
    <w:rsid w:val="00F6559A"/>
    <w:rsid w:val="00F65915"/>
    <w:rsid w:val="00F65B7B"/>
    <w:rsid w:val="00F65C7D"/>
    <w:rsid w:val="00F66016"/>
    <w:rsid w:val="00F6717D"/>
    <w:rsid w:val="00F674F0"/>
    <w:rsid w:val="00F71A62"/>
    <w:rsid w:val="00F71DAA"/>
    <w:rsid w:val="00F739EB"/>
    <w:rsid w:val="00F73A3A"/>
    <w:rsid w:val="00F757A5"/>
    <w:rsid w:val="00F75ACE"/>
    <w:rsid w:val="00F768E8"/>
    <w:rsid w:val="00F778AE"/>
    <w:rsid w:val="00F77B24"/>
    <w:rsid w:val="00F802EC"/>
    <w:rsid w:val="00F80FAE"/>
    <w:rsid w:val="00F82F3A"/>
    <w:rsid w:val="00F860AC"/>
    <w:rsid w:val="00F8673C"/>
    <w:rsid w:val="00F86D4B"/>
    <w:rsid w:val="00F87E5B"/>
    <w:rsid w:val="00F9048B"/>
    <w:rsid w:val="00F90963"/>
    <w:rsid w:val="00F9170C"/>
    <w:rsid w:val="00F9268D"/>
    <w:rsid w:val="00F94E97"/>
    <w:rsid w:val="00F9550C"/>
    <w:rsid w:val="00F95760"/>
    <w:rsid w:val="00F9669A"/>
    <w:rsid w:val="00F97D8B"/>
    <w:rsid w:val="00FA0A8D"/>
    <w:rsid w:val="00FA0D8D"/>
    <w:rsid w:val="00FA2C44"/>
    <w:rsid w:val="00FA3509"/>
    <w:rsid w:val="00FA4180"/>
    <w:rsid w:val="00FA41BE"/>
    <w:rsid w:val="00FA5696"/>
    <w:rsid w:val="00FA5DE1"/>
    <w:rsid w:val="00FA6908"/>
    <w:rsid w:val="00FA73F8"/>
    <w:rsid w:val="00FA7521"/>
    <w:rsid w:val="00FA7F8C"/>
    <w:rsid w:val="00FB02A6"/>
    <w:rsid w:val="00FB20D1"/>
    <w:rsid w:val="00FB2882"/>
    <w:rsid w:val="00FB2918"/>
    <w:rsid w:val="00FB418C"/>
    <w:rsid w:val="00FB4BF6"/>
    <w:rsid w:val="00FB4E1F"/>
    <w:rsid w:val="00FB64AF"/>
    <w:rsid w:val="00FB76D6"/>
    <w:rsid w:val="00FB798A"/>
    <w:rsid w:val="00FC22E6"/>
    <w:rsid w:val="00FC250C"/>
    <w:rsid w:val="00FC2B19"/>
    <w:rsid w:val="00FC4345"/>
    <w:rsid w:val="00FC495A"/>
    <w:rsid w:val="00FC4F0F"/>
    <w:rsid w:val="00FC5071"/>
    <w:rsid w:val="00FC6533"/>
    <w:rsid w:val="00FC663D"/>
    <w:rsid w:val="00FC68BE"/>
    <w:rsid w:val="00FD0A23"/>
    <w:rsid w:val="00FD0FA3"/>
    <w:rsid w:val="00FD2DCE"/>
    <w:rsid w:val="00FD2FAD"/>
    <w:rsid w:val="00FD35AD"/>
    <w:rsid w:val="00FD4FBC"/>
    <w:rsid w:val="00FD5D1B"/>
    <w:rsid w:val="00FD6060"/>
    <w:rsid w:val="00FE0A0B"/>
    <w:rsid w:val="00FE1704"/>
    <w:rsid w:val="00FE2B29"/>
    <w:rsid w:val="00FE4B46"/>
    <w:rsid w:val="00FE6E77"/>
    <w:rsid w:val="00FE738D"/>
    <w:rsid w:val="00FF0403"/>
    <w:rsid w:val="00FF0419"/>
    <w:rsid w:val="00FF2E4A"/>
    <w:rsid w:val="00FF3C35"/>
    <w:rsid w:val="00FF43E9"/>
    <w:rsid w:val="00FF52E7"/>
    <w:rsid w:val="00FF590D"/>
    <w:rsid w:val="00FF5931"/>
    <w:rsid w:val="00FF76E7"/>
    <w:rsid w:val="00FF78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76EF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29"/>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page number" w:uiPriority="0"/>
    <w:lsdException w:name="List Bullet" w:uiPriority="1"/>
    <w:lsdException w:name="List Number" w:uiPriority="1"/>
    <w:lsdException w:name="List Bullet 2" w:uiPriority="1"/>
    <w:lsdException w:name="List Number 2" w:uiPriority="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5BC8"/>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105BC8"/>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105BC8"/>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105BC8"/>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6357F1"/>
    <w:pPr>
      <w:keepNext/>
      <w:spacing w:before="240" w:after="120"/>
      <w:outlineLvl w:val="3"/>
    </w:pPr>
    <w:rPr>
      <w:rFonts w:ascii="Arial" w:hAnsi="Arial"/>
      <w:b/>
      <w:bCs/>
      <w:sz w:val="22"/>
      <w:szCs w:val="28"/>
    </w:rPr>
  </w:style>
  <w:style w:type="paragraph" w:styleId="Heading5">
    <w:name w:val="heading 5"/>
    <w:basedOn w:val="Normal"/>
    <w:next w:val="Normal"/>
    <w:link w:val="Heading5Char"/>
    <w:rsid w:val="006357F1"/>
    <w:pPr>
      <w:keepNext/>
      <w:spacing w:before="60" w:after="60"/>
      <w:outlineLvl w:val="4"/>
    </w:pPr>
    <w:rPr>
      <w:rFonts w:ascii="Arial" w:hAnsi="Arial"/>
      <w:bCs/>
      <w:i/>
      <w:iCs/>
      <w:sz w:val="22"/>
      <w:szCs w:val="26"/>
    </w:rPr>
  </w:style>
  <w:style w:type="paragraph" w:styleId="Heading6">
    <w:name w:val="heading 6"/>
    <w:aliases w:val="Appendix Heading 1"/>
    <w:basedOn w:val="Normal"/>
    <w:next w:val="Normal"/>
    <w:link w:val="Heading6Char"/>
    <w:uiPriority w:val="29"/>
    <w:unhideWhenUsed/>
    <w:rsid w:val="00094075"/>
    <w:pPr>
      <w:keepNext/>
      <w:keepLines/>
      <w:spacing w:before="200" w:after="0"/>
      <w:outlineLvl w:val="5"/>
    </w:pPr>
    <w:rPr>
      <w:rFonts w:eastAsiaTheme="majorEastAsia" w:cstheme="majorBidi"/>
      <w:i/>
      <w:iCs/>
      <w:color w:val="243F60" w:themeColor="accent1" w:themeShade="7F"/>
    </w:rPr>
  </w:style>
  <w:style w:type="paragraph" w:styleId="Heading7">
    <w:name w:val="heading 7"/>
    <w:aliases w:val="Appendix Heading 2"/>
    <w:next w:val="BodyText"/>
    <w:link w:val="Heading7Char"/>
    <w:uiPriority w:val="9"/>
    <w:semiHidden/>
    <w:unhideWhenUsed/>
    <w:qFormat/>
    <w:rsid w:val="00F3602E"/>
    <w:pPr>
      <w:keepNext/>
      <w:keepLines/>
      <w:spacing w:before="40" w:line="288" w:lineRule="auto"/>
      <w:outlineLvl w:val="6"/>
    </w:pPr>
    <w:rPr>
      <w:rFonts w:asciiTheme="majorHAnsi" w:eastAsiaTheme="majorEastAsia" w:hAnsiTheme="majorHAnsi" w:cstheme="majorBidi"/>
      <w:i/>
      <w:iCs/>
      <w:color w:val="243F60" w:themeColor="accent1" w:themeShade="7F"/>
      <w:sz w:val="21"/>
    </w:rPr>
  </w:style>
  <w:style w:type="paragraph" w:styleId="Heading8">
    <w:name w:val="heading 8"/>
    <w:aliases w:val="Appendix Heading 3"/>
    <w:basedOn w:val="Heading3"/>
    <w:next w:val="BodyText"/>
    <w:link w:val="Heading8Char"/>
    <w:uiPriority w:val="9"/>
    <w:semiHidden/>
    <w:unhideWhenUsed/>
    <w:qFormat/>
    <w:rsid w:val="00F3602E"/>
    <w:pPr>
      <w:keepLines/>
      <w:spacing w:before="40" w:after="0" w:line="288" w:lineRule="auto"/>
      <w:ind w:left="0" w:firstLine="0"/>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aliases w:val="Appendix Heading 4"/>
    <w:basedOn w:val="Heading4"/>
    <w:next w:val="BodyText"/>
    <w:link w:val="Heading9Char"/>
    <w:uiPriority w:val="9"/>
    <w:semiHidden/>
    <w:unhideWhenUsed/>
    <w:qFormat/>
    <w:rsid w:val="00F3602E"/>
    <w:pPr>
      <w:keepLines/>
      <w:spacing w:before="40" w:after="0"/>
      <w:outlineLvl w:val="8"/>
    </w:pPr>
    <w:rPr>
      <w:rFonts w:asciiTheme="majorHAnsi" w:eastAsiaTheme="majorEastAsia" w:hAnsiTheme="majorHAnsi" w:cstheme="majorBidi"/>
      <w:b w:val="0"/>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Date"/>
    <w:link w:val="SubtitleChar"/>
    <w:qFormat/>
    <w:rsid w:val="00105BC8"/>
    <w:pPr>
      <w:pageBreakBefore w:val="0"/>
      <w:spacing w:before="200" w:after="0" w:line="380" w:lineRule="atLeast"/>
    </w:pPr>
    <w:rPr>
      <w:sz w:val="32"/>
      <w:szCs w:val="32"/>
    </w:rPr>
  </w:style>
  <w:style w:type="paragraph" w:customStyle="1" w:styleId="PullQuote">
    <w:name w:val="PullQuote"/>
    <w:basedOn w:val="Normal"/>
    <w:next w:val="Normal"/>
    <w:rsid w:val="00195262"/>
    <w:rPr>
      <w:rFonts w:asciiTheme="minorHAnsi" w:hAnsiTheme="minorHAnsi"/>
      <w:b/>
      <w:i/>
      <w:color w:val="007C92"/>
    </w:rPr>
  </w:style>
  <w:style w:type="paragraph" w:customStyle="1" w:styleId="ReportDate">
    <w:name w:val="ReportDate"/>
    <w:basedOn w:val="Normal"/>
    <w:rsid w:val="00E07D7E"/>
    <w:pPr>
      <w:spacing w:before="960"/>
    </w:pPr>
    <w:rPr>
      <w:rFonts w:asciiTheme="minorHAnsi" w:hAnsiTheme="minorHAnsi"/>
      <w:sz w:val="28"/>
    </w:rPr>
  </w:style>
  <w:style w:type="paragraph" w:customStyle="1" w:styleId="Heading1a">
    <w:name w:val="Heading 1a"/>
    <w:basedOn w:val="Heading1"/>
    <w:next w:val="Normal"/>
    <w:rsid w:val="006357F1"/>
    <w:pPr>
      <w:outlineLvl w:val="9"/>
    </w:pPr>
  </w:style>
  <w:style w:type="paragraph" w:customStyle="1" w:styleId="Heading2a">
    <w:name w:val="Heading 2a"/>
    <w:basedOn w:val="Heading2"/>
    <w:next w:val="Normal"/>
    <w:rsid w:val="006357F1"/>
    <w:pPr>
      <w:ind w:left="0" w:firstLine="0"/>
      <w:outlineLvl w:val="9"/>
    </w:pPr>
  </w:style>
  <w:style w:type="paragraph" w:customStyle="1" w:styleId="Heading3a">
    <w:name w:val="Heading 3a"/>
    <w:basedOn w:val="Heading3"/>
    <w:next w:val="Normal"/>
    <w:rsid w:val="006357F1"/>
    <w:pPr>
      <w:ind w:left="0" w:firstLine="0"/>
      <w:outlineLvl w:val="9"/>
    </w:pPr>
  </w:style>
  <w:style w:type="paragraph" w:styleId="Header">
    <w:name w:val="header"/>
    <w:basedOn w:val="Normal"/>
    <w:link w:val="HeaderChar"/>
    <w:uiPriority w:val="99"/>
    <w:rsid w:val="00FF590D"/>
    <w:pPr>
      <w:tabs>
        <w:tab w:val="right" w:pos="9000"/>
      </w:tabs>
      <w:spacing w:after="0"/>
    </w:pPr>
    <w:rPr>
      <w:sz w:val="18"/>
    </w:rPr>
  </w:style>
  <w:style w:type="paragraph" w:styleId="Footer">
    <w:name w:val="footer"/>
    <w:basedOn w:val="Normal"/>
    <w:link w:val="FooterChar"/>
    <w:uiPriority w:val="99"/>
    <w:rsid w:val="00353FEC"/>
    <w:pPr>
      <w:tabs>
        <w:tab w:val="right" w:pos="9000"/>
      </w:tabs>
      <w:spacing w:after="0"/>
    </w:pPr>
    <w:rPr>
      <w:sz w:val="20"/>
    </w:rPr>
  </w:style>
  <w:style w:type="character" w:styleId="PageNumber">
    <w:name w:val="page number"/>
    <w:basedOn w:val="DefaultParagraphFont"/>
    <w:semiHidden/>
    <w:rsid w:val="006357F1"/>
    <w:rPr>
      <w:rFonts w:ascii="Times New Roman" w:hAnsi="Times New Roman"/>
      <w:b/>
      <w:sz w:val="20"/>
    </w:rPr>
  </w:style>
  <w:style w:type="paragraph" w:customStyle="1" w:styleId="TableText">
    <w:name w:val="TableText"/>
    <w:basedOn w:val="Normal"/>
    <w:rsid w:val="00FF590D"/>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9E3B68"/>
    <w:pPr>
      <w:keepNext w:val="0"/>
      <w:keepLines/>
      <w:spacing w:after="360"/>
      <w:ind w:left="170" w:hanging="170"/>
    </w:pPr>
    <w:rPr>
      <w:sz w:val="18"/>
      <w:szCs w:val="18"/>
    </w:rPr>
  </w:style>
  <w:style w:type="paragraph" w:customStyle="1" w:styleId="TFListNotes">
    <w:name w:val="TFListNotes"/>
    <w:basedOn w:val="TFListNotesSpace"/>
    <w:rsid w:val="00026DD6"/>
    <w:pPr>
      <w:keepNext/>
      <w:spacing w:after="0"/>
    </w:pPr>
  </w:style>
  <w:style w:type="paragraph" w:customStyle="1" w:styleId="TableName">
    <w:name w:val="TableName"/>
    <w:basedOn w:val="TableText"/>
    <w:rsid w:val="00FF590D"/>
    <w:pPr>
      <w:tabs>
        <w:tab w:val="left" w:pos="1080"/>
      </w:tabs>
      <w:spacing w:before="80" w:after="120"/>
      <w:ind w:left="1077" w:hanging="1077"/>
    </w:pPr>
    <w:rPr>
      <w:b/>
      <w:bCs/>
      <w:sz w:val="22"/>
    </w:rPr>
  </w:style>
  <w:style w:type="paragraph" w:customStyle="1" w:styleId="TableHeading">
    <w:name w:val="TableHeading"/>
    <w:basedOn w:val="TableText"/>
    <w:rsid w:val="00353FEC"/>
    <w:pPr>
      <w:spacing w:before="80" w:after="80"/>
    </w:pPr>
    <w:rPr>
      <w:rFonts w:ascii="Arial" w:hAnsi="Arial"/>
      <w:b/>
      <w:bCs/>
      <w:color w:val="FFFFFF" w:themeColor="background1"/>
      <w:sz w:val="20"/>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3A32F0"/>
    <w:pPr>
      <w:numPr>
        <w:numId w:val="2"/>
      </w:numPr>
      <w:tabs>
        <w:tab w:val="clear" w:pos="216"/>
        <w:tab w:val="num" w:pos="432"/>
      </w:tabs>
      <w:ind w:left="430" w:hanging="215"/>
    </w:pPr>
  </w:style>
  <w:style w:type="paragraph" w:styleId="Quote">
    <w:name w:val="Quote"/>
    <w:basedOn w:val="Normal"/>
    <w:link w:val="QuoteChar"/>
    <w:rsid w:val="006357F1"/>
    <w:pPr>
      <w:ind w:left="567" w:right="567"/>
    </w:pPr>
    <w:rPr>
      <w:i/>
    </w:rPr>
  </w:style>
  <w:style w:type="paragraph" w:customStyle="1" w:styleId="References">
    <w:name w:val="References"/>
    <w:basedOn w:val="Normal"/>
    <w:rsid w:val="001E259C"/>
    <w:pPr>
      <w:keepLines/>
      <w:ind w:left="284" w:hanging="284"/>
    </w:pPr>
  </w:style>
  <w:style w:type="character" w:customStyle="1" w:styleId="FooterChar">
    <w:name w:val="Footer Char"/>
    <w:basedOn w:val="DefaultParagraphFont"/>
    <w:link w:val="Footer"/>
    <w:uiPriority w:val="99"/>
    <w:rsid w:val="00353FEC"/>
    <w:rPr>
      <w:rFonts w:ascii="Franklin Gothic Book" w:hAnsi="Franklin Gothic Book"/>
    </w:rPr>
  </w:style>
  <w:style w:type="paragraph" w:styleId="FootnoteText">
    <w:name w:val="footnote text"/>
    <w:basedOn w:val="Normal"/>
    <w:link w:val="FootnoteTextChar"/>
    <w:uiPriority w:val="99"/>
    <w:rsid w:val="006357F1"/>
    <w:pPr>
      <w:spacing w:after="0"/>
      <w:ind w:left="360" w:hanging="360"/>
    </w:pPr>
    <w:rPr>
      <w:sz w:val="17"/>
    </w:rPr>
  </w:style>
  <w:style w:type="character" w:styleId="FootnoteReference">
    <w:name w:val="footnote reference"/>
    <w:basedOn w:val="DefaultParagraphFont"/>
    <w:rsid w:val="006357F1"/>
    <w:rPr>
      <w:vertAlign w:val="superscript"/>
    </w:rPr>
  </w:style>
  <w:style w:type="paragraph" w:customStyle="1" w:styleId="FigTabPara">
    <w:name w:val="FigTabPara"/>
    <w:basedOn w:val="Normal"/>
    <w:next w:val="TFIHolder"/>
    <w:rsid w:val="00BD346C"/>
    <w:pPr>
      <w:keepNext/>
      <w:ind w:left="1077"/>
    </w:pPr>
  </w:style>
  <w:style w:type="paragraph" w:customStyle="1" w:styleId="TFIHolder">
    <w:name w:val="TFIHolder"/>
    <w:basedOn w:val="TFAbbrevs"/>
    <w:rsid w:val="00932C6D"/>
    <w:rPr>
      <w:sz w:val="12"/>
    </w:rPr>
  </w:style>
  <w:style w:type="paragraph" w:customStyle="1" w:styleId="TFAbbrevs">
    <w:name w:val="TFAbbrevs"/>
    <w:basedOn w:val="TFListNotes"/>
    <w:rsid w:val="003D0620"/>
    <w:pPr>
      <w:ind w:left="0" w:firstLine="0"/>
    </w:pPr>
  </w:style>
  <w:style w:type="paragraph" w:styleId="TOC1">
    <w:name w:val="toc 1"/>
    <w:basedOn w:val="Normal"/>
    <w:next w:val="Normal"/>
    <w:autoRedefine/>
    <w:uiPriority w:val="39"/>
    <w:rsid w:val="00261C6D"/>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261C6D"/>
    <w:pPr>
      <w:tabs>
        <w:tab w:val="left" w:pos="1440"/>
        <w:tab w:val="right" w:leader="dot" w:pos="9016"/>
      </w:tabs>
      <w:spacing w:before="120" w:after="120" w:line="240" w:lineRule="auto"/>
      <w:ind w:left="1440" w:right="720" w:hanging="720"/>
    </w:pPr>
    <w:rPr>
      <w:rFonts w:ascii="Arial" w:hAnsi="Arial"/>
      <w:sz w:val="24"/>
    </w:rPr>
  </w:style>
  <w:style w:type="paragraph" w:styleId="TOC3">
    <w:name w:val="toc 3"/>
    <w:basedOn w:val="Normal"/>
    <w:next w:val="Normal"/>
    <w:autoRedefine/>
    <w:uiPriority w:val="39"/>
    <w:rsid w:val="00EB4AC2"/>
    <w:pPr>
      <w:tabs>
        <w:tab w:val="left" w:pos="2160"/>
        <w:tab w:val="right" w:leader="dot" w:pos="9016"/>
      </w:tabs>
      <w:spacing w:after="20"/>
      <w:ind w:left="2160" w:right="720" w:hanging="720"/>
    </w:pPr>
    <w:rPr>
      <w:rFonts w:asciiTheme="minorHAnsi" w:hAnsiTheme="minorHAnsi"/>
      <w:color w:val="007C92"/>
    </w:rPr>
  </w:style>
  <w:style w:type="paragraph" w:styleId="TableofFigures">
    <w:name w:val="table of figures"/>
    <w:basedOn w:val="Normal"/>
    <w:next w:val="Normal"/>
    <w:uiPriority w:val="99"/>
    <w:rsid w:val="00C90C19"/>
    <w:pPr>
      <w:tabs>
        <w:tab w:val="left" w:pos="1080"/>
        <w:tab w:val="right" w:leader="dot" w:pos="9000"/>
      </w:tabs>
      <w:ind w:left="1080" w:right="720" w:hangingChars="450" w:hanging="1080"/>
    </w:pPr>
    <w:rPr>
      <w:rFonts w:asciiTheme="minorHAnsi" w:hAnsiTheme="minorHAnsi"/>
      <w:color w:val="007C92"/>
    </w:rPr>
  </w:style>
  <w:style w:type="paragraph" w:customStyle="1" w:styleId="BulletBeforeDash">
    <w:name w:val="BulletBeforeDash"/>
    <w:basedOn w:val="Normal"/>
    <w:rsid w:val="00D20FD9"/>
    <w:pPr>
      <w:numPr>
        <w:numId w:val="3"/>
      </w:numPr>
      <w:spacing w:after="0"/>
    </w:pPr>
  </w:style>
  <w:style w:type="paragraph" w:customStyle="1" w:styleId="Bullet">
    <w:name w:val="Bullet"/>
    <w:basedOn w:val="Normal"/>
    <w:qFormat/>
    <w:rsid w:val="007602B6"/>
    <w:pPr>
      <w:numPr>
        <w:numId w:val="68"/>
      </w:numPr>
      <w:spacing w:before="0" w:after="80" w:line="280" w:lineRule="exact"/>
    </w:pPr>
    <w:rPr>
      <w:lang w:val="en-US"/>
    </w:rPr>
  </w:style>
  <w:style w:type="paragraph" w:customStyle="1" w:styleId="BulletLast">
    <w:name w:val="BulletLast"/>
    <w:basedOn w:val="Bullet"/>
    <w:qFormat/>
    <w:rsid w:val="00105BC8"/>
    <w:pPr>
      <w:spacing w:after="16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105BC8"/>
    <w:pPr>
      <w:keepNext/>
      <w:spacing w:before="0" w:after="80"/>
    </w:pPr>
  </w:style>
  <w:style w:type="paragraph" w:customStyle="1" w:styleId="BoxText">
    <w:name w:val="BoxText"/>
    <w:basedOn w:val="Normal"/>
    <w:link w:val="BoxTextChar"/>
    <w:qFormat/>
    <w:rsid w:val="00105BC8"/>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E73BD4"/>
    <w:rPr>
      <w:sz w:val="18"/>
    </w:rPr>
  </w:style>
  <w:style w:type="paragraph" w:customStyle="1" w:styleId="BoxName">
    <w:name w:val="BoxName"/>
    <w:basedOn w:val="BoxText"/>
    <w:rsid w:val="009260AF"/>
    <w:pPr>
      <w:keepNext/>
      <w:shd w:val="clear" w:color="auto" w:fill="007C92"/>
      <w:spacing w:before="180"/>
      <w:ind w:left="1080" w:hanging="1080"/>
    </w:pPr>
    <w:rPr>
      <w:b/>
      <w:bCs/>
      <w:color w:val="FFFFFF" w:themeColor="background1"/>
      <w:sz w:val="24"/>
    </w:rPr>
  </w:style>
  <w:style w:type="paragraph" w:customStyle="1" w:styleId="BoxHeading">
    <w:name w:val="BoxHeading"/>
    <w:basedOn w:val="BoxText"/>
    <w:link w:val="BoxHeadingChar"/>
    <w:rsid w:val="00E44D77"/>
    <w:pPr>
      <w:keepNext/>
      <w:spacing w:before="120" w:after="60"/>
    </w:pPr>
    <w:rPr>
      <w:b/>
      <w:bCs/>
      <w:sz w:val="22"/>
    </w:rPr>
  </w:style>
  <w:style w:type="paragraph" w:customStyle="1" w:styleId="BoxBullet">
    <w:name w:val="BoxBullet"/>
    <w:basedOn w:val="BoxText"/>
    <w:link w:val="BoxBulletChar"/>
    <w:rsid w:val="008A61AF"/>
    <w:pPr>
      <w:numPr>
        <w:numId w:val="57"/>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Normal"/>
    <w:next w:val="Normal"/>
    <w:link w:val="FigureNameChar"/>
    <w:rsid w:val="009A5BC3"/>
    <w:pPr>
      <w:keepNext/>
      <w:keepLines/>
      <w:tabs>
        <w:tab w:val="left" w:pos="1080"/>
      </w:tabs>
      <w:spacing w:before="80" w:after="80"/>
      <w:ind w:left="1077" w:hanging="1077"/>
    </w:pPr>
    <w:rPr>
      <w:b/>
      <w:bCs/>
      <w:sz w:val="22"/>
    </w:r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rsid w:val="00261C6D"/>
    <w:pPr>
      <w:tabs>
        <w:tab w:val="right" w:leader="dot" w:pos="9016"/>
      </w:tabs>
      <w:spacing w:after="0"/>
      <w:ind w:left="2160" w:right="720"/>
    </w:pPr>
    <w:rPr>
      <w:noProof/>
      <w:szCs w:val="24"/>
    </w:rPr>
  </w:style>
  <w:style w:type="paragraph" w:customStyle="1" w:styleId="NumberList">
    <w:name w:val="NumberList"/>
    <w:basedOn w:val="Normal"/>
    <w:link w:val="NumberListChar"/>
    <w:rsid w:val="009A5BC3"/>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105BC8"/>
    <w:rPr>
      <w:b/>
      <w:bCs/>
    </w:rPr>
  </w:style>
  <w:style w:type="character" w:styleId="Emphasis">
    <w:name w:val="Emphasis"/>
    <w:basedOn w:val="DefaultParagraphFont"/>
    <w:uiPriority w:val="20"/>
    <w:qFormat/>
    <w:rsid w:val="00105BC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6E2F25"/>
    <w:rPr>
      <w:rFonts w:ascii="Trebuchet MS" w:hAnsi="Trebuchet MS"/>
      <w:b/>
      <w:i/>
      <w:noProof/>
      <w:color w:val="007C92"/>
      <w:sz w:val="21"/>
    </w:rPr>
  </w:style>
  <w:style w:type="table" w:styleId="TableGrid">
    <w:name w:val="Table Grid"/>
    <w:basedOn w:val="TableNormal"/>
    <w:rsid w:val="00EB025E"/>
    <w:rPr>
      <w:color w:val="FFFFFF" w:themeColor="background1"/>
    </w:rPr>
    <w:tblPr>
      <w:tblInd w:w="0" w:type="dxa"/>
      <w:tblBorders>
        <w:top w:val="single" w:sz="6" w:space="0" w:color="007C92"/>
        <w:bottom w:val="single" w:sz="6" w:space="0" w:color="007C92"/>
        <w:insideH w:val="single" w:sz="6" w:space="0" w:color="007C92"/>
      </w:tblBorders>
      <w:tblCellMar>
        <w:top w:w="85" w:type="dxa"/>
        <w:left w:w="108" w:type="dxa"/>
        <w:bottom w:w="85" w:type="dxa"/>
        <w:right w:w="108" w:type="dxa"/>
      </w:tblCellMar>
    </w:tblPr>
    <w:tcPr>
      <w:shd w:val="clear" w:color="auto" w:fill="FFFFFF" w:themeFill="background1"/>
    </w:tcPr>
    <w:tblStylePr w:type="firstRow">
      <w:tblPr/>
      <w:tcPr>
        <w:tcBorders>
          <w:top w:val="nil"/>
          <w:left w:val="nil"/>
          <w:bottom w:val="nil"/>
          <w:right w:val="nil"/>
          <w:insideH w:val="nil"/>
          <w:insideV w:val="single" w:sz="6" w:space="0" w:color="FFFFFF" w:themeColor="background1"/>
        </w:tcBorders>
        <w:shd w:val="clear" w:color="auto" w:fill="007C92"/>
      </w:tcPr>
    </w:tblStylePr>
  </w:style>
  <w:style w:type="paragraph" w:customStyle="1" w:styleId="TFIHolderSpace">
    <w:name w:val="TFIHolder+Space"/>
    <w:basedOn w:val="TFIHolder"/>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sz w:val="20"/>
      <w:szCs w:val="24"/>
    </w:rPr>
  </w:style>
  <w:style w:type="paragraph" w:customStyle="1" w:styleId="BulletChecklist">
    <w:name w:val="BulletChecklist"/>
    <w:basedOn w:val="Bullet"/>
    <w:rsid w:val="0020319C"/>
    <w:pPr>
      <w:numPr>
        <w:numId w:val="6"/>
      </w:numPr>
    </w:pPr>
    <w:rPr>
      <w:noProof/>
    </w:rPr>
  </w:style>
  <w:style w:type="paragraph" w:customStyle="1" w:styleId="ImprintText">
    <w:name w:val="ImprintText"/>
    <w:basedOn w:val="Normal"/>
    <w:rsid w:val="00D0393C"/>
    <w:pPr>
      <w:spacing w:line="240" w:lineRule="auto"/>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link w:val="CaptionChar"/>
    <w:uiPriority w:val="35"/>
    <w:unhideWhenUsed/>
    <w:rsid w:val="008B7077"/>
    <w:pPr>
      <w:spacing w:after="0"/>
    </w:pPr>
    <w:rPr>
      <w:b/>
      <w:bCs/>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E07D7E"/>
    <w:rPr>
      <w:noProof/>
      <w:color w:val="14434B"/>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Subtitle"/>
    <w:link w:val="TitleChar"/>
    <w:qFormat/>
    <w:rsid w:val="00105BC8"/>
    <w:pPr>
      <w:pageBreakBefore/>
      <w:spacing w:before="8700" w:after="1080" w:line="640" w:lineRule="atLeast"/>
      <w:ind w:left="2410" w:right="-198"/>
    </w:pPr>
    <w:rPr>
      <w:rFonts w:ascii="Helvetica" w:eastAsiaTheme="majorEastAsia" w:hAnsi="Helvetica" w:cstheme="majorBidi"/>
      <w:noProof/>
      <w:color w:val="FFFFFF"/>
      <w:kern w:val="28"/>
      <w:sz w:val="50"/>
      <w:szCs w:val="50"/>
      <w:lang w:val="en-US" w:eastAsia="en-US"/>
    </w:rPr>
  </w:style>
  <w:style w:type="character" w:customStyle="1" w:styleId="TitleChar">
    <w:name w:val="Title Char"/>
    <w:link w:val="Title"/>
    <w:rsid w:val="00105BC8"/>
    <w:rPr>
      <w:rFonts w:ascii="Helvetica" w:eastAsiaTheme="majorEastAsia" w:hAnsi="Helvetica" w:cstheme="majorBidi"/>
      <w:noProof/>
      <w:color w:val="FFFFFF"/>
      <w:kern w:val="28"/>
      <w:sz w:val="50"/>
      <w:szCs w:val="50"/>
      <w:lang w:val="en-US" w:eastAsia="en-US"/>
    </w:rPr>
  </w:style>
  <w:style w:type="character" w:customStyle="1" w:styleId="SubtitleChar">
    <w:name w:val="Subtitle Char"/>
    <w:link w:val="Subtitle"/>
    <w:rsid w:val="00105BC8"/>
    <w:rPr>
      <w:rFonts w:ascii="Helvetica" w:eastAsiaTheme="majorEastAsia" w:hAnsi="Helvetica" w:cstheme="majorBidi"/>
      <w:noProof/>
      <w:color w:val="FFFFFF"/>
      <w:kern w:val="28"/>
      <w:sz w:val="32"/>
      <w:szCs w:val="32"/>
      <w:lang w:val="en-US" w:eastAsia="en-US"/>
    </w:rPr>
  </w:style>
  <w:style w:type="paragraph" w:customStyle="1" w:styleId="SectionTitle">
    <w:name w:val="SectionTitle"/>
    <w:basedOn w:val="Normal"/>
    <w:next w:val="Normal"/>
    <w:rsid w:val="00812E83"/>
    <w:rPr>
      <w:rFonts w:asciiTheme="minorHAnsi" w:hAnsiTheme="minorHAnsi"/>
      <w:b/>
      <w:color w:val="14434B"/>
      <w:sz w:val="44"/>
    </w:rPr>
  </w:style>
  <w:style w:type="paragraph" w:customStyle="1" w:styleId="SectionSubtitle">
    <w:name w:val="SectionSubtitle"/>
    <w:basedOn w:val="Normal"/>
    <w:rsid w:val="00812E83"/>
    <w:pPr>
      <w:spacing w:after="0"/>
    </w:pPr>
    <w:rPr>
      <w:rFonts w:asciiTheme="minorHAnsi" w:hAnsiTheme="minorHAnsi"/>
      <w:color w:val="14434B"/>
      <w:sz w:val="32"/>
    </w:rPr>
  </w:style>
  <w:style w:type="paragraph" w:customStyle="1" w:styleId="QuoteNumberList">
    <w:name w:val="QuoteNumberList"/>
    <w:basedOn w:val="Quote"/>
    <w:rsid w:val="00BD346C"/>
    <w:pPr>
      <w:ind w:left="1117" w:hanging="397"/>
    </w:pPr>
    <w:rPr>
      <w:noProof/>
    </w:rPr>
  </w:style>
  <w:style w:type="paragraph" w:customStyle="1" w:styleId="QuoteBullet0">
    <w:name w:val="QuoteBullet"/>
    <w:basedOn w:val="Quote"/>
    <w:rsid w:val="00EB0D4C"/>
    <w:pPr>
      <w:numPr>
        <w:numId w:val="7"/>
      </w:numPr>
      <w:tabs>
        <w:tab w:val="left" w:pos="851"/>
      </w:tabs>
      <w:ind w:left="851" w:hanging="284"/>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4822BC"/>
    <w:rPr>
      <w:rFonts w:ascii="Times New Roman" w:hAnsi="Times New Roman"/>
      <w:b/>
      <w:noProof/>
      <w:color w:val="C0504D" w:themeColor="accent2"/>
      <w:sz w:val="24"/>
    </w:rPr>
  </w:style>
  <w:style w:type="paragraph" w:customStyle="1" w:styleId="TableNumberedList">
    <w:name w:val="TableNumberedList"/>
    <w:basedOn w:val="TableText"/>
    <w:autoRedefine/>
    <w:qFormat/>
    <w:rsid w:val="00105BC8"/>
    <w:pPr>
      <w:numPr>
        <w:numId w:val="69"/>
      </w:numPr>
    </w:pPr>
  </w:style>
  <w:style w:type="paragraph" w:customStyle="1" w:styleId="BoxHeading2">
    <w:name w:val="BoxHeading 2"/>
    <w:basedOn w:val="BoxHeading"/>
    <w:rsid w:val="005078F1"/>
    <w:rPr>
      <w:i/>
    </w:rPr>
  </w:style>
  <w:style w:type="paragraph" w:customStyle="1" w:styleId="BoxQuote">
    <w:name w:val="BoxQuote"/>
    <w:basedOn w:val="BoxText"/>
    <w:next w:val="BoxQuoteSource"/>
    <w:link w:val="BoxQuoteChar"/>
    <w:qFormat/>
    <w:rsid w:val="00105BC8"/>
    <w:pPr>
      <w:spacing w:after="0"/>
      <w:ind w:left="357" w:hanging="357"/>
    </w:pPr>
    <w:rPr>
      <w:i/>
    </w:rPr>
  </w:style>
  <w:style w:type="paragraph" w:customStyle="1" w:styleId="BoxListNumber1">
    <w:name w:val="BoxListNumber 1"/>
    <w:basedOn w:val="BoxBullet"/>
    <w:rsid w:val="003574B1"/>
    <w:pPr>
      <w:numPr>
        <w:numId w:val="10"/>
      </w:numPr>
      <w:tabs>
        <w:tab w:val="left" w:pos="567"/>
      </w:tabs>
      <w:ind w:left="284" w:hanging="284"/>
    </w:pPr>
  </w:style>
  <w:style w:type="paragraph" w:customStyle="1" w:styleId="BoxListNumber20">
    <w:name w:val="BoxListNumber 2"/>
    <w:basedOn w:val="BoxListNumber1"/>
    <w:rsid w:val="005524B2"/>
    <w:pPr>
      <w:numPr>
        <w:numId w:val="11"/>
      </w:numPr>
      <w:spacing w:after="0"/>
      <w:ind w:left="284" w:hanging="284"/>
    </w:pPr>
  </w:style>
  <w:style w:type="paragraph" w:customStyle="1" w:styleId="TableListNumber">
    <w:name w:val="TableListNumber"/>
    <w:basedOn w:val="Normal"/>
    <w:qFormat/>
    <w:rsid w:val="00105BC8"/>
    <w:pPr>
      <w:keepNext/>
      <w:numPr>
        <w:numId w:val="70"/>
      </w:numPr>
      <w:tabs>
        <w:tab w:val="left" w:pos="216"/>
      </w:tabs>
      <w:spacing w:after="40" w:line="200" w:lineRule="atLeast"/>
    </w:pPr>
    <w:rPr>
      <w:color w:val="000000" w:themeColor="text1"/>
      <w:sz w:val="17"/>
      <w:szCs w:val="21"/>
    </w:rPr>
  </w:style>
  <w:style w:type="paragraph" w:customStyle="1" w:styleId="TableListNumber2">
    <w:name w:val="TableListNumber 2"/>
    <w:basedOn w:val="TableListNumber"/>
    <w:qFormat/>
    <w:rsid w:val="00105BC8"/>
    <w:pPr>
      <w:numPr>
        <w:numId w:val="71"/>
      </w:numPr>
      <w:tabs>
        <w:tab w:val="clear" w:pos="216"/>
        <w:tab w:val="left" w:pos="284"/>
      </w:tabs>
    </w:pPr>
  </w:style>
  <w:style w:type="paragraph" w:customStyle="1" w:styleId="TableHeading2">
    <w:name w:val="TableHeading 2"/>
    <w:basedOn w:val="TableHeading"/>
    <w:rsid w:val="00A72825"/>
    <w:rPr>
      <w:b w:val="0"/>
      <w:i/>
    </w:rPr>
  </w:style>
  <w:style w:type="paragraph" w:styleId="BodyText">
    <w:name w:val="Body Text"/>
    <w:link w:val="BodyTextChar"/>
    <w:semiHidden/>
    <w:unhideWhenUsed/>
    <w:qFormat/>
    <w:rsid w:val="001E259C"/>
    <w:pPr>
      <w:spacing w:before="40" w:after="120" w:line="288" w:lineRule="auto"/>
    </w:pPr>
    <w:rPr>
      <w:rFonts w:ascii="Franklin Gothic Book" w:hAnsi="Franklin Gothic Book"/>
      <w:sz w:val="21"/>
    </w:rPr>
  </w:style>
  <w:style w:type="character" w:customStyle="1" w:styleId="BodyTextChar">
    <w:name w:val="Body Text Char"/>
    <w:basedOn w:val="DefaultParagraphFont"/>
    <w:link w:val="BodyText"/>
    <w:semiHidden/>
    <w:rsid w:val="001E259C"/>
    <w:rPr>
      <w:rFonts w:ascii="Franklin Gothic Book" w:hAnsi="Franklin Gothic Book"/>
      <w:sz w:val="21"/>
    </w:rPr>
  </w:style>
  <w:style w:type="paragraph" w:customStyle="1" w:styleId="Draftingnote">
    <w:name w:val="Drafting note"/>
    <w:basedOn w:val="Normal"/>
    <w:link w:val="DraftingnoteChar"/>
    <w:qFormat/>
    <w:rsid w:val="00105BC8"/>
    <w:rPr>
      <w:rFonts w:asciiTheme="majorHAnsi" w:hAnsiTheme="majorHAnsi"/>
      <w:b/>
      <w:color w:val="FF0000"/>
      <w:sz w:val="20"/>
      <w:u w:val="dotted"/>
    </w:rPr>
  </w:style>
  <w:style w:type="paragraph" w:customStyle="1" w:styleId="AuthorName">
    <w:name w:val="AuthorName"/>
    <w:basedOn w:val="ImprintText"/>
    <w:rsid w:val="002F5DCE"/>
    <w:pPr>
      <w:spacing w:before="960"/>
      <w:ind w:left="1134"/>
    </w:pPr>
    <w:rPr>
      <w:rFonts w:asciiTheme="minorHAnsi" w:hAnsiTheme="minorHAnsi"/>
      <w:caps/>
      <w:color w:val="14434B"/>
      <w:sz w:val="25"/>
    </w:rPr>
  </w:style>
  <w:style w:type="character" w:customStyle="1" w:styleId="DraftingnoteChar">
    <w:name w:val="Drafting note Char"/>
    <w:basedOn w:val="DefaultParagraphFont"/>
    <w:link w:val="Draftingnote"/>
    <w:rsid w:val="00105BC8"/>
    <w:rPr>
      <w:rFonts w:asciiTheme="majorHAnsi" w:hAnsiTheme="majorHAnsi"/>
      <w:b/>
      <w:color w:val="FF0000"/>
      <w:u w:val="dotted"/>
    </w:rPr>
  </w:style>
  <w:style w:type="character" w:styleId="Hyperlink">
    <w:name w:val="Hyperlink"/>
    <w:basedOn w:val="DefaultParagraphFont"/>
    <w:uiPriority w:val="99"/>
    <w:unhideWhenUsed/>
    <w:rsid w:val="002D0691"/>
    <w:rPr>
      <w:color w:val="007C92"/>
      <w:u w:val="single"/>
    </w:rPr>
  </w:style>
  <w:style w:type="character" w:styleId="CommentReference">
    <w:name w:val="annotation reference"/>
    <w:basedOn w:val="DefaultParagraphFont"/>
    <w:uiPriority w:val="99"/>
    <w:semiHidden/>
    <w:unhideWhenUsed/>
    <w:rsid w:val="00DF1B3A"/>
    <w:rPr>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basedOn w:val="DefaultParagraphFont"/>
    <w:link w:val="CommentText"/>
    <w:uiPriority w:val="99"/>
    <w:rsid w:val="00DF1B3A"/>
    <w:rPr>
      <w:rFonts w:asciiTheme="majorHAnsi" w:hAnsiTheme="majorHAnsi"/>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basedOn w:val="CommentTextChar"/>
    <w:link w:val="CommentSubject"/>
    <w:uiPriority w:val="99"/>
    <w:semiHidden/>
    <w:rsid w:val="00DF1B3A"/>
    <w:rPr>
      <w:rFonts w:asciiTheme="majorHAnsi" w:hAnsiTheme="majorHAnsi"/>
      <w:b/>
      <w:bCs/>
      <w:color w:val="000000"/>
    </w:rPr>
  </w:style>
  <w:style w:type="character" w:customStyle="1" w:styleId="Underline">
    <w:name w:val="Underline"/>
    <w:basedOn w:val="DefaultParagraphFont"/>
    <w:uiPriority w:val="1"/>
    <w:rsid w:val="00127531"/>
    <w:rPr>
      <w:noProof/>
      <w:u w:val="single"/>
    </w:rPr>
  </w:style>
  <w:style w:type="table" w:styleId="LightShading">
    <w:name w:val="Light Shading"/>
    <w:basedOn w:val="TableNormal"/>
    <w:uiPriority w:val="60"/>
    <w:rsid w:val="00FB4E1F"/>
    <w:rPr>
      <w:color w:val="000000" w:themeColor="text1" w:themeShade="BF"/>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B4E1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basedOn w:val="DefaultParagraphFont"/>
    <w:link w:val="FootnoteText"/>
    <w:uiPriority w:val="99"/>
    <w:rsid w:val="006357F1"/>
    <w:rPr>
      <w:rFonts w:ascii="Franklin Gothic Book" w:hAnsi="Franklin Gothic Book"/>
      <w:sz w:val="17"/>
    </w:rPr>
  </w:style>
  <w:style w:type="paragraph" w:customStyle="1" w:styleId="Quote-interviews">
    <w:name w:val="Quote-interviews"/>
    <w:basedOn w:val="Quote"/>
    <w:rsid w:val="00562EB0"/>
    <w:rPr>
      <w:i w:val="0"/>
      <w:noProof/>
    </w:rPr>
  </w:style>
  <w:style w:type="character" w:customStyle="1" w:styleId="Heading6Char">
    <w:name w:val="Heading 6 Char"/>
    <w:aliases w:val="Appendix Heading 1 Char"/>
    <w:basedOn w:val="DefaultParagraphFont"/>
    <w:link w:val="Heading6"/>
    <w:uiPriority w:val="29"/>
    <w:rsid w:val="00094075"/>
    <w:rPr>
      <w:rFonts w:asciiTheme="majorHAnsi" w:eastAsiaTheme="majorEastAsia" w:hAnsiTheme="majorHAnsi" w:cstheme="majorBidi"/>
      <w:i/>
      <w:iCs/>
      <w:color w:val="243F60" w:themeColor="accent1" w:themeShade="7F"/>
      <w:sz w:val="21"/>
    </w:rPr>
  </w:style>
  <w:style w:type="character" w:customStyle="1" w:styleId="Heading7Char">
    <w:name w:val="Heading 7 Char"/>
    <w:aliases w:val="Appendix Heading 2 Char"/>
    <w:basedOn w:val="DefaultParagraphFont"/>
    <w:link w:val="Heading7"/>
    <w:uiPriority w:val="9"/>
    <w:semiHidden/>
    <w:rsid w:val="00F3602E"/>
    <w:rPr>
      <w:rFonts w:asciiTheme="majorHAnsi" w:eastAsiaTheme="majorEastAsia" w:hAnsiTheme="majorHAnsi" w:cstheme="majorBidi"/>
      <w:i/>
      <w:iCs/>
      <w:color w:val="243F60" w:themeColor="accent1" w:themeShade="7F"/>
      <w:sz w:val="21"/>
    </w:rPr>
  </w:style>
  <w:style w:type="character" w:customStyle="1" w:styleId="Heading8Char">
    <w:name w:val="Heading 8 Char"/>
    <w:aliases w:val="Appendix Heading 3 Char"/>
    <w:basedOn w:val="DefaultParagraphFont"/>
    <w:link w:val="Heading8"/>
    <w:uiPriority w:val="9"/>
    <w:semiHidden/>
    <w:rsid w:val="00F3602E"/>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ppendix Heading 4 Char"/>
    <w:basedOn w:val="DefaultParagraphFont"/>
    <w:link w:val="Heading9"/>
    <w:uiPriority w:val="9"/>
    <w:semiHidden/>
    <w:rsid w:val="00F3602E"/>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9C43CF"/>
    <w:rPr>
      <w:rFonts w:ascii="Arial" w:hAnsi="Arial" w:cs="Arial"/>
      <w:bCs/>
      <w:color w:val="FFFFFF" w:themeColor="background1"/>
      <w:sz w:val="44"/>
      <w:szCs w:val="32"/>
    </w:rPr>
  </w:style>
  <w:style w:type="character" w:customStyle="1" w:styleId="Heading2Char">
    <w:name w:val="Heading 2 Char"/>
    <w:basedOn w:val="DefaultParagraphFont"/>
    <w:link w:val="Heading2"/>
    <w:rsid w:val="00F3602E"/>
    <w:rPr>
      <w:rFonts w:ascii="Arial" w:hAnsi="Arial" w:cs="Arial"/>
      <w:b/>
      <w:bCs/>
      <w:iCs/>
      <w:color w:val="124486"/>
      <w:sz w:val="28"/>
      <w:szCs w:val="28"/>
    </w:rPr>
  </w:style>
  <w:style w:type="character" w:customStyle="1" w:styleId="Heading3Char">
    <w:name w:val="Heading 3 Char"/>
    <w:basedOn w:val="DefaultParagraphFont"/>
    <w:link w:val="Heading3"/>
    <w:rsid w:val="00F3602E"/>
    <w:rPr>
      <w:rFonts w:ascii="Arial" w:hAnsi="Arial" w:cs="Arial"/>
      <w:bCs/>
      <w:color w:val="007FAD"/>
      <w:sz w:val="24"/>
      <w:szCs w:val="26"/>
    </w:rPr>
  </w:style>
  <w:style w:type="character" w:customStyle="1" w:styleId="Heading4Char">
    <w:name w:val="Heading 4 Char"/>
    <w:basedOn w:val="DefaultParagraphFont"/>
    <w:link w:val="Heading4"/>
    <w:rsid w:val="00F3602E"/>
    <w:rPr>
      <w:rFonts w:ascii="Arial" w:hAnsi="Arial"/>
      <w:b/>
      <w:bCs/>
      <w:sz w:val="22"/>
      <w:szCs w:val="28"/>
    </w:rPr>
  </w:style>
  <w:style w:type="character" w:customStyle="1" w:styleId="Heading5Char">
    <w:name w:val="Heading 5 Char"/>
    <w:basedOn w:val="DefaultParagraphFont"/>
    <w:link w:val="Heading5"/>
    <w:rsid w:val="00F3602E"/>
    <w:rPr>
      <w:rFonts w:ascii="Arial" w:hAnsi="Arial"/>
      <w:bCs/>
      <w:i/>
      <w:iCs/>
      <w:sz w:val="22"/>
      <w:szCs w:val="26"/>
    </w:rPr>
  </w:style>
  <w:style w:type="paragraph" w:customStyle="1" w:styleId="AuthorName0">
    <w:name w:val="Author Name"/>
    <w:uiPriority w:val="40"/>
    <w:rsid w:val="00F3602E"/>
    <w:pPr>
      <w:spacing w:before="120" w:line="288" w:lineRule="auto"/>
    </w:pPr>
    <w:rPr>
      <w:rFonts w:asciiTheme="majorHAnsi" w:hAnsiTheme="majorHAnsi"/>
      <w:caps/>
      <w:color w:val="F79646" w:themeColor="accent6"/>
      <w:spacing w:val="-2"/>
      <w:kern w:val="28"/>
      <w:sz w:val="25"/>
      <w:szCs w:val="25"/>
    </w:rPr>
  </w:style>
  <w:style w:type="paragraph" w:customStyle="1" w:styleId="BoxHeading1">
    <w:name w:val="Box Heading 1"/>
    <w:next w:val="BodyText"/>
    <w:uiPriority w:val="21"/>
    <w:rsid w:val="00F3602E"/>
    <w:pPr>
      <w:spacing w:after="120" w:line="288" w:lineRule="auto"/>
    </w:pPr>
    <w:rPr>
      <w:rFonts w:ascii="Arial Narrow" w:hAnsi="Arial Narrow"/>
      <w:b/>
      <w:color w:val="F79646" w:themeColor="accent6"/>
      <w:sz w:val="21"/>
      <w:szCs w:val="19"/>
    </w:rPr>
  </w:style>
  <w:style w:type="paragraph" w:customStyle="1" w:styleId="BoxHeading20">
    <w:name w:val="Box Heading 2"/>
    <w:basedOn w:val="BoxHeading1"/>
    <w:next w:val="BoxText0"/>
    <w:uiPriority w:val="21"/>
    <w:rsid w:val="00F3602E"/>
  </w:style>
  <w:style w:type="paragraph" w:customStyle="1" w:styleId="BoxText0">
    <w:name w:val="Box Text"/>
    <w:link w:val="BoxTextChar0"/>
    <w:uiPriority w:val="19"/>
    <w:rsid w:val="00F3602E"/>
    <w:pPr>
      <w:spacing w:after="57" w:line="288" w:lineRule="auto"/>
    </w:pPr>
    <w:rPr>
      <w:rFonts w:ascii="Arial" w:hAnsi="Arial"/>
      <w:color w:val="000000" w:themeColor="text1"/>
      <w:sz w:val="19"/>
      <w:szCs w:val="19"/>
    </w:rPr>
  </w:style>
  <w:style w:type="character" w:customStyle="1" w:styleId="BoxTextChar0">
    <w:name w:val="Box Text Char"/>
    <w:basedOn w:val="DefaultParagraphFont"/>
    <w:link w:val="BoxText0"/>
    <w:uiPriority w:val="19"/>
    <w:rsid w:val="00F3602E"/>
    <w:rPr>
      <w:rFonts w:ascii="Arial" w:hAnsi="Arial"/>
      <w:color w:val="000000" w:themeColor="text1"/>
      <w:sz w:val="19"/>
      <w:szCs w:val="19"/>
    </w:rPr>
  </w:style>
  <w:style w:type="paragraph" w:customStyle="1" w:styleId="BoxListBullet">
    <w:name w:val="Box List Bullet"/>
    <w:basedOn w:val="BoxText0"/>
    <w:uiPriority w:val="20"/>
    <w:rsid w:val="00F3602E"/>
    <w:pPr>
      <w:keepLines/>
      <w:numPr>
        <w:numId w:val="14"/>
      </w:numPr>
      <w:tabs>
        <w:tab w:val="clear" w:pos="284"/>
        <w:tab w:val="num" w:pos="360"/>
      </w:tabs>
      <w:ind w:left="360" w:hanging="360"/>
    </w:pPr>
  </w:style>
  <w:style w:type="paragraph" w:customStyle="1" w:styleId="BoxListBullet2">
    <w:name w:val="Box List Bullet 2"/>
    <w:basedOn w:val="BoxText0"/>
    <w:uiPriority w:val="20"/>
    <w:rsid w:val="00F3602E"/>
    <w:pPr>
      <w:numPr>
        <w:numId w:val="15"/>
      </w:numPr>
      <w:tabs>
        <w:tab w:val="clear" w:pos="567"/>
        <w:tab w:val="num" w:pos="216"/>
      </w:tabs>
      <w:ind w:left="432" w:hanging="216"/>
    </w:pPr>
    <w:rPr>
      <w:szCs w:val="18"/>
    </w:rPr>
  </w:style>
  <w:style w:type="paragraph" w:customStyle="1" w:styleId="BoxListNumber">
    <w:name w:val="Box List Number"/>
    <w:basedOn w:val="BoxText0"/>
    <w:uiPriority w:val="20"/>
    <w:rsid w:val="00F3602E"/>
    <w:pPr>
      <w:numPr>
        <w:numId w:val="16"/>
      </w:numPr>
      <w:tabs>
        <w:tab w:val="clear" w:pos="284"/>
        <w:tab w:val="num" w:pos="360"/>
      </w:tabs>
      <w:spacing w:before="60"/>
      <w:ind w:left="360" w:hanging="360"/>
    </w:pPr>
  </w:style>
  <w:style w:type="paragraph" w:customStyle="1" w:styleId="BoxListNumber2">
    <w:name w:val="Box List Number 2"/>
    <w:basedOn w:val="BoxText0"/>
    <w:uiPriority w:val="20"/>
    <w:rsid w:val="00F3602E"/>
    <w:pPr>
      <w:numPr>
        <w:numId w:val="17"/>
      </w:numPr>
      <w:tabs>
        <w:tab w:val="clear" w:pos="567"/>
        <w:tab w:val="num" w:pos="216"/>
      </w:tabs>
      <w:ind w:left="360" w:firstLine="0"/>
    </w:pPr>
  </w:style>
  <w:style w:type="paragraph" w:customStyle="1" w:styleId="BoxNoteSource">
    <w:name w:val="Box Note/Source"/>
    <w:uiPriority w:val="24"/>
    <w:semiHidden/>
    <w:rsid w:val="00F3602E"/>
    <w:pPr>
      <w:spacing w:before="120" w:after="240" w:line="288" w:lineRule="auto"/>
    </w:pPr>
    <w:rPr>
      <w:rFonts w:ascii="Arial Narrow" w:hAnsi="Arial Narrow"/>
      <w:color w:val="000000" w:themeColor="text1"/>
      <w:sz w:val="16"/>
      <w:szCs w:val="14"/>
    </w:rPr>
  </w:style>
  <w:style w:type="paragraph" w:customStyle="1" w:styleId="BoxQuote0">
    <w:name w:val="Box Quote"/>
    <w:basedOn w:val="BoxText0"/>
    <w:uiPriority w:val="22"/>
    <w:rsid w:val="00F3602E"/>
    <w:pPr>
      <w:ind w:left="284" w:right="284"/>
    </w:pPr>
    <w:rPr>
      <w:i/>
    </w:rPr>
  </w:style>
  <w:style w:type="paragraph" w:customStyle="1" w:styleId="BoxTitle">
    <w:name w:val="Box Title"/>
    <w:uiPriority w:val="99"/>
    <w:semiHidden/>
    <w:rsid w:val="00F3602E"/>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6"/>
    <w:rsid w:val="00F3602E"/>
    <w:pPr>
      <w:keepNext/>
      <w:tabs>
        <w:tab w:val="clear" w:pos="720"/>
        <w:tab w:val="clear" w:pos="9016"/>
        <w:tab w:val="right" w:leader="dot" w:pos="8505"/>
      </w:tabs>
      <w:spacing w:before="0" w:after="57"/>
      <w:ind w:left="0" w:right="0" w:firstLine="0"/>
      <w:contextualSpacing/>
    </w:pPr>
    <w:rPr>
      <w:rFonts w:asciiTheme="majorHAnsi" w:hAnsiTheme="majorHAnsi"/>
      <w:bCs w:val="0"/>
      <w:noProof w:val="0"/>
      <w:color w:val="EEECE1" w:themeColor="background2"/>
      <w:kern w:val="28"/>
      <w:szCs w:val="32"/>
    </w:rPr>
  </w:style>
  <w:style w:type="paragraph" w:customStyle="1" w:styleId="Contents">
    <w:name w:val="Contents"/>
    <w:basedOn w:val="Heading1"/>
    <w:next w:val="BodyText"/>
    <w:semiHidden/>
    <w:rsid w:val="00F3602E"/>
    <w:pPr>
      <w:spacing w:before="0" w:after="600"/>
      <w:ind w:left="0" w:firstLine="0"/>
      <w:outlineLvl w:val="9"/>
    </w:pPr>
    <w:rPr>
      <w:rFonts w:asciiTheme="majorHAnsi" w:hAnsiTheme="majorHAnsi" w:cs="Times New Roman"/>
      <w:bCs w:val="0"/>
      <w:color w:val="EEECE1" w:themeColor="background2"/>
      <w:kern w:val="28"/>
      <w:szCs w:val="44"/>
    </w:rPr>
  </w:style>
  <w:style w:type="paragraph" w:customStyle="1" w:styleId="Source">
    <w:name w:val="Source"/>
    <w:uiPriority w:val="8"/>
    <w:rsid w:val="00F3602E"/>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F3602E"/>
    <w:pPr>
      <w:spacing w:before="0" w:after="57" w:line="240" w:lineRule="auto"/>
      <w:ind w:left="0" w:firstLine="0"/>
    </w:pPr>
    <w:rPr>
      <w:rFonts w:asciiTheme="minorHAnsi" w:hAnsiTheme="minorHAnsi"/>
      <w:color w:val="000000" w:themeColor="text1"/>
      <w:sz w:val="16"/>
    </w:rPr>
  </w:style>
  <w:style w:type="character" w:customStyle="1" w:styleId="EndnoteTextChar">
    <w:name w:val="Endnote Text Char"/>
    <w:basedOn w:val="DefaultParagraphFont"/>
    <w:link w:val="EndnoteText"/>
    <w:uiPriority w:val="99"/>
    <w:semiHidden/>
    <w:rsid w:val="00F3602E"/>
    <w:rPr>
      <w:rFonts w:asciiTheme="minorHAnsi" w:hAnsiTheme="minorHAnsi"/>
      <w:color w:val="000000" w:themeColor="text1"/>
      <w:sz w:val="16"/>
    </w:rPr>
  </w:style>
  <w:style w:type="paragraph" w:styleId="Date">
    <w:name w:val="Date"/>
    <w:next w:val="BodyText"/>
    <w:link w:val="DateChar"/>
    <w:rsid w:val="00F3602E"/>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rsid w:val="00F3602E"/>
    <w:rPr>
      <w:rFonts w:asciiTheme="majorHAnsi" w:hAnsiTheme="majorHAnsi"/>
      <w:caps/>
      <w:color w:val="000000" w:themeColor="text1"/>
      <w:kern w:val="28"/>
      <w:sz w:val="25"/>
      <w:szCs w:val="25"/>
    </w:rPr>
  </w:style>
  <w:style w:type="character" w:customStyle="1" w:styleId="DraftingNote0">
    <w:name w:val="Drafting Note"/>
    <w:basedOn w:val="DefaultParagraphFont"/>
    <w:uiPriority w:val="10"/>
    <w:rsid w:val="00F3602E"/>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F3602E"/>
    <w:rPr>
      <w:color w:val="333399"/>
      <w:u w:val="none"/>
    </w:rPr>
  </w:style>
  <w:style w:type="character" w:customStyle="1" w:styleId="HeaderChar">
    <w:name w:val="Header Char"/>
    <w:basedOn w:val="DefaultParagraphFont"/>
    <w:link w:val="Header"/>
    <w:uiPriority w:val="99"/>
    <w:rsid w:val="00FF590D"/>
    <w:rPr>
      <w:rFonts w:ascii="Franklin Gothic Book" w:hAnsi="Franklin Gothic Book"/>
      <w:sz w:val="18"/>
    </w:rPr>
  </w:style>
  <w:style w:type="paragraph" w:customStyle="1" w:styleId="Heading1unnumbered">
    <w:name w:val="Heading 1 unnumbered"/>
    <w:basedOn w:val="Heading1"/>
    <w:next w:val="BodyText"/>
    <w:link w:val="Heading1unnumberedChar"/>
    <w:uiPriority w:val="2"/>
    <w:rsid w:val="00F3602E"/>
    <w:pPr>
      <w:spacing w:before="0" w:after="360"/>
      <w:ind w:left="0" w:firstLine="0"/>
    </w:pPr>
    <w:rPr>
      <w:rFonts w:asciiTheme="majorHAnsi" w:hAnsiTheme="majorHAnsi"/>
      <w:bCs w:val="0"/>
      <w:color w:val="EEECE1" w:themeColor="background2"/>
      <w:kern w:val="28"/>
      <w:szCs w:val="44"/>
    </w:rPr>
  </w:style>
  <w:style w:type="paragraph" w:customStyle="1" w:styleId="Heading2unnumbered">
    <w:name w:val="Heading 2 unnumbered"/>
    <w:basedOn w:val="Heading2"/>
    <w:next w:val="BodyText"/>
    <w:link w:val="Heading2unnumberedChar"/>
    <w:uiPriority w:val="2"/>
    <w:rsid w:val="00F3602E"/>
    <w:pPr>
      <w:spacing w:before="360" w:after="240"/>
      <w:ind w:left="0" w:firstLine="0"/>
    </w:pPr>
    <w:rPr>
      <w:rFonts w:asciiTheme="majorHAnsi" w:hAnsiTheme="majorHAnsi"/>
      <w:bCs w:val="0"/>
      <w:iCs w:val="0"/>
      <w:color w:val="1F497D" w:themeColor="text2"/>
      <w:kern w:val="28"/>
      <w:szCs w:val="32"/>
    </w:rPr>
  </w:style>
  <w:style w:type="paragraph" w:customStyle="1" w:styleId="AppendixHeading2unnumbered">
    <w:name w:val="Appendix Heading 2 unnumbered"/>
    <w:basedOn w:val="Heading7"/>
    <w:next w:val="BodyText"/>
    <w:link w:val="AppendixHeading2unnumberedChar"/>
    <w:uiPriority w:val="29"/>
    <w:rsid w:val="00F3602E"/>
  </w:style>
  <w:style w:type="paragraph" w:customStyle="1" w:styleId="Invisiblepara">
    <w:name w:val="Invisible para"/>
    <w:next w:val="BodyText"/>
    <w:semiHidden/>
    <w:rsid w:val="00F3602E"/>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F3602E"/>
    <w:pPr>
      <w:keepNext w:val="0"/>
      <w:spacing w:before="0" w:after="240"/>
    </w:pPr>
  </w:style>
  <w:style w:type="paragraph" w:styleId="ListBullet">
    <w:name w:val="List Bullet"/>
    <w:basedOn w:val="BodyText"/>
    <w:uiPriority w:val="1"/>
    <w:rsid w:val="00F3602E"/>
    <w:pPr>
      <w:numPr>
        <w:numId w:val="18"/>
      </w:numPr>
    </w:pPr>
  </w:style>
  <w:style w:type="paragraph" w:styleId="ListBullet2">
    <w:name w:val="List Bullet 2"/>
    <w:basedOn w:val="BodyText"/>
    <w:uiPriority w:val="1"/>
    <w:rsid w:val="00F3602E"/>
    <w:pPr>
      <w:numPr>
        <w:numId w:val="19"/>
      </w:numPr>
    </w:pPr>
  </w:style>
  <w:style w:type="paragraph" w:styleId="ListNumber">
    <w:name w:val="List Number"/>
    <w:basedOn w:val="BodyText"/>
    <w:uiPriority w:val="1"/>
    <w:rsid w:val="00F3602E"/>
    <w:pPr>
      <w:numPr>
        <w:numId w:val="41"/>
      </w:numPr>
    </w:pPr>
  </w:style>
  <w:style w:type="paragraph" w:styleId="ListNumber2">
    <w:name w:val="List Number 2"/>
    <w:basedOn w:val="BodyText"/>
    <w:uiPriority w:val="1"/>
    <w:rsid w:val="00F3602E"/>
    <w:pPr>
      <w:numPr>
        <w:numId w:val="20"/>
      </w:numPr>
    </w:pPr>
  </w:style>
  <w:style w:type="paragraph" w:customStyle="1" w:styleId="Note">
    <w:name w:val="Note"/>
    <w:link w:val="NoteCharChar"/>
    <w:uiPriority w:val="6"/>
    <w:rsid w:val="00F3602E"/>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F3602E"/>
    <w:rPr>
      <w:rFonts w:ascii="Arial Narrow" w:hAnsi="Arial Narrow"/>
      <w:b/>
      <w:color w:val="000000" w:themeColor="text1"/>
      <w:position w:val="4"/>
      <w:sz w:val="16"/>
      <w:szCs w:val="14"/>
    </w:rPr>
  </w:style>
  <w:style w:type="paragraph" w:customStyle="1" w:styleId="NoteNumber">
    <w:name w:val="Note Number"/>
    <w:basedOn w:val="Note"/>
    <w:next w:val="Note"/>
    <w:uiPriority w:val="6"/>
    <w:rsid w:val="00F3602E"/>
    <w:pPr>
      <w:numPr>
        <w:numId w:val="21"/>
      </w:numPr>
      <w:tabs>
        <w:tab w:val="clear" w:pos="170"/>
      </w:tabs>
    </w:pPr>
  </w:style>
  <w:style w:type="character" w:customStyle="1" w:styleId="QuoteChar">
    <w:name w:val="Quote Char"/>
    <w:basedOn w:val="DefaultParagraphFont"/>
    <w:link w:val="Quote"/>
    <w:rsid w:val="006357F1"/>
    <w:rPr>
      <w:rFonts w:ascii="Franklin Gothic Book" w:hAnsi="Franklin Gothic Book"/>
      <w:i/>
      <w:sz w:val="21"/>
    </w:rPr>
  </w:style>
  <w:style w:type="paragraph" w:customStyle="1" w:styleId="QuoteBullet">
    <w:name w:val="Quote Bullet"/>
    <w:basedOn w:val="Quote"/>
    <w:uiPriority w:val="7"/>
    <w:rsid w:val="00F3602E"/>
    <w:pPr>
      <w:numPr>
        <w:numId w:val="22"/>
      </w:numPr>
      <w:tabs>
        <w:tab w:val="clear" w:pos="851"/>
      </w:tabs>
      <w:ind w:left="567" w:firstLine="0"/>
    </w:pPr>
  </w:style>
  <w:style w:type="paragraph" w:customStyle="1" w:styleId="Reference">
    <w:name w:val="Reference"/>
    <w:uiPriority w:val="9"/>
    <w:rsid w:val="00F3602E"/>
    <w:pPr>
      <w:keepLines/>
      <w:spacing w:before="57" w:after="142" w:line="288" w:lineRule="auto"/>
      <w:ind w:left="284" w:hanging="284"/>
    </w:pPr>
    <w:rPr>
      <w:rFonts w:asciiTheme="minorHAnsi" w:hAnsiTheme="minorHAnsi"/>
      <w:color w:val="000000" w:themeColor="text1"/>
      <w:sz w:val="21"/>
      <w:szCs w:val="18"/>
    </w:rPr>
  </w:style>
  <w:style w:type="paragraph" w:customStyle="1" w:styleId="TableDataColumnHeading">
    <w:name w:val="Table Data Column Heading"/>
    <w:uiPriority w:val="27"/>
    <w:rsid w:val="00F3602E"/>
    <w:pPr>
      <w:keepNext/>
      <w:spacing w:after="57" w:line="288" w:lineRule="auto"/>
      <w:jc w:val="right"/>
    </w:pPr>
    <w:rPr>
      <w:rFonts w:ascii="Arial Narrow" w:hAnsi="Arial Narrow"/>
      <w:b/>
      <w:color w:val="F79646" w:themeColor="accent6"/>
      <w:sz w:val="19"/>
      <w:szCs w:val="17"/>
      <w:lang w:eastAsia="en-US"/>
    </w:rPr>
  </w:style>
  <w:style w:type="paragraph" w:customStyle="1" w:styleId="TableTextEntries">
    <w:name w:val="Table Text Entries"/>
    <w:rsid w:val="00F3602E"/>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F3602E"/>
    <w:pPr>
      <w:jc w:val="right"/>
    </w:pPr>
  </w:style>
  <w:style w:type="paragraph" w:customStyle="1" w:styleId="TableHeading1">
    <w:name w:val="Table Heading 1"/>
    <w:basedOn w:val="TableTextEntries"/>
    <w:next w:val="TableTextEntries"/>
    <w:rsid w:val="00F3602E"/>
    <w:rPr>
      <w:b/>
      <w:color w:val="F79646" w:themeColor="accent6"/>
    </w:rPr>
  </w:style>
  <w:style w:type="paragraph" w:customStyle="1" w:styleId="TableHeading20">
    <w:name w:val="Table Heading 2"/>
    <w:basedOn w:val="TableHeading1"/>
    <w:next w:val="TableTextEntries"/>
    <w:rsid w:val="00F3602E"/>
  </w:style>
  <w:style w:type="paragraph" w:customStyle="1" w:styleId="TableListBullet">
    <w:name w:val="Table List Bullet"/>
    <w:basedOn w:val="TableTextEntries"/>
    <w:rsid w:val="00F3602E"/>
    <w:pPr>
      <w:numPr>
        <w:numId w:val="23"/>
      </w:numPr>
    </w:pPr>
  </w:style>
  <w:style w:type="paragraph" w:customStyle="1" w:styleId="TableListBullet2">
    <w:name w:val="Table List Bullet 2"/>
    <w:basedOn w:val="TableTextEntries"/>
    <w:uiPriority w:val="25"/>
    <w:rsid w:val="00F3602E"/>
    <w:pPr>
      <w:numPr>
        <w:numId w:val="24"/>
      </w:numPr>
    </w:pPr>
  </w:style>
  <w:style w:type="paragraph" w:customStyle="1" w:styleId="TableListNumber0">
    <w:name w:val="Table List Number"/>
    <w:basedOn w:val="TableTextEntries"/>
    <w:uiPriority w:val="25"/>
    <w:rsid w:val="00F3602E"/>
    <w:pPr>
      <w:numPr>
        <w:numId w:val="25"/>
      </w:numPr>
    </w:pPr>
  </w:style>
  <w:style w:type="paragraph" w:customStyle="1" w:styleId="TableListNumber20">
    <w:name w:val="Table List Number 2"/>
    <w:basedOn w:val="TableTextEntries"/>
    <w:uiPriority w:val="25"/>
    <w:rsid w:val="00F3602E"/>
    <w:pPr>
      <w:numPr>
        <w:numId w:val="26"/>
      </w:numPr>
    </w:pPr>
  </w:style>
  <w:style w:type="paragraph" w:customStyle="1" w:styleId="TableTextColumnHeading">
    <w:name w:val="Table Text Column Heading"/>
    <w:uiPriority w:val="27"/>
    <w:rsid w:val="00F3602E"/>
    <w:pPr>
      <w:keepNext/>
      <w:spacing w:after="57" w:line="288" w:lineRule="auto"/>
    </w:pPr>
    <w:rPr>
      <w:rFonts w:ascii="Arial Narrow" w:hAnsi="Arial Narrow"/>
      <w:b/>
      <w:color w:val="F79646" w:themeColor="accent6"/>
      <w:sz w:val="19"/>
      <w:szCs w:val="17"/>
      <w:lang w:eastAsia="en-US"/>
    </w:rPr>
  </w:style>
  <w:style w:type="table" w:customStyle="1" w:styleId="TableODE">
    <w:name w:val="Table_ODE"/>
    <w:basedOn w:val="TableGrid"/>
    <w:semiHidden/>
    <w:rsid w:val="00F3602E"/>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Arial Black" w:hAnsi="Arial Black"/>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character" w:customStyle="1" w:styleId="Heading1unnumberedChar">
    <w:name w:val="Heading 1 unnumbered Char"/>
    <w:basedOn w:val="Heading1Char"/>
    <w:link w:val="Heading1unnumbered"/>
    <w:uiPriority w:val="2"/>
    <w:rsid w:val="00F3602E"/>
    <w:rPr>
      <w:rFonts w:asciiTheme="majorHAnsi" w:hAnsiTheme="majorHAnsi" w:cs="Arial"/>
      <w:b w:val="0"/>
      <w:bCs w:val="0"/>
      <w:color w:val="EEECE1" w:themeColor="background2"/>
      <w:kern w:val="28"/>
      <w:sz w:val="44"/>
      <w:szCs w:val="44"/>
    </w:rPr>
  </w:style>
  <w:style w:type="character" w:customStyle="1" w:styleId="Heading2unnumberedChar">
    <w:name w:val="Heading 2 unnumbered Char"/>
    <w:basedOn w:val="Heading2Char"/>
    <w:link w:val="Heading2unnumbered"/>
    <w:uiPriority w:val="2"/>
    <w:rsid w:val="00F3602E"/>
    <w:rPr>
      <w:rFonts w:asciiTheme="majorHAnsi" w:hAnsiTheme="majorHAnsi" w:cs="Arial"/>
      <w:b/>
      <w:bCs w:val="0"/>
      <w:iCs w:val="0"/>
      <w:color w:val="1F497D" w:themeColor="text2"/>
      <w:kern w:val="28"/>
      <w:sz w:val="32"/>
      <w:szCs w:val="32"/>
    </w:rPr>
  </w:style>
  <w:style w:type="character" w:customStyle="1" w:styleId="AppendixHeading2unnumberedChar">
    <w:name w:val="Appendix Heading 2 unnumbered Char"/>
    <w:basedOn w:val="Heading7Char"/>
    <w:link w:val="AppendixHeading2unnumbered"/>
    <w:uiPriority w:val="29"/>
    <w:rsid w:val="00F3602E"/>
    <w:rPr>
      <w:rFonts w:asciiTheme="majorHAnsi" w:eastAsiaTheme="majorEastAsia" w:hAnsiTheme="majorHAnsi" w:cstheme="majorBidi"/>
      <w:b w:val="0"/>
      <w:i/>
      <w:iCs/>
      <w:color w:val="1F497D" w:themeColor="text2"/>
      <w:kern w:val="28"/>
      <w:sz w:val="32"/>
      <w:szCs w:val="32"/>
    </w:rPr>
  </w:style>
  <w:style w:type="paragraph" w:customStyle="1" w:styleId="InfoHead">
    <w:name w:val="Info Head"/>
    <w:basedOn w:val="BoxTitle"/>
    <w:semiHidden/>
    <w:rsid w:val="00F3602E"/>
    <w:pPr>
      <w:framePr w:hSpace="181" w:wrap="around" w:hAnchor="margin" w:yAlign="bottom"/>
      <w:suppressOverlap/>
    </w:pPr>
  </w:style>
  <w:style w:type="character" w:styleId="PlaceholderText">
    <w:name w:val="Placeholder Text"/>
    <w:basedOn w:val="DefaultParagraphFont"/>
    <w:uiPriority w:val="99"/>
    <w:semiHidden/>
    <w:rsid w:val="00F3602E"/>
    <w:rPr>
      <w:color w:val="808080"/>
    </w:rPr>
  </w:style>
  <w:style w:type="paragraph" w:styleId="NoSpacing">
    <w:name w:val="No Spacing"/>
    <w:uiPriority w:val="1"/>
    <w:rsid w:val="00F3602E"/>
    <w:rPr>
      <w:rFonts w:asciiTheme="minorHAnsi" w:hAnsiTheme="minorHAnsi"/>
      <w:color w:val="000000" w:themeColor="text1"/>
      <w:sz w:val="21"/>
      <w:szCs w:val="24"/>
    </w:rPr>
  </w:style>
  <w:style w:type="paragraph" w:customStyle="1" w:styleId="BodyText2">
    <w:name w:val="Body Text2"/>
    <w:semiHidden/>
    <w:rsid w:val="00F3602E"/>
    <w:rPr>
      <w:rFonts w:ascii="Arial" w:hAnsi="Arial"/>
      <w:szCs w:val="24"/>
      <w:lang w:eastAsia="en-US"/>
    </w:rPr>
  </w:style>
  <w:style w:type="table" w:customStyle="1" w:styleId="ODETable">
    <w:name w:val="ODE Table"/>
    <w:basedOn w:val="TableNormal"/>
    <w:uiPriority w:val="99"/>
    <w:rsid w:val="00F3602E"/>
    <w:rPr>
      <w:rFonts w:ascii="Courier" w:hAnsi="Courie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paragraph" w:styleId="ListParagraph">
    <w:name w:val="List Paragraph"/>
    <w:basedOn w:val="Normal"/>
    <w:uiPriority w:val="34"/>
    <w:qFormat/>
    <w:rsid w:val="00F3602E"/>
    <w:pPr>
      <w:spacing w:before="0" w:after="200" w:line="276" w:lineRule="auto"/>
      <w:ind w:left="720"/>
      <w:contextualSpacing/>
    </w:pPr>
    <w:rPr>
      <w:rFonts w:ascii="Calibri" w:eastAsia="Calibri" w:hAnsi="Calibri"/>
      <w:sz w:val="22"/>
      <w:szCs w:val="22"/>
      <w:lang w:eastAsia="en-US"/>
    </w:rPr>
  </w:style>
  <w:style w:type="paragraph" w:customStyle="1" w:styleId="Footnotetext0">
    <w:name w:val="Footnote : text"/>
    <w:basedOn w:val="Normal"/>
    <w:uiPriority w:val="99"/>
    <w:rsid w:val="00F3602E"/>
    <w:pPr>
      <w:widowControl w:val="0"/>
      <w:suppressAutoHyphens/>
      <w:autoSpaceDE w:val="0"/>
      <w:autoSpaceDN w:val="0"/>
      <w:adjustRightInd w:val="0"/>
      <w:spacing w:before="0" w:after="0" w:line="200" w:lineRule="atLeast"/>
      <w:ind w:left="312" w:hanging="312"/>
      <w:textAlignment w:val="center"/>
    </w:pPr>
    <w:rPr>
      <w:rFonts w:ascii="Cambria" w:eastAsiaTheme="minorHAnsi" w:hAnsi="Cambria" w:cs="MetaSerif-Book"/>
      <w:color w:val="000000" w:themeColor="text1"/>
      <w:sz w:val="16"/>
      <w:szCs w:val="16"/>
      <w:lang w:val="en-GB" w:eastAsia="en-US"/>
    </w:rPr>
  </w:style>
  <w:style w:type="paragraph" w:customStyle="1" w:styleId="Body">
    <w:name w:val="Body"/>
    <w:basedOn w:val="Normal"/>
    <w:uiPriority w:val="1"/>
    <w:rsid w:val="00F3602E"/>
    <w:pPr>
      <w:widowControl w:val="0"/>
      <w:spacing w:before="0" w:after="0" w:line="240" w:lineRule="auto"/>
    </w:pPr>
    <w:rPr>
      <w:rFonts w:ascii="Cambria" w:eastAsia="Cambria" w:hAnsi="Cambria"/>
      <w:sz w:val="20"/>
      <w:lang w:val="en-US" w:eastAsia="en-US"/>
    </w:rPr>
  </w:style>
  <w:style w:type="paragraph" w:customStyle="1" w:styleId="IODPARCBullets">
    <w:name w:val="IOD PARC Bullets"/>
    <w:basedOn w:val="Normal"/>
    <w:link w:val="IODPARCBulletsChar"/>
    <w:uiPriority w:val="1"/>
    <w:rsid w:val="00F3602E"/>
    <w:pPr>
      <w:numPr>
        <w:numId w:val="27"/>
      </w:numPr>
      <w:spacing w:before="0" w:line="240" w:lineRule="auto"/>
      <w:ind w:right="454"/>
    </w:pPr>
    <w:rPr>
      <w:rFonts w:ascii="Georgia" w:hAnsi="Georgia"/>
      <w:sz w:val="22"/>
      <w:szCs w:val="24"/>
      <w:lang w:eastAsia="ja-JP"/>
    </w:rPr>
  </w:style>
  <w:style w:type="character" w:customStyle="1" w:styleId="IODPARCBulletsChar">
    <w:name w:val="IOD PARC Bullets Char"/>
    <w:link w:val="IODPARCBullets"/>
    <w:uiPriority w:val="1"/>
    <w:rsid w:val="00F3602E"/>
    <w:rPr>
      <w:rFonts w:ascii="Georgia" w:hAnsi="Georgia"/>
      <w:sz w:val="22"/>
      <w:szCs w:val="24"/>
      <w:lang w:eastAsia="ja-JP"/>
    </w:rPr>
  </w:style>
  <w:style w:type="paragraph" w:styleId="NormalWeb">
    <w:name w:val="Normal (Web)"/>
    <w:basedOn w:val="Normal"/>
    <w:uiPriority w:val="99"/>
    <w:unhideWhenUsed/>
    <w:rsid w:val="00F3602E"/>
    <w:pPr>
      <w:spacing w:before="100" w:beforeAutospacing="1" w:after="100" w:afterAutospacing="1" w:line="240" w:lineRule="auto"/>
    </w:pPr>
    <w:rPr>
      <w:rFonts w:ascii="Times" w:eastAsia="MS Mincho" w:hAnsi="Times"/>
      <w:sz w:val="20"/>
      <w:lang w:val="en-GB" w:eastAsia="en-US"/>
    </w:rPr>
  </w:style>
  <w:style w:type="table" w:customStyle="1" w:styleId="TableGrid1">
    <w:name w:val="Table Grid1"/>
    <w:basedOn w:val="TableNormal"/>
    <w:next w:val="TableGrid"/>
    <w:uiPriority w:val="59"/>
    <w:rsid w:val="00F3602E"/>
    <w:tblPr>
      <w:tblInd w:w="0" w:type="dxa"/>
      <w:tblCellMar>
        <w:top w:w="0" w:type="dxa"/>
        <w:left w:w="0" w:type="dxa"/>
        <w:bottom w:w="0" w:type="dxa"/>
        <w:right w:w="0" w:type="dxa"/>
      </w:tblCellMar>
    </w:tblPr>
  </w:style>
  <w:style w:type="character" w:customStyle="1" w:styleId="FootnoteTextChar1">
    <w:name w:val="Footnote Text Char1"/>
    <w:aliases w:val="Footnote Text Char Char,Char Char,ft Char,single space Char,fn Char,Footnote Text Char Char Char Char Char"/>
    <w:uiPriority w:val="99"/>
    <w:rsid w:val="00F3602E"/>
    <w:rPr>
      <w:rFonts w:ascii="Cambria" w:hAnsi="Cambria"/>
      <w:sz w:val="16"/>
      <w:szCs w:val="14"/>
      <w:lang w:bidi="ar-SA"/>
    </w:rPr>
  </w:style>
  <w:style w:type="paragraph" w:customStyle="1" w:styleId="List1">
    <w:name w:val="List1"/>
    <w:basedOn w:val="Normal"/>
    <w:rsid w:val="00F3602E"/>
    <w:pPr>
      <w:numPr>
        <w:numId w:val="28"/>
      </w:numPr>
      <w:suppressAutoHyphens/>
      <w:autoSpaceDE w:val="0"/>
      <w:autoSpaceDN w:val="0"/>
      <w:adjustRightInd w:val="0"/>
      <w:spacing w:before="120" w:line="300" w:lineRule="auto"/>
      <w:jc w:val="both"/>
    </w:pPr>
    <w:rPr>
      <w:rFonts w:ascii="Cambria" w:eastAsia="MS Mincho" w:hAnsi="Cambria" w:cs="FoundersGrotesk-Regular"/>
      <w:sz w:val="22"/>
      <w:szCs w:val="21"/>
      <w:lang w:eastAsia="en-US"/>
    </w:rPr>
  </w:style>
  <w:style w:type="paragraph" w:customStyle="1" w:styleId="Boxtext1">
    <w:name w:val="Box text"/>
    <w:basedOn w:val="Normal"/>
    <w:next w:val="Normal"/>
    <w:uiPriority w:val="1"/>
    <w:rsid w:val="00F3602E"/>
    <w:pPr>
      <w:widowControl w:val="0"/>
      <w:suppressAutoHyphens/>
      <w:autoSpaceDE w:val="0"/>
      <w:autoSpaceDN w:val="0"/>
      <w:adjustRightInd w:val="0"/>
      <w:spacing w:before="0" w:after="57" w:line="260" w:lineRule="atLeast"/>
      <w:textAlignment w:val="center"/>
    </w:pPr>
    <w:rPr>
      <w:rFonts w:ascii="Calibri" w:eastAsiaTheme="minorHAnsi" w:hAnsi="Calibri" w:cs="Gotham-Book"/>
      <w:color w:val="000000" w:themeColor="text1"/>
      <w:sz w:val="22"/>
      <w:szCs w:val="18"/>
      <w:lang w:val="en-GB" w:eastAsia="en-US"/>
    </w:rPr>
  </w:style>
  <w:style w:type="paragraph" w:customStyle="1" w:styleId="Boxhead">
    <w:name w:val="Box head"/>
    <w:basedOn w:val="Normal"/>
    <w:uiPriority w:val="1"/>
    <w:rsid w:val="00F3602E"/>
    <w:pPr>
      <w:widowControl w:val="0"/>
      <w:suppressAutoHyphens/>
      <w:autoSpaceDE w:val="0"/>
      <w:autoSpaceDN w:val="0"/>
      <w:adjustRightInd w:val="0"/>
      <w:spacing w:before="0" w:after="0" w:line="220" w:lineRule="atLeast"/>
      <w:textAlignment w:val="center"/>
    </w:pPr>
    <w:rPr>
      <w:rFonts w:ascii="Calibri" w:eastAsiaTheme="minorHAnsi" w:hAnsi="Calibri" w:cs="Gotham-Bold"/>
      <w:bCs/>
      <w:color w:val="FFFFFF" w:themeColor="background1"/>
      <w:sz w:val="22"/>
      <w:szCs w:val="18"/>
      <w:lang w:val="en-GB" w:eastAsia="en-US"/>
    </w:rPr>
  </w:style>
  <w:style w:type="character" w:customStyle="1" w:styleId="Footnoteitalic">
    <w:name w:val="Footnote : italic"/>
    <w:uiPriority w:val="99"/>
    <w:rsid w:val="00F3602E"/>
  </w:style>
  <w:style w:type="paragraph" w:customStyle="1" w:styleId="Heading7unnumbered">
    <w:name w:val="Heading 7 unnumbered"/>
    <w:basedOn w:val="Heading7"/>
    <w:next w:val="BodyText"/>
    <w:rsid w:val="00F3602E"/>
    <w:rPr>
      <w:rFonts w:ascii="Calibri" w:hAnsi="Calibri"/>
      <w:color w:val="DA7D2D"/>
    </w:rPr>
  </w:style>
  <w:style w:type="paragraph" w:customStyle="1" w:styleId="footnote">
    <w:name w:val="footnote"/>
    <w:basedOn w:val="Normal"/>
    <w:uiPriority w:val="99"/>
    <w:rsid w:val="00F3602E"/>
    <w:pPr>
      <w:widowControl w:val="0"/>
      <w:suppressAutoHyphens/>
      <w:autoSpaceDE w:val="0"/>
      <w:autoSpaceDN w:val="0"/>
      <w:adjustRightInd w:val="0"/>
      <w:spacing w:before="0" w:after="0" w:line="200" w:lineRule="atLeast"/>
      <w:ind w:left="227" w:hanging="227"/>
      <w:textAlignment w:val="center"/>
    </w:pPr>
    <w:rPr>
      <w:rFonts w:ascii="MetaSerif-Book" w:hAnsi="MetaSerif-Book" w:cs="MetaSerif-Book"/>
      <w:sz w:val="16"/>
      <w:szCs w:val="16"/>
      <w:lang w:val="en-GB" w:eastAsia="en-US"/>
    </w:rPr>
  </w:style>
  <w:style w:type="numbering" w:customStyle="1" w:styleId="JSH">
    <w:name w:val="JSH"/>
    <w:uiPriority w:val="99"/>
    <w:rsid w:val="00F3602E"/>
    <w:pPr>
      <w:numPr>
        <w:numId w:val="29"/>
      </w:numPr>
    </w:pPr>
  </w:style>
  <w:style w:type="paragraph" w:customStyle="1" w:styleId="Default">
    <w:name w:val="Default"/>
    <w:rsid w:val="00F3602E"/>
    <w:pPr>
      <w:autoSpaceDE w:val="0"/>
      <w:autoSpaceDN w:val="0"/>
      <w:adjustRightInd w:val="0"/>
    </w:pPr>
    <w:rPr>
      <w:rFonts w:ascii="Helvetica Neue" w:hAnsi="Helvetica Neue" w:cs="Helvetica Neue"/>
      <w:color w:val="000000"/>
      <w:sz w:val="24"/>
      <w:szCs w:val="24"/>
    </w:rPr>
  </w:style>
  <w:style w:type="character" w:customStyle="1" w:styleId="A0">
    <w:name w:val="A0"/>
    <w:uiPriority w:val="99"/>
    <w:rsid w:val="00F3602E"/>
    <w:rPr>
      <w:rFonts w:cs="Helvetica Neue"/>
      <w:b/>
      <w:bCs/>
      <w:color w:val="000000"/>
      <w:sz w:val="50"/>
      <w:szCs w:val="50"/>
    </w:rPr>
  </w:style>
  <w:style w:type="paragraph" w:styleId="Revision">
    <w:name w:val="Revision"/>
    <w:hidden/>
    <w:uiPriority w:val="99"/>
    <w:semiHidden/>
    <w:rsid w:val="00F3602E"/>
    <w:rPr>
      <w:rFonts w:asciiTheme="minorHAnsi" w:hAnsiTheme="minorHAnsi"/>
      <w:color w:val="000000" w:themeColor="text1"/>
      <w:sz w:val="21"/>
      <w:szCs w:val="24"/>
    </w:rPr>
  </w:style>
  <w:style w:type="character" w:customStyle="1" w:styleId="apple-converted-space">
    <w:name w:val="apple-converted-space"/>
    <w:basedOn w:val="DefaultParagraphFont"/>
    <w:rsid w:val="00F3602E"/>
  </w:style>
  <w:style w:type="character" w:customStyle="1" w:styleId="highlight">
    <w:name w:val="highlight"/>
    <w:basedOn w:val="DefaultParagraphFont"/>
    <w:rsid w:val="00F3602E"/>
  </w:style>
  <w:style w:type="paragraph" w:customStyle="1" w:styleId="bodybullet">
    <w:name w:val="body : bullet"/>
    <w:basedOn w:val="Normal"/>
    <w:uiPriority w:val="99"/>
    <w:rsid w:val="00F3602E"/>
    <w:pPr>
      <w:numPr>
        <w:numId w:val="30"/>
      </w:numPr>
      <w:autoSpaceDE w:val="0"/>
      <w:autoSpaceDN w:val="0"/>
      <w:spacing w:after="140" w:line="260" w:lineRule="atLeast"/>
    </w:pPr>
    <w:rPr>
      <w:rFonts w:ascii="Times" w:eastAsiaTheme="minorHAnsi" w:hAnsi="Times"/>
      <w:sz w:val="24"/>
      <w:szCs w:val="24"/>
      <w:lang w:val="en-GB" w:eastAsia="en-US"/>
    </w:rPr>
  </w:style>
  <w:style w:type="character" w:styleId="EndnoteReference">
    <w:name w:val="endnote reference"/>
    <w:basedOn w:val="DefaultParagraphFont"/>
    <w:uiPriority w:val="99"/>
    <w:semiHidden/>
    <w:rsid w:val="00F3602E"/>
    <w:rPr>
      <w:vertAlign w:val="superscript"/>
    </w:rPr>
  </w:style>
  <w:style w:type="paragraph" w:customStyle="1" w:styleId="BodyCopy">
    <w:name w:val="Body Copy"/>
    <w:basedOn w:val="Normal"/>
    <w:uiPriority w:val="99"/>
    <w:rsid w:val="00F3602E"/>
    <w:pPr>
      <w:widowControl w:val="0"/>
      <w:suppressAutoHyphens/>
      <w:autoSpaceDE w:val="0"/>
      <w:autoSpaceDN w:val="0"/>
      <w:adjustRightInd w:val="0"/>
      <w:spacing w:before="57" w:after="142"/>
      <w:textAlignment w:val="center"/>
    </w:pPr>
    <w:rPr>
      <w:rFonts w:ascii="Cambria" w:eastAsia="MS Mincho" w:hAnsi="Cambria" w:cs="Cambria"/>
      <w:szCs w:val="21"/>
      <w:lang w:val="en-GB" w:eastAsia="ja-JP"/>
    </w:rPr>
  </w:style>
  <w:style w:type="paragraph" w:customStyle="1" w:styleId="IODPARCHeadingLevel3">
    <w:name w:val="IOD PARC Heading Level 3"/>
    <w:basedOn w:val="Normal"/>
    <w:link w:val="IODPARCHeadingLevel3Char"/>
    <w:rsid w:val="00F3602E"/>
    <w:pPr>
      <w:spacing w:before="120" w:line="240" w:lineRule="auto"/>
    </w:pPr>
    <w:rPr>
      <w:rFonts w:ascii="Georgia" w:hAnsi="Georgia" w:cs="Arial"/>
      <w:bCs/>
      <w:i/>
      <w:color w:val="333333"/>
      <w:sz w:val="24"/>
      <w:lang w:val="en-GB" w:eastAsia="en-GB"/>
    </w:rPr>
  </w:style>
  <w:style w:type="character" w:customStyle="1" w:styleId="IODPARCHeadingLevel3Char">
    <w:name w:val="IOD PARC Heading Level 3 Char"/>
    <w:basedOn w:val="DefaultParagraphFont"/>
    <w:link w:val="IODPARCHeadingLevel3"/>
    <w:rsid w:val="00F3602E"/>
    <w:rPr>
      <w:rFonts w:ascii="Georgia" w:hAnsi="Georgia" w:cs="Arial"/>
      <w:bCs/>
      <w:i/>
      <w:color w:val="333333"/>
      <w:sz w:val="24"/>
      <w:lang w:val="en-GB" w:eastAsia="en-GB"/>
    </w:rPr>
  </w:style>
  <w:style w:type="character" w:customStyle="1" w:styleId="NoteCharChar">
    <w:name w:val="Note Char Char"/>
    <w:link w:val="Note"/>
    <w:rsid w:val="00F3602E"/>
    <w:rPr>
      <w:rFonts w:ascii="Arial Narrow" w:hAnsi="Arial Narrow"/>
      <w:color w:val="000000" w:themeColor="text1"/>
      <w:sz w:val="16"/>
      <w:szCs w:val="16"/>
      <w:lang w:eastAsia="en-US"/>
    </w:rPr>
  </w:style>
  <w:style w:type="paragraph" w:styleId="TOCHeading">
    <w:name w:val="TOC Heading"/>
    <w:basedOn w:val="Heading1"/>
    <w:next w:val="Normal"/>
    <w:uiPriority w:val="39"/>
    <w:semiHidden/>
    <w:unhideWhenUsed/>
    <w:qFormat/>
    <w:rsid w:val="00F3602E"/>
    <w:pPr>
      <w:keepLines/>
      <w:pageBreakBefore w:val="0"/>
      <w:spacing w:before="240" w:after="0" w:line="288" w:lineRule="auto"/>
      <w:ind w:left="0" w:firstLine="0"/>
      <w:outlineLvl w:val="9"/>
    </w:pPr>
    <w:rPr>
      <w:rFonts w:asciiTheme="majorHAnsi" w:eastAsiaTheme="majorEastAsia" w:hAnsiTheme="majorHAnsi" w:cstheme="majorBidi"/>
      <w:bCs w:val="0"/>
      <w:color w:val="365F91" w:themeColor="accent1" w:themeShade="BF"/>
      <w:sz w:val="32"/>
    </w:rPr>
  </w:style>
  <w:style w:type="paragraph" w:customStyle="1" w:styleId="Level1">
    <w:name w:val="Level 1."/>
    <w:basedOn w:val="Normal"/>
    <w:rsid w:val="00F3602E"/>
    <w:pPr>
      <w:numPr>
        <w:numId w:val="31"/>
      </w:numPr>
      <w:spacing w:before="240" w:after="0" w:line="240" w:lineRule="auto"/>
    </w:pPr>
    <w:rPr>
      <w:rFonts w:ascii="Times New Roman" w:hAnsi="Times New Roman"/>
      <w:sz w:val="24"/>
      <w:szCs w:val="22"/>
      <w:lang w:eastAsia="en-US"/>
    </w:rPr>
  </w:style>
  <w:style w:type="paragraph" w:customStyle="1" w:styleId="Level11">
    <w:name w:val="Level 1.1"/>
    <w:basedOn w:val="Normal"/>
    <w:rsid w:val="00F3602E"/>
    <w:pPr>
      <w:numPr>
        <w:ilvl w:val="1"/>
        <w:numId w:val="31"/>
      </w:numPr>
      <w:spacing w:before="240" w:after="0" w:line="240" w:lineRule="auto"/>
    </w:pPr>
    <w:rPr>
      <w:rFonts w:ascii="Times New Roman" w:hAnsi="Times New Roman"/>
      <w:sz w:val="24"/>
      <w:szCs w:val="22"/>
      <w:lang w:eastAsia="en-US"/>
    </w:rPr>
  </w:style>
  <w:style w:type="paragraph" w:customStyle="1" w:styleId="Levela">
    <w:name w:val="Level (a)"/>
    <w:basedOn w:val="Normal"/>
    <w:rsid w:val="00F3602E"/>
    <w:pPr>
      <w:numPr>
        <w:ilvl w:val="2"/>
        <w:numId w:val="31"/>
      </w:numPr>
      <w:spacing w:before="240" w:after="0" w:line="240" w:lineRule="auto"/>
    </w:pPr>
    <w:rPr>
      <w:rFonts w:ascii="Times New Roman" w:hAnsi="Times New Roman"/>
      <w:sz w:val="24"/>
      <w:szCs w:val="22"/>
      <w:lang w:eastAsia="en-US"/>
    </w:rPr>
  </w:style>
  <w:style w:type="paragraph" w:customStyle="1" w:styleId="Leveli">
    <w:name w:val="Level (i)"/>
    <w:basedOn w:val="Normal"/>
    <w:rsid w:val="00F3602E"/>
    <w:pPr>
      <w:numPr>
        <w:ilvl w:val="3"/>
        <w:numId w:val="31"/>
      </w:numPr>
      <w:spacing w:before="240" w:after="0" w:line="240" w:lineRule="auto"/>
    </w:pPr>
    <w:rPr>
      <w:rFonts w:ascii="Times New Roman" w:hAnsi="Times New Roman"/>
      <w:sz w:val="24"/>
      <w:szCs w:val="22"/>
      <w:lang w:eastAsia="en-US"/>
    </w:rPr>
  </w:style>
  <w:style w:type="paragraph" w:styleId="PlainText">
    <w:name w:val="Plain Text"/>
    <w:basedOn w:val="Normal"/>
    <w:link w:val="PlainTextChar"/>
    <w:uiPriority w:val="99"/>
    <w:rsid w:val="00F3602E"/>
    <w:pPr>
      <w:numPr>
        <w:ilvl w:val="4"/>
        <w:numId w:val="31"/>
      </w:numPr>
      <w:spacing w:before="240" w:after="0" w:line="240" w:lineRule="auto"/>
    </w:pPr>
    <w:rPr>
      <w:rFonts w:ascii="Courier New" w:hAnsi="Courier New" w:cs="Courier New"/>
      <w:sz w:val="20"/>
      <w:lang w:eastAsia="en-US"/>
    </w:rPr>
  </w:style>
  <w:style w:type="character" w:customStyle="1" w:styleId="PlainTextChar">
    <w:name w:val="Plain Text Char"/>
    <w:basedOn w:val="DefaultParagraphFont"/>
    <w:link w:val="PlainText"/>
    <w:uiPriority w:val="99"/>
    <w:rsid w:val="00F3602E"/>
    <w:rPr>
      <w:rFonts w:ascii="Courier New" w:hAnsi="Courier New" w:cs="Courier New"/>
      <w:lang w:eastAsia="en-US"/>
    </w:rPr>
  </w:style>
  <w:style w:type="paragraph" w:customStyle="1" w:styleId="LevelA0">
    <w:name w:val="Level(A)"/>
    <w:basedOn w:val="Normal"/>
    <w:rsid w:val="00F3602E"/>
    <w:pPr>
      <w:numPr>
        <w:ilvl w:val="5"/>
        <w:numId w:val="31"/>
      </w:numPr>
      <w:spacing w:before="240" w:after="0" w:line="240" w:lineRule="auto"/>
    </w:pPr>
    <w:rPr>
      <w:rFonts w:ascii="Times New Roman" w:hAnsi="Times New Roman"/>
      <w:sz w:val="24"/>
      <w:szCs w:val="22"/>
      <w:lang w:eastAsia="en-US"/>
    </w:rPr>
  </w:style>
  <w:style w:type="paragraph" w:customStyle="1" w:styleId="Itadbodycopy">
    <w:name w:val="Itad body copy"/>
    <w:basedOn w:val="Normal"/>
    <w:link w:val="ItadbodycopyChar"/>
    <w:rsid w:val="00F3602E"/>
    <w:pPr>
      <w:spacing w:before="0" w:line="240" w:lineRule="auto"/>
    </w:pPr>
    <w:rPr>
      <w:rFonts w:ascii="Calibri" w:eastAsia="Calibri" w:hAnsi="Calibri"/>
      <w:sz w:val="22"/>
      <w:lang w:val="en-GB" w:eastAsia="en-US"/>
    </w:rPr>
  </w:style>
  <w:style w:type="paragraph" w:customStyle="1" w:styleId="Itadheading1">
    <w:name w:val="Itad heading 1"/>
    <w:basedOn w:val="Heading1"/>
    <w:link w:val="Itadheading1Char"/>
    <w:rsid w:val="00F3602E"/>
    <w:pPr>
      <w:keepLines/>
      <w:pageBreakBefore w:val="0"/>
      <w:numPr>
        <w:numId w:val="33"/>
      </w:numPr>
      <w:spacing w:before="0" w:after="240" w:line="240" w:lineRule="auto"/>
    </w:pPr>
    <w:rPr>
      <w:rFonts w:ascii="Calibri" w:hAnsi="Calibri" w:cs="Times New Roman"/>
      <w:color w:val="73B632"/>
      <w:sz w:val="32"/>
      <w:lang w:val="en-GB" w:eastAsia="en-GB"/>
    </w:rPr>
  </w:style>
  <w:style w:type="character" w:customStyle="1" w:styleId="Itadheading1Char">
    <w:name w:val="Itad heading 1 Char"/>
    <w:link w:val="Itadheading1"/>
    <w:rsid w:val="00F3602E"/>
    <w:rPr>
      <w:rFonts w:ascii="Calibri" w:hAnsi="Calibri"/>
      <w:bCs/>
      <w:color w:val="73B632"/>
      <w:sz w:val="32"/>
      <w:szCs w:val="32"/>
      <w:lang w:val="en-GB" w:eastAsia="en-GB"/>
    </w:rPr>
  </w:style>
  <w:style w:type="paragraph" w:customStyle="1" w:styleId="Itadnumbers">
    <w:name w:val="Itad numbers"/>
    <w:basedOn w:val="Normal"/>
    <w:rsid w:val="00F3602E"/>
    <w:pPr>
      <w:numPr>
        <w:numId w:val="32"/>
      </w:numPr>
      <w:spacing w:before="0" w:after="200" w:line="240" w:lineRule="auto"/>
    </w:pPr>
    <w:rPr>
      <w:rFonts w:ascii="Calibri" w:eastAsia="Calibri" w:hAnsi="Calibri"/>
      <w:sz w:val="22"/>
      <w:lang w:val="en-GB" w:eastAsia="en-US"/>
    </w:rPr>
  </w:style>
  <w:style w:type="paragraph" w:customStyle="1" w:styleId="Itadfooterstyle">
    <w:name w:val="Itad footer style"/>
    <w:basedOn w:val="Normal"/>
    <w:rsid w:val="00F3602E"/>
    <w:pPr>
      <w:pBdr>
        <w:top w:val="single" w:sz="4" w:space="1" w:color="A6A6A6"/>
      </w:pBdr>
      <w:tabs>
        <w:tab w:val="right" w:pos="9072"/>
        <w:tab w:val="right" w:pos="15309"/>
      </w:tabs>
      <w:spacing w:before="0" w:line="240" w:lineRule="auto"/>
    </w:pPr>
    <w:rPr>
      <w:rFonts w:ascii="Calibri" w:eastAsia="Calibri" w:hAnsi="Calibri"/>
      <w:sz w:val="16"/>
      <w:szCs w:val="16"/>
      <w:lang w:val="en-US" w:eastAsia="en-US"/>
    </w:rPr>
  </w:style>
  <w:style w:type="paragraph" w:customStyle="1" w:styleId="Itadsectionheading">
    <w:name w:val="Itad section heading"/>
    <w:basedOn w:val="Heading2"/>
    <w:link w:val="ItadsectionheadingChar"/>
    <w:rsid w:val="00F3602E"/>
    <w:pPr>
      <w:keepLines/>
      <w:spacing w:before="0" w:after="160"/>
      <w:ind w:left="0" w:firstLine="0"/>
    </w:pPr>
    <w:rPr>
      <w:rFonts w:ascii="Calibri" w:hAnsi="Calibri" w:cs="Times New Roman"/>
      <w:iCs w:val="0"/>
      <w:color w:val="73B632"/>
      <w:lang w:val="en-GB" w:eastAsia="en-GB"/>
    </w:rPr>
  </w:style>
  <w:style w:type="character" w:customStyle="1" w:styleId="ItadsectionheadingChar">
    <w:name w:val="Itad section heading Char"/>
    <w:link w:val="Itadsectionheading"/>
    <w:rsid w:val="00F3602E"/>
    <w:rPr>
      <w:rFonts w:ascii="Calibri" w:hAnsi="Calibri"/>
      <w:b/>
      <w:bCs/>
      <w:color w:val="73B632"/>
      <w:sz w:val="28"/>
      <w:szCs w:val="28"/>
      <w:lang w:val="en-GB" w:eastAsia="en-GB"/>
    </w:rPr>
  </w:style>
  <w:style w:type="paragraph" w:customStyle="1" w:styleId="Itadbulletpoints">
    <w:name w:val="Itad bullet points"/>
    <w:basedOn w:val="Itadbodycopy"/>
    <w:link w:val="ItadbulletpointsChar"/>
    <w:rsid w:val="00F3602E"/>
    <w:pPr>
      <w:numPr>
        <w:numId w:val="34"/>
      </w:numPr>
      <w:spacing w:after="200"/>
    </w:pPr>
  </w:style>
  <w:style w:type="paragraph" w:customStyle="1" w:styleId="ItadMaintitleheading">
    <w:name w:val="Itad Main title heading"/>
    <w:basedOn w:val="Normal"/>
    <w:rsid w:val="00F3602E"/>
    <w:pPr>
      <w:spacing w:before="0" w:after="4800" w:line="500" w:lineRule="exact"/>
      <w:ind w:left="2126"/>
    </w:pPr>
    <w:rPr>
      <w:rFonts w:ascii="Calibri" w:eastAsia="Calibri" w:hAnsi="Calibri"/>
      <w:caps/>
      <w:sz w:val="48"/>
      <w:szCs w:val="48"/>
      <w:lang w:val="en-US" w:eastAsia="en-US"/>
    </w:rPr>
  </w:style>
  <w:style w:type="paragraph" w:customStyle="1" w:styleId="Itadsubheading">
    <w:name w:val="Itad subheading"/>
    <w:basedOn w:val="Normal"/>
    <w:link w:val="ItadsubheadingChar"/>
    <w:rsid w:val="00F3602E"/>
    <w:pPr>
      <w:spacing w:before="0" w:after="40" w:line="240" w:lineRule="auto"/>
    </w:pPr>
    <w:rPr>
      <w:rFonts w:ascii="Calibri" w:eastAsia="Calibri" w:hAnsi="Calibri"/>
      <w:b/>
      <w:sz w:val="22"/>
      <w:lang w:val="en-GB" w:eastAsia="en-US"/>
    </w:rPr>
  </w:style>
  <w:style w:type="paragraph" w:customStyle="1" w:styleId="Itadbodysubheading">
    <w:name w:val="Itad body subheading"/>
    <w:basedOn w:val="Itadbodycopy"/>
    <w:rsid w:val="00F3602E"/>
    <w:pPr>
      <w:spacing w:after="60"/>
      <w:contextualSpacing/>
    </w:pPr>
    <w:rPr>
      <w:b/>
    </w:rPr>
  </w:style>
  <w:style w:type="paragraph" w:customStyle="1" w:styleId="Itadsub-sectionheading">
    <w:name w:val="Itad sub-section heading"/>
    <w:basedOn w:val="Heading3"/>
    <w:link w:val="Itadsub-sectionheadingChar"/>
    <w:rsid w:val="00F3602E"/>
    <w:pPr>
      <w:keepLines/>
      <w:spacing w:after="200" w:line="276" w:lineRule="auto"/>
      <w:ind w:left="0" w:firstLine="0"/>
    </w:pPr>
    <w:rPr>
      <w:rFonts w:ascii="Calibri" w:hAnsi="Calibri" w:cs="Times New Roman"/>
      <w:color w:val="auto"/>
      <w:sz w:val="28"/>
      <w:szCs w:val="28"/>
      <w:lang w:val="en-GB" w:eastAsia="en-US"/>
    </w:rPr>
  </w:style>
  <w:style w:type="character" w:customStyle="1" w:styleId="Itadsub-sectionheadingChar">
    <w:name w:val="Itad sub-section heading Char"/>
    <w:link w:val="Itadsub-sectionheading"/>
    <w:rsid w:val="00F3602E"/>
    <w:rPr>
      <w:rFonts w:ascii="Calibri" w:hAnsi="Calibri"/>
      <w:b/>
      <w:bCs/>
      <w:sz w:val="28"/>
      <w:szCs w:val="28"/>
      <w:lang w:val="en-GB" w:eastAsia="en-US"/>
    </w:rPr>
  </w:style>
  <w:style w:type="paragraph" w:customStyle="1" w:styleId="Itadsub">
    <w:name w:val="Itad sub"/>
    <w:aliases w:val="sub-section"/>
    <w:basedOn w:val="Itadsub-sectionheading"/>
    <w:link w:val="ItadsubChar"/>
    <w:rsid w:val="00F3602E"/>
    <w:rPr>
      <w:sz w:val="24"/>
    </w:rPr>
  </w:style>
  <w:style w:type="character" w:customStyle="1" w:styleId="ItadsubChar">
    <w:name w:val="Itad sub Char"/>
    <w:aliases w:val="sub-section Char"/>
    <w:link w:val="Itadsub"/>
    <w:rsid w:val="00F3602E"/>
    <w:rPr>
      <w:rFonts w:ascii="Calibri" w:hAnsi="Calibri"/>
      <w:b/>
      <w:bCs/>
      <w:sz w:val="24"/>
      <w:szCs w:val="28"/>
      <w:lang w:val="en-GB" w:eastAsia="en-US"/>
    </w:rPr>
  </w:style>
  <w:style w:type="paragraph" w:customStyle="1" w:styleId="Itadpullquote">
    <w:name w:val="Itad pull quote"/>
    <w:basedOn w:val="Itadbodycopy"/>
    <w:rsid w:val="00F3602E"/>
    <w:rPr>
      <w:color w:val="73B632"/>
      <w:sz w:val="26"/>
      <w:szCs w:val="24"/>
    </w:rPr>
  </w:style>
  <w:style w:type="paragraph" w:customStyle="1" w:styleId="Itadtable">
    <w:name w:val="Itad table"/>
    <w:basedOn w:val="Normal"/>
    <w:rsid w:val="00F3602E"/>
    <w:pPr>
      <w:spacing w:before="0" w:line="240" w:lineRule="auto"/>
      <w:jc w:val="both"/>
    </w:pPr>
    <w:rPr>
      <w:rFonts w:ascii="Calibri" w:eastAsia="Calibri" w:hAnsi="Calibri"/>
      <w:iCs/>
      <w:sz w:val="22"/>
      <w:szCs w:val="22"/>
      <w:lang w:val="en-US" w:eastAsia="en-US"/>
    </w:rPr>
  </w:style>
  <w:style w:type="paragraph" w:customStyle="1" w:styleId="Itadproposalnameclient">
    <w:name w:val="Itad proposal name &amp; client"/>
    <w:basedOn w:val="Normal"/>
    <w:rsid w:val="00F3602E"/>
    <w:pPr>
      <w:spacing w:before="0" w:after="240" w:line="240" w:lineRule="auto"/>
      <w:ind w:left="532"/>
    </w:pPr>
    <w:rPr>
      <w:rFonts w:ascii="Calibri" w:eastAsia="Calibri" w:hAnsi="Calibri"/>
      <w:sz w:val="36"/>
      <w:szCs w:val="36"/>
      <w:lang w:val="en-US" w:eastAsia="en-US"/>
    </w:rPr>
  </w:style>
  <w:style w:type="paragraph" w:customStyle="1" w:styleId="Itadproposaltitle">
    <w:name w:val="Itad proposal title"/>
    <w:basedOn w:val="Normal"/>
    <w:rsid w:val="00F3602E"/>
    <w:pPr>
      <w:spacing w:before="0" w:after="600" w:line="500" w:lineRule="exact"/>
      <w:ind w:left="567"/>
    </w:pPr>
    <w:rPr>
      <w:rFonts w:ascii="Calibri" w:eastAsia="Calibri" w:hAnsi="Calibri"/>
      <w:caps/>
      <w:noProof/>
      <w:sz w:val="48"/>
      <w:szCs w:val="48"/>
      <w:lang w:val="en-US" w:eastAsia="en-US"/>
    </w:rPr>
  </w:style>
  <w:style w:type="paragraph" w:customStyle="1" w:styleId="ItadAcronyms">
    <w:name w:val="Itad Acronyms"/>
    <w:basedOn w:val="Itadbodycopy"/>
    <w:rsid w:val="00F3602E"/>
    <w:pPr>
      <w:tabs>
        <w:tab w:val="left" w:pos="993"/>
      </w:tabs>
    </w:pPr>
  </w:style>
  <w:style w:type="paragraph" w:customStyle="1" w:styleId="Footertext">
    <w:name w:val="Footer text"/>
    <w:uiPriority w:val="39"/>
    <w:semiHidden/>
    <w:rsid w:val="00F3602E"/>
    <w:pPr>
      <w:tabs>
        <w:tab w:val="left" w:pos="5720"/>
      </w:tabs>
    </w:pPr>
    <w:rPr>
      <w:rFonts w:ascii="Arial" w:hAnsi="Arial"/>
      <w:szCs w:val="24"/>
      <w:lang w:eastAsia="en-US"/>
    </w:rPr>
  </w:style>
  <w:style w:type="paragraph" w:customStyle="1" w:styleId="ecxlist1">
    <w:name w:val="ecxlist1"/>
    <w:basedOn w:val="Normal"/>
    <w:rsid w:val="00F3602E"/>
    <w:pPr>
      <w:spacing w:before="100" w:beforeAutospacing="1" w:after="100" w:afterAutospacing="1" w:line="240" w:lineRule="auto"/>
    </w:pPr>
    <w:rPr>
      <w:rFonts w:ascii="Times New Roman" w:hAnsi="Times New Roman"/>
      <w:sz w:val="24"/>
      <w:szCs w:val="24"/>
      <w:lang w:val="en-GB" w:eastAsia="en-GB"/>
    </w:rPr>
  </w:style>
  <w:style w:type="character" w:customStyle="1" w:styleId="ecxmsofootnotereference">
    <w:name w:val="ecxmsofootnotereference"/>
    <w:basedOn w:val="DefaultParagraphFont"/>
    <w:rsid w:val="00F3602E"/>
  </w:style>
  <w:style w:type="table" w:styleId="MediumShading1-Accent3">
    <w:name w:val="Medium Shading 1 Accent 3"/>
    <w:basedOn w:val="TableNormal"/>
    <w:uiPriority w:val="63"/>
    <w:rsid w:val="00F3602E"/>
    <w:rPr>
      <w:rFonts w:ascii="Courier" w:hAnsi="Courie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2">
    <w:name w:val="Table Grid2"/>
    <w:basedOn w:val="TableNormal"/>
    <w:next w:val="TableGrid"/>
    <w:rsid w:val="00F3602E"/>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3602E"/>
    <w:pPr>
      <w:spacing w:before="100" w:beforeAutospacing="1" w:after="100" w:afterAutospacing="1" w:line="240" w:lineRule="auto"/>
    </w:pPr>
    <w:rPr>
      <w:rFonts w:ascii="Times New Roman" w:hAnsi="Times New Roman"/>
      <w:sz w:val="24"/>
      <w:szCs w:val="24"/>
      <w:lang w:val="en-GB" w:eastAsia="en-GB"/>
    </w:rPr>
  </w:style>
  <w:style w:type="table" w:styleId="LightList-Accent2">
    <w:name w:val="Light List Accent 2"/>
    <w:basedOn w:val="TableNormal"/>
    <w:uiPriority w:val="61"/>
    <w:rsid w:val="00F3602E"/>
    <w:rPr>
      <w:rFonts w:ascii="Courier" w:hAnsi="Courie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F3602E"/>
    <w:rPr>
      <w:rFonts w:ascii="Courier" w:hAnsi="Courie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st-bullet-1Char">
    <w:name w:val="List-bullet-1 Char"/>
    <w:link w:val="List-bullet-1"/>
    <w:locked/>
    <w:rsid w:val="00F3602E"/>
    <w:rPr>
      <w:rFonts w:ascii="Arial" w:hAnsi="Arial" w:cs="Arial"/>
    </w:rPr>
  </w:style>
  <w:style w:type="paragraph" w:customStyle="1" w:styleId="List-bullet-1">
    <w:name w:val="List-bullet-1"/>
    <w:basedOn w:val="Normal"/>
    <w:link w:val="List-bullet-1Char"/>
    <w:rsid w:val="00F3602E"/>
    <w:pPr>
      <w:numPr>
        <w:numId w:val="35"/>
      </w:numPr>
      <w:spacing w:before="120" w:after="0" w:line="240" w:lineRule="auto"/>
    </w:pPr>
    <w:rPr>
      <w:rFonts w:ascii="Arial" w:hAnsi="Arial" w:cs="Arial"/>
      <w:sz w:val="20"/>
    </w:rPr>
  </w:style>
  <w:style w:type="table" w:styleId="LightList-Accent1">
    <w:name w:val="Light List Accent 1"/>
    <w:basedOn w:val="TableNormal"/>
    <w:uiPriority w:val="61"/>
    <w:rsid w:val="00F3602E"/>
    <w:rPr>
      <w:rFonts w:asciiTheme="minorHAnsi" w:eastAsiaTheme="minorHAnsi" w:hAnsiTheme="minorHAnsi" w:cstheme="minorBidi"/>
      <w:sz w:val="22"/>
      <w:szCs w:val="22"/>
      <w:lang w:val="en-GB"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2">
    <w:name w:val="List2"/>
    <w:basedOn w:val="Normal"/>
    <w:rsid w:val="00F3602E"/>
    <w:pPr>
      <w:keepLines/>
      <w:tabs>
        <w:tab w:val="num" w:pos="284"/>
      </w:tabs>
      <w:suppressAutoHyphens/>
      <w:autoSpaceDE w:val="0"/>
      <w:autoSpaceDN w:val="0"/>
      <w:adjustRightInd w:val="0"/>
      <w:spacing w:before="57" w:after="142"/>
      <w:ind w:left="284" w:hanging="284"/>
      <w:textAlignment w:val="center"/>
    </w:pPr>
    <w:rPr>
      <w:rFonts w:ascii="Cambria" w:hAnsi="Cambria" w:cs="FoundersGrotesk-Regular"/>
      <w:szCs w:val="21"/>
      <w:lang w:val="en-GB" w:eastAsia="en-US"/>
    </w:rPr>
  </w:style>
  <w:style w:type="paragraph" w:customStyle="1" w:styleId="Pa4">
    <w:name w:val="Pa4"/>
    <w:basedOn w:val="Default"/>
    <w:next w:val="Default"/>
    <w:uiPriority w:val="99"/>
    <w:rsid w:val="00F3602E"/>
    <w:pPr>
      <w:spacing w:line="201" w:lineRule="atLeast"/>
    </w:pPr>
    <w:rPr>
      <w:rFonts w:ascii="Trade Gothic LT Std" w:eastAsia="Calibri" w:hAnsi="Trade Gothic LT Std" w:cs="Times New Roman"/>
      <w:color w:val="auto"/>
      <w:lang w:eastAsia="en-GB"/>
    </w:rPr>
  </w:style>
  <w:style w:type="character" w:customStyle="1" w:styleId="A5">
    <w:name w:val="A5"/>
    <w:uiPriority w:val="99"/>
    <w:rsid w:val="00F3602E"/>
    <w:rPr>
      <w:rFonts w:cs="Trade Gothic LT Std"/>
      <w:color w:val="000000"/>
      <w:sz w:val="20"/>
      <w:szCs w:val="20"/>
    </w:rPr>
  </w:style>
  <w:style w:type="paragraph" w:customStyle="1" w:styleId="Pa70">
    <w:name w:val="Pa70"/>
    <w:basedOn w:val="Default"/>
    <w:next w:val="Default"/>
    <w:uiPriority w:val="99"/>
    <w:rsid w:val="00F3602E"/>
    <w:pPr>
      <w:spacing w:line="241" w:lineRule="atLeast"/>
    </w:pPr>
    <w:rPr>
      <w:rFonts w:ascii="Helvetica 55 Roman" w:eastAsia="Calibri" w:hAnsi="Helvetica 55 Roman" w:cs="Times New Roman"/>
      <w:color w:val="auto"/>
      <w:lang w:eastAsia="en-GB"/>
    </w:rPr>
  </w:style>
  <w:style w:type="character" w:customStyle="1" w:styleId="StyleTimesNewRoman12pt">
    <w:name w:val="Style Times New Roman 12 pt"/>
    <w:rsid w:val="00F3602E"/>
    <w:rPr>
      <w:rFonts w:ascii="Times New Roman" w:hAnsi="Times New Roman"/>
      <w:sz w:val="24"/>
    </w:rPr>
  </w:style>
  <w:style w:type="numbering" w:customStyle="1" w:styleId="Outlinebullets">
    <w:name w:val="Outline bullets"/>
    <w:basedOn w:val="NoList"/>
    <w:rsid w:val="00F3602E"/>
    <w:pPr>
      <w:numPr>
        <w:numId w:val="36"/>
      </w:numPr>
    </w:pPr>
  </w:style>
  <w:style w:type="character" w:customStyle="1" w:styleId="EndnoteTextChar1">
    <w:name w:val="Endnote Text Char1"/>
    <w:uiPriority w:val="99"/>
    <w:semiHidden/>
    <w:rsid w:val="00F3602E"/>
    <w:rPr>
      <w:rFonts w:ascii="Calibri" w:eastAsia="Calibri" w:hAnsi="Calibri" w:cs="Times New Roman"/>
      <w:sz w:val="20"/>
      <w:szCs w:val="20"/>
    </w:rPr>
  </w:style>
  <w:style w:type="table" w:customStyle="1" w:styleId="LightList1">
    <w:name w:val="Light List1"/>
    <w:basedOn w:val="TableNormal"/>
    <w:uiPriority w:val="61"/>
    <w:rsid w:val="00F3602E"/>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mmentSubjectChar1">
    <w:name w:val="Comment Subject Char1"/>
    <w:uiPriority w:val="99"/>
    <w:semiHidden/>
    <w:rsid w:val="00F3602E"/>
    <w:rPr>
      <w:rFonts w:ascii="Garamond" w:eastAsia="Times New Roman" w:hAnsi="Garamond" w:cs="Times New Roman"/>
      <w:b/>
      <w:bCs/>
      <w:color w:val="000000"/>
      <w:sz w:val="21"/>
      <w:szCs w:val="20"/>
      <w:lang w:val="en-AU" w:eastAsia="en-AU"/>
    </w:rPr>
  </w:style>
  <w:style w:type="paragraph" w:customStyle="1" w:styleId="Annexheading">
    <w:name w:val="Annex heading"/>
    <w:basedOn w:val="Itadheading1"/>
    <w:link w:val="AnnexheadingChar"/>
    <w:rsid w:val="00F3602E"/>
    <w:pPr>
      <w:numPr>
        <w:numId w:val="0"/>
      </w:numPr>
    </w:pPr>
    <w:rPr>
      <w:color w:val="31849B"/>
      <w:sz w:val="44"/>
      <w:szCs w:val="44"/>
    </w:rPr>
  </w:style>
  <w:style w:type="paragraph" w:customStyle="1" w:styleId="annexbodytext">
    <w:name w:val="annex body text"/>
    <w:basedOn w:val="Normal"/>
    <w:link w:val="annexbodytextChar"/>
    <w:rsid w:val="00F3602E"/>
    <w:pPr>
      <w:spacing w:before="0" w:line="240" w:lineRule="auto"/>
      <w:jc w:val="both"/>
    </w:pPr>
    <w:rPr>
      <w:rFonts w:ascii="Cambria" w:eastAsia="Calibri" w:hAnsi="Cambria"/>
      <w:sz w:val="22"/>
      <w:szCs w:val="22"/>
      <w:lang w:val="en-US" w:eastAsia="en-US"/>
    </w:rPr>
  </w:style>
  <w:style w:type="character" w:customStyle="1" w:styleId="AnnexheadingChar">
    <w:name w:val="Annex heading Char"/>
    <w:link w:val="Annexheading"/>
    <w:rsid w:val="00F3602E"/>
    <w:rPr>
      <w:rFonts w:ascii="Calibri" w:hAnsi="Calibri"/>
      <w:b/>
      <w:bCs/>
      <w:color w:val="31849B"/>
      <w:sz w:val="44"/>
      <w:szCs w:val="44"/>
      <w:lang w:val="en-GB" w:eastAsia="en-GB"/>
    </w:rPr>
  </w:style>
  <w:style w:type="paragraph" w:customStyle="1" w:styleId="annexsubtitle">
    <w:name w:val="annex sub title"/>
    <w:basedOn w:val="Itadsubheading"/>
    <w:link w:val="annexsubtitleChar"/>
    <w:rsid w:val="00F3602E"/>
    <w:rPr>
      <w:color w:val="E36C0A"/>
      <w:sz w:val="32"/>
      <w:szCs w:val="32"/>
    </w:rPr>
  </w:style>
  <w:style w:type="character" w:customStyle="1" w:styleId="annexbodytextChar">
    <w:name w:val="annex body text Char"/>
    <w:link w:val="annexbodytext"/>
    <w:rsid w:val="00F3602E"/>
    <w:rPr>
      <w:rFonts w:ascii="Cambria" w:eastAsia="Calibri" w:hAnsi="Cambria"/>
      <w:sz w:val="22"/>
      <w:szCs w:val="22"/>
      <w:lang w:val="en-US" w:eastAsia="en-US"/>
    </w:rPr>
  </w:style>
  <w:style w:type="paragraph" w:customStyle="1" w:styleId="annexbosytext">
    <w:name w:val="annex bosy text"/>
    <w:basedOn w:val="Normal"/>
    <w:link w:val="annexbosytextChar"/>
    <w:rsid w:val="00F3602E"/>
    <w:rPr>
      <w:rFonts w:ascii="Cambria" w:eastAsia="Calibri" w:hAnsi="Cambria"/>
      <w:szCs w:val="21"/>
      <w:lang w:val="en-US" w:eastAsia="en-US"/>
    </w:rPr>
  </w:style>
  <w:style w:type="character" w:customStyle="1" w:styleId="ItadsubheadingChar">
    <w:name w:val="Itad subheading Char"/>
    <w:link w:val="Itadsubheading"/>
    <w:rsid w:val="00F3602E"/>
    <w:rPr>
      <w:rFonts w:ascii="Calibri" w:eastAsia="Calibri" w:hAnsi="Calibri"/>
      <w:b/>
      <w:sz w:val="22"/>
      <w:lang w:val="en-GB" w:eastAsia="en-US"/>
    </w:rPr>
  </w:style>
  <w:style w:type="character" w:customStyle="1" w:styleId="annexsubtitleChar">
    <w:name w:val="annex sub title Char"/>
    <w:link w:val="annexsubtitle"/>
    <w:rsid w:val="00F3602E"/>
    <w:rPr>
      <w:rFonts w:ascii="Calibri" w:eastAsia="Calibri" w:hAnsi="Calibri"/>
      <w:b/>
      <w:color w:val="E36C0A"/>
      <w:sz w:val="32"/>
      <w:szCs w:val="32"/>
      <w:lang w:val="en-GB" w:eastAsia="en-US"/>
    </w:rPr>
  </w:style>
  <w:style w:type="paragraph" w:customStyle="1" w:styleId="annexsubtitle2">
    <w:name w:val="annex sub title 2"/>
    <w:basedOn w:val="Itadsubheading"/>
    <w:link w:val="annexsubtitle2Char"/>
    <w:rsid w:val="00F3602E"/>
    <w:rPr>
      <w:sz w:val="24"/>
      <w:szCs w:val="24"/>
    </w:rPr>
  </w:style>
  <w:style w:type="character" w:customStyle="1" w:styleId="annexbosytextChar">
    <w:name w:val="annex bosy text Char"/>
    <w:link w:val="annexbosytext"/>
    <w:rsid w:val="00F3602E"/>
    <w:rPr>
      <w:rFonts w:ascii="Cambria" w:eastAsia="Calibri" w:hAnsi="Cambria"/>
      <w:sz w:val="21"/>
      <w:szCs w:val="21"/>
      <w:lang w:val="en-US" w:eastAsia="en-US"/>
    </w:rPr>
  </w:style>
  <w:style w:type="paragraph" w:customStyle="1" w:styleId="annexbulletpoints">
    <w:name w:val="annex bullet points"/>
    <w:basedOn w:val="Itadbulletpoints"/>
    <w:link w:val="annexbulletpointsChar"/>
    <w:rsid w:val="00F3602E"/>
    <w:pPr>
      <w:spacing w:before="40" w:after="120" w:line="288" w:lineRule="auto"/>
    </w:pPr>
    <w:rPr>
      <w:rFonts w:ascii="Cambria" w:hAnsi="Cambria"/>
      <w:sz w:val="21"/>
      <w:szCs w:val="21"/>
    </w:rPr>
  </w:style>
  <w:style w:type="character" w:customStyle="1" w:styleId="annexsubtitle2Char">
    <w:name w:val="annex sub title 2 Char"/>
    <w:link w:val="annexsubtitle2"/>
    <w:rsid w:val="00F3602E"/>
    <w:rPr>
      <w:rFonts w:ascii="Calibri" w:eastAsia="Calibri" w:hAnsi="Calibri"/>
      <w:b/>
      <w:sz w:val="24"/>
      <w:szCs w:val="24"/>
      <w:lang w:val="en-GB" w:eastAsia="en-US"/>
    </w:rPr>
  </w:style>
  <w:style w:type="paragraph" w:customStyle="1" w:styleId="annexfigureheading">
    <w:name w:val="annex figure heading"/>
    <w:basedOn w:val="Caption"/>
    <w:link w:val="annexfigureheadingChar"/>
    <w:rsid w:val="00F3602E"/>
    <w:pPr>
      <w:keepNext/>
      <w:spacing w:before="120" w:after="120"/>
      <w:ind w:left="1077" w:hanging="1077"/>
    </w:pPr>
    <w:rPr>
      <w:rFonts w:ascii="Calibri" w:hAnsi="Calibri"/>
      <w:bCs w:val="0"/>
      <w:color w:val="000000"/>
      <w:sz w:val="21"/>
      <w:szCs w:val="21"/>
    </w:rPr>
  </w:style>
  <w:style w:type="character" w:customStyle="1" w:styleId="ItadbodycopyChar">
    <w:name w:val="Itad body copy Char"/>
    <w:link w:val="Itadbodycopy"/>
    <w:rsid w:val="00F3602E"/>
    <w:rPr>
      <w:rFonts w:ascii="Calibri" w:eastAsia="Calibri" w:hAnsi="Calibri"/>
      <w:sz w:val="22"/>
      <w:lang w:val="en-GB" w:eastAsia="en-US"/>
    </w:rPr>
  </w:style>
  <w:style w:type="character" w:customStyle="1" w:styleId="ItadbulletpointsChar">
    <w:name w:val="Itad bullet points Char"/>
    <w:link w:val="Itadbulletpoints"/>
    <w:rsid w:val="00F3602E"/>
    <w:rPr>
      <w:rFonts w:ascii="Calibri" w:eastAsia="Calibri" w:hAnsi="Calibri"/>
      <w:sz w:val="22"/>
      <w:lang w:val="en-GB" w:eastAsia="en-US"/>
    </w:rPr>
  </w:style>
  <w:style w:type="character" w:customStyle="1" w:styleId="annexbulletpointsChar">
    <w:name w:val="annex bullet points Char"/>
    <w:link w:val="annexbulletpoints"/>
    <w:rsid w:val="00F3602E"/>
    <w:rPr>
      <w:rFonts w:ascii="Cambria" w:eastAsia="Calibri" w:hAnsi="Cambria"/>
      <w:sz w:val="21"/>
      <w:szCs w:val="21"/>
      <w:lang w:val="en-GB" w:eastAsia="en-US"/>
    </w:rPr>
  </w:style>
  <w:style w:type="character" w:customStyle="1" w:styleId="CaptionChar">
    <w:name w:val="Caption Char"/>
    <w:link w:val="Caption"/>
    <w:uiPriority w:val="35"/>
    <w:rsid w:val="00F3602E"/>
    <w:rPr>
      <w:rFonts w:asciiTheme="majorHAnsi" w:hAnsiTheme="majorHAnsi"/>
      <w:b/>
      <w:bCs/>
      <w:sz w:val="18"/>
      <w:szCs w:val="18"/>
    </w:rPr>
  </w:style>
  <w:style w:type="character" w:customStyle="1" w:styleId="annexfigureheadingChar">
    <w:name w:val="annex figure heading Char"/>
    <w:link w:val="annexfigureheading"/>
    <w:rsid w:val="00F3602E"/>
    <w:rPr>
      <w:rFonts w:ascii="Calibri" w:hAnsi="Calibri"/>
      <w:b/>
      <w:color w:val="000000"/>
      <w:sz w:val="21"/>
      <w:szCs w:val="21"/>
    </w:rPr>
  </w:style>
  <w:style w:type="table" w:styleId="LightList-Accent5">
    <w:name w:val="Light List Accent 5"/>
    <w:basedOn w:val="TableNormal"/>
    <w:uiPriority w:val="61"/>
    <w:rsid w:val="00F3602E"/>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
    <w:name w:val="Style1"/>
    <w:basedOn w:val="TableNormal"/>
    <w:uiPriority w:val="99"/>
    <w:qFormat/>
    <w:rsid w:val="00F3602E"/>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
    <w:name w:val="Style2"/>
    <w:basedOn w:val="TableNormal"/>
    <w:uiPriority w:val="99"/>
    <w:qFormat/>
    <w:rsid w:val="00F3602E"/>
    <w:rPr>
      <w:rFonts w:eastAsia="Calibri"/>
      <w:lang w:val="en-GB" w:eastAsia="en-GB"/>
    </w:rPr>
    <w:tblPr>
      <w:tblInd w:w="0" w:type="dxa"/>
      <w:tblCellMar>
        <w:top w:w="0" w:type="dxa"/>
        <w:left w:w="108" w:type="dxa"/>
        <w:bottom w:w="0" w:type="dxa"/>
        <w:right w:w="108" w:type="dxa"/>
      </w:tblCellMar>
    </w:tblPr>
  </w:style>
  <w:style w:type="paragraph" w:styleId="TOC5">
    <w:name w:val="toc 5"/>
    <w:basedOn w:val="Normal"/>
    <w:next w:val="Normal"/>
    <w:autoRedefine/>
    <w:uiPriority w:val="39"/>
    <w:unhideWhenUsed/>
    <w:rsid w:val="00F3602E"/>
    <w:pPr>
      <w:spacing w:before="0"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F3602E"/>
    <w:pPr>
      <w:spacing w:before="0"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F3602E"/>
    <w:pPr>
      <w:spacing w:before="0"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F3602E"/>
    <w:pPr>
      <w:spacing w:before="0"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F3602E"/>
    <w:pPr>
      <w:spacing w:before="0" w:after="100" w:line="276" w:lineRule="auto"/>
      <w:ind w:left="1760"/>
    </w:pPr>
    <w:rPr>
      <w:rFonts w:asciiTheme="minorHAnsi" w:eastAsiaTheme="minorEastAsia" w:hAnsiTheme="minorHAnsi" w:cstheme="minorBidi"/>
      <w:sz w:val="22"/>
      <w:szCs w:val="22"/>
      <w:lang w:val="en-GB" w:eastAsia="en-GB"/>
    </w:rPr>
  </w:style>
  <w:style w:type="paragraph" w:customStyle="1" w:styleId="List3">
    <w:name w:val="List3"/>
    <w:basedOn w:val="BodyCopy"/>
    <w:rsid w:val="005771D2"/>
    <w:pPr>
      <w:keepLines/>
      <w:widowControl/>
      <w:tabs>
        <w:tab w:val="num" w:pos="284"/>
      </w:tabs>
      <w:ind w:left="284" w:hanging="284"/>
    </w:pPr>
    <w:rPr>
      <w:rFonts w:eastAsia="Times New Roman" w:cs="FoundersGrotesk-Regular"/>
      <w:lang w:eastAsia="en-US"/>
    </w:rPr>
  </w:style>
  <w:style w:type="numbering" w:customStyle="1" w:styleId="NoList1">
    <w:name w:val="No List1"/>
    <w:next w:val="NoList"/>
    <w:uiPriority w:val="99"/>
    <w:semiHidden/>
    <w:unhideWhenUsed/>
    <w:rsid w:val="00E57F60"/>
  </w:style>
  <w:style w:type="table" w:customStyle="1" w:styleId="TableGrid3">
    <w:name w:val="Table Grid3"/>
    <w:basedOn w:val="TableNormal"/>
    <w:next w:val="TableGrid"/>
    <w:uiPriority w:val="59"/>
    <w:rsid w:val="00E57F60"/>
    <w:tblPr>
      <w:tblInd w:w="0" w:type="dxa"/>
      <w:tblCellMar>
        <w:top w:w="0" w:type="dxa"/>
        <w:left w:w="0" w:type="dxa"/>
        <w:bottom w:w="0" w:type="dxa"/>
        <w:right w:w="0" w:type="dxa"/>
      </w:tblCellMar>
    </w:tblPr>
  </w:style>
  <w:style w:type="table" w:customStyle="1" w:styleId="TableODE1">
    <w:name w:val="Table_ODE1"/>
    <w:basedOn w:val="TableGrid"/>
    <w:semiHidden/>
    <w:rsid w:val="00E57F60"/>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Arial Black" w:hAnsi="Arial Black"/>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table" w:customStyle="1" w:styleId="ODETable1">
    <w:name w:val="ODE Table1"/>
    <w:basedOn w:val="TableNormal"/>
    <w:uiPriority w:val="99"/>
    <w:rsid w:val="00E57F60"/>
    <w:rPr>
      <w:rFonts w:ascii="Courier" w:hAnsi="Courier"/>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57" w:type="dxa"/>
        <w:bottom w:w="113" w:type="dxa"/>
        <w:right w:w="57" w:type="dxa"/>
      </w:tblCellMar>
    </w:tblPr>
    <w:tcPr>
      <w:shd w:val="clear" w:color="auto" w:fill="EEEFEE"/>
    </w:tcPr>
    <w:tblStylePr w:type="firstRow">
      <w:tblPr/>
      <w:tcPr>
        <w:shd w:val="clear" w:color="auto" w:fill="92C3CA"/>
      </w:tcPr>
    </w:tblStylePr>
  </w:style>
  <w:style w:type="table" w:customStyle="1" w:styleId="TableGrid11">
    <w:name w:val="Table Grid11"/>
    <w:basedOn w:val="TableNormal"/>
    <w:next w:val="TableGrid"/>
    <w:uiPriority w:val="59"/>
    <w:rsid w:val="00E57F60"/>
    <w:tblPr>
      <w:tblInd w:w="0" w:type="dxa"/>
      <w:tblCellMar>
        <w:top w:w="0" w:type="dxa"/>
        <w:left w:w="0" w:type="dxa"/>
        <w:bottom w:w="0" w:type="dxa"/>
        <w:right w:w="0" w:type="dxa"/>
      </w:tblCellMar>
    </w:tblPr>
  </w:style>
  <w:style w:type="numbering" w:customStyle="1" w:styleId="JSH1">
    <w:name w:val="JSH1"/>
    <w:uiPriority w:val="99"/>
    <w:rsid w:val="00E57F60"/>
  </w:style>
  <w:style w:type="table" w:customStyle="1" w:styleId="LightList2">
    <w:name w:val="Light List2"/>
    <w:basedOn w:val="TableNormal"/>
    <w:next w:val="LightList"/>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uiPriority w:val="63"/>
    <w:rsid w:val="00E57F60"/>
    <w:rPr>
      <w:rFonts w:ascii="Courier" w:hAnsi="Courier"/>
    </w:rPr>
    <w:tblPr>
      <w:tblStyleRowBandSize w:val="1"/>
      <w:tblStyleColBandSize w:val="1"/>
      <w:tblInd w:w="0" w:type="dxa"/>
      <w:tblBorders>
        <w:top w:val="single" w:sz="8" w:space="0" w:color="E4E6E6"/>
        <w:left w:val="single" w:sz="8" w:space="0" w:color="E4E6E6"/>
        <w:bottom w:val="single" w:sz="8" w:space="0" w:color="E4E6E6"/>
        <w:right w:val="single" w:sz="8" w:space="0" w:color="E4E6E6"/>
        <w:insideH w:val="single" w:sz="8" w:space="0" w:color="E4E6E6"/>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4E6E6"/>
          <w:left w:val="single" w:sz="8" w:space="0" w:color="E4E6E6"/>
          <w:bottom w:val="single" w:sz="8" w:space="0" w:color="E4E6E6"/>
          <w:right w:val="single" w:sz="8" w:space="0" w:color="E4E6E6"/>
          <w:insideH w:val="nil"/>
          <w:insideV w:val="nil"/>
        </w:tcBorders>
        <w:shd w:val="clear" w:color="auto" w:fill="DCDEDE"/>
      </w:tcPr>
    </w:tblStylePr>
    <w:tblStylePr w:type="lastRow">
      <w:pPr>
        <w:spacing w:before="0" w:after="0" w:line="240" w:lineRule="auto"/>
      </w:pPr>
      <w:rPr>
        <w:b/>
        <w:bCs/>
      </w:rPr>
      <w:tblPr/>
      <w:tcPr>
        <w:tcBorders>
          <w:top w:val="double" w:sz="6" w:space="0" w:color="E4E6E6"/>
          <w:left w:val="single" w:sz="8" w:space="0" w:color="E4E6E6"/>
          <w:bottom w:val="single" w:sz="8" w:space="0" w:color="E4E6E6"/>
          <w:right w:val="single" w:sz="8" w:space="0" w:color="E4E6E6"/>
          <w:insideH w:val="nil"/>
          <w:insideV w:val="nil"/>
        </w:tcBorders>
      </w:tcPr>
    </w:tblStylePr>
    <w:tblStylePr w:type="firstCol">
      <w:rPr>
        <w:b/>
        <w:bCs/>
      </w:rPr>
    </w:tblStylePr>
    <w:tblStylePr w:type="lastCol">
      <w:rPr>
        <w:b/>
        <w:bCs/>
      </w:rPr>
    </w:tblStylePr>
    <w:tblStylePr w:type="band1Vert">
      <w:tblPr/>
      <w:tcPr>
        <w:shd w:val="clear" w:color="auto" w:fill="F6F6F6"/>
      </w:tcPr>
    </w:tblStylePr>
    <w:tblStylePr w:type="band1Horz">
      <w:tblPr/>
      <w:tcPr>
        <w:tcBorders>
          <w:insideH w:val="nil"/>
          <w:insideV w:val="nil"/>
        </w:tcBorders>
        <w:shd w:val="clear" w:color="auto" w:fill="F6F6F6"/>
      </w:tcPr>
    </w:tblStylePr>
    <w:tblStylePr w:type="band2Horz">
      <w:tblPr/>
      <w:tcPr>
        <w:tcBorders>
          <w:insideH w:val="nil"/>
          <w:insideV w:val="nil"/>
        </w:tcBorders>
      </w:tcPr>
    </w:tblStylePr>
  </w:style>
  <w:style w:type="table" w:customStyle="1" w:styleId="TableGrid21">
    <w:name w:val="Table Grid21"/>
    <w:basedOn w:val="TableNormal"/>
    <w:next w:val="TableGrid"/>
    <w:rsid w:val="00E57F60"/>
    <w:rPr>
      <w:rFonts w:ascii="Cambria" w:eastAsia="Cambria" w:hAnsi="Cambria"/>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
    <w:name w:val="Light List - Accent 21"/>
    <w:basedOn w:val="TableNormal"/>
    <w:next w:val="LightList-Accent2"/>
    <w:uiPriority w:val="61"/>
    <w:rsid w:val="00E57F60"/>
    <w:rPr>
      <w:rFonts w:ascii="Courier" w:hAnsi="Courier"/>
    </w:rPr>
    <w:tblPr>
      <w:tblStyleRowBandSize w:val="1"/>
      <w:tblStyleColBandSize w:val="1"/>
      <w:tblInd w:w="0" w:type="dxa"/>
      <w:tblBorders>
        <w:top w:val="single" w:sz="8" w:space="0" w:color="92C3CA"/>
        <w:left w:val="single" w:sz="8" w:space="0" w:color="92C3CA"/>
        <w:bottom w:val="single" w:sz="8" w:space="0" w:color="92C3CA"/>
        <w:right w:val="single" w:sz="8" w:space="0" w:color="92C3C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2C3CA"/>
      </w:tcPr>
    </w:tblStylePr>
    <w:tblStylePr w:type="lastRow">
      <w:pPr>
        <w:spacing w:before="0" w:after="0" w:line="240" w:lineRule="auto"/>
      </w:pPr>
      <w:rPr>
        <w:b/>
        <w:bCs/>
      </w:rPr>
      <w:tblPr/>
      <w:tcPr>
        <w:tcBorders>
          <w:top w:val="double" w:sz="6" w:space="0" w:color="92C3CA"/>
          <w:left w:val="single" w:sz="8" w:space="0" w:color="92C3CA"/>
          <w:bottom w:val="single" w:sz="8" w:space="0" w:color="92C3CA"/>
          <w:right w:val="single" w:sz="8" w:space="0" w:color="92C3CA"/>
        </w:tcBorders>
      </w:tcPr>
    </w:tblStylePr>
    <w:tblStylePr w:type="firstCol">
      <w:rPr>
        <w:b/>
        <w:bCs/>
      </w:rPr>
    </w:tblStylePr>
    <w:tblStylePr w:type="lastCol">
      <w:rPr>
        <w:b/>
        <w:bCs/>
      </w:rPr>
    </w:tblStylePr>
    <w:tblStylePr w:type="band1Vert">
      <w:tblPr/>
      <w:tcPr>
        <w:tcBorders>
          <w:top w:val="single" w:sz="8" w:space="0" w:color="92C3CA"/>
          <w:left w:val="single" w:sz="8" w:space="0" w:color="92C3CA"/>
          <w:bottom w:val="single" w:sz="8" w:space="0" w:color="92C3CA"/>
          <w:right w:val="single" w:sz="8" w:space="0" w:color="92C3CA"/>
        </w:tcBorders>
      </w:tcPr>
    </w:tblStylePr>
    <w:tblStylePr w:type="band1Horz">
      <w:tblPr/>
      <w:tcPr>
        <w:tcBorders>
          <w:top w:val="single" w:sz="8" w:space="0" w:color="92C3CA"/>
          <w:left w:val="single" w:sz="8" w:space="0" w:color="92C3CA"/>
          <w:bottom w:val="single" w:sz="8" w:space="0" w:color="92C3CA"/>
          <w:right w:val="single" w:sz="8" w:space="0" w:color="92C3CA"/>
        </w:tcBorders>
      </w:tcPr>
    </w:tblStylePr>
  </w:style>
  <w:style w:type="table" w:customStyle="1" w:styleId="LightShading-Accent21">
    <w:name w:val="Light Shading - Accent 21"/>
    <w:basedOn w:val="TableNormal"/>
    <w:next w:val="LightShading-Accent2"/>
    <w:uiPriority w:val="60"/>
    <w:rsid w:val="00E57F60"/>
    <w:rPr>
      <w:rFonts w:ascii="Courier" w:hAnsi="Courier"/>
      <w:color w:val="57A2AD"/>
    </w:rPr>
    <w:tblPr>
      <w:tblStyleRowBandSize w:val="1"/>
      <w:tblStyleColBandSize w:val="1"/>
      <w:tblInd w:w="0" w:type="dxa"/>
      <w:tblBorders>
        <w:top w:val="single" w:sz="8" w:space="0" w:color="92C3CA"/>
        <w:bottom w:val="single" w:sz="8" w:space="0" w:color="92C3C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la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0F1"/>
      </w:tcPr>
    </w:tblStylePr>
    <w:tblStylePr w:type="band1Horz">
      <w:tblPr/>
      <w:tcPr>
        <w:tcBorders>
          <w:left w:val="nil"/>
          <w:right w:val="nil"/>
          <w:insideH w:val="nil"/>
          <w:insideV w:val="nil"/>
        </w:tcBorders>
        <w:shd w:val="clear" w:color="auto" w:fill="E3F0F1"/>
      </w:tcPr>
    </w:tblStylePr>
  </w:style>
  <w:style w:type="table" w:customStyle="1" w:styleId="LightList-Accent11">
    <w:name w:val="Light List - Accent 11"/>
    <w:basedOn w:val="TableNormal"/>
    <w:next w:val="LightList-Accent1"/>
    <w:uiPriority w:val="61"/>
    <w:rsid w:val="00E57F60"/>
    <w:rPr>
      <w:rFonts w:ascii="Cambria" w:eastAsia="Cambria" w:hAnsi="Cambria"/>
      <w:sz w:val="22"/>
      <w:szCs w:val="22"/>
      <w:lang w:val="en-GB" w:eastAsia="en-US"/>
    </w:rPr>
    <w:tblPr>
      <w:tblStyleRowBandSize w:val="1"/>
      <w:tblStyleColBandSize w:val="1"/>
      <w:tblInd w:w="0" w:type="dxa"/>
      <w:tblBorders>
        <w:top w:val="single" w:sz="8" w:space="0" w:color="0087A2"/>
        <w:left w:val="single" w:sz="8" w:space="0" w:color="0087A2"/>
        <w:bottom w:val="single" w:sz="8" w:space="0" w:color="0087A2"/>
        <w:right w:val="single" w:sz="8" w:space="0" w:color="0087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87A2"/>
      </w:tcPr>
    </w:tblStylePr>
    <w:tblStylePr w:type="lastRow">
      <w:pPr>
        <w:spacing w:before="0" w:after="0" w:line="240" w:lineRule="auto"/>
      </w:pPr>
      <w:rPr>
        <w:b/>
        <w:bCs/>
      </w:rPr>
      <w:tblPr/>
      <w:tcPr>
        <w:tcBorders>
          <w:top w:val="double" w:sz="6" w:space="0" w:color="0087A2"/>
          <w:left w:val="single" w:sz="8" w:space="0" w:color="0087A2"/>
          <w:bottom w:val="single" w:sz="8" w:space="0" w:color="0087A2"/>
          <w:right w:val="single" w:sz="8" w:space="0" w:color="0087A2"/>
        </w:tcBorders>
      </w:tcPr>
    </w:tblStylePr>
    <w:tblStylePr w:type="firstCol">
      <w:rPr>
        <w:b/>
        <w:bCs/>
      </w:rPr>
    </w:tblStylePr>
    <w:tblStylePr w:type="lastCol">
      <w:rPr>
        <w:b/>
        <w:bCs/>
      </w:rPr>
    </w:tblStylePr>
    <w:tblStylePr w:type="band1Vert">
      <w:tblPr/>
      <w:tcPr>
        <w:tcBorders>
          <w:top w:val="single" w:sz="8" w:space="0" w:color="0087A2"/>
          <w:left w:val="single" w:sz="8" w:space="0" w:color="0087A2"/>
          <w:bottom w:val="single" w:sz="8" w:space="0" w:color="0087A2"/>
          <w:right w:val="single" w:sz="8" w:space="0" w:color="0087A2"/>
        </w:tcBorders>
      </w:tcPr>
    </w:tblStylePr>
    <w:tblStylePr w:type="band1Horz">
      <w:tblPr/>
      <w:tcPr>
        <w:tcBorders>
          <w:top w:val="single" w:sz="8" w:space="0" w:color="0087A2"/>
          <w:left w:val="single" w:sz="8" w:space="0" w:color="0087A2"/>
          <w:bottom w:val="single" w:sz="8" w:space="0" w:color="0087A2"/>
          <w:right w:val="single" w:sz="8" w:space="0" w:color="0087A2"/>
        </w:tcBorders>
      </w:tcPr>
    </w:tblStylePr>
  </w:style>
  <w:style w:type="numbering" w:customStyle="1" w:styleId="Outlinebullets1">
    <w:name w:val="Outline bullets1"/>
    <w:basedOn w:val="NoList"/>
    <w:rsid w:val="00E57F60"/>
  </w:style>
  <w:style w:type="table" w:customStyle="1" w:styleId="LightList11">
    <w:name w:val="Light List11"/>
    <w:basedOn w:val="TableNormal"/>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E57F60"/>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1">
    <w:name w:val="Style11"/>
    <w:basedOn w:val="TableNormal"/>
    <w:uiPriority w:val="99"/>
    <w:qFormat/>
    <w:rsid w:val="00E57F60"/>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1">
    <w:name w:val="Style21"/>
    <w:basedOn w:val="TableNormal"/>
    <w:uiPriority w:val="99"/>
    <w:qFormat/>
    <w:rsid w:val="00E57F60"/>
    <w:rPr>
      <w:rFonts w:eastAsia="Calibri"/>
      <w:lang w:val="en-GB" w:eastAsia="en-GB"/>
    </w:rPr>
    <w:tblPr>
      <w:tblInd w:w="0" w:type="dxa"/>
      <w:tblCellMar>
        <w:top w:w="0" w:type="dxa"/>
        <w:left w:w="108" w:type="dxa"/>
        <w:bottom w:w="0" w:type="dxa"/>
        <w:right w:w="108" w:type="dxa"/>
      </w:tblCellMar>
    </w:tblPr>
  </w:style>
  <w:style w:type="paragraph" w:customStyle="1" w:styleId="QuoteSource">
    <w:name w:val="QuoteSource"/>
    <w:basedOn w:val="Quote"/>
    <w:link w:val="QuoteSourceChar"/>
    <w:qFormat/>
    <w:rsid w:val="00105BC8"/>
    <w:pPr>
      <w:spacing w:after="240"/>
      <w:jc w:val="right"/>
    </w:pPr>
    <w:rPr>
      <w:i w:val="0"/>
      <w:color w:val="000000"/>
    </w:rPr>
  </w:style>
  <w:style w:type="character" w:customStyle="1" w:styleId="QuoteSourceChar">
    <w:name w:val="QuoteSource Char"/>
    <w:basedOn w:val="QuoteChar"/>
    <w:link w:val="QuoteSource"/>
    <w:rsid w:val="00105BC8"/>
    <w:rPr>
      <w:rFonts w:ascii="Franklin Gothic Book" w:hAnsi="Franklin Gothic Book"/>
      <w:i w:val="0"/>
      <w:color w:val="000000"/>
      <w:sz w:val="21"/>
    </w:rPr>
  </w:style>
  <w:style w:type="character" w:customStyle="1" w:styleId="BoxQuoteChar">
    <w:name w:val="BoxQuote Char"/>
    <w:basedOn w:val="BoxTextChar"/>
    <w:link w:val="BoxQuote"/>
    <w:rsid w:val="00105BC8"/>
    <w:rPr>
      <w:rFonts w:ascii="Franklin Gothic Book" w:hAnsi="Franklin Gothic Book"/>
      <w:i/>
      <w:sz w:val="21"/>
      <w:shd w:val="clear" w:color="auto" w:fill="ECF1F7"/>
    </w:rPr>
  </w:style>
  <w:style w:type="character" w:customStyle="1" w:styleId="BoxTextChar">
    <w:name w:val="BoxText Char"/>
    <w:basedOn w:val="DefaultParagraphFont"/>
    <w:link w:val="BoxText"/>
    <w:rsid w:val="00105BC8"/>
    <w:rPr>
      <w:rFonts w:ascii="Franklin Gothic Book" w:hAnsi="Franklin Gothic Book"/>
      <w:sz w:val="21"/>
      <w:shd w:val="clear" w:color="auto" w:fill="ECF1F7"/>
    </w:rPr>
  </w:style>
  <w:style w:type="paragraph" w:customStyle="1" w:styleId="Foot">
    <w:name w:val="Foot"/>
    <w:basedOn w:val="FootnoteText"/>
    <w:rsid w:val="00232816"/>
  </w:style>
  <w:style w:type="character" w:customStyle="1" w:styleId="BoxHeadingChar">
    <w:name w:val="BoxHeading Char"/>
    <w:basedOn w:val="BoxTextChar"/>
    <w:link w:val="BoxHeading"/>
    <w:rsid w:val="00E44D77"/>
    <w:rPr>
      <w:rFonts w:ascii="Franklin Gothic Book" w:hAnsi="Franklin Gothic Book"/>
      <w:b/>
      <w:bCs/>
      <w:sz w:val="22"/>
      <w:shd w:val="clear" w:color="auto" w:fill="ECF1F7"/>
    </w:rPr>
  </w:style>
  <w:style w:type="paragraph" w:customStyle="1" w:styleId="BoxQuoteSource">
    <w:name w:val="BoxQuoteSource"/>
    <w:basedOn w:val="BoxText"/>
    <w:link w:val="BoxQuoteSourceChar"/>
    <w:qFormat/>
    <w:rsid w:val="00105BC8"/>
    <w:pPr>
      <w:jc w:val="right"/>
    </w:pPr>
    <w:rPr>
      <w:noProof/>
    </w:rPr>
  </w:style>
  <w:style w:type="character" w:customStyle="1" w:styleId="BoxQuoteSourceChar">
    <w:name w:val="BoxQuoteSource Char"/>
    <w:basedOn w:val="BoxTextChar"/>
    <w:link w:val="BoxQuoteSource"/>
    <w:rsid w:val="00105BC8"/>
    <w:rPr>
      <w:rFonts w:ascii="Franklin Gothic Book" w:hAnsi="Franklin Gothic Book"/>
      <w:noProof/>
      <w:sz w:val="21"/>
      <w:shd w:val="clear" w:color="auto" w:fill="ECF1F7"/>
    </w:rPr>
  </w:style>
  <w:style w:type="paragraph" w:customStyle="1" w:styleId="TableHeading21">
    <w:name w:val="TableHeading2"/>
    <w:basedOn w:val="TableHeading"/>
    <w:qFormat/>
    <w:rsid w:val="00105BC8"/>
    <w:rPr>
      <w:i/>
    </w:rPr>
  </w:style>
  <w:style w:type="character" w:customStyle="1" w:styleId="BoxBulletChar">
    <w:name w:val="BoxBullet Char"/>
    <w:basedOn w:val="BoxTextChar"/>
    <w:link w:val="BoxBullet"/>
    <w:rsid w:val="008A61AF"/>
    <w:rPr>
      <w:rFonts w:ascii="Franklin Gothic Book" w:hAnsi="Franklin Gothic Book"/>
      <w:sz w:val="21"/>
      <w:shd w:val="clear" w:color="auto" w:fill="ECF1F7"/>
    </w:rPr>
  </w:style>
  <w:style w:type="paragraph" w:customStyle="1" w:styleId="TableNumberList">
    <w:name w:val="TableNumberList"/>
    <w:basedOn w:val="Normal"/>
    <w:rsid w:val="00FF590D"/>
    <w:pPr>
      <w:numPr>
        <w:numId w:val="61"/>
      </w:numPr>
      <w:spacing w:after="40" w:line="240" w:lineRule="auto"/>
    </w:pPr>
    <w:rPr>
      <w:rFonts w:eastAsia="Calibri"/>
      <w:sz w:val="17"/>
      <w:szCs w:val="17"/>
      <w:lang w:eastAsia="en-US"/>
    </w:rPr>
  </w:style>
  <w:style w:type="paragraph" w:customStyle="1" w:styleId="TableNumberList2">
    <w:name w:val="TableNumberList2"/>
    <w:basedOn w:val="TableNumberList"/>
    <w:rsid w:val="00FF590D"/>
    <w:pPr>
      <w:numPr>
        <w:numId w:val="62"/>
      </w:numPr>
    </w:pPr>
  </w:style>
  <w:style w:type="paragraph" w:customStyle="1" w:styleId="NumberList3">
    <w:name w:val="NumberList3"/>
    <w:basedOn w:val="Normal"/>
    <w:rsid w:val="00401114"/>
    <w:pPr>
      <w:numPr>
        <w:numId w:val="63"/>
      </w:numPr>
      <w:spacing w:before="0" w:line="280" w:lineRule="exact"/>
      <w:ind w:left="851" w:hanging="284"/>
      <w:contextualSpacing/>
    </w:pPr>
    <w:rPr>
      <w:szCs w:val="24"/>
    </w:rPr>
  </w:style>
  <w:style w:type="paragraph" w:customStyle="1" w:styleId="Figureheading">
    <w:name w:val="Figure heading"/>
    <w:basedOn w:val="FigureName"/>
    <w:link w:val="FigureheadingChar"/>
    <w:rsid w:val="00AC0077"/>
  </w:style>
  <w:style w:type="paragraph" w:customStyle="1" w:styleId="BoxHeading21">
    <w:name w:val="BoxHeading2"/>
    <w:basedOn w:val="BoxHeading"/>
    <w:link w:val="BoxHeading2Char"/>
    <w:qFormat/>
    <w:rsid w:val="00105BC8"/>
    <w:rPr>
      <w:i/>
      <w:sz w:val="21"/>
    </w:rPr>
  </w:style>
  <w:style w:type="character" w:customStyle="1" w:styleId="FigureNameChar">
    <w:name w:val="FigureName Char"/>
    <w:basedOn w:val="DefaultParagraphFont"/>
    <w:link w:val="FigureName"/>
    <w:rsid w:val="00AC0077"/>
    <w:rPr>
      <w:rFonts w:ascii="Franklin Gothic Book" w:hAnsi="Franklin Gothic Book"/>
      <w:b/>
      <w:bCs/>
      <w:sz w:val="22"/>
    </w:rPr>
  </w:style>
  <w:style w:type="character" w:customStyle="1" w:styleId="FigureheadingChar">
    <w:name w:val="Figure heading Char"/>
    <w:basedOn w:val="FigureNameChar"/>
    <w:link w:val="Figureheading"/>
    <w:rsid w:val="00AC0077"/>
    <w:rPr>
      <w:rFonts w:ascii="Franklin Gothic Book" w:hAnsi="Franklin Gothic Book"/>
      <w:b/>
      <w:bCs/>
      <w:sz w:val="22"/>
    </w:rPr>
  </w:style>
  <w:style w:type="character" w:customStyle="1" w:styleId="BoxHeading2Char">
    <w:name w:val="BoxHeading2 Char"/>
    <w:basedOn w:val="BoxHeadingChar"/>
    <w:link w:val="BoxHeading21"/>
    <w:rsid w:val="00105BC8"/>
    <w:rPr>
      <w:rFonts w:ascii="Franklin Gothic Book" w:hAnsi="Franklin Gothic Book"/>
      <w:b/>
      <w:bCs/>
      <w:i/>
      <w:sz w:val="21"/>
      <w:shd w:val="clear" w:color="auto" w:fill="ECF1F7"/>
    </w:rPr>
  </w:style>
  <w:style w:type="paragraph" w:customStyle="1" w:styleId="RecommendationText">
    <w:name w:val="RecommendationText"/>
    <w:basedOn w:val="BoxText"/>
    <w:link w:val="RecommendationTextChar"/>
    <w:qFormat/>
    <w:rsid w:val="00105BC8"/>
    <w:pPr>
      <w:pBdr>
        <w:top w:val="single" w:sz="4" w:space="4" w:color="124486"/>
        <w:left w:val="none" w:sz="0" w:space="0" w:color="auto"/>
        <w:bottom w:val="single" w:sz="4" w:space="4" w:color="124486"/>
        <w:right w:val="none" w:sz="0" w:space="0" w:color="auto"/>
      </w:pBdr>
      <w:shd w:val="clear" w:color="auto" w:fill="auto"/>
    </w:pPr>
  </w:style>
  <w:style w:type="character" w:customStyle="1" w:styleId="RecommendationTextChar">
    <w:name w:val="RecommendationText Char"/>
    <w:basedOn w:val="BoxTextChar"/>
    <w:link w:val="RecommendationText"/>
    <w:rsid w:val="00105BC8"/>
    <w:rPr>
      <w:rFonts w:ascii="Franklin Gothic Book" w:hAnsi="Franklin Gothic Book"/>
      <w:sz w:val="21"/>
      <w:shd w:val="clear" w:color="auto" w:fill="ECF1F7"/>
    </w:rPr>
  </w:style>
  <w:style w:type="paragraph" w:customStyle="1" w:styleId="RecommendationSub">
    <w:name w:val="RecommendationSub"/>
    <w:basedOn w:val="RecommendationText"/>
    <w:link w:val="RecommendationSubChar"/>
    <w:qFormat/>
    <w:rsid w:val="00105BC8"/>
    <w:pPr>
      <w:ind w:left="357" w:hanging="357"/>
    </w:pPr>
  </w:style>
  <w:style w:type="character" w:customStyle="1" w:styleId="RecommendationSubChar">
    <w:name w:val="RecommendationSub Char"/>
    <w:basedOn w:val="RecommendationTextChar"/>
    <w:link w:val="RecommendationSub"/>
    <w:rsid w:val="00105BC8"/>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105BC8"/>
    <w:pPr>
      <w:spacing w:before="120"/>
    </w:pPr>
    <w:rPr>
      <w:rFonts w:ascii="Arial Bold" w:hAnsi="Arial Bold"/>
      <w:b/>
      <w:color w:val="EB0029"/>
      <w:sz w:val="24"/>
    </w:rPr>
  </w:style>
  <w:style w:type="character" w:customStyle="1" w:styleId="RecommendationNameChar">
    <w:name w:val="RecommendationName Char"/>
    <w:basedOn w:val="RecommendationTextChar"/>
    <w:link w:val="RecommendationName"/>
    <w:rsid w:val="00105BC8"/>
    <w:rPr>
      <w:rFonts w:ascii="Arial Bold" w:hAnsi="Arial Bold"/>
      <w:b/>
      <w:color w:val="EB0029"/>
      <w:sz w:val="24"/>
      <w:shd w:val="clear" w:color="auto" w:fill="ECF1F7"/>
    </w:rPr>
  </w:style>
  <w:style w:type="character" w:customStyle="1" w:styleId="footnotetextChar0">
    <w:name w:val="footnote text Char"/>
    <w:basedOn w:val="FootnoteTextChar"/>
    <w:link w:val="FootnoteText1"/>
    <w:rsid w:val="00782077"/>
    <w:rPr>
      <w:rFonts w:ascii="Franklin Gothic Book" w:hAnsi="Franklin Gothic Book"/>
      <w:sz w:val="17"/>
      <w:lang w:val="en-US"/>
    </w:rPr>
  </w:style>
  <w:style w:type="paragraph" w:customStyle="1" w:styleId="FootnoteText1">
    <w:name w:val="Footnote Text1"/>
    <w:basedOn w:val="FootnoteText"/>
    <w:link w:val="footnotetextChar0"/>
    <w:qFormat/>
    <w:rsid w:val="00782077"/>
    <w:rPr>
      <w:lang w:val="en-US"/>
    </w:rPr>
  </w:style>
  <w:style w:type="paragraph" w:customStyle="1" w:styleId="Quotetext">
    <w:name w:val="Quote text"/>
    <w:basedOn w:val="Quote"/>
    <w:link w:val="QuotetextChar"/>
    <w:qFormat/>
    <w:rsid w:val="00601396"/>
    <w:rPr>
      <w:noProof/>
    </w:rPr>
  </w:style>
  <w:style w:type="character" w:customStyle="1" w:styleId="QuotetextChar">
    <w:name w:val="Quote text Char"/>
    <w:basedOn w:val="QuoteChar"/>
    <w:link w:val="Quotetext"/>
    <w:rsid w:val="00601396"/>
    <w:rPr>
      <w:rFonts w:ascii="Franklin Gothic Book" w:hAnsi="Franklin Gothic Book"/>
      <w:i/>
      <w:noProof/>
      <w:sz w:val="21"/>
    </w:rPr>
  </w:style>
  <w:style w:type="paragraph" w:customStyle="1" w:styleId="Numberlist0">
    <w:name w:val="Number list"/>
    <w:basedOn w:val="NumberList"/>
    <w:link w:val="NumberlistChar0"/>
    <w:qFormat/>
    <w:rsid w:val="005F610E"/>
    <w:pPr>
      <w:tabs>
        <w:tab w:val="clear" w:pos="360"/>
      </w:tabs>
      <w:spacing w:before="0" w:line="280" w:lineRule="exact"/>
      <w:ind w:left="284" w:hanging="284"/>
    </w:pPr>
  </w:style>
  <w:style w:type="paragraph" w:customStyle="1" w:styleId="Boxheading0">
    <w:name w:val="Box heading"/>
    <w:basedOn w:val="BoxName"/>
    <w:link w:val="BoxheadingChar0"/>
    <w:qFormat/>
    <w:rsid w:val="00AB14E8"/>
    <w:pPr>
      <w:shd w:val="clear" w:color="auto" w:fill="007FAD"/>
      <w:spacing w:after="240"/>
      <w:ind w:left="1077" w:hanging="1077"/>
    </w:pPr>
    <w:rPr>
      <w:rFonts w:ascii="Arial" w:hAnsi="Arial"/>
    </w:rPr>
  </w:style>
  <w:style w:type="character" w:customStyle="1" w:styleId="NumberListChar">
    <w:name w:val="NumberList Char"/>
    <w:basedOn w:val="DefaultParagraphFont"/>
    <w:link w:val="NumberList"/>
    <w:rsid w:val="005F610E"/>
    <w:rPr>
      <w:rFonts w:ascii="Franklin Gothic Book" w:hAnsi="Franklin Gothic Book"/>
      <w:sz w:val="21"/>
    </w:rPr>
  </w:style>
  <w:style w:type="character" w:customStyle="1" w:styleId="NumberlistChar0">
    <w:name w:val="Number list Char"/>
    <w:basedOn w:val="NumberListChar"/>
    <w:link w:val="Numberlist0"/>
    <w:rsid w:val="005F610E"/>
    <w:rPr>
      <w:rFonts w:ascii="Franklin Gothic Book" w:hAnsi="Franklin Gothic Book"/>
      <w:sz w:val="21"/>
    </w:rPr>
  </w:style>
  <w:style w:type="character" w:customStyle="1" w:styleId="BoxheadingChar0">
    <w:name w:val="Box heading Char"/>
    <w:basedOn w:val="DefaultParagraphFont"/>
    <w:link w:val="Boxheading0"/>
    <w:rsid w:val="00AB14E8"/>
    <w:rPr>
      <w:rFonts w:ascii="Arial" w:hAnsi="Arial"/>
      <w:b/>
      <w:bCs/>
      <w:color w:val="FFFFFF" w:themeColor="background1"/>
      <w:sz w:val="24"/>
      <w:shd w:val="clear" w:color="auto" w:fill="007FAD"/>
    </w:rPr>
  </w:style>
  <w:style w:type="paragraph" w:customStyle="1" w:styleId="TableText0">
    <w:name w:val="Table Text"/>
    <w:basedOn w:val="TableText"/>
    <w:link w:val="TableTextChar"/>
    <w:qFormat/>
    <w:rsid w:val="00050A3C"/>
  </w:style>
  <w:style w:type="character" w:customStyle="1" w:styleId="TableTextChar">
    <w:name w:val="Table Text Char"/>
    <w:basedOn w:val="DefaultParagraphFont"/>
    <w:link w:val="TableText0"/>
    <w:rsid w:val="00050A3C"/>
    <w:rPr>
      <w:rFonts w:ascii="Franklin Gothic Book" w:hAnsi="Franklin Gothic Book"/>
      <w:color w:val="000000" w:themeColor="text1"/>
      <w:sz w:val="17"/>
      <w:szCs w:val="21"/>
    </w:rPr>
  </w:style>
  <w:style w:type="paragraph" w:customStyle="1" w:styleId="Style1StyleHeading111ptComplex11pt">
    <w:name w:val="Style 1. Style Heading 1 + 11 pt + (Complex) 11 pt"/>
    <w:basedOn w:val="Normal"/>
    <w:rsid w:val="00EA1C67"/>
    <w:pPr>
      <w:tabs>
        <w:tab w:val="num" w:pos="360"/>
      </w:tabs>
      <w:spacing w:before="0" w:after="0" w:line="240" w:lineRule="auto"/>
    </w:pPr>
    <w:rPr>
      <w:rFonts w:ascii="Times New Roman" w:eastAsia="SimSun" w:hAnsi="Times New Roman" w:cs="Courier"/>
      <w:sz w:val="24"/>
      <w:szCs w:val="28"/>
      <w:lang w:val="en-US"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29"/>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page number" w:uiPriority="0"/>
    <w:lsdException w:name="List Bullet" w:uiPriority="1"/>
    <w:lsdException w:name="List Number" w:uiPriority="1"/>
    <w:lsdException w:name="List Bullet 2" w:uiPriority="1"/>
    <w:lsdException w:name="List Number 2" w:uiPriority="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5BC8"/>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105BC8"/>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105BC8"/>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105BC8"/>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6357F1"/>
    <w:pPr>
      <w:keepNext/>
      <w:spacing w:before="240" w:after="120"/>
      <w:outlineLvl w:val="3"/>
    </w:pPr>
    <w:rPr>
      <w:rFonts w:ascii="Arial" w:hAnsi="Arial"/>
      <w:b/>
      <w:bCs/>
      <w:sz w:val="22"/>
      <w:szCs w:val="28"/>
    </w:rPr>
  </w:style>
  <w:style w:type="paragraph" w:styleId="Heading5">
    <w:name w:val="heading 5"/>
    <w:basedOn w:val="Normal"/>
    <w:next w:val="Normal"/>
    <w:link w:val="Heading5Char"/>
    <w:rsid w:val="006357F1"/>
    <w:pPr>
      <w:keepNext/>
      <w:spacing w:before="60" w:after="60"/>
      <w:outlineLvl w:val="4"/>
    </w:pPr>
    <w:rPr>
      <w:rFonts w:ascii="Arial" w:hAnsi="Arial"/>
      <w:bCs/>
      <w:i/>
      <w:iCs/>
      <w:sz w:val="22"/>
      <w:szCs w:val="26"/>
    </w:rPr>
  </w:style>
  <w:style w:type="paragraph" w:styleId="Heading6">
    <w:name w:val="heading 6"/>
    <w:aliases w:val="Appendix Heading 1"/>
    <w:basedOn w:val="Normal"/>
    <w:next w:val="Normal"/>
    <w:link w:val="Heading6Char"/>
    <w:uiPriority w:val="29"/>
    <w:unhideWhenUsed/>
    <w:rsid w:val="00094075"/>
    <w:pPr>
      <w:keepNext/>
      <w:keepLines/>
      <w:spacing w:before="200" w:after="0"/>
      <w:outlineLvl w:val="5"/>
    </w:pPr>
    <w:rPr>
      <w:rFonts w:eastAsiaTheme="majorEastAsia" w:cstheme="majorBidi"/>
      <w:i/>
      <w:iCs/>
      <w:color w:val="243F60" w:themeColor="accent1" w:themeShade="7F"/>
    </w:rPr>
  </w:style>
  <w:style w:type="paragraph" w:styleId="Heading7">
    <w:name w:val="heading 7"/>
    <w:aliases w:val="Appendix Heading 2"/>
    <w:next w:val="BodyText"/>
    <w:link w:val="Heading7Char"/>
    <w:uiPriority w:val="9"/>
    <w:semiHidden/>
    <w:unhideWhenUsed/>
    <w:qFormat/>
    <w:rsid w:val="00F3602E"/>
    <w:pPr>
      <w:keepNext/>
      <w:keepLines/>
      <w:spacing w:before="40" w:line="288" w:lineRule="auto"/>
      <w:outlineLvl w:val="6"/>
    </w:pPr>
    <w:rPr>
      <w:rFonts w:asciiTheme="majorHAnsi" w:eastAsiaTheme="majorEastAsia" w:hAnsiTheme="majorHAnsi" w:cstheme="majorBidi"/>
      <w:i/>
      <w:iCs/>
      <w:color w:val="243F60" w:themeColor="accent1" w:themeShade="7F"/>
      <w:sz w:val="21"/>
    </w:rPr>
  </w:style>
  <w:style w:type="paragraph" w:styleId="Heading8">
    <w:name w:val="heading 8"/>
    <w:aliases w:val="Appendix Heading 3"/>
    <w:basedOn w:val="Heading3"/>
    <w:next w:val="BodyText"/>
    <w:link w:val="Heading8Char"/>
    <w:uiPriority w:val="9"/>
    <w:semiHidden/>
    <w:unhideWhenUsed/>
    <w:qFormat/>
    <w:rsid w:val="00F3602E"/>
    <w:pPr>
      <w:keepLines/>
      <w:spacing w:before="40" w:after="0" w:line="288" w:lineRule="auto"/>
      <w:ind w:left="0" w:firstLine="0"/>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aliases w:val="Appendix Heading 4"/>
    <w:basedOn w:val="Heading4"/>
    <w:next w:val="BodyText"/>
    <w:link w:val="Heading9Char"/>
    <w:uiPriority w:val="9"/>
    <w:semiHidden/>
    <w:unhideWhenUsed/>
    <w:qFormat/>
    <w:rsid w:val="00F3602E"/>
    <w:pPr>
      <w:keepLines/>
      <w:spacing w:before="40" w:after="0"/>
      <w:outlineLvl w:val="8"/>
    </w:pPr>
    <w:rPr>
      <w:rFonts w:asciiTheme="majorHAnsi" w:eastAsiaTheme="majorEastAsia" w:hAnsiTheme="majorHAnsi" w:cstheme="majorBidi"/>
      <w:b w:val="0"/>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Date"/>
    <w:link w:val="SubtitleChar"/>
    <w:qFormat/>
    <w:rsid w:val="00105BC8"/>
    <w:pPr>
      <w:pageBreakBefore w:val="0"/>
      <w:spacing w:before="200" w:after="0" w:line="380" w:lineRule="atLeast"/>
    </w:pPr>
    <w:rPr>
      <w:sz w:val="32"/>
      <w:szCs w:val="32"/>
    </w:rPr>
  </w:style>
  <w:style w:type="paragraph" w:customStyle="1" w:styleId="PullQuote">
    <w:name w:val="PullQuote"/>
    <w:basedOn w:val="Normal"/>
    <w:next w:val="Normal"/>
    <w:rsid w:val="00195262"/>
    <w:rPr>
      <w:rFonts w:asciiTheme="minorHAnsi" w:hAnsiTheme="minorHAnsi"/>
      <w:b/>
      <w:i/>
      <w:color w:val="007C92"/>
    </w:rPr>
  </w:style>
  <w:style w:type="paragraph" w:customStyle="1" w:styleId="ReportDate">
    <w:name w:val="ReportDate"/>
    <w:basedOn w:val="Normal"/>
    <w:rsid w:val="00E07D7E"/>
    <w:pPr>
      <w:spacing w:before="960"/>
    </w:pPr>
    <w:rPr>
      <w:rFonts w:asciiTheme="minorHAnsi" w:hAnsiTheme="minorHAnsi"/>
      <w:sz w:val="28"/>
    </w:rPr>
  </w:style>
  <w:style w:type="paragraph" w:customStyle="1" w:styleId="Heading1a">
    <w:name w:val="Heading 1a"/>
    <w:basedOn w:val="Heading1"/>
    <w:next w:val="Normal"/>
    <w:rsid w:val="006357F1"/>
    <w:pPr>
      <w:outlineLvl w:val="9"/>
    </w:pPr>
  </w:style>
  <w:style w:type="paragraph" w:customStyle="1" w:styleId="Heading2a">
    <w:name w:val="Heading 2a"/>
    <w:basedOn w:val="Heading2"/>
    <w:next w:val="Normal"/>
    <w:rsid w:val="006357F1"/>
    <w:pPr>
      <w:ind w:left="0" w:firstLine="0"/>
      <w:outlineLvl w:val="9"/>
    </w:pPr>
  </w:style>
  <w:style w:type="paragraph" w:customStyle="1" w:styleId="Heading3a">
    <w:name w:val="Heading 3a"/>
    <w:basedOn w:val="Heading3"/>
    <w:next w:val="Normal"/>
    <w:rsid w:val="006357F1"/>
    <w:pPr>
      <w:ind w:left="0" w:firstLine="0"/>
      <w:outlineLvl w:val="9"/>
    </w:pPr>
  </w:style>
  <w:style w:type="paragraph" w:styleId="Header">
    <w:name w:val="header"/>
    <w:basedOn w:val="Normal"/>
    <w:link w:val="HeaderChar"/>
    <w:uiPriority w:val="99"/>
    <w:rsid w:val="00FF590D"/>
    <w:pPr>
      <w:tabs>
        <w:tab w:val="right" w:pos="9000"/>
      </w:tabs>
      <w:spacing w:after="0"/>
    </w:pPr>
    <w:rPr>
      <w:sz w:val="18"/>
    </w:rPr>
  </w:style>
  <w:style w:type="paragraph" w:styleId="Footer">
    <w:name w:val="footer"/>
    <w:basedOn w:val="Normal"/>
    <w:link w:val="FooterChar"/>
    <w:uiPriority w:val="99"/>
    <w:rsid w:val="00353FEC"/>
    <w:pPr>
      <w:tabs>
        <w:tab w:val="right" w:pos="9000"/>
      </w:tabs>
      <w:spacing w:after="0"/>
    </w:pPr>
    <w:rPr>
      <w:sz w:val="20"/>
    </w:rPr>
  </w:style>
  <w:style w:type="character" w:styleId="PageNumber">
    <w:name w:val="page number"/>
    <w:basedOn w:val="DefaultParagraphFont"/>
    <w:semiHidden/>
    <w:rsid w:val="006357F1"/>
    <w:rPr>
      <w:rFonts w:ascii="Times New Roman" w:hAnsi="Times New Roman"/>
      <w:b/>
      <w:sz w:val="20"/>
    </w:rPr>
  </w:style>
  <w:style w:type="paragraph" w:customStyle="1" w:styleId="TableText">
    <w:name w:val="TableText"/>
    <w:basedOn w:val="Normal"/>
    <w:rsid w:val="00FF590D"/>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9E3B68"/>
    <w:pPr>
      <w:keepNext w:val="0"/>
      <w:keepLines/>
      <w:spacing w:after="360"/>
      <w:ind w:left="170" w:hanging="170"/>
    </w:pPr>
    <w:rPr>
      <w:sz w:val="18"/>
      <w:szCs w:val="18"/>
    </w:rPr>
  </w:style>
  <w:style w:type="paragraph" w:customStyle="1" w:styleId="TFListNotes">
    <w:name w:val="TFListNotes"/>
    <w:basedOn w:val="TFListNotesSpace"/>
    <w:rsid w:val="00026DD6"/>
    <w:pPr>
      <w:keepNext/>
      <w:spacing w:after="0"/>
    </w:pPr>
  </w:style>
  <w:style w:type="paragraph" w:customStyle="1" w:styleId="TableName">
    <w:name w:val="TableName"/>
    <w:basedOn w:val="TableText"/>
    <w:rsid w:val="00FF590D"/>
    <w:pPr>
      <w:tabs>
        <w:tab w:val="left" w:pos="1080"/>
      </w:tabs>
      <w:spacing w:before="80" w:after="120"/>
      <w:ind w:left="1077" w:hanging="1077"/>
    </w:pPr>
    <w:rPr>
      <w:b/>
      <w:bCs/>
      <w:sz w:val="22"/>
    </w:rPr>
  </w:style>
  <w:style w:type="paragraph" w:customStyle="1" w:styleId="TableHeading">
    <w:name w:val="TableHeading"/>
    <w:basedOn w:val="TableText"/>
    <w:rsid w:val="00353FEC"/>
    <w:pPr>
      <w:spacing w:before="80" w:after="80"/>
    </w:pPr>
    <w:rPr>
      <w:rFonts w:ascii="Arial" w:hAnsi="Arial"/>
      <w:b/>
      <w:bCs/>
      <w:color w:val="FFFFFF" w:themeColor="background1"/>
      <w:sz w:val="20"/>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3A32F0"/>
    <w:pPr>
      <w:numPr>
        <w:numId w:val="2"/>
      </w:numPr>
      <w:tabs>
        <w:tab w:val="clear" w:pos="216"/>
        <w:tab w:val="num" w:pos="432"/>
      </w:tabs>
      <w:ind w:left="430" w:hanging="215"/>
    </w:pPr>
  </w:style>
  <w:style w:type="paragraph" w:styleId="Quote">
    <w:name w:val="Quote"/>
    <w:basedOn w:val="Normal"/>
    <w:link w:val="QuoteChar"/>
    <w:rsid w:val="006357F1"/>
    <w:pPr>
      <w:ind w:left="567" w:right="567"/>
    </w:pPr>
    <w:rPr>
      <w:i/>
    </w:rPr>
  </w:style>
  <w:style w:type="paragraph" w:customStyle="1" w:styleId="References">
    <w:name w:val="References"/>
    <w:basedOn w:val="Normal"/>
    <w:rsid w:val="001E259C"/>
    <w:pPr>
      <w:keepLines/>
      <w:ind w:left="284" w:hanging="284"/>
    </w:pPr>
  </w:style>
  <w:style w:type="character" w:customStyle="1" w:styleId="FooterChar">
    <w:name w:val="Footer Char"/>
    <w:basedOn w:val="DefaultParagraphFont"/>
    <w:link w:val="Footer"/>
    <w:uiPriority w:val="99"/>
    <w:rsid w:val="00353FEC"/>
    <w:rPr>
      <w:rFonts w:ascii="Franklin Gothic Book" w:hAnsi="Franklin Gothic Book"/>
    </w:rPr>
  </w:style>
  <w:style w:type="paragraph" w:styleId="FootnoteText">
    <w:name w:val="footnote text"/>
    <w:basedOn w:val="Normal"/>
    <w:link w:val="FootnoteTextChar"/>
    <w:uiPriority w:val="99"/>
    <w:rsid w:val="006357F1"/>
    <w:pPr>
      <w:spacing w:after="0"/>
      <w:ind w:left="360" w:hanging="360"/>
    </w:pPr>
    <w:rPr>
      <w:sz w:val="17"/>
    </w:rPr>
  </w:style>
  <w:style w:type="character" w:styleId="FootnoteReference">
    <w:name w:val="footnote reference"/>
    <w:basedOn w:val="DefaultParagraphFont"/>
    <w:rsid w:val="006357F1"/>
    <w:rPr>
      <w:vertAlign w:val="superscript"/>
    </w:rPr>
  </w:style>
  <w:style w:type="paragraph" w:customStyle="1" w:styleId="FigTabPara">
    <w:name w:val="FigTabPara"/>
    <w:basedOn w:val="Normal"/>
    <w:next w:val="TFIHolder"/>
    <w:rsid w:val="00BD346C"/>
    <w:pPr>
      <w:keepNext/>
      <w:ind w:left="1077"/>
    </w:pPr>
  </w:style>
  <w:style w:type="paragraph" w:customStyle="1" w:styleId="TFIHolder">
    <w:name w:val="TFIHolder"/>
    <w:basedOn w:val="TFAbbrevs"/>
    <w:rsid w:val="00932C6D"/>
    <w:rPr>
      <w:sz w:val="12"/>
    </w:rPr>
  </w:style>
  <w:style w:type="paragraph" w:customStyle="1" w:styleId="TFAbbrevs">
    <w:name w:val="TFAbbrevs"/>
    <w:basedOn w:val="TFListNotes"/>
    <w:rsid w:val="003D0620"/>
    <w:pPr>
      <w:ind w:left="0" w:firstLine="0"/>
    </w:pPr>
  </w:style>
  <w:style w:type="paragraph" w:styleId="TOC1">
    <w:name w:val="toc 1"/>
    <w:basedOn w:val="Normal"/>
    <w:next w:val="Normal"/>
    <w:autoRedefine/>
    <w:uiPriority w:val="39"/>
    <w:rsid w:val="00261C6D"/>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261C6D"/>
    <w:pPr>
      <w:tabs>
        <w:tab w:val="left" w:pos="1440"/>
        <w:tab w:val="right" w:leader="dot" w:pos="9016"/>
      </w:tabs>
      <w:spacing w:before="120" w:after="120" w:line="240" w:lineRule="auto"/>
      <w:ind w:left="1440" w:right="720" w:hanging="720"/>
    </w:pPr>
    <w:rPr>
      <w:rFonts w:ascii="Arial" w:hAnsi="Arial"/>
      <w:sz w:val="24"/>
    </w:rPr>
  </w:style>
  <w:style w:type="paragraph" w:styleId="TOC3">
    <w:name w:val="toc 3"/>
    <w:basedOn w:val="Normal"/>
    <w:next w:val="Normal"/>
    <w:autoRedefine/>
    <w:uiPriority w:val="39"/>
    <w:rsid w:val="00EB4AC2"/>
    <w:pPr>
      <w:tabs>
        <w:tab w:val="left" w:pos="2160"/>
        <w:tab w:val="right" w:leader="dot" w:pos="9016"/>
      </w:tabs>
      <w:spacing w:after="20"/>
      <w:ind w:left="2160" w:right="720" w:hanging="720"/>
    </w:pPr>
    <w:rPr>
      <w:rFonts w:asciiTheme="minorHAnsi" w:hAnsiTheme="minorHAnsi"/>
      <w:color w:val="007C92"/>
    </w:rPr>
  </w:style>
  <w:style w:type="paragraph" w:styleId="TableofFigures">
    <w:name w:val="table of figures"/>
    <w:basedOn w:val="Normal"/>
    <w:next w:val="Normal"/>
    <w:uiPriority w:val="99"/>
    <w:rsid w:val="00C90C19"/>
    <w:pPr>
      <w:tabs>
        <w:tab w:val="left" w:pos="1080"/>
        <w:tab w:val="right" w:leader="dot" w:pos="9000"/>
      </w:tabs>
      <w:ind w:left="1080" w:right="720" w:hangingChars="450" w:hanging="1080"/>
    </w:pPr>
    <w:rPr>
      <w:rFonts w:asciiTheme="minorHAnsi" w:hAnsiTheme="minorHAnsi"/>
      <w:color w:val="007C92"/>
    </w:rPr>
  </w:style>
  <w:style w:type="paragraph" w:customStyle="1" w:styleId="BulletBeforeDash">
    <w:name w:val="BulletBeforeDash"/>
    <w:basedOn w:val="Normal"/>
    <w:rsid w:val="00D20FD9"/>
    <w:pPr>
      <w:numPr>
        <w:numId w:val="3"/>
      </w:numPr>
      <w:spacing w:after="0"/>
    </w:pPr>
  </w:style>
  <w:style w:type="paragraph" w:customStyle="1" w:styleId="Bullet">
    <w:name w:val="Bullet"/>
    <w:basedOn w:val="Normal"/>
    <w:qFormat/>
    <w:rsid w:val="007602B6"/>
    <w:pPr>
      <w:numPr>
        <w:numId w:val="68"/>
      </w:numPr>
      <w:spacing w:before="0" w:after="80" w:line="280" w:lineRule="exact"/>
    </w:pPr>
    <w:rPr>
      <w:lang w:val="en-US"/>
    </w:rPr>
  </w:style>
  <w:style w:type="paragraph" w:customStyle="1" w:styleId="BulletLast">
    <w:name w:val="BulletLast"/>
    <w:basedOn w:val="Bullet"/>
    <w:qFormat/>
    <w:rsid w:val="00105BC8"/>
    <w:pPr>
      <w:spacing w:after="16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105BC8"/>
    <w:pPr>
      <w:keepNext/>
      <w:spacing w:before="0" w:after="80"/>
    </w:pPr>
  </w:style>
  <w:style w:type="paragraph" w:customStyle="1" w:styleId="BoxText">
    <w:name w:val="BoxText"/>
    <w:basedOn w:val="Normal"/>
    <w:link w:val="BoxTextChar"/>
    <w:qFormat/>
    <w:rsid w:val="00105BC8"/>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E73BD4"/>
    <w:rPr>
      <w:sz w:val="18"/>
    </w:rPr>
  </w:style>
  <w:style w:type="paragraph" w:customStyle="1" w:styleId="BoxName">
    <w:name w:val="BoxName"/>
    <w:basedOn w:val="BoxText"/>
    <w:rsid w:val="009260AF"/>
    <w:pPr>
      <w:keepNext/>
      <w:shd w:val="clear" w:color="auto" w:fill="007C92"/>
      <w:spacing w:before="180"/>
      <w:ind w:left="1080" w:hanging="1080"/>
    </w:pPr>
    <w:rPr>
      <w:b/>
      <w:bCs/>
      <w:color w:val="FFFFFF" w:themeColor="background1"/>
      <w:sz w:val="24"/>
    </w:rPr>
  </w:style>
  <w:style w:type="paragraph" w:customStyle="1" w:styleId="BoxHeading">
    <w:name w:val="BoxHeading"/>
    <w:basedOn w:val="BoxText"/>
    <w:link w:val="BoxHeadingChar"/>
    <w:rsid w:val="00E44D77"/>
    <w:pPr>
      <w:keepNext/>
      <w:spacing w:before="120" w:after="60"/>
    </w:pPr>
    <w:rPr>
      <w:b/>
      <w:bCs/>
      <w:sz w:val="22"/>
    </w:rPr>
  </w:style>
  <w:style w:type="paragraph" w:customStyle="1" w:styleId="BoxBullet">
    <w:name w:val="BoxBullet"/>
    <w:basedOn w:val="BoxText"/>
    <w:link w:val="BoxBulletChar"/>
    <w:rsid w:val="008A61AF"/>
    <w:pPr>
      <w:numPr>
        <w:numId w:val="57"/>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Normal"/>
    <w:next w:val="Normal"/>
    <w:link w:val="FigureNameChar"/>
    <w:rsid w:val="009A5BC3"/>
    <w:pPr>
      <w:keepNext/>
      <w:keepLines/>
      <w:tabs>
        <w:tab w:val="left" w:pos="1080"/>
      </w:tabs>
      <w:spacing w:before="80" w:after="80"/>
      <w:ind w:left="1077" w:hanging="1077"/>
    </w:pPr>
    <w:rPr>
      <w:b/>
      <w:bCs/>
      <w:sz w:val="22"/>
    </w:r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rsid w:val="00261C6D"/>
    <w:pPr>
      <w:tabs>
        <w:tab w:val="right" w:leader="dot" w:pos="9016"/>
      </w:tabs>
      <w:spacing w:after="0"/>
      <w:ind w:left="2160" w:right="720"/>
    </w:pPr>
    <w:rPr>
      <w:noProof/>
      <w:szCs w:val="24"/>
    </w:rPr>
  </w:style>
  <w:style w:type="paragraph" w:customStyle="1" w:styleId="NumberList">
    <w:name w:val="NumberList"/>
    <w:basedOn w:val="Normal"/>
    <w:link w:val="NumberListChar"/>
    <w:rsid w:val="009A5BC3"/>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105BC8"/>
    <w:rPr>
      <w:b/>
      <w:bCs/>
    </w:rPr>
  </w:style>
  <w:style w:type="character" w:styleId="Emphasis">
    <w:name w:val="Emphasis"/>
    <w:basedOn w:val="DefaultParagraphFont"/>
    <w:uiPriority w:val="20"/>
    <w:qFormat/>
    <w:rsid w:val="00105BC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6E2F25"/>
    <w:rPr>
      <w:rFonts w:ascii="Trebuchet MS" w:hAnsi="Trebuchet MS"/>
      <w:b/>
      <w:i/>
      <w:noProof/>
      <w:color w:val="007C92"/>
      <w:sz w:val="21"/>
    </w:rPr>
  </w:style>
  <w:style w:type="table" w:styleId="TableGrid">
    <w:name w:val="Table Grid"/>
    <w:basedOn w:val="TableNormal"/>
    <w:rsid w:val="00EB025E"/>
    <w:rPr>
      <w:color w:val="FFFFFF" w:themeColor="background1"/>
    </w:rPr>
    <w:tblPr>
      <w:tblInd w:w="0" w:type="dxa"/>
      <w:tblBorders>
        <w:top w:val="single" w:sz="6" w:space="0" w:color="007C92"/>
        <w:bottom w:val="single" w:sz="6" w:space="0" w:color="007C92"/>
        <w:insideH w:val="single" w:sz="6" w:space="0" w:color="007C92"/>
      </w:tblBorders>
      <w:tblCellMar>
        <w:top w:w="85" w:type="dxa"/>
        <w:left w:w="108" w:type="dxa"/>
        <w:bottom w:w="85" w:type="dxa"/>
        <w:right w:w="108" w:type="dxa"/>
      </w:tblCellMar>
    </w:tblPr>
    <w:tcPr>
      <w:shd w:val="clear" w:color="auto" w:fill="FFFFFF" w:themeFill="background1"/>
    </w:tcPr>
    <w:tblStylePr w:type="firstRow">
      <w:tblPr/>
      <w:tcPr>
        <w:tcBorders>
          <w:top w:val="nil"/>
          <w:left w:val="nil"/>
          <w:bottom w:val="nil"/>
          <w:right w:val="nil"/>
          <w:insideH w:val="nil"/>
          <w:insideV w:val="single" w:sz="6" w:space="0" w:color="FFFFFF" w:themeColor="background1"/>
        </w:tcBorders>
        <w:shd w:val="clear" w:color="auto" w:fill="007C92"/>
      </w:tcPr>
    </w:tblStylePr>
  </w:style>
  <w:style w:type="paragraph" w:customStyle="1" w:styleId="TFIHolderSpace">
    <w:name w:val="TFIHolder+Space"/>
    <w:basedOn w:val="TFIHolder"/>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sz w:val="20"/>
      <w:szCs w:val="24"/>
    </w:rPr>
  </w:style>
  <w:style w:type="paragraph" w:customStyle="1" w:styleId="BulletChecklist">
    <w:name w:val="BulletChecklist"/>
    <w:basedOn w:val="Bullet"/>
    <w:rsid w:val="0020319C"/>
    <w:pPr>
      <w:numPr>
        <w:numId w:val="6"/>
      </w:numPr>
    </w:pPr>
    <w:rPr>
      <w:noProof/>
    </w:rPr>
  </w:style>
  <w:style w:type="paragraph" w:customStyle="1" w:styleId="ImprintText">
    <w:name w:val="ImprintText"/>
    <w:basedOn w:val="Normal"/>
    <w:rsid w:val="00D0393C"/>
    <w:pPr>
      <w:spacing w:line="240" w:lineRule="auto"/>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link w:val="CaptionChar"/>
    <w:uiPriority w:val="35"/>
    <w:unhideWhenUsed/>
    <w:rsid w:val="008B7077"/>
    <w:pPr>
      <w:spacing w:after="0"/>
    </w:pPr>
    <w:rPr>
      <w:b/>
      <w:bCs/>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E07D7E"/>
    <w:rPr>
      <w:noProof/>
      <w:color w:val="14434B"/>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Subtitle"/>
    <w:link w:val="TitleChar"/>
    <w:qFormat/>
    <w:rsid w:val="00105BC8"/>
    <w:pPr>
      <w:pageBreakBefore/>
      <w:spacing w:before="8700" w:after="1080" w:line="640" w:lineRule="atLeast"/>
      <w:ind w:left="2410" w:right="-198"/>
    </w:pPr>
    <w:rPr>
      <w:rFonts w:ascii="Helvetica" w:eastAsiaTheme="majorEastAsia" w:hAnsi="Helvetica" w:cstheme="majorBidi"/>
      <w:noProof/>
      <w:color w:val="FFFFFF"/>
      <w:kern w:val="28"/>
      <w:sz w:val="50"/>
      <w:szCs w:val="50"/>
      <w:lang w:val="en-US" w:eastAsia="en-US"/>
    </w:rPr>
  </w:style>
  <w:style w:type="character" w:customStyle="1" w:styleId="TitleChar">
    <w:name w:val="Title Char"/>
    <w:link w:val="Title"/>
    <w:rsid w:val="00105BC8"/>
    <w:rPr>
      <w:rFonts w:ascii="Helvetica" w:eastAsiaTheme="majorEastAsia" w:hAnsi="Helvetica" w:cstheme="majorBidi"/>
      <w:noProof/>
      <w:color w:val="FFFFFF"/>
      <w:kern w:val="28"/>
      <w:sz w:val="50"/>
      <w:szCs w:val="50"/>
      <w:lang w:val="en-US" w:eastAsia="en-US"/>
    </w:rPr>
  </w:style>
  <w:style w:type="character" w:customStyle="1" w:styleId="SubtitleChar">
    <w:name w:val="Subtitle Char"/>
    <w:link w:val="Subtitle"/>
    <w:rsid w:val="00105BC8"/>
    <w:rPr>
      <w:rFonts w:ascii="Helvetica" w:eastAsiaTheme="majorEastAsia" w:hAnsi="Helvetica" w:cstheme="majorBidi"/>
      <w:noProof/>
      <w:color w:val="FFFFFF"/>
      <w:kern w:val="28"/>
      <w:sz w:val="32"/>
      <w:szCs w:val="32"/>
      <w:lang w:val="en-US" w:eastAsia="en-US"/>
    </w:rPr>
  </w:style>
  <w:style w:type="paragraph" w:customStyle="1" w:styleId="SectionTitle">
    <w:name w:val="SectionTitle"/>
    <w:basedOn w:val="Normal"/>
    <w:next w:val="Normal"/>
    <w:rsid w:val="00812E83"/>
    <w:rPr>
      <w:rFonts w:asciiTheme="minorHAnsi" w:hAnsiTheme="minorHAnsi"/>
      <w:b/>
      <w:color w:val="14434B"/>
      <w:sz w:val="44"/>
    </w:rPr>
  </w:style>
  <w:style w:type="paragraph" w:customStyle="1" w:styleId="SectionSubtitle">
    <w:name w:val="SectionSubtitle"/>
    <w:basedOn w:val="Normal"/>
    <w:rsid w:val="00812E83"/>
    <w:pPr>
      <w:spacing w:after="0"/>
    </w:pPr>
    <w:rPr>
      <w:rFonts w:asciiTheme="minorHAnsi" w:hAnsiTheme="minorHAnsi"/>
      <w:color w:val="14434B"/>
      <w:sz w:val="32"/>
    </w:rPr>
  </w:style>
  <w:style w:type="paragraph" w:customStyle="1" w:styleId="QuoteNumberList">
    <w:name w:val="QuoteNumberList"/>
    <w:basedOn w:val="Quote"/>
    <w:rsid w:val="00BD346C"/>
    <w:pPr>
      <w:ind w:left="1117" w:hanging="397"/>
    </w:pPr>
    <w:rPr>
      <w:noProof/>
    </w:rPr>
  </w:style>
  <w:style w:type="paragraph" w:customStyle="1" w:styleId="QuoteBullet0">
    <w:name w:val="QuoteBullet"/>
    <w:basedOn w:val="Quote"/>
    <w:rsid w:val="00EB0D4C"/>
    <w:pPr>
      <w:numPr>
        <w:numId w:val="7"/>
      </w:numPr>
      <w:tabs>
        <w:tab w:val="left" w:pos="851"/>
      </w:tabs>
      <w:ind w:left="851" w:hanging="284"/>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4822BC"/>
    <w:rPr>
      <w:rFonts w:ascii="Times New Roman" w:hAnsi="Times New Roman"/>
      <w:b/>
      <w:noProof/>
      <w:color w:val="C0504D" w:themeColor="accent2"/>
      <w:sz w:val="24"/>
    </w:rPr>
  </w:style>
  <w:style w:type="paragraph" w:customStyle="1" w:styleId="TableNumberedList">
    <w:name w:val="TableNumberedList"/>
    <w:basedOn w:val="TableText"/>
    <w:autoRedefine/>
    <w:qFormat/>
    <w:rsid w:val="00105BC8"/>
    <w:pPr>
      <w:numPr>
        <w:numId w:val="69"/>
      </w:numPr>
    </w:pPr>
  </w:style>
  <w:style w:type="paragraph" w:customStyle="1" w:styleId="BoxHeading2">
    <w:name w:val="BoxHeading 2"/>
    <w:basedOn w:val="BoxHeading"/>
    <w:rsid w:val="005078F1"/>
    <w:rPr>
      <w:i/>
    </w:rPr>
  </w:style>
  <w:style w:type="paragraph" w:customStyle="1" w:styleId="BoxQuote">
    <w:name w:val="BoxQuote"/>
    <w:basedOn w:val="BoxText"/>
    <w:next w:val="BoxQuoteSource"/>
    <w:link w:val="BoxQuoteChar"/>
    <w:qFormat/>
    <w:rsid w:val="00105BC8"/>
    <w:pPr>
      <w:spacing w:after="0"/>
      <w:ind w:left="357" w:hanging="357"/>
    </w:pPr>
    <w:rPr>
      <w:i/>
    </w:rPr>
  </w:style>
  <w:style w:type="paragraph" w:customStyle="1" w:styleId="BoxListNumber1">
    <w:name w:val="BoxListNumber 1"/>
    <w:basedOn w:val="BoxBullet"/>
    <w:rsid w:val="003574B1"/>
    <w:pPr>
      <w:numPr>
        <w:numId w:val="10"/>
      </w:numPr>
      <w:tabs>
        <w:tab w:val="left" w:pos="567"/>
      </w:tabs>
      <w:ind w:left="284" w:hanging="284"/>
    </w:pPr>
  </w:style>
  <w:style w:type="paragraph" w:customStyle="1" w:styleId="BoxListNumber20">
    <w:name w:val="BoxListNumber 2"/>
    <w:basedOn w:val="BoxListNumber1"/>
    <w:rsid w:val="005524B2"/>
    <w:pPr>
      <w:numPr>
        <w:numId w:val="11"/>
      </w:numPr>
      <w:spacing w:after="0"/>
      <w:ind w:left="284" w:hanging="284"/>
    </w:pPr>
  </w:style>
  <w:style w:type="paragraph" w:customStyle="1" w:styleId="TableListNumber">
    <w:name w:val="TableListNumber"/>
    <w:basedOn w:val="Normal"/>
    <w:qFormat/>
    <w:rsid w:val="00105BC8"/>
    <w:pPr>
      <w:keepNext/>
      <w:numPr>
        <w:numId w:val="70"/>
      </w:numPr>
      <w:tabs>
        <w:tab w:val="left" w:pos="216"/>
      </w:tabs>
      <w:spacing w:after="40" w:line="200" w:lineRule="atLeast"/>
    </w:pPr>
    <w:rPr>
      <w:color w:val="000000" w:themeColor="text1"/>
      <w:sz w:val="17"/>
      <w:szCs w:val="21"/>
    </w:rPr>
  </w:style>
  <w:style w:type="paragraph" w:customStyle="1" w:styleId="TableListNumber2">
    <w:name w:val="TableListNumber 2"/>
    <w:basedOn w:val="TableListNumber"/>
    <w:qFormat/>
    <w:rsid w:val="00105BC8"/>
    <w:pPr>
      <w:numPr>
        <w:numId w:val="71"/>
      </w:numPr>
      <w:tabs>
        <w:tab w:val="clear" w:pos="216"/>
        <w:tab w:val="left" w:pos="284"/>
      </w:tabs>
    </w:pPr>
  </w:style>
  <w:style w:type="paragraph" w:customStyle="1" w:styleId="TableHeading2">
    <w:name w:val="TableHeading 2"/>
    <w:basedOn w:val="TableHeading"/>
    <w:rsid w:val="00A72825"/>
    <w:rPr>
      <w:b w:val="0"/>
      <w:i/>
    </w:rPr>
  </w:style>
  <w:style w:type="paragraph" w:styleId="BodyText">
    <w:name w:val="Body Text"/>
    <w:link w:val="BodyTextChar"/>
    <w:semiHidden/>
    <w:unhideWhenUsed/>
    <w:qFormat/>
    <w:rsid w:val="001E259C"/>
    <w:pPr>
      <w:spacing w:before="40" w:after="120" w:line="288" w:lineRule="auto"/>
    </w:pPr>
    <w:rPr>
      <w:rFonts w:ascii="Franklin Gothic Book" w:hAnsi="Franklin Gothic Book"/>
      <w:sz w:val="21"/>
    </w:rPr>
  </w:style>
  <w:style w:type="character" w:customStyle="1" w:styleId="BodyTextChar">
    <w:name w:val="Body Text Char"/>
    <w:basedOn w:val="DefaultParagraphFont"/>
    <w:link w:val="BodyText"/>
    <w:semiHidden/>
    <w:rsid w:val="001E259C"/>
    <w:rPr>
      <w:rFonts w:ascii="Franklin Gothic Book" w:hAnsi="Franklin Gothic Book"/>
      <w:sz w:val="21"/>
    </w:rPr>
  </w:style>
  <w:style w:type="paragraph" w:customStyle="1" w:styleId="Draftingnote">
    <w:name w:val="Drafting note"/>
    <w:basedOn w:val="Normal"/>
    <w:link w:val="DraftingnoteChar"/>
    <w:qFormat/>
    <w:rsid w:val="00105BC8"/>
    <w:rPr>
      <w:rFonts w:asciiTheme="majorHAnsi" w:hAnsiTheme="majorHAnsi"/>
      <w:b/>
      <w:color w:val="FF0000"/>
      <w:sz w:val="20"/>
      <w:u w:val="dotted"/>
    </w:rPr>
  </w:style>
  <w:style w:type="paragraph" w:customStyle="1" w:styleId="AuthorName">
    <w:name w:val="AuthorName"/>
    <w:basedOn w:val="ImprintText"/>
    <w:rsid w:val="002F5DCE"/>
    <w:pPr>
      <w:spacing w:before="960"/>
      <w:ind w:left="1134"/>
    </w:pPr>
    <w:rPr>
      <w:rFonts w:asciiTheme="minorHAnsi" w:hAnsiTheme="minorHAnsi"/>
      <w:caps/>
      <w:color w:val="14434B"/>
      <w:sz w:val="25"/>
    </w:rPr>
  </w:style>
  <w:style w:type="character" w:customStyle="1" w:styleId="DraftingnoteChar">
    <w:name w:val="Drafting note Char"/>
    <w:basedOn w:val="DefaultParagraphFont"/>
    <w:link w:val="Draftingnote"/>
    <w:rsid w:val="00105BC8"/>
    <w:rPr>
      <w:rFonts w:asciiTheme="majorHAnsi" w:hAnsiTheme="majorHAnsi"/>
      <w:b/>
      <w:color w:val="FF0000"/>
      <w:u w:val="dotted"/>
    </w:rPr>
  </w:style>
  <w:style w:type="character" w:styleId="Hyperlink">
    <w:name w:val="Hyperlink"/>
    <w:basedOn w:val="DefaultParagraphFont"/>
    <w:uiPriority w:val="99"/>
    <w:unhideWhenUsed/>
    <w:rsid w:val="002D0691"/>
    <w:rPr>
      <w:color w:val="007C92"/>
      <w:u w:val="single"/>
    </w:rPr>
  </w:style>
  <w:style w:type="character" w:styleId="CommentReference">
    <w:name w:val="annotation reference"/>
    <w:basedOn w:val="DefaultParagraphFont"/>
    <w:uiPriority w:val="99"/>
    <w:semiHidden/>
    <w:unhideWhenUsed/>
    <w:rsid w:val="00DF1B3A"/>
    <w:rPr>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basedOn w:val="DefaultParagraphFont"/>
    <w:link w:val="CommentText"/>
    <w:uiPriority w:val="99"/>
    <w:rsid w:val="00DF1B3A"/>
    <w:rPr>
      <w:rFonts w:asciiTheme="majorHAnsi" w:hAnsiTheme="majorHAnsi"/>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basedOn w:val="CommentTextChar"/>
    <w:link w:val="CommentSubject"/>
    <w:uiPriority w:val="99"/>
    <w:semiHidden/>
    <w:rsid w:val="00DF1B3A"/>
    <w:rPr>
      <w:rFonts w:asciiTheme="majorHAnsi" w:hAnsiTheme="majorHAnsi"/>
      <w:b/>
      <w:bCs/>
      <w:color w:val="000000"/>
    </w:rPr>
  </w:style>
  <w:style w:type="character" w:customStyle="1" w:styleId="Underline">
    <w:name w:val="Underline"/>
    <w:basedOn w:val="DefaultParagraphFont"/>
    <w:uiPriority w:val="1"/>
    <w:rsid w:val="00127531"/>
    <w:rPr>
      <w:noProof/>
      <w:u w:val="single"/>
    </w:rPr>
  </w:style>
  <w:style w:type="table" w:styleId="LightShading">
    <w:name w:val="Light Shading"/>
    <w:basedOn w:val="TableNormal"/>
    <w:uiPriority w:val="60"/>
    <w:rsid w:val="00FB4E1F"/>
    <w:rPr>
      <w:color w:val="000000" w:themeColor="text1" w:themeShade="BF"/>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B4E1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basedOn w:val="DefaultParagraphFont"/>
    <w:link w:val="FootnoteText"/>
    <w:uiPriority w:val="99"/>
    <w:rsid w:val="006357F1"/>
    <w:rPr>
      <w:rFonts w:ascii="Franklin Gothic Book" w:hAnsi="Franklin Gothic Book"/>
      <w:sz w:val="17"/>
    </w:rPr>
  </w:style>
  <w:style w:type="paragraph" w:customStyle="1" w:styleId="Quote-interviews">
    <w:name w:val="Quote-interviews"/>
    <w:basedOn w:val="Quote"/>
    <w:rsid w:val="00562EB0"/>
    <w:rPr>
      <w:i w:val="0"/>
      <w:noProof/>
    </w:rPr>
  </w:style>
  <w:style w:type="character" w:customStyle="1" w:styleId="Heading6Char">
    <w:name w:val="Heading 6 Char"/>
    <w:aliases w:val="Appendix Heading 1 Char"/>
    <w:basedOn w:val="DefaultParagraphFont"/>
    <w:link w:val="Heading6"/>
    <w:uiPriority w:val="29"/>
    <w:rsid w:val="00094075"/>
    <w:rPr>
      <w:rFonts w:asciiTheme="majorHAnsi" w:eastAsiaTheme="majorEastAsia" w:hAnsiTheme="majorHAnsi" w:cstheme="majorBidi"/>
      <w:i/>
      <w:iCs/>
      <w:color w:val="243F60" w:themeColor="accent1" w:themeShade="7F"/>
      <w:sz w:val="21"/>
    </w:rPr>
  </w:style>
  <w:style w:type="character" w:customStyle="1" w:styleId="Heading7Char">
    <w:name w:val="Heading 7 Char"/>
    <w:aliases w:val="Appendix Heading 2 Char"/>
    <w:basedOn w:val="DefaultParagraphFont"/>
    <w:link w:val="Heading7"/>
    <w:uiPriority w:val="9"/>
    <w:semiHidden/>
    <w:rsid w:val="00F3602E"/>
    <w:rPr>
      <w:rFonts w:asciiTheme="majorHAnsi" w:eastAsiaTheme="majorEastAsia" w:hAnsiTheme="majorHAnsi" w:cstheme="majorBidi"/>
      <w:i/>
      <w:iCs/>
      <w:color w:val="243F60" w:themeColor="accent1" w:themeShade="7F"/>
      <w:sz w:val="21"/>
    </w:rPr>
  </w:style>
  <w:style w:type="character" w:customStyle="1" w:styleId="Heading8Char">
    <w:name w:val="Heading 8 Char"/>
    <w:aliases w:val="Appendix Heading 3 Char"/>
    <w:basedOn w:val="DefaultParagraphFont"/>
    <w:link w:val="Heading8"/>
    <w:uiPriority w:val="9"/>
    <w:semiHidden/>
    <w:rsid w:val="00F3602E"/>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ppendix Heading 4 Char"/>
    <w:basedOn w:val="DefaultParagraphFont"/>
    <w:link w:val="Heading9"/>
    <w:uiPriority w:val="9"/>
    <w:semiHidden/>
    <w:rsid w:val="00F3602E"/>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9C43CF"/>
    <w:rPr>
      <w:rFonts w:ascii="Arial" w:hAnsi="Arial" w:cs="Arial"/>
      <w:bCs/>
      <w:color w:val="FFFFFF" w:themeColor="background1"/>
      <w:sz w:val="44"/>
      <w:szCs w:val="32"/>
    </w:rPr>
  </w:style>
  <w:style w:type="character" w:customStyle="1" w:styleId="Heading2Char">
    <w:name w:val="Heading 2 Char"/>
    <w:basedOn w:val="DefaultParagraphFont"/>
    <w:link w:val="Heading2"/>
    <w:rsid w:val="00F3602E"/>
    <w:rPr>
      <w:rFonts w:ascii="Arial" w:hAnsi="Arial" w:cs="Arial"/>
      <w:b/>
      <w:bCs/>
      <w:iCs/>
      <w:color w:val="124486"/>
      <w:sz w:val="28"/>
      <w:szCs w:val="28"/>
    </w:rPr>
  </w:style>
  <w:style w:type="character" w:customStyle="1" w:styleId="Heading3Char">
    <w:name w:val="Heading 3 Char"/>
    <w:basedOn w:val="DefaultParagraphFont"/>
    <w:link w:val="Heading3"/>
    <w:rsid w:val="00F3602E"/>
    <w:rPr>
      <w:rFonts w:ascii="Arial" w:hAnsi="Arial" w:cs="Arial"/>
      <w:bCs/>
      <w:color w:val="007FAD"/>
      <w:sz w:val="24"/>
      <w:szCs w:val="26"/>
    </w:rPr>
  </w:style>
  <w:style w:type="character" w:customStyle="1" w:styleId="Heading4Char">
    <w:name w:val="Heading 4 Char"/>
    <w:basedOn w:val="DefaultParagraphFont"/>
    <w:link w:val="Heading4"/>
    <w:rsid w:val="00F3602E"/>
    <w:rPr>
      <w:rFonts w:ascii="Arial" w:hAnsi="Arial"/>
      <w:b/>
      <w:bCs/>
      <w:sz w:val="22"/>
      <w:szCs w:val="28"/>
    </w:rPr>
  </w:style>
  <w:style w:type="character" w:customStyle="1" w:styleId="Heading5Char">
    <w:name w:val="Heading 5 Char"/>
    <w:basedOn w:val="DefaultParagraphFont"/>
    <w:link w:val="Heading5"/>
    <w:rsid w:val="00F3602E"/>
    <w:rPr>
      <w:rFonts w:ascii="Arial" w:hAnsi="Arial"/>
      <w:bCs/>
      <w:i/>
      <w:iCs/>
      <w:sz w:val="22"/>
      <w:szCs w:val="26"/>
    </w:rPr>
  </w:style>
  <w:style w:type="paragraph" w:customStyle="1" w:styleId="AuthorName0">
    <w:name w:val="Author Name"/>
    <w:uiPriority w:val="40"/>
    <w:rsid w:val="00F3602E"/>
    <w:pPr>
      <w:spacing w:before="120" w:line="288" w:lineRule="auto"/>
    </w:pPr>
    <w:rPr>
      <w:rFonts w:asciiTheme="majorHAnsi" w:hAnsiTheme="majorHAnsi"/>
      <w:caps/>
      <w:color w:val="F79646" w:themeColor="accent6"/>
      <w:spacing w:val="-2"/>
      <w:kern w:val="28"/>
      <w:sz w:val="25"/>
      <w:szCs w:val="25"/>
    </w:rPr>
  </w:style>
  <w:style w:type="paragraph" w:customStyle="1" w:styleId="BoxHeading1">
    <w:name w:val="Box Heading 1"/>
    <w:next w:val="BodyText"/>
    <w:uiPriority w:val="21"/>
    <w:rsid w:val="00F3602E"/>
    <w:pPr>
      <w:spacing w:after="120" w:line="288" w:lineRule="auto"/>
    </w:pPr>
    <w:rPr>
      <w:rFonts w:ascii="Arial Narrow" w:hAnsi="Arial Narrow"/>
      <w:b/>
      <w:color w:val="F79646" w:themeColor="accent6"/>
      <w:sz w:val="21"/>
      <w:szCs w:val="19"/>
    </w:rPr>
  </w:style>
  <w:style w:type="paragraph" w:customStyle="1" w:styleId="BoxHeading20">
    <w:name w:val="Box Heading 2"/>
    <w:basedOn w:val="BoxHeading1"/>
    <w:next w:val="BoxText0"/>
    <w:uiPriority w:val="21"/>
    <w:rsid w:val="00F3602E"/>
  </w:style>
  <w:style w:type="paragraph" w:customStyle="1" w:styleId="BoxText0">
    <w:name w:val="Box Text"/>
    <w:link w:val="BoxTextChar0"/>
    <w:uiPriority w:val="19"/>
    <w:rsid w:val="00F3602E"/>
    <w:pPr>
      <w:spacing w:after="57" w:line="288" w:lineRule="auto"/>
    </w:pPr>
    <w:rPr>
      <w:rFonts w:ascii="Arial" w:hAnsi="Arial"/>
      <w:color w:val="000000" w:themeColor="text1"/>
      <w:sz w:val="19"/>
      <w:szCs w:val="19"/>
    </w:rPr>
  </w:style>
  <w:style w:type="character" w:customStyle="1" w:styleId="BoxTextChar0">
    <w:name w:val="Box Text Char"/>
    <w:basedOn w:val="DefaultParagraphFont"/>
    <w:link w:val="BoxText0"/>
    <w:uiPriority w:val="19"/>
    <w:rsid w:val="00F3602E"/>
    <w:rPr>
      <w:rFonts w:ascii="Arial" w:hAnsi="Arial"/>
      <w:color w:val="000000" w:themeColor="text1"/>
      <w:sz w:val="19"/>
      <w:szCs w:val="19"/>
    </w:rPr>
  </w:style>
  <w:style w:type="paragraph" w:customStyle="1" w:styleId="BoxListBullet">
    <w:name w:val="Box List Bullet"/>
    <w:basedOn w:val="BoxText0"/>
    <w:uiPriority w:val="20"/>
    <w:rsid w:val="00F3602E"/>
    <w:pPr>
      <w:keepLines/>
      <w:numPr>
        <w:numId w:val="14"/>
      </w:numPr>
      <w:tabs>
        <w:tab w:val="clear" w:pos="284"/>
        <w:tab w:val="num" w:pos="360"/>
      </w:tabs>
      <w:ind w:left="360" w:hanging="360"/>
    </w:pPr>
  </w:style>
  <w:style w:type="paragraph" w:customStyle="1" w:styleId="BoxListBullet2">
    <w:name w:val="Box List Bullet 2"/>
    <w:basedOn w:val="BoxText0"/>
    <w:uiPriority w:val="20"/>
    <w:rsid w:val="00F3602E"/>
    <w:pPr>
      <w:numPr>
        <w:numId w:val="15"/>
      </w:numPr>
      <w:tabs>
        <w:tab w:val="clear" w:pos="567"/>
        <w:tab w:val="num" w:pos="216"/>
      </w:tabs>
      <w:ind w:left="432" w:hanging="216"/>
    </w:pPr>
    <w:rPr>
      <w:szCs w:val="18"/>
    </w:rPr>
  </w:style>
  <w:style w:type="paragraph" w:customStyle="1" w:styleId="BoxListNumber">
    <w:name w:val="Box List Number"/>
    <w:basedOn w:val="BoxText0"/>
    <w:uiPriority w:val="20"/>
    <w:rsid w:val="00F3602E"/>
    <w:pPr>
      <w:numPr>
        <w:numId w:val="16"/>
      </w:numPr>
      <w:tabs>
        <w:tab w:val="clear" w:pos="284"/>
        <w:tab w:val="num" w:pos="360"/>
      </w:tabs>
      <w:spacing w:before="60"/>
      <w:ind w:left="360" w:hanging="360"/>
    </w:pPr>
  </w:style>
  <w:style w:type="paragraph" w:customStyle="1" w:styleId="BoxListNumber2">
    <w:name w:val="Box List Number 2"/>
    <w:basedOn w:val="BoxText0"/>
    <w:uiPriority w:val="20"/>
    <w:rsid w:val="00F3602E"/>
    <w:pPr>
      <w:numPr>
        <w:numId w:val="17"/>
      </w:numPr>
      <w:tabs>
        <w:tab w:val="clear" w:pos="567"/>
        <w:tab w:val="num" w:pos="216"/>
      </w:tabs>
      <w:ind w:left="360" w:firstLine="0"/>
    </w:pPr>
  </w:style>
  <w:style w:type="paragraph" w:customStyle="1" w:styleId="BoxNoteSource">
    <w:name w:val="Box Note/Source"/>
    <w:uiPriority w:val="24"/>
    <w:semiHidden/>
    <w:rsid w:val="00F3602E"/>
    <w:pPr>
      <w:spacing w:before="120" w:after="240" w:line="288" w:lineRule="auto"/>
    </w:pPr>
    <w:rPr>
      <w:rFonts w:ascii="Arial Narrow" w:hAnsi="Arial Narrow"/>
      <w:color w:val="000000" w:themeColor="text1"/>
      <w:sz w:val="16"/>
      <w:szCs w:val="14"/>
    </w:rPr>
  </w:style>
  <w:style w:type="paragraph" w:customStyle="1" w:styleId="BoxQuote0">
    <w:name w:val="Box Quote"/>
    <w:basedOn w:val="BoxText0"/>
    <w:uiPriority w:val="22"/>
    <w:rsid w:val="00F3602E"/>
    <w:pPr>
      <w:ind w:left="284" w:right="284"/>
    </w:pPr>
    <w:rPr>
      <w:i/>
    </w:rPr>
  </w:style>
  <w:style w:type="paragraph" w:customStyle="1" w:styleId="BoxTitle">
    <w:name w:val="Box Title"/>
    <w:uiPriority w:val="99"/>
    <w:semiHidden/>
    <w:rsid w:val="00F3602E"/>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6"/>
    <w:rsid w:val="00F3602E"/>
    <w:pPr>
      <w:keepNext/>
      <w:tabs>
        <w:tab w:val="clear" w:pos="720"/>
        <w:tab w:val="clear" w:pos="9016"/>
        <w:tab w:val="right" w:leader="dot" w:pos="8505"/>
      </w:tabs>
      <w:spacing w:before="0" w:after="57"/>
      <w:ind w:left="0" w:right="0" w:firstLine="0"/>
      <w:contextualSpacing/>
    </w:pPr>
    <w:rPr>
      <w:rFonts w:asciiTheme="majorHAnsi" w:hAnsiTheme="majorHAnsi"/>
      <w:bCs w:val="0"/>
      <w:noProof w:val="0"/>
      <w:color w:val="EEECE1" w:themeColor="background2"/>
      <w:kern w:val="28"/>
      <w:szCs w:val="32"/>
    </w:rPr>
  </w:style>
  <w:style w:type="paragraph" w:customStyle="1" w:styleId="Contents">
    <w:name w:val="Contents"/>
    <w:basedOn w:val="Heading1"/>
    <w:next w:val="BodyText"/>
    <w:semiHidden/>
    <w:rsid w:val="00F3602E"/>
    <w:pPr>
      <w:spacing w:before="0" w:after="600"/>
      <w:ind w:left="0" w:firstLine="0"/>
      <w:outlineLvl w:val="9"/>
    </w:pPr>
    <w:rPr>
      <w:rFonts w:asciiTheme="majorHAnsi" w:hAnsiTheme="majorHAnsi" w:cs="Times New Roman"/>
      <w:bCs w:val="0"/>
      <w:color w:val="EEECE1" w:themeColor="background2"/>
      <w:kern w:val="28"/>
      <w:szCs w:val="44"/>
    </w:rPr>
  </w:style>
  <w:style w:type="paragraph" w:customStyle="1" w:styleId="Source">
    <w:name w:val="Source"/>
    <w:uiPriority w:val="8"/>
    <w:rsid w:val="00F3602E"/>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F3602E"/>
    <w:pPr>
      <w:spacing w:before="0" w:after="57" w:line="240" w:lineRule="auto"/>
      <w:ind w:left="0" w:firstLine="0"/>
    </w:pPr>
    <w:rPr>
      <w:rFonts w:asciiTheme="minorHAnsi" w:hAnsiTheme="minorHAnsi"/>
      <w:color w:val="000000" w:themeColor="text1"/>
      <w:sz w:val="16"/>
    </w:rPr>
  </w:style>
  <w:style w:type="character" w:customStyle="1" w:styleId="EndnoteTextChar">
    <w:name w:val="Endnote Text Char"/>
    <w:basedOn w:val="DefaultParagraphFont"/>
    <w:link w:val="EndnoteText"/>
    <w:uiPriority w:val="99"/>
    <w:semiHidden/>
    <w:rsid w:val="00F3602E"/>
    <w:rPr>
      <w:rFonts w:asciiTheme="minorHAnsi" w:hAnsiTheme="minorHAnsi"/>
      <w:color w:val="000000" w:themeColor="text1"/>
      <w:sz w:val="16"/>
    </w:rPr>
  </w:style>
  <w:style w:type="paragraph" w:styleId="Date">
    <w:name w:val="Date"/>
    <w:next w:val="BodyText"/>
    <w:link w:val="DateChar"/>
    <w:rsid w:val="00F3602E"/>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rsid w:val="00F3602E"/>
    <w:rPr>
      <w:rFonts w:asciiTheme="majorHAnsi" w:hAnsiTheme="majorHAnsi"/>
      <w:caps/>
      <w:color w:val="000000" w:themeColor="text1"/>
      <w:kern w:val="28"/>
      <w:sz w:val="25"/>
      <w:szCs w:val="25"/>
    </w:rPr>
  </w:style>
  <w:style w:type="character" w:customStyle="1" w:styleId="DraftingNote0">
    <w:name w:val="Drafting Note"/>
    <w:basedOn w:val="DefaultParagraphFont"/>
    <w:uiPriority w:val="10"/>
    <w:rsid w:val="00F3602E"/>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F3602E"/>
    <w:rPr>
      <w:color w:val="333399"/>
      <w:u w:val="none"/>
    </w:rPr>
  </w:style>
  <w:style w:type="character" w:customStyle="1" w:styleId="HeaderChar">
    <w:name w:val="Header Char"/>
    <w:basedOn w:val="DefaultParagraphFont"/>
    <w:link w:val="Header"/>
    <w:uiPriority w:val="99"/>
    <w:rsid w:val="00FF590D"/>
    <w:rPr>
      <w:rFonts w:ascii="Franklin Gothic Book" w:hAnsi="Franklin Gothic Book"/>
      <w:sz w:val="18"/>
    </w:rPr>
  </w:style>
  <w:style w:type="paragraph" w:customStyle="1" w:styleId="Heading1unnumbered">
    <w:name w:val="Heading 1 unnumbered"/>
    <w:basedOn w:val="Heading1"/>
    <w:next w:val="BodyText"/>
    <w:link w:val="Heading1unnumberedChar"/>
    <w:uiPriority w:val="2"/>
    <w:rsid w:val="00F3602E"/>
    <w:pPr>
      <w:spacing w:before="0" w:after="360"/>
      <w:ind w:left="0" w:firstLine="0"/>
    </w:pPr>
    <w:rPr>
      <w:rFonts w:asciiTheme="majorHAnsi" w:hAnsiTheme="majorHAnsi"/>
      <w:bCs w:val="0"/>
      <w:color w:val="EEECE1" w:themeColor="background2"/>
      <w:kern w:val="28"/>
      <w:szCs w:val="44"/>
    </w:rPr>
  </w:style>
  <w:style w:type="paragraph" w:customStyle="1" w:styleId="Heading2unnumbered">
    <w:name w:val="Heading 2 unnumbered"/>
    <w:basedOn w:val="Heading2"/>
    <w:next w:val="BodyText"/>
    <w:link w:val="Heading2unnumberedChar"/>
    <w:uiPriority w:val="2"/>
    <w:rsid w:val="00F3602E"/>
    <w:pPr>
      <w:spacing w:before="360" w:after="240"/>
      <w:ind w:left="0" w:firstLine="0"/>
    </w:pPr>
    <w:rPr>
      <w:rFonts w:asciiTheme="majorHAnsi" w:hAnsiTheme="majorHAnsi"/>
      <w:bCs w:val="0"/>
      <w:iCs w:val="0"/>
      <w:color w:val="1F497D" w:themeColor="text2"/>
      <w:kern w:val="28"/>
      <w:szCs w:val="32"/>
    </w:rPr>
  </w:style>
  <w:style w:type="paragraph" w:customStyle="1" w:styleId="AppendixHeading2unnumbered">
    <w:name w:val="Appendix Heading 2 unnumbered"/>
    <w:basedOn w:val="Heading7"/>
    <w:next w:val="BodyText"/>
    <w:link w:val="AppendixHeading2unnumberedChar"/>
    <w:uiPriority w:val="29"/>
    <w:rsid w:val="00F3602E"/>
  </w:style>
  <w:style w:type="paragraph" w:customStyle="1" w:styleId="Invisiblepara">
    <w:name w:val="Invisible para"/>
    <w:next w:val="BodyText"/>
    <w:semiHidden/>
    <w:rsid w:val="00F3602E"/>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F3602E"/>
    <w:pPr>
      <w:keepNext w:val="0"/>
      <w:spacing w:before="0" w:after="240"/>
    </w:pPr>
  </w:style>
  <w:style w:type="paragraph" w:styleId="ListBullet">
    <w:name w:val="List Bullet"/>
    <w:basedOn w:val="BodyText"/>
    <w:uiPriority w:val="1"/>
    <w:rsid w:val="00F3602E"/>
    <w:pPr>
      <w:numPr>
        <w:numId w:val="18"/>
      </w:numPr>
    </w:pPr>
  </w:style>
  <w:style w:type="paragraph" w:styleId="ListBullet2">
    <w:name w:val="List Bullet 2"/>
    <w:basedOn w:val="BodyText"/>
    <w:uiPriority w:val="1"/>
    <w:rsid w:val="00F3602E"/>
    <w:pPr>
      <w:numPr>
        <w:numId w:val="19"/>
      </w:numPr>
    </w:pPr>
  </w:style>
  <w:style w:type="paragraph" w:styleId="ListNumber">
    <w:name w:val="List Number"/>
    <w:basedOn w:val="BodyText"/>
    <w:uiPriority w:val="1"/>
    <w:rsid w:val="00F3602E"/>
    <w:pPr>
      <w:numPr>
        <w:numId w:val="41"/>
      </w:numPr>
    </w:pPr>
  </w:style>
  <w:style w:type="paragraph" w:styleId="ListNumber2">
    <w:name w:val="List Number 2"/>
    <w:basedOn w:val="BodyText"/>
    <w:uiPriority w:val="1"/>
    <w:rsid w:val="00F3602E"/>
    <w:pPr>
      <w:numPr>
        <w:numId w:val="20"/>
      </w:numPr>
    </w:pPr>
  </w:style>
  <w:style w:type="paragraph" w:customStyle="1" w:styleId="Note">
    <w:name w:val="Note"/>
    <w:link w:val="NoteCharChar"/>
    <w:uiPriority w:val="6"/>
    <w:rsid w:val="00F3602E"/>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F3602E"/>
    <w:rPr>
      <w:rFonts w:ascii="Arial Narrow" w:hAnsi="Arial Narrow"/>
      <w:b/>
      <w:color w:val="000000" w:themeColor="text1"/>
      <w:position w:val="4"/>
      <w:sz w:val="16"/>
      <w:szCs w:val="14"/>
    </w:rPr>
  </w:style>
  <w:style w:type="paragraph" w:customStyle="1" w:styleId="NoteNumber">
    <w:name w:val="Note Number"/>
    <w:basedOn w:val="Note"/>
    <w:next w:val="Note"/>
    <w:uiPriority w:val="6"/>
    <w:rsid w:val="00F3602E"/>
    <w:pPr>
      <w:numPr>
        <w:numId w:val="21"/>
      </w:numPr>
      <w:tabs>
        <w:tab w:val="clear" w:pos="170"/>
      </w:tabs>
    </w:pPr>
  </w:style>
  <w:style w:type="character" w:customStyle="1" w:styleId="QuoteChar">
    <w:name w:val="Quote Char"/>
    <w:basedOn w:val="DefaultParagraphFont"/>
    <w:link w:val="Quote"/>
    <w:rsid w:val="006357F1"/>
    <w:rPr>
      <w:rFonts w:ascii="Franklin Gothic Book" w:hAnsi="Franklin Gothic Book"/>
      <w:i/>
      <w:sz w:val="21"/>
    </w:rPr>
  </w:style>
  <w:style w:type="paragraph" w:customStyle="1" w:styleId="QuoteBullet">
    <w:name w:val="Quote Bullet"/>
    <w:basedOn w:val="Quote"/>
    <w:uiPriority w:val="7"/>
    <w:rsid w:val="00F3602E"/>
    <w:pPr>
      <w:numPr>
        <w:numId w:val="22"/>
      </w:numPr>
      <w:tabs>
        <w:tab w:val="clear" w:pos="851"/>
      </w:tabs>
      <w:ind w:left="567" w:firstLine="0"/>
    </w:pPr>
  </w:style>
  <w:style w:type="paragraph" w:customStyle="1" w:styleId="Reference">
    <w:name w:val="Reference"/>
    <w:uiPriority w:val="9"/>
    <w:rsid w:val="00F3602E"/>
    <w:pPr>
      <w:keepLines/>
      <w:spacing w:before="57" w:after="142" w:line="288" w:lineRule="auto"/>
      <w:ind w:left="284" w:hanging="284"/>
    </w:pPr>
    <w:rPr>
      <w:rFonts w:asciiTheme="minorHAnsi" w:hAnsiTheme="minorHAnsi"/>
      <w:color w:val="000000" w:themeColor="text1"/>
      <w:sz w:val="21"/>
      <w:szCs w:val="18"/>
    </w:rPr>
  </w:style>
  <w:style w:type="paragraph" w:customStyle="1" w:styleId="TableDataColumnHeading">
    <w:name w:val="Table Data Column Heading"/>
    <w:uiPriority w:val="27"/>
    <w:rsid w:val="00F3602E"/>
    <w:pPr>
      <w:keepNext/>
      <w:spacing w:after="57" w:line="288" w:lineRule="auto"/>
      <w:jc w:val="right"/>
    </w:pPr>
    <w:rPr>
      <w:rFonts w:ascii="Arial Narrow" w:hAnsi="Arial Narrow"/>
      <w:b/>
      <w:color w:val="F79646" w:themeColor="accent6"/>
      <w:sz w:val="19"/>
      <w:szCs w:val="17"/>
      <w:lang w:eastAsia="en-US"/>
    </w:rPr>
  </w:style>
  <w:style w:type="paragraph" w:customStyle="1" w:styleId="TableTextEntries">
    <w:name w:val="Table Text Entries"/>
    <w:rsid w:val="00F3602E"/>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F3602E"/>
    <w:pPr>
      <w:jc w:val="right"/>
    </w:pPr>
  </w:style>
  <w:style w:type="paragraph" w:customStyle="1" w:styleId="TableHeading1">
    <w:name w:val="Table Heading 1"/>
    <w:basedOn w:val="TableTextEntries"/>
    <w:next w:val="TableTextEntries"/>
    <w:rsid w:val="00F3602E"/>
    <w:rPr>
      <w:b/>
      <w:color w:val="F79646" w:themeColor="accent6"/>
    </w:rPr>
  </w:style>
  <w:style w:type="paragraph" w:customStyle="1" w:styleId="TableHeading20">
    <w:name w:val="Table Heading 2"/>
    <w:basedOn w:val="TableHeading1"/>
    <w:next w:val="TableTextEntries"/>
    <w:rsid w:val="00F3602E"/>
  </w:style>
  <w:style w:type="paragraph" w:customStyle="1" w:styleId="TableListBullet">
    <w:name w:val="Table List Bullet"/>
    <w:basedOn w:val="TableTextEntries"/>
    <w:rsid w:val="00F3602E"/>
    <w:pPr>
      <w:numPr>
        <w:numId w:val="23"/>
      </w:numPr>
    </w:pPr>
  </w:style>
  <w:style w:type="paragraph" w:customStyle="1" w:styleId="TableListBullet2">
    <w:name w:val="Table List Bullet 2"/>
    <w:basedOn w:val="TableTextEntries"/>
    <w:uiPriority w:val="25"/>
    <w:rsid w:val="00F3602E"/>
    <w:pPr>
      <w:numPr>
        <w:numId w:val="24"/>
      </w:numPr>
    </w:pPr>
  </w:style>
  <w:style w:type="paragraph" w:customStyle="1" w:styleId="TableListNumber0">
    <w:name w:val="Table List Number"/>
    <w:basedOn w:val="TableTextEntries"/>
    <w:uiPriority w:val="25"/>
    <w:rsid w:val="00F3602E"/>
    <w:pPr>
      <w:numPr>
        <w:numId w:val="25"/>
      </w:numPr>
    </w:pPr>
  </w:style>
  <w:style w:type="paragraph" w:customStyle="1" w:styleId="TableListNumber20">
    <w:name w:val="Table List Number 2"/>
    <w:basedOn w:val="TableTextEntries"/>
    <w:uiPriority w:val="25"/>
    <w:rsid w:val="00F3602E"/>
    <w:pPr>
      <w:numPr>
        <w:numId w:val="26"/>
      </w:numPr>
    </w:pPr>
  </w:style>
  <w:style w:type="paragraph" w:customStyle="1" w:styleId="TableTextColumnHeading">
    <w:name w:val="Table Text Column Heading"/>
    <w:uiPriority w:val="27"/>
    <w:rsid w:val="00F3602E"/>
    <w:pPr>
      <w:keepNext/>
      <w:spacing w:after="57" w:line="288" w:lineRule="auto"/>
    </w:pPr>
    <w:rPr>
      <w:rFonts w:ascii="Arial Narrow" w:hAnsi="Arial Narrow"/>
      <w:b/>
      <w:color w:val="F79646" w:themeColor="accent6"/>
      <w:sz w:val="19"/>
      <w:szCs w:val="17"/>
      <w:lang w:eastAsia="en-US"/>
    </w:rPr>
  </w:style>
  <w:style w:type="table" w:customStyle="1" w:styleId="TableODE">
    <w:name w:val="Table_ODE"/>
    <w:basedOn w:val="TableGrid"/>
    <w:semiHidden/>
    <w:rsid w:val="00F3602E"/>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Arial Black" w:hAnsi="Arial Black"/>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character" w:customStyle="1" w:styleId="Heading1unnumberedChar">
    <w:name w:val="Heading 1 unnumbered Char"/>
    <w:basedOn w:val="Heading1Char"/>
    <w:link w:val="Heading1unnumbered"/>
    <w:uiPriority w:val="2"/>
    <w:rsid w:val="00F3602E"/>
    <w:rPr>
      <w:rFonts w:asciiTheme="majorHAnsi" w:hAnsiTheme="majorHAnsi" w:cs="Arial"/>
      <w:b w:val="0"/>
      <w:bCs w:val="0"/>
      <w:color w:val="EEECE1" w:themeColor="background2"/>
      <w:kern w:val="28"/>
      <w:sz w:val="44"/>
      <w:szCs w:val="44"/>
    </w:rPr>
  </w:style>
  <w:style w:type="character" w:customStyle="1" w:styleId="Heading2unnumberedChar">
    <w:name w:val="Heading 2 unnumbered Char"/>
    <w:basedOn w:val="Heading2Char"/>
    <w:link w:val="Heading2unnumbered"/>
    <w:uiPriority w:val="2"/>
    <w:rsid w:val="00F3602E"/>
    <w:rPr>
      <w:rFonts w:asciiTheme="majorHAnsi" w:hAnsiTheme="majorHAnsi" w:cs="Arial"/>
      <w:b/>
      <w:bCs w:val="0"/>
      <w:iCs w:val="0"/>
      <w:color w:val="1F497D" w:themeColor="text2"/>
      <w:kern w:val="28"/>
      <w:sz w:val="32"/>
      <w:szCs w:val="32"/>
    </w:rPr>
  </w:style>
  <w:style w:type="character" w:customStyle="1" w:styleId="AppendixHeading2unnumberedChar">
    <w:name w:val="Appendix Heading 2 unnumbered Char"/>
    <w:basedOn w:val="Heading7Char"/>
    <w:link w:val="AppendixHeading2unnumbered"/>
    <w:uiPriority w:val="29"/>
    <w:rsid w:val="00F3602E"/>
    <w:rPr>
      <w:rFonts w:asciiTheme="majorHAnsi" w:eastAsiaTheme="majorEastAsia" w:hAnsiTheme="majorHAnsi" w:cstheme="majorBidi"/>
      <w:b w:val="0"/>
      <w:i/>
      <w:iCs/>
      <w:color w:val="1F497D" w:themeColor="text2"/>
      <w:kern w:val="28"/>
      <w:sz w:val="32"/>
      <w:szCs w:val="32"/>
    </w:rPr>
  </w:style>
  <w:style w:type="paragraph" w:customStyle="1" w:styleId="InfoHead">
    <w:name w:val="Info Head"/>
    <w:basedOn w:val="BoxTitle"/>
    <w:semiHidden/>
    <w:rsid w:val="00F3602E"/>
    <w:pPr>
      <w:framePr w:hSpace="181" w:wrap="around" w:hAnchor="margin" w:yAlign="bottom"/>
      <w:suppressOverlap/>
    </w:pPr>
  </w:style>
  <w:style w:type="character" w:styleId="PlaceholderText">
    <w:name w:val="Placeholder Text"/>
    <w:basedOn w:val="DefaultParagraphFont"/>
    <w:uiPriority w:val="99"/>
    <w:semiHidden/>
    <w:rsid w:val="00F3602E"/>
    <w:rPr>
      <w:color w:val="808080"/>
    </w:rPr>
  </w:style>
  <w:style w:type="paragraph" w:styleId="NoSpacing">
    <w:name w:val="No Spacing"/>
    <w:uiPriority w:val="1"/>
    <w:rsid w:val="00F3602E"/>
    <w:rPr>
      <w:rFonts w:asciiTheme="minorHAnsi" w:hAnsiTheme="minorHAnsi"/>
      <w:color w:val="000000" w:themeColor="text1"/>
      <w:sz w:val="21"/>
      <w:szCs w:val="24"/>
    </w:rPr>
  </w:style>
  <w:style w:type="paragraph" w:customStyle="1" w:styleId="BodyText2">
    <w:name w:val="Body Text2"/>
    <w:semiHidden/>
    <w:rsid w:val="00F3602E"/>
    <w:rPr>
      <w:rFonts w:ascii="Arial" w:hAnsi="Arial"/>
      <w:szCs w:val="24"/>
      <w:lang w:eastAsia="en-US"/>
    </w:rPr>
  </w:style>
  <w:style w:type="table" w:customStyle="1" w:styleId="ODETable">
    <w:name w:val="ODE Table"/>
    <w:basedOn w:val="TableNormal"/>
    <w:uiPriority w:val="99"/>
    <w:rsid w:val="00F3602E"/>
    <w:rPr>
      <w:rFonts w:ascii="Courier" w:hAnsi="Courie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paragraph" w:styleId="ListParagraph">
    <w:name w:val="List Paragraph"/>
    <w:basedOn w:val="Normal"/>
    <w:uiPriority w:val="34"/>
    <w:qFormat/>
    <w:rsid w:val="00F3602E"/>
    <w:pPr>
      <w:spacing w:before="0" w:after="200" w:line="276" w:lineRule="auto"/>
      <w:ind w:left="720"/>
      <w:contextualSpacing/>
    </w:pPr>
    <w:rPr>
      <w:rFonts w:ascii="Calibri" w:eastAsia="Calibri" w:hAnsi="Calibri"/>
      <w:sz w:val="22"/>
      <w:szCs w:val="22"/>
      <w:lang w:eastAsia="en-US"/>
    </w:rPr>
  </w:style>
  <w:style w:type="paragraph" w:customStyle="1" w:styleId="Footnotetext0">
    <w:name w:val="Footnote : text"/>
    <w:basedOn w:val="Normal"/>
    <w:uiPriority w:val="99"/>
    <w:rsid w:val="00F3602E"/>
    <w:pPr>
      <w:widowControl w:val="0"/>
      <w:suppressAutoHyphens/>
      <w:autoSpaceDE w:val="0"/>
      <w:autoSpaceDN w:val="0"/>
      <w:adjustRightInd w:val="0"/>
      <w:spacing w:before="0" w:after="0" w:line="200" w:lineRule="atLeast"/>
      <w:ind w:left="312" w:hanging="312"/>
      <w:textAlignment w:val="center"/>
    </w:pPr>
    <w:rPr>
      <w:rFonts w:ascii="Cambria" w:eastAsiaTheme="minorHAnsi" w:hAnsi="Cambria" w:cs="MetaSerif-Book"/>
      <w:color w:val="000000" w:themeColor="text1"/>
      <w:sz w:val="16"/>
      <w:szCs w:val="16"/>
      <w:lang w:val="en-GB" w:eastAsia="en-US"/>
    </w:rPr>
  </w:style>
  <w:style w:type="paragraph" w:customStyle="1" w:styleId="Body">
    <w:name w:val="Body"/>
    <w:basedOn w:val="Normal"/>
    <w:uiPriority w:val="1"/>
    <w:rsid w:val="00F3602E"/>
    <w:pPr>
      <w:widowControl w:val="0"/>
      <w:spacing w:before="0" w:after="0" w:line="240" w:lineRule="auto"/>
    </w:pPr>
    <w:rPr>
      <w:rFonts w:ascii="Cambria" w:eastAsia="Cambria" w:hAnsi="Cambria"/>
      <w:sz w:val="20"/>
      <w:lang w:val="en-US" w:eastAsia="en-US"/>
    </w:rPr>
  </w:style>
  <w:style w:type="paragraph" w:customStyle="1" w:styleId="IODPARCBullets">
    <w:name w:val="IOD PARC Bullets"/>
    <w:basedOn w:val="Normal"/>
    <w:link w:val="IODPARCBulletsChar"/>
    <w:uiPriority w:val="1"/>
    <w:rsid w:val="00F3602E"/>
    <w:pPr>
      <w:numPr>
        <w:numId w:val="27"/>
      </w:numPr>
      <w:spacing w:before="0" w:line="240" w:lineRule="auto"/>
      <w:ind w:right="454"/>
    </w:pPr>
    <w:rPr>
      <w:rFonts w:ascii="Georgia" w:hAnsi="Georgia"/>
      <w:sz w:val="22"/>
      <w:szCs w:val="24"/>
      <w:lang w:eastAsia="ja-JP"/>
    </w:rPr>
  </w:style>
  <w:style w:type="character" w:customStyle="1" w:styleId="IODPARCBulletsChar">
    <w:name w:val="IOD PARC Bullets Char"/>
    <w:link w:val="IODPARCBullets"/>
    <w:uiPriority w:val="1"/>
    <w:rsid w:val="00F3602E"/>
    <w:rPr>
      <w:rFonts w:ascii="Georgia" w:hAnsi="Georgia"/>
      <w:sz w:val="22"/>
      <w:szCs w:val="24"/>
      <w:lang w:eastAsia="ja-JP"/>
    </w:rPr>
  </w:style>
  <w:style w:type="paragraph" w:styleId="NormalWeb">
    <w:name w:val="Normal (Web)"/>
    <w:basedOn w:val="Normal"/>
    <w:uiPriority w:val="99"/>
    <w:unhideWhenUsed/>
    <w:rsid w:val="00F3602E"/>
    <w:pPr>
      <w:spacing w:before="100" w:beforeAutospacing="1" w:after="100" w:afterAutospacing="1" w:line="240" w:lineRule="auto"/>
    </w:pPr>
    <w:rPr>
      <w:rFonts w:ascii="Times" w:eastAsia="MS Mincho" w:hAnsi="Times"/>
      <w:sz w:val="20"/>
      <w:lang w:val="en-GB" w:eastAsia="en-US"/>
    </w:rPr>
  </w:style>
  <w:style w:type="table" w:customStyle="1" w:styleId="TableGrid1">
    <w:name w:val="Table Grid1"/>
    <w:basedOn w:val="TableNormal"/>
    <w:next w:val="TableGrid"/>
    <w:uiPriority w:val="59"/>
    <w:rsid w:val="00F3602E"/>
    <w:tblPr>
      <w:tblInd w:w="0" w:type="dxa"/>
      <w:tblCellMar>
        <w:top w:w="0" w:type="dxa"/>
        <w:left w:w="0" w:type="dxa"/>
        <w:bottom w:w="0" w:type="dxa"/>
        <w:right w:w="0" w:type="dxa"/>
      </w:tblCellMar>
    </w:tblPr>
  </w:style>
  <w:style w:type="character" w:customStyle="1" w:styleId="FootnoteTextChar1">
    <w:name w:val="Footnote Text Char1"/>
    <w:aliases w:val="Footnote Text Char Char,Char Char,ft Char,single space Char,fn Char,Footnote Text Char Char Char Char Char"/>
    <w:uiPriority w:val="99"/>
    <w:rsid w:val="00F3602E"/>
    <w:rPr>
      <w:rFonts w:ascii="Cambria" w:hAnsi="Cambria"/>
      <w:sz w:val="16"/>
      <w:szCs w:val="14"/>
      <w:lang w:bidi="ar-SA"/>
    </w:rPr>
  </w:style>
  <w:style w:type="paragraph" w:customStyle="1" w:styleId="List1">
    <w:name w:val="List1"/>
    <w:basedOn w:val="Normal"/>
    <w:rsid w:val="00F3602E"/>
    <w:pPr>
      <w:numPr>
        <w:numId w:val="28"/>
      </w:numPr>
      <w:suppressAutoHyphens/>
      <w:autoSpaceDE w:val="0"/>
      <w:autoSpaceDN w:val="0"/>
      <w:adjustRightInd w:val="0"/>
      <w:spacing w:before="120" w:line="300" w:lineRule="auto"/>
      <w:jc w:val="both"/>
    </w:pPr>
    <w:rPr>
      <w:rFonts w:ascii="Cambria" w:eastAsia="MS Mincho" w:hAnsi="Cambria" w:cs="FoundersGrotesk-Regular"/>
      <w:sz w:val="22"/>
      <w:szCs w:val="21"/>
      <w:lang w:eastAsia="en-US"/>
    </w:rPr>
  </w:style>
  <w:style w:type="paragraph" w:customStyle="1" w:styleId="Boxtext1">
    <w:name w:val="Box text"/>
    <w:basedOn w:val="Normal"/>
    <w:next w:val="Normal"/>
    <w:uiPriority w:val="1"/>
    <w:rsid w:val="00F3602E"/>
    <w:pPr>
      <w:widowControl w:val="0"/>
      <w:suppressAutoHyphens/>
      <w:autoSpaceDE w:val="0"/>
      <w:autoSpaceDN w:val="0"/>
      <w:adjustRightInd w:val="0"/>
      <w:spacing w:before="0" w:after="57" w:line="260" w:lineRule="atLeast"/>
      <w:textAlignment w:val="center"/>
    </w:pPr>
    <w:rPr>
      <w:rFonts w:ascii="Calibri" w:eastAsiaTheme="minorHAnsi" w:hAnsi="Calibri" w:cs="Gotham-Book"/>
      <w:color w:val="000000" w:themeColor="text1"/>
      <w:sz w:val="22"/>
      <w:szCs w:val="18"/>
      <w:lang w:val="en-GB" w:eastAsia="en-US"/>
    </w:rPr>
  </w:style>
  <w:style w:type="paragraph" w:customStyle="1" w:styleId="Boxhead">
    <w:name w:val="Box head"/>
    <w:basedOn w:val="Normal"/>
    <w:uiPriority w:val="1"/>
    <w:rsid w:val="00F3602E"/>
    <w:pPr>
      <w:widowControl w:val="0"/>
      <w:suppressAutoHyphens/>
      <w:autoSpaceDE w:val="0"/>
      <w:autoSpaceDN w:val="0"/>
      <w:adjustRightInd w:val="0"/>
      <w:spacing w:before="0" w:after="0" w:line="220" w:lineRule="atLeast"/>
      <w:textAlignment w:val="center"/>
    </w:pPr>
    <w:rPr>
      <w:rFonts w:ascii="Calibri" w:eastAsiaTheme="minorHAnsi" w:hAnsi="Calibri" w:cs="Gotham-Bold"/>
      <w:bCs/>
      <w:color w:val="FFFFFF" w:themeColor="background1"/>
      <w:sz w:val="22"/>
      <w:szCs w:val="18"/>
      <w:lang w:val="en-GB" w:eastAsia="en-US"/>
    </w:rPr>
  </w:style>
  <w:style w:type="character" w:customStyle="1" w:styleId="Footnoteitalic">
    <w:name w:val="Footnote : italic"/>
    <w:uiPriority w:val="99"/>
    <w:rsid w:val="00F3602E"/>
  </w:style>
  <w:style w:type="paragraph" w:customStyle="1" w:styleId="Heading7unnumbered">
    <w:name w:val="Heading 7 unnumbered"/>
    <w:basedOn w:val="Heading7"/>
    <w:next w:val="BodyText"/>
    <w:rsid w:val="00F3602E"/>
    <w:rPr>
      <w:rFonts w:ascii="Calibri" w:hAnsi="Calibri"/>
      <w:color w:val="DA7D2D"/>
    </w:rPr>
  </w:style>
  <w:style w:type="paragraph" w:customStyle="1" w:styleId="footnote">
    <w:name w:val="footnote"/>
    <w:basedOn w:val="Normal"/>
    <w:uiPriority w:val="99"/>
    <w:rsid w:val="00F3602E"/>
    <w:pPr>
      <w:widowControl w:val="0"/>
      <w:suppressAutoHyphens/>
      <w:autoSpaceDE w:val="0"/>
      <w:autoSpaceDN w:val="0"/>
      <w:adjustRightInd w:val="0"/>
      <w:spacing w:before="0" w:after="0" w:line="200" w:lineRule="atLeast"/>
      <w:ind w:left="227" w:hanging="227"/>
      <w:textAlignment w:val="center"/>
    </w:pPr>
    <w:rPr>
      <w:rFonts w:ascii="MetaSerif-Book" w:hAnsi="MetaSerif-Book" w:cs="MetaSerif-Book"/>
      <w:sz w:val="16"/>
      <w:szCs w:val="16"/>
      <w:lang w:val="en-GB" w:eastAsia="en-US"/>
    </w:rPr>
  </w:style>
  <w:style w:type="numbering" w:customStyle="1" w:styleId="JSH">
    <w:name w:val="JSH"/>
    <w:uiPriority w:val="99"/>
    <w:rsid w:val="00F3602E"/>
    <w:pPr>
      <w:numPr>
        <w:numId w:val="29"/>
      </w:numPr>
    </w:pPr>
  </w:style>
  <w:style w:type="paragraph" w:customStyle="1" w:styleId="Default">
    <w:name w:val="Default"/>
    <w:rsid w:val="00F3602E"/>
    <w:pPr>
      <w:autoSpaceDE w:val="0"/>
      <w:autoSpaceDN w:val="0"/>
      <w:adjustRightInd w:val="0"/>
    </w:pPr>
    <w:rPr>
      <w:rFonts w:ascii="Helvetica Neue" w:hAnsi="Helvetica Neue" w:cs="Helvetica Neue"/>
      <w:color w:val="000000"/>
      <w:sz w:val="24"/>
      <w:szCs w:val="24"/>
    </w:rPr>
  </w:style>
  <w:style w:type="character" w:customStyle="1" w:styleId="A0">
    <w:name w:val="A0"/>
    <w:uiPriority w:val="99"/>
    <w:rsid w:val="00F3602E"/>
    <w:rPr>
      <w:rFonts w:cs="Helvetica Neue"/>
      <w:b/>
      <w:bCs/>
      <w:color w:val="000000"/>
      <w:sz w:val="50"/>
      <w:szCs w:val="50"/>
    </w:rPr>
  </w:style>
  <w:style w:type="paragraph" w:styleId="Revision">
    <w:name w:val="Revision"/>
    <w:hidden/>
    <w:uiPriority w:val="99"/>
    <w:semiHidden/>
    <w:rsid w:val="00F3602E"/>
    <w:rPr>
      <w:rFonts w:asciiTheme="minorHAnsi" w:hAnsiTheme="minorHAnsi"/>
      <w:color w:val="000000" w:themeColor="text1"/>
      <w:sz w:val="21"/>
      <w:szCs w:val="24"/>
    </w:rPr>
  </w:style>
  <w:style w:type="character" w:customStyle="1" w:styleId="apple-converted-space">
    <w:name w:val="apple-converted-space"/>
    <w:basedOn w:val="DefaultParagraphFont"/>
    <w:rsid w:val="00F3602E"/>
  </w:style>
  <w:style w:type="character" w:customStyle="1" w:styleId="highlight">
    <w:name w:val="highlight"/>
    <w:basedOn w:val="DefaultParagraphFont"/>
    <w:rsid w:val="00F3602E"/>
  </w:style>
  <w:style w:type="paragraph" w:customStyle="1" w:styleId="bodybullet">
    <w:name w:val="body : bullet"/>
    <w:basedOn w:val="Normal"/>
    <w:uiPriority w:val="99"/>
    <w:rsid w:val="00F3602E"/>
    <w:pPr>
      <w:numPr>
        <w:numId w:val="30"/>
      </w:numPr>
      <w:autoSpaceDE w:val="0"/>
      <w:autoSpaceDN w:val="0"/>
      <w:spacing w:after="140" w:line="260" w:lineRule="atLeast"/>
    </w:pPr>
    <w:rPr>
      <w:rFonts w:ascii="Times" w:eastAsiaTheme="minorHAnsi" w:hAnsi="Times"/>
      <w:sz w:val="24"/>
      <w:szCs w:val="24"/>
      <w:lang w:val="en-GB" w:eastAsia="en-US"/>
    </w:rPr>
  </w:style>
  <w:style w:type="character" w:styleId="EndnoteReference">
    <w:name w:val="endnote reference"/>
    <w:basedOn w:val="DefaultParagraphFont"/>
    <w:uiPriority w:val="99"/>
    <w:semiHidden/>
    <w:rsid w:val="00F3602E"/>
    <w:rPr>
      <w:vertAlign w:val="superscript"/>
    </w:rPr>
  </w:style>
  <w:style w:type="paragraph" w:customStyle="1" w:styleId="BodyCopy">
    <w:name w:val="Body Copy"/>
    <w:basedOn w:val="Normal"/>
    <w:uiPriority w:val="99"/>
    <w:rsid w:val="00F3602E"/>
    <w:pPr>
      <w:widowControl w:val="0"/>
      <w:suppressAutoHyphens/>
      <w:autoSpaceDE w:val="0"/>
      <w:autoSpaceDN w:val="0"/>
      <w:adjustRightInd w:val="0"/>
      <w:spacing w:before="57" w:after="142"/>
      <w:textAlignment w:val="center"/>
    </w:pPr>
    <w:rPr>
      <w:rFonts w:ascii="Cambria" w:eastAsia="MS Mincho" w:hAnsi="Cambria" w:cs="Cambria"/>
      <w:szCs w:val="21"/>
      <w:lang w:val="en-GB" w:eastAsia="ja-JP"/>
    </w:rPr>
  </w:style>
  <w:style w:type="paragraph" w:customStyle="1" w:styleId="IODPARCHeadingLevel3">
    <w:name w:val="IOD PARC Heading Level 3"/>
    <w:basedOn w:val="Normal"/>
    <w:link w:val="IODPARCHeadingLevel3Char"/>
    <w:rsid w:val="00F3602E"/>
    <w:pPr>
      <w:spacing w:before="120" w:line="240" w:lineRule="auto"/>
    </w:pPr>
    <w:rPr>
      <w:rFonts w:ascii="Georgia" w:hAnsi="Georgia" w:cs="Arial"/>
      <w:bCs/>
      <w:i/>
      <w:color w:val="333333"/>
      <w:sz w:val="24"/>
      <w:lang w:val="en-GB" w:eastAsia="en-GB"/>
    </w:rPr>
  </w:style>
  <w:style w:type="character" w:customStyle="1" w:styleId="IODPARCHeadingLevel3Char">
    <w:name w:val="IOD PARC Heading Level 3 Char"/>
    <w:basedOn w:val="DefaultParagraphFont"/>
    <w:link w:val="IODPARCHeadingLevel3"/>
    <w:rsid w:val="00F3602E"/>
    <w:rPr>
      <w:rFonts w:ascii="Georgia" w:hAnsi="Georgia" w:cs="Arial"/>
      <w:bCs/>
      <w:i/>
      <w:color w:val="333333"/>
      <w:sz w:val="24"/>
      <w:lang w:val="en-GB" w:eastAsia="en-GB"/>
    </w:rPr>
  </w:style>
  <w:style w:type="character" w:customStyle="1" w:styleId="NoteCharChar">
    <w:name w:val="Note Char Char"/>
    <w:link w:val="Note"/>
    <w:rsid w:val="00F3602E"/>
    <w:rPr>
      <w:rFonts w:ascii="Arial Narrow" w:hAnsi="Arial Narrow"/>
      <w:color w:val="000000" w:themeColor="text1"/>
      <w:sz w:val="16"/>
      <w:szCs w:val="16"/>
      <w:lang w:eastAsia="en-US"/>
    </w:rPr>
  </w:style>
  <w:style w:type="paragraph" w:styleId="TOCHeading">
    <w:name w:val="TOC Heading"/>
    <w:basedOn w:val="Heading1"/>
    <w:next w:val="Normal"/>
    <w:uiPriority w:val="39"/>
    <w:semiHidden/>
    <w:unhideWhenUsed/>
    <w:qFormat/>
    <w:rsid w:val="00F3602E"/>
    <w:pPr>
      <w:keepLines/>
      <w:pageBreakBefore w:val="0"/>
      <w:spacing w:before="240" w:after="0" w:line="288" w:lineRule="auto"/>
      <w:ind w:left="0" w:firstLine="0"/>
      <w:outlineLvl w:val="9"/>
    </w:pPr>
    <w:rPr>
      <w:rFonts w:asciiTheme="majorHAnsi" w:eastAsiaTheme="majorEastAsia" w:hAnsiTheme="majorHAnsi" w:cstheme="majorBidi"/>
      <w:bCs w:val="0"/>
      <w:color w:val="365F91" w:themeColor="accent1" w:themeShade="BF"/>
      <w:sz w:val="32"/>
    </w:rPr>
  </w:style>
  <w:style w:type="paragraph" w:customStyle="1" w:styleId="Level1">
    <w:name w:val="Level 1."/>
    <w:basedOn w:val="Normal"/>
    <w:rsid w:val="00F3602E"/>
    <w:pPr>
      <w:numPr>
        <w:numId w:val="31"/>
      </w:numPr>
      <w:spacing w:before="240" w:after="0" w:line="240" w:lineRule="auto"/>
    </w:pPr>
    <w:rPr>
      <w:rFonts w:ascii="Times New Roman" w:hAnsi="Times New Roman"/>
      <w:sz w:val="24"/>
      <w:szCs w:val="22"/>
      <w:lang w:eastAsia="en-US"/>
    </w:rPr>
  </w:style>
  <w:style w:type="paragraph" w:customStyle="1" w:styleId="Level11">
    <w:name w:val="Level 1.1"/>
    <w:basedOn w:val="Normal"/>
    <w:rsid w:val="00F3602E"/>
    <w:pPr>
      <w:numPr>
        <w:ilvl w:val="1"/>
        <w:numId w:val="31"/>
      </w:numPr>
      <w:spacing w:before="240" w:after="0" w:line="240" w:lineRule="auto"/>
    </w:pPr>
    <w:rPr>
      <w:rFonts w:ascii="Times New Roman" w:hAnsi="Times New Roman"/>
      <w:sz w:val="24"/>
      <w:szCs w:val="22"/>
      <w:lang w:eastAsia="en-US"/>
    </w:rPr>
  </w:style>
  <w:style w:type="paragraph" w:customStyle="1" w:styleId="Levela">
    <w:name w:val="Level (a)"/>
    <w:basedOn w:val="Normal"/>
    <w:rsid w:val="00F3602E"/>
    <w:pPr>
      <w:numPr>
        <w:ilvl w:val="2"/>
        <w:numId w:val="31"/>
      </w:numPr>
      <w:spacing w:before="240" w:after="0" w:line="240" w:lineRule="auto"/>
    </w:pPr>
    <w:rPr>
      <w:rFonts w:ascii="Times New Roman" w:hAnsi="Times New Roman"/>
      <w:sz w:val="24"/>
      <w:szCs w:val="22"/>
      <w:lang w:eastAsia="en-US"/>
    </w:rPr>
  </w:style>
  <w:style w:type="paragraph" w:customStyle="1" w:styleId="Leveli">
    <w:name w:val="Level (i)"/>
    <w:basedOn w:val="Normal"/>
    <w:rsid w:val="00F3602E"/>
    <w:pPr>
      <w:numPr>
        <w:ilvl w:val="3"/>
        <w:numId w:val="31"/>
      </w:numPr>
      <w:spacing w:before="240" w:after="0" w:line="240" w:lineRule="auto"/>
    </w:pPr>
    <w:rPr>
      <w:rFonts w:ascii="Times New Roman" w:hAnsi="Times New Roman"/>
      <w:sz w:val="24"/>
      <w:szCs w:val="22"/>
      <w:lang w:eastAsia="en-US"/>
    </w:rPr>
  </w:style>
  <w:style w:type="paragraph" w:styleId="PlainText">
    <w:name w:val="Plain Text"/>
    <w:basedOn w:val="Normal"/>
    <w:link w:val="PlainTextChar"/>
    <w:uiPriority w:val="99"/>
    <w:rsid w:val="00F3602E"/>
    <w:pPr>
      <w:numPr>
        <w:ilvl w:val="4"/>
        <w:numId w:val="31"/>
      </w:numPr>
      <w:spacing w:before="240" w:after="0" w:line="240" w:lineRule="auto"/>
    </w:pPr>
    <w:rPr>
      <w:rFonts w:ascii="Courier New" w:hAnsi="Courier New" w:cs="Courier New"/>
      <w:sz w:val="20"/>
      <w:lang w:eastAsia="en-US"/>
    </w:rPr>
  </w:style>
  <w:style w:type="character" w:customStyle="1" w:styleId="PlainTextChar">
    <w:name w:val="Plain Text Char"/>
    <w:basedOn w:val="DefaultParagraphFont"/>
    <w:link w:val="PlainText"/>
    <w:uiPriority w:val="99"/>
    <w:rsid w:val="00F3602E"/>
    <w:rPr>
      <w:rFonts w:ascii="Courier New" w:hAnsi="Courier New" w:cs="Courier New"/>
      <w:lang w:eastAsia="en-US"/>
    </w:rPr>
  </w:style>
  <w:style w:type="paragraph" w:customStyle="1" w:styleId="LevelA0">
    <w:name w:val="Level(A)"/>
    <w:basedOn w:val="Normal"/>
    <w:rsid w:val="00F3602E"/>
    <w:pPr>
      <w:numPr>
        <w:ilvl w:val="5"/>
        <w:numId w:val="31"/>
      </w:numPr>
      <w:spacing w:before="240" w:after="0" w:line="240" w:lineRule="auto"/>
    </w:pPr>
    <w:rPr>
      <w:rFonts w:ascii="Times New Roman" w:hAnsi="Times New Roman"/>
      <w:sz w:val="24"/>
      <w:szCs w:val="22"/>
      <w:lang w:eastAsia="en-US"/>
    </w:rPr>
  </w:style>
  <w:style w:type="paragraph" w:customStyle="1" w:styleId="Itadbodycopy">
    <w:name w:val="Itad body copy"/>
    <w:basedOn w:val="Normal"/>
    <w:link w:val="ItadbodycopyChar"/>
    <w:rsid w:val="00F3602E"/>
    <w:pPr>
      <w:spacing w:before="0" w:line="240" w:lineRule="auto"/>
    </w:pPr>
    <w:rPr>
      <w:rFonts w:ascii="Calibri" w:eastAsia="Calibri" w:hAnsi="Calibri"/>
      <w:sz w:val="22"/>
      <w:lang w:val="en-GB" w:eastAsia="en-US"/>
    </w:rPr>
  </w:style>
  <w:style w:type="paragraph" w:customStyle="1" w:styleId="Itadheading1">
    <w:name w:val="Itad heading 1"/>
    <w:basedOn w:val="Heading1"/>
    <w:link w:val="Itadheading1Char"/>
    <w:rsid w:val="00F3602E"/>
    <w:pPr>
      <w:keepLines/>
      <w:pageBreakBefore w:val="0"/>
      <w:numPr>
        <w:numId w:val="33"/>
      </w:numPr>
      <w:spacing w:before="0" w:after="240" w:line="240" w:lineRule="auto"/>
    </w:pPr>
    <w:rPr>
      <w:rFonts w:ascii="Calibri" w:hAnsi="Calibri" w:cs="Times New Roman"/>
      <w:color w:val="73B632"/>
      <w:sz w:val="32"/>
      <w:lang w:val="en-GB" w:eastAsia="en-GB"/>
    </w:rPr>
  </w:style>
  <w:style w:type="character" w:customStyle="1" w:styleId="Itadheading1Char">
    <w:name w:val="Itad heading 1 Char"/>
    <w:link w:val="Itadheading1"/>
    <w:rsid w:val="00F3602E"/>
    <w:rPr>
      <w:rFonts w:ascii="Calibri" w:hAnsi="Calibri"/>
      <w:bCs/>
      <w:color w:val="73B632"/>
      <w:sz w:val="32"/>
      <w:szCs w:val="32"/>
      <w:lang w:val="en-GB" w:eastAsia="en-GB"/>
    </w:rPr>
  </w:style>
  <w:style w:type="paragraph" w:customStyle="1" w:styleId="Itadnumbers">
    <w:name w:val="Itad numbers"/>
    <w:basedOn w:val="Normal"/>
    <w:rsid w:val="00F3602E"/>
    <w:pPr>
      <w:numPr>
        <w:numId w:val="32"/>
      </w:numPr>
      <w:spacing w:before="0" w:after="200" w:line="240" w:lineRule="auto"/>
    </w:pPr>
    <w:rPr>
      <w:rFonts w:ascii="Calibri" w:eastAsia="Calibri" w:hAnsi="Calibri"/>
      <w:sz w:val="22"/>
      <w:lang w:val="en-GB" w:eastAsia="en-US"/>
    </w:rPr>
  </w:style>
  <w:style w:type="paragraph" w:customStyle="1" w:styleId="Itadfooterstyle">
    <w:name w:val="Itad footer style"/>
    <w:basedOn w:val="Normal"/>
    <w:rsid w:val="00F3602E"/>
    <w:pPr>
      <w:pBdr>
        <w:top w:val="single" w:sz="4" w:space="1" w:color="A6A6A6"/>
      </w:pBdr>
      <w:tabs>
        <w:tab w:val="right" w:pos="9072"/>
        <w:tab w:val="right" w:pos="15309"/>
      </w:tabs>
      <w:spacing w:before="0" w:line="240" w:lineRule="auto"/>
    </w:pPr>
    <w:rPr>
      <w:rFonts w:ascii="Calibri" w:eastAsia="Calibri" w:hAnsi="Calibri"/>
      <w:sz w:val="16"/>
      <w:szCs w:val="16"/>
      <w:lang w:val="en-US" w:eastAsia="en-US"/>
    </w:rPr>
  </w:style>
  <w:style w:type="paragraph" w:customStyle="1" w:styleId="Itadsectionheading">
    <w:name w:val="Itad section heading"/>
    <w:basedOn w:val="Heading2"/>
    <w:link w:val="ItadsectionheadingChar"/>
    <w:rsid w:val="00F3602E"/>
    <w:pPr>
      <w:keepLines/>
      <w:spacing w:before="0" w:after="160"/>
      <w:ind w:left="0" w:firstLine="0"/>
    </w:pPr>
    <w:rPr>
      <w:rFonts w:ascii="Calibri" w:hAnsi="Calibri" w:cs="Times New Roman"/>
      <w:iCs w:val="0"/>
      <w:color w:val="73B632"/>
      <w:lang w:val="en-GB" w:eastAsia="en-GB"/>
    </w:rPr>
  </w:style>
  <w:style w:type="character" w:customStyle="1" w:styleId="ItadsectionheadingChar">
    <w:name w:val="Itad section heading Char"/>
    <w:link w:val="Itadsectionheading"/>
    <w:rsid w:val="00F3602E"/>
    <w:rPr>
      <w:rFonts w:ascii="Calibri" w:hAnsi="Calibri"/>
      <w:b/>
      <w:bCs/>
      <w:color w:val="73B632"/>
      <w:sz w:val="28"/>
      <w:szCs w:val="28"/>
      <w:lang w:val="en-GB" w:eastAsia="en-GB"/>
    </w:rPr>
  </w:style>
  <w:style w:type="paragraph" w:customStyle="1" w:styleId="Itadbulletpoints">
    <w:name w:val="Itad bullet points"/>
    <w:basedOn w:val="Itadbodycopy"/>
    <w:link w:val="ItadbulletpointsChar"/>
    <w:rsid w:val="00F3602E"/>
    <w:pPr>
      <w:numPr>
        <w:numId w:val="34"/>
      </w:numPr>
      <w:spacing w:after="200"/>
    </w:pPr>
  </w:style>
  <w:style w:type="paragraph" w:customStyle="1" w:styleId="ItadMaintitleheading">
    <w:name w:val="Itad Main title heading"/>
    <w:basedOn w:val="Normal"/>
    <w:rsid w:val="00F3602E"/>
    <w:pPr>
      <w:spacing w:before="0" w:after="4800" w:line="500" w:lineRule="exact"/>
      <w:ind w:left="2126"/>
    </w:pPr>
    <w:rPr>
      <w:rFonts w:ascii="Calibri" w:eastAsia="Calibri" w:hAnsi="Calibri"/>
      <w:caps/>
      <w:sz w:val="48"/>
      <w:szCs w:val="48"/>
      <w:lang w:val="en-US" w:eastAsia="en-US"/>
    </w:rPr>
  </w:style>
  <w:style w:type="paragraph" w:customStyle="1" w:styleId="Itadsubheading">
    <w:name w:val="Itad subheading"/>
    <w:basedOn w:val="Normal"/>
    <w:link w:val="ItadsubheadingChar"/>
    <w:rsid w:val="00F3602E"/>
    <w:pPr>
      <w:spacing w:before="0" w:after="40" w:line="240" w:lineRule="auto"/>
    </w:pPr>
    <w:rPr>
      <w:rFonts w:ascii="Calibri" w:eastAsia="Calibri" w:hAnsi="Calibri"/>
      <w:b/>
      <w:sz w:val="22"/>
      <w:lang w:val="en-GB" w:eastAsia="en-US"/>
    </w:rPr>
  </w:style>
  <w:style w:type="paragraph" w:customStyle="1" w:styleId="Itadbodysubheading">
    <w:name w:val="Itad body subheading"/>
    <w:basedOn w:val="Itadbodycopy"/>
    <w:rsid w:val="00F3602E"/>
    <w:pPr>
      <w:spacing w:after="60"/>
      <w:contextualSpacing/>
    </w:pPr>
    <w:rPr>
      <w:b/>
    </w:rPr>
  </w:style>
  <w:style w:type="paragraph" w:customStyle="1" w:styleId="Itadsub-sectionheading">
    <w:name w:val="Itad sub-section heading"/>
    <w:basedOn w:val="Heading3"/>
    <w:link w:val="Itadsub-sectionheadingChar"/>
    <w:rsid w:val="00F3602E"/>
    <w:pPr>
      <w:keepLines/>
      <w:spacing w:after="200" w:line="276" w:lineRule="auto"/>
      <w:ind w:left="0" w:firstLine="0"/>
    </w:pPr>
    <w:rPr>
      <w:rFonts w:ascii="Calibri" w:hAnsi="Calibri" w:cs="Times New Roman"/>
      <w:color w:val="auto"/>
      <w:sz w:val="28"/>
      <w:szCs w:val="28"/>
      <w:lang w:val="en-GB" w:eastAsia="en-US"/>
    </w:rPr>
  </w:style>
  <w:style w:type="character" w:customStyle="1" w:styleId="Itadsub-sectionheadingChar">
    <w:name w:val="Itad sub-section heading Char"/>
    <w:link w:val="Itadsub-sectionheading"/>
    <w:rsid w:val="00F3602E"/>
    <w:rPr>
      <w:rFonts w:ascii="Calibri" w:hAnsi="Calibri"/>
      <w:b/>
      <w:bCs/>
      <w:sz w:val="28"/>
      <w:szCs w:val="28"/>
      <w:lang w:val="en-GB" w:eastAsia="en-US"/>
    </w:rPr>
  </w:style>
  <w:style w:type="paragraph" w:customStyle="1" w:styleId="Itadsub">
    <w:name w:val="Itad sub"/>
    <w:aliases w:val="sub-section"/>
    <w:basedOn w:val="Itadsub-sectionheading"/>
    <w:link w:val="ItadsubChar"/>
    <w:rsid w:val="00F3602E"/>
    <w:rPr>
      <w:sz w:val="24"/>
    </w:rPr>
  </w:style>
  <w:style w:type="character" w:customStyle="1" w:styleId="ItadsubChar">
    <w:name w:val="Itad sub Char"/>
    <w:aliases w:val="sub-section Char"/>
    <w:link w:val="Itadsub"/>
    <w:rsid w:val="00F3602E"/>
    <w:rPr>
      <w:rFonts w:ascii="Calibri" w:hAnsi="Calibri"/>
      <w:b/>
      <w:bCs/>
      <w:sz w:val="24"/>
      <w:szCs w:val="28"/>
      <w:lang w:val="en-GB" w:eastAsia="en-US"/>
    </w:rPr>
  </w:style>
  <w:style w:type="paragraph" w:customStyle="1" w:styleId="Itadpullquote">
    <w:name w:val="Itad pull quote"/>
    <w:basedOn w:val="Itadbodycopy"/>
    <w:rsid w:val="00F3602E"/>
    <w:rPr>
      <w:color w:val="73B632"/>
      <w:sz w:val="26"/>
      <w:szCs w:val="24"/>
    </w:rPr>
  </w:style>
  <w:style w:type="paragraph" w:customStyle="1" w:styleId="Itadtable">
    <w:name w:val="Itad table"/>
    <w:basedOn w:val="Normal"/>
    <w:rsid w:val="00F3602E"/>
    <w:pPr>
      <w:spacing w:before="0" w:line="240" w:lineRule="auto"/>
      <w:jc w:val="both"/>
    </w:pPr>
    <w:rPr>
      <w:rFonts w:ascii="Calibri" w:eastAsia="Calibri" w:hAnsi="Calibri"/>
      <w:iCs/>
      <w:sz w:val="22"/>
      <w:szCs w:val="22"/>
      <w:lang w:val="en-US" w:eastAsia="en-US"/>
    </w:rPr>
  </w:style>
  <w:style w:type="paragraph" w:customStyle="1" w:styleId="Itadproposalnameclient">
    <w:name w:val="Itad proposal name &amp; client"/>
    <w:basedOn w:val="Normal"/>
    <w:rsid w:val="00F3602E"/>
    <w:pPr>
      <w:spacing w:before="0" w:after="240" w:line="240" w:lineRule="auto"/>
      <w:ind w:left="532"/>
    </w:pPr>
    <w:rPr>
      <w:rFonts w:ascii="Calibri" w:eastAsia="Calibri" w:hAnsi="Calibri"/>
      <w:sz w:val="36"/>
      <w:szCs w:val="36"/>
      <w:lang w:val="en-US" w:eastAsia="en-US"/>
    </w:rPr>
  </w:style>
  <w:style w:type="paragraph" w:customStyle="1" w:styleId="Itadproposaltitle">
    <w:name w:val="Itad proposal title"/>
    <w:basedOn w:val="Normal"/>
    <w:rsid w:val="00F3602E"/>
    <w:pPr>
      <w:spacing w:before="0" w:after="600" w:line="500" w:lineRule="exact"/>
      <w:ind w:left="567"/>
    </w:pPr>
    <w:rPr>
      <w:rFonts w:ascii="Calibri" w:eastAsia="Calibri" w:hAnsi="Calibri"/>
      <w:caps/>
      <w:noProof/>
      <w:sz w:val="48"/>
      <w:szCs w:val="48"/>
      <w:lang w:val="en-US" w:eastAsia="en-US"/>
    </w:rPr>
  </w:style>
  <w:style w:type="paragraph" w:customStyle="1" w:styleId="ItadAcronyms">
    <w:name w:val="Itad Acronyms"/>
    <w:basedOn w:val="Itadbodycopy"/>
    <w:rsid w:val="00F3602E"/>
    <w:pPr>
      <w:tabs>
        <w:tab w:val="left" w:pos="993"/>
      </w:tabs>
    </w:pPr>
  </w:style>
  <w:style w:type="paragraph" w:customStyle="1" w:styleId="Footertext">
    <w:name w:val="Footer text"/>
    <w:uiPriority w:val="39"/>
    <w:semiHidden/>
    <w:rsid w:val="00F3602E"/>
    <w:pPr>
      <w:tabs>
        <w:tab w:val="left" w:pos="5720"/>
      </w:tabs>
    </w:pPr>
    <w:rPr>
      <w:rFonts w:ascii="Arial" w:hAnsi="Arial"/>
      <w:szCs w:val="24"/>
      <w:lang w:eastAsia="en-US"/>
    </w:rPr>
  </w:style>
  <w:style w:type="paragraph" w:customStyle="1" w:styleId="ecxlist1">
    <w:name w:val="ecxlist1"/>
    <w:basedOn w:val="Normal"/>
    <w:rsid w:val="00F3602E"/>
    <w:pPr>
      <w:spacing w:before="100" w:beforeAutospacing="1" w:after="100" w:afterAutospacing="1" w:line="240" w:lineRule="auto"/>
    </w:pPr>
    <w:rPr>
      <w:rFonts w:ascii="Times New Roman" w:hAnsi="Times New Roman"/>
      <w:sz w:val="24"/>
      <w:szCs w:val="24"/>
      <w:lang w:val="en-GB" w:eastAsia="en-GB"/>
    </w:rPr>
  </w:style>
  <w:style w:type="character" w:customStyle="1" w:styleId="ecxmsofootnotereference">
    <w:name w:val="ecxmsofootnotereference"/>
    <w:basedOn w:val="DefaultParagraphFont"/>
    <w:rsid w:val="00F3602E"/>
  </w:style>
  <w:style w:type="table" w:styleId="MediumShading1-Accent3">
    <w:name w:val="Medium Shading 1 Accent 3"/>
    <w:basedOn w:val="TableNormal"/>
    <w:uiPriority w:val="63"/>
    <w:rsid w:val="00F3602E"/>
    <w:rPr>
      <w:rFonts w:ascii="Courier" w:hAnsi="Courie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2">
    <w:name w:val="Table Grid2"/>
    <w:basedOn w:val="TableNormal"/>
    <w:next w:val="TableGrid"/>
    <w:rsid w:val="00F3602E"/>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3602E"/>
    <w:pPr>
      <w:spacing w:before="100" w:beforeAutospacing="1" w:after="100" w:afterAutospacing="1" w:line="240" w:lineRule="auto"/>
    </w:pPr>
    <w:rPr>
      <w:rFonts w:ascii="Times New Roman" w:hAnsi="Times New Roman"/>
      <w:sz w:val="24"/>
      <w:szCs w:val="24"/>
      <w:lang w:val="en-GB" w:eastAsia="en-GB"/>
    </w:rPr>
  </w:style>
  <w:style w:type="table" w:styleId="LightList-Accent2">
    <w:name w:val="Light List Accent 2"/>
    <w:basedOn w:val="TableNormal"/>
    <w:uiPriority w:val="61"/>
    <w:rsid w:val="00F3602E"/>
    <w:rPr>
      <w:rFonts w:ascii="Courier" w:hAnsi="Courie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F3602E"/>
    <w:rPr>
      <w:rFonts w:ascii="Courier" w:hAnsi="Courie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st-bullet-1Char">
    <w:name w:val="List-bullet-1 Char"/>
    <w:link w:val="List-bullet-1"/>
    <w:locked/>
    <w:rsid w:val="00F3602E"/>
    <w:rPr>
      <w:rFonts w:ascii="Arial" w:hAnsi="Arial" w:cs="Arial"/>
    </w:rPr>
  </w:style>
  <w:style w:type="paragraph" w:customStyle="1" w:styleId="List-bullet-1">
    <w:name w:val="List-bullet-1"/>
    <w:basedOn w:val="Normal"/>
    <w:link w:val="List-bullet-1Char"/>
    <w:rsid w:val="00F3602E"/>
    <w:pPr>
      <w:numPr>
        <w:numId w:val="35"/>
      </w:numPr>
      <w:spacing w:before="120" w:after="0" w:line="240" w:lineRule="auto"/>
    </w:pPr>
    <w:rPr>
      <w:rFonts w:ascii="Arial" w:hAnsi="Arial" w:cs="Arial"/>
      <w:sz w:val="20"/>
    </w:rPr>
  </w:style>
  <w:style w:type="table" w:styleId="LightList-Accent1">
    <w:name w:val="Light List Accent 1"/>
    <w:basedOn w:val="TableNormal"/>
    <w:uiPriority w:val="61"/>
    <w:rsid w:val="00F3602E"/>
    <w:rPr>
      <w:rFonts w:asciiTheme="minorHAnsi" w:eastAsiaTheme="minorHAnsi" w:hAnsiTheme="minorHAnsi" w:cstheme="minorBidi"/>
      <w:sz w:val="22"/>
      <w:szCs w:val="22"/>
      <w:lang w:val="en-GB"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2">
    <w:name w:val="List2"/>
    <w:basedOn w:val="Normal"/>
    <w:rsid w:val="00F3602E"/>
    <w:pPr>
      <w:keepLines/>
      <w:tabs>
        <w:tab w:val="num" w:pos="284"/>
      </w:tabs>
      <w:suppressAutoHyphens/>
      <w:autoSpaceDE w:val="0"/>
      <w:autoSpaceDN w:val="0"/>
      <w:adjustRightInd w:val="0"/>
      <w:spacing w:before="57" w:after="142"/>
      <w:ind w:left="284" w:hanging="284"/>
      <w:textAlignment w:val="center"/>
    </w:pPr>
    <w:rPr>
      <w:rFonts w:ascii="Cambria" w:hAnsi="Cambria" w:cs="FoundersGrotesk-Regular"/>
      <w:szCs w:val="21"/>
      <w:lang w:val="en-GB" w:eastAsia="en-US"/>
    </w:rPr>
  </w:style>
  <w:style w:type="paragraph" w:customStyle="1" w:styleId="Pa4">
    <w:name w:val="Pa4"/>
    <w:basedOn w:val="Default"/>
    <w:next w:val="Default"/>
    <w:uiPriority w:val="99"/>
    <w:rsid w:val="00F3602E"/>
    <w:pPr>
      <w:spacing w:line="201" w:lineRule="atLeast"/>
    </w:pPr>
    <w:rPr>
      <w:rFonts w:ascii="Trade Gothic LT Std" w:eastAsia="Calibri" w:hAnsi="Trade Gothic LT Std" w:cs="Times New Roman"/>
      <w:color w:val="auto"/>
      <w:lang w:eastAsia="en-GB"/>
    </w:rPr>
  </w:style>
  <w:style w:type="character" w:customStyle="1" w:styleId="A5">
    <w:name w:val="A5"/>
    <w:uiPriority w:val="99"/>
    <w:rsid w:val="00F3602E"/>
    <w:rPr>
      <w:rFonts w:cs="Trade Gothic LT Std"/>
      <w:color w:val="000000"/>
      <w:sz w:val="20"/>
      <w:szCs w:val="20"/>
    </w:rPr>
  </w:style>
  <w:style w:type="paragraph" w:customStyle="1" w:styleId="Pa70">
    <w:name w:val="Pa70"/>
    <w:basedOn w:val="Default"/>
    <w:next w:val="Default"/>
    <w:uiPriority w:val="99"/>
    <w:rsid w:val="00F3602E"/>
    <w:pPr>
      <w:spacing w:line="241" w:lineRule="atLeast"/>
    </w:pPr>
    <w:rPr>
      <w:rFonts w:ascii="Helvetica 55 Roman" w:eastAsia="Calibri" w:hAnsi="Helvetica 55 Roman" w:cs="Times New Roman"/>
      <w:color w:val="auto"/>
      <w:lang w:eastAsia="en-GB"/>
    </w:rPr>
  </w:style>
  <w:style w:type="character" w:customStyle="1" w:styleId="StyleTimesNewRoman12pt">
    <w:name w:val="Style Times New Roman 12 pt"/>
    <w:rsid w:val="00F3602E"/>
    <w:rPr>
      <w:rFonts w:ascii="Times New Roman" w:hAnsi="Times New Roman"/>
      <w:sz w:val="24"/>
    </w:rPr>
  </w:style>
  <w:style w:type="numbering" w:customStyle="1" w:styleId="Outlinebullets">
    <w:name w:val="Outline bullets"/>
    <w:basedOn w:val="NoList"/>
    <w:rsid w:val="00F3602E"/>
    <w:pPr>
      <w:numPr>
        <w:numId w:val="36"/>
      </w:numPr>
    </w:pPr>
  </w:style>
  <w:style w:type="character" w:customStyle="1" w:styleId="EndnoteTextChar1">
    <w:name w:val="Endnote Text Char1"/>
    <w:uiPriority w:val="99"/>
    <w:semiHidden/>
    <w:rsid w:val="00F3602E"/>
    <w:rPr>
      <w:rFonts w:ascii="Calibri" w:eastAsia="Calibri" w:hAnsi="Calibri" w:cs="Times New Roman"/>
      <w:sz w:val="20"/>
      <w:szCs w:val="20"/>
    </w:rPr>
  </w:style>
  <w:style w:type="table" w:customStyle="1" w:styleId="LightList1">
    <w:name w:val="Light List1"/>
    <w:basedOn w:val="TableNormal"/>
    <w:uiPriority w:val="61"/>
    <w:rsid w:val="00F3602E"/>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mmentSubjectChar1">
    <w:name w:val="Comment Subject Char1"/>
    <w:uiPriority w:val="99"/>
    <w:semiHidden/>
    <w:rsid w:val="00F3602E"/>
    <w:rPr>
      <w:rFonts w:ascii="Garamond" w:eastAsia="Times New Roman" w:hAnsi="Garamond" w:cs="Times New Roman"/>
      <w:b/>
      <w:bCs/>
      <w:color w:val="000000"/>
      <w:sz w:val="21"/>
      <w:szCs w:val="20"/>
      <w:lang w:val="en-AU" w:eastAsia="en-AU"/>
    </w:rPr>
  </w:style>
  <w:style w:type="paragraph" w:customStyle="1" w:styleId="Annexheading">
    <w:name w:val="Annex heading"/>
    <w:basedOn w:val="Itadheading1"/>
    <w:link w:val="AnnexheadingChar"/>
    <w:rsid w:val="00F3602E"/>
    <w:pPr>
      <w:numPr>
        <w:numId w:val="0"/>
      </w:numPr>
    </w:pPr>
    <w:rPr>
      <w:color w:val="31849B"/>
      <w:sz w:val="44"/>
      <w:szCs w:val="44"/>
    </w:rPr>
  </w:style>
  <w:style w:type="paragraph" w:customStyle="1" w:styleId="annexbodytext">
    <w:name w:val="annex body text"/>
    <w:basedOn w:val="Normal"/>
    <w:link w:val="annexbodytextChar"/>
    <w:rsid w:val="00F3602E"/>
    <w:pPr>
      <w:spacing w:before="0" w:line="240" w:lineRule="auto"/>
      <w:jc w:val="both"/>
    </w:pPr>
    <w:rPr>
      <w:rFonts w:ascii="Cambria" w:eastAsia="Calibri" w:hAnsi="Cambria"/>
      <w:sz w:val="22"/>
      <w:szCs w:val="22"/>
      <w:lang w:val="en-US" w:eastAsia="en-US"/>
    </w:rPr>
  </w:style>
  <w:style w:type="character" w:customStyle="1" w:styleId="AnnexheadingChar">
    <w:name w:val="Annex heading Char"/>
    <w:link w:val="Annexheading"/>
    <w:rsid w:val="00F3602E"/>
    <w:rPr>
      <w:rFonts w:ascii="Calibri" w:hAnsi="Calibri"/>
      <w:b/>
      <w:bCs/>
      <w:color w:val="31849B"/>
      <w:sz w:val="44"/>
      <w:szCs w:val="44"/>
      <w:lang w:val="en-GB" w:eastAsia="en-GB"/>
    </w:rPr>
  </w:style>
  <w:style w:type="paragraph" w:customStyle="1" w:styleId="annexsubtitle">
    <w:name w:val="annex sub title"/>
    <w:basedOn w:val="Itadsubheading"/>
    <w:link w:val="annexsubtitleChar"/>
    <w:rsid w:val="00F3602E"/>
    <w:rPr>
      <w:color w:val="E36C0A"/>
      <w:sz w:val="32"/>
      <w:szCs w:val="32"/>
    </w:rPr>
  </w:style>
  <w:style w:type="character" w:customStyle="1" w:styleId="annexbodytextChar">
    <w:name w:val="annex body text Char"/>
    <w:link w:val="annexbodytext"/>
    <w:rsid w:val="00F3602E"/>
    <w:rPr>
      <w:rFonts w:ascii="Cambria" w:eastAsia="Calibri" w:hAnsi="Cambria"/>
      <w:sz w:val="22"/>
      <w:szCs w:val="22"/>
      <w:lang w:val="en-US" w:eastAsia="en-US"/>
    </w:rPr>
  </w:style>
  <w:style w:type="paragraph" w:customStyle="1" w:styleId="annexbosytext">
    <w:name w:val="annex bosy text"/>
    <w:basedOn w:val="Normal"/>
    <w:link w:val="annexbosytextChar"/>
    <w:rsid w:val="00F3602E"/>
    <w:rPr>
      <w:rFonts w:ascii="Cambria" w:eastAsia="Calibri" w:hAnsi="Cambria"/>
      <w:szCs w:val="21"/>
      <w:lang w:val="en-US" w:eastAsia="en-US"/>
    </w:rPr>
  </w:style>
  <w:style w:type="character" w:customStyle="1" w:styleId="ItadsubheadingChar">
    <w:name w:val="Itad subheading Char"/>
    <w:link w:val="Itadsubheading"/>
    <w:rsid w:val="00F3602E"/>
    <w:rPr>
      <w:rFonts w:ascii="Calibri" w:eastAsia="Calibri" w:hAnsi="Calibri"/>
      <w:b/>
      <w:sz w:val="22"/>
      <w:lang w:val="en-GB" w:eastAsia="en-US"/>
    </w:rPr>
  </w:style>
  <w:style w:type="character" w:customStyle="1" w:styleId="annexsubtitleChar">
    <w:name w:val="annex sub title Char"/>
    <w:link w:val="annexsubtitle"/>
    <w:rsid w:val="00F3602E"/>
    <w:rPr>
      <w:rFonts w:ascii="Calibri" w:eastAsia="Calibri" w:hAnsi="Calibri"/>
      <w:b/>
      <w:color w:val="E36C0A"/>
      <w:sz w:val="32"/>
      <w:szCs w:val="32"/>
      <w:lang w:val="en-GB" w:eastAsia="en-US"/>
    </w:rPr>
  </w:style>
  <w:style w:type="paragraph" w:customStyle="1" w:styleId="annexsubtitle2">
    <w:name w:val="annex sub title 2"/>
    <w:basedOn w:val="Itadsubheading"/>
    <w:link w:val="annexsubtitle2Char"/>
    <w:rsid w:val="00F3602E"/>
    <w:rPr>
      <w:sz w:val="24"/>
      <w:szCs w:val="24"/>
    </w:rPr>
  </w:style>
  <w:style w:type="character" w:customStyle="1" w:styleId="annexbosytextChar">
    <w:name w:val="annex bosy text Char"/>
    <w:link w:val="annexbosytext"/>
    <w:rsid w:val="00F3602E"/>
    <w:rPr>
      <w:rFonts w:ascii="Cambria" w:eastAsia="Calibri" w:hAnsi="Cambria"/>
      <w:sz w:val="21"/>
      <w:szCs w:val="21"/>
      <w:lang w:val="en-US" w:eastAsia="en-US"/>
    </w:rPr>
  </w:style>
  <w:style w:type="paragraph" w:customStyle="1" w:styleId="annexbulletpoints">
    <w:name w:val="annex bullet points"/>
    <w:basedOn w:val="Itadbulletpoints"/>
    <w:link w:val="annexbulletpointsChar"/>
    <w:rsid w:val="00F3602E"/>
    <w:pPr>
      <w:spacing w:before="40" w:after="120" w:line="288" w:lineRule="auto"/>
    </w:pPr>
    <w:rPr>
      <w:rFonts w:ascii="Cambria" w:hAnsi="Cambria"/>
      <w:sz w:val="21"/>
      <w:szCs w:val="21"/>
    </w:rPr>
  </w:style>
  <w:style w:type="character" w:customStyle="1" w:styleId="annexsubtitle2Char">
    <w:name w:val="annex sub title 2 Char"/>
    <w:link w:val="annexsubtitle2"/>
    <w:rsid w:val="00F3602E"/>
    <w:rPr>
      <w:rFonts w:ascii="Calibri" w:eastAsia="Calibri" w:hAnsi="Calibri"/>
      <w:b/>
      <w:sz w:val="24"/>
      <w:szCs w:val="24"/>
      <w:lang w:val="en-GB" w:eastAsia="en-US"/>
    </w:rPr>
  </w:style>
  <w:style w:type="paragraph" w:customStyle="1" w:styleId="annexfigureheading">
    <w:name w:val="annex figure heading"/>
    <w:basedOn w:val="Caption"/>
    <w:link w:val="annexfigureheadingChar"/>
    <w:rsid w:val="00F3602E"/>
    <w:pPr>
      <w:keepNext/>
      <w:spacing w:before="120" w:after="120"/>
      <w:ind w:left="1077" w:hanging="1077"/>
    </w:pPr>
    <w:rPr>
      <w:rFonts w:ascii="Calibri" w:hAnsi="Calibri"/>
      <w:bCs w:val="0"/>
      <w:color w:val="000000"/>
      <w:sz w:val="21"/>
      <w:szCs w:val="21"/>
    </w:rPr>
  </w:style>
  <w:style w:type="character" w:customStyle="1" w:styleId="ItadbodycopyChar">
    <w:name w:val="Itad body copy Char"/>
    <w:link w:val="Itadbodycopy"/>
    <w:rsid w:val="00F3602E"/>
    <w:rPr>
      <w:rFonts w:ascii="Calibri" w:eastAsia="Calibri" w:hAnsi="Calibri"/>
      <w:sz w:val="22"/>
      <w:lang w:val="en-GB" w:eastAsia="en-US"/>
    </w:rPr>
  </w:style>
  <w:style w:type="character" w:customStyle="1" w:styleId="ItadbulletpointsChar">
    <w:name w:val="Itad bullet points Char"/>
    <w:link w:val="Itadbulletpoints"/>
    <w:rsid w:val="00F3602E"/>
    <w:rPr>
      <w:rFonts w:ascii="Calibri" w:eastAsia="Calibri" w:hAnsi="Calibri"/>
      <w:sz w:val="22"/>
      <w:lang w:val="en-GB" w:eastAsia="en-US"/>
    </w:rPr>
  </w:style>
  <w:style w:type="character" w:customStyle="1" w:styleId="annexbulletpointsChar">
    <w:name w:val="annex bullet points Char"/>
    <w:link w:val="annexbulletpoints"/>
    <w:rsid w:val="00F3602E"/>
    <w:rPr>
      <w:rFonts w:ascii="Cambria" w:eastAsia="Calibri" w:hAnsi="Cambria"/>
      <w:sz w:val="21"/>
      <w:szCs w:val="21"/>
      <w:lang w:val="en-GB" w:eastAsia="en-US"/>
    </w:rPr>
  </w:style>
  <w:style w:type="character" w:customStyle="1" w:styleId="CaptionChar">
    <w:name w:val="Caption Char"/>
    <w:link w:val="Caption"/>
    <w:uiPriority w:val="35"/>
    <w:rsid w:val="00F3602E"/>
    <w:rPr>
      <w:rFonts w:asciiTheme="majorHAnsi" w:hAnsiTheme="majorHAnsi"/>
      <w:b/>
      <w:bCs/>
      <w:sz w:val="18"/>
      <w:szCs w:val="18"/>
    </w:rPr>
  </w:style>
  <w:style w:type="character" w:customStyle="1" w:styleId="annexfigureheadingChar">
    <w:name w:val="annex figure heading Char"/>
    <w:link w:val="annexfigureheading"/>
    <w:rsid w:val="00F3602E"/>
    <w:rPr>
      <w:rFonts w:ascii="Calibri" w:hAnsi="Calibri"/>
      <w:b/>
      <w:color w:val="000000"/>
      <w:sz w:val="21"/>
      <w:szCs w:val="21"/>
    </w:rPr>
  </w:style>
  <w:style w:type="table" w:styleId="LightList-Accent5">
    <w:name w:val="Light List Accent 5"/>
    <w:basedOn w:val="TableNormal"/>
    <w:uiPriority w:val="61"/>
    <w:rsid w:val="00F3602E"/>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
    <w:name w:val="Style1"/>
    <w:basedOn w:val="TableNormal"/>
    <w:uiPriority w:val="99"/>
    <w:qFormat/>
    <w:rsid w:val="00F3602E"/>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
    <w:name w:val="Style2"/>
    <w:basedOn w:val="TableNormal"/>
    <w:uiPriority w:val="99"/>
    <w:qFormat/>
    <w:rsid w:val="00F3602E"/>
    <w:rPr>
      <w:rFonts w:eastAsia="Calibri"/>
      <w:lang w:val="en-GB" w:eastAsia="en-GB"/>
    </w:rPr>
    <w:tblPr>
      <w:tblInd w:w="0" w:type="dxa"/>
      <w:tblCellMar>
        <w:top w:w="0" w:type="dxa"/>
        <w:left w:w="108" w:type="dxa"/>
        <w:bottom w:w="0" w:type="dxa"/>
        <w:right w:w="108" w:type="dxa"/>
      </w:tblCellMar>
    </w:tblPr>
  </w:style>
  <w:style w:type="paragraph" w:styleId="TOC5">
    <w:name w:val="toc 5"/>
    <w:basedOn w:val="Normal"/>
    <w:next w:val="Normal"/>
    <w:autoRedefine/>
    <w:uiPriority w:val="39"/>
    <w:unhideWhenUsed/>
    <w:rsid w:val="00F3602E"/>
    <w:pPr>
      <w:spacing w:before="0"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F3602E"/>
    <w:pPr>
      <w:spacing w:before="0"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F3602E"/>
    <w:pPr>
      <w:spacing w:before="0"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F3602E"/>
    <w:pPr>
      <w:spacing w:before="0"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F3602E"/>
    <w:pPr>
      <w:spacing w:before="0" w:after="100" w:line="276" w:lineRule="auto"/>
      <w:ind w:left="1760"/>
    </w:pPr>
    <w:rPr>
      <w:rFonts w:asciiTheme="minorHAnsi" w:eastAsiaTheme="minorEastAsia" w:hAnsiTheme="minorHAnsi" w:cstheme="minorBidi"/>
      <w:sz w:val="22"/>
      <w:szCs w:val="22"/>
      <w:lang w:val="en-GB" w:eastAsia="en-GB"/>
    </w:rPr>
  </w:style>
  <w:style w:type="paragraph" w:customStyle="1" w:styleId="List3">
    <w:name w:val="List3"/>
    <w:basedOn w:val="BodyCopy"/>
    <w:rsid w:val="005771D2"/>
    <w:pPr>
      <w:keepLines/>
      <w:widowControl/>
      <w:tabs>
        <w:tab w:val="num" w:pos="284"/>
      </w:tabs>
      <w:ind w:left="284" w:hanging="284"/>
    </w:pPr>
    <w:rPr>
      <w:rFonts w:eastAsia="Times New Roman" w:cs="FoundersGrotesk-Regular"/>
      <w:lang w:eastAsia="en-US"/>
    </w:rPr>
  </w:style>
  <w:style w:type="numbering" w:customStyle="1" w:styleId="NoList1">
    <w:name w:val="No List1"/>
    <w:next w:val="NoList"/>
    <w:uiPriority w:val="99"/>
    <w:semiHidden/>
    <w:unhideWhenUsed/>
    <w:rsid w:val="00E57F60"/>
  </w:style>
  <w:style w:type="table" w:customStyle="1" w:styleId="TableGrid3">
    <w:name w:val="Table Grid3"/>
    <w:basedOn w:val="TableNormal"/>
    <w:next w:val="TableGrid"/>
    <w:uiPriority w:val="59"/>
    <w:rsid w:val="00E57F60"/>
    <w:tblPr>
      <w:tblInd w:w="0" w:type="dxa"/>
      <w:tblCellMar>
        <w:top w:w="0" w:type="dxa"/>
        <w:left w:w="0" w:type="dxa"/>
        <w:bottom w:w="0" w:type="dxa"/>
        <w:right w:w="0" w:type="dxa"/>
      </w:tblCellMar>
    </w:tblPr>
  </w:style>
  <w:style w:type="table" w:customStyle="1" w:styleId="TableODE1">
    <w:name w:val="Table_ODE1"/>
    <w:basedOn w:val="TableGrid"/>
    <w:semiHidden/>
    <w:rsid w:val="00E57F60"/>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Arial Black" w:hAnsi="Arial Black"/>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table" w:customStyle="1" w:styleId="ODETable1">
    <w:name w:val="ODE Table1"/>
    <w:basedOn w:val="TableNormal"/>
    <w:uiPriority w:val="99"/>
    <w:rsid w:val="00E57F60"/>
    <w:rPr>
      <w:rFonts w:ascii="Courier" w:hAnsi="Courier"/>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57" w:type="dxa"/>
        <w:bottom w:w="113" w:type="dxa"/>
        <w:right w:w="57" w:type="dxa"/>
      </w:tblCellMar>
    </w:tblPr>
    <w:tcPr>
      <w:shd w:val="clear" w:color="auto" w:fill="EEEFEE"/>
    </w:tcPr>
    <w:tblStylePr w:type="firstRow">
      <w:tblPr/>
      <w:tcPr>
        <w:shd w:val="clear" w:color="auto" w:fill="92C3CA"/>
      </w:tcPr>
    </w:tblStylePr>
  </w:style>
  <w:style w:type="table" w:customStyle="1" w:styleId="TableGrid11">
    <w:name w:val="Table Grid11"/>
    <w:basedOn w:val="TableNormal"/>
    <w:next w:val="TableGrid"/>
    <w:uiPriority w:val="59"/>
    <w:rsid w:val="00E57F60"/>
    <w:tblPr>
      <w:tblInd w:w="0" w:type="dxa"/>
      <w:tblCellMar>
        <w:top w:w="0" w:type="dxa"/>
        <w:left w:w="0" w:type="dxa"/>
        <w:bottom w:w="0" w:type="dxa"/>
        <w:right w:w="0" w:type="dxa"/>
      </w:tblCellMar>
    </w:tblPr>
  </w:style>
  <w:style w:type="numbering" w:customStyle="1" w:styleId="JSH1">
    <w:name w:val="JSH1"/>
    <w:uiPriority w:val="99"/>
    <w:rsid w:val="00E57F60"/>
  </w:style>
  <w:style w:type="table" w:customStyle="1" w:styleId="LightList2">
    <w:name w:val="Light List2"/>
    <w:basedOn w:val="TableNormal"/>
    <w:next w:val="LightList"/>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uiPriority w:val="63"/>
    <w:rsid w:val="00E57F60"/>
    <w:rPr>
      <w:rFonts w:ascii="Courier" w:hAnsi="Courier"/>
    </w:rPr>
    <w:tblPr>
      <w:tblStyleRowBandSize w:val="1"/>
      <w:tblStyleColBandSize w:val="1"/>
      <w:tblInd w:w="0" w:type="dxa"/>
      <w:tblBorders>
        <w:top w:val="single" w:sz="8" w:space="0" w:color="E4E6E6"/>
        <w:left w:val="single" w:sz="8" w:space="0" w:color="E4E6E6"/>
        <w:bottom w:val="single" w:sz="8" w:space="0" w:color="E4E6E6"/>
        <w:right w:val="single" w:sz="8" w:space="0" w:color="E4E6E6"/>
        <w:insideH w:val="single" w:sz="8" w:space="0" w:color="E4E6E6"/>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4E6E6"/>
          <w:left w:val="single" w:sz="8" w:space="0" w:color="E4E6E6"/>
          <w:bottom w:val="single" w:sz="8" w:space="0" w:color="E4E6E6"/>
          <w:right w:val="single" w:sz="8" w:space="0" w:color="E4E6E6"/>
          <w:insideH w:val="nil"/>
          <w:insideV w:val="nil"/>
        </w:tcBorders>
        <w:shd w:val="clear" w:color="auto" w:fill="DCDEDE"/>
      </w:tcPr>
    </w:tblStylePr>
    <w:tblStylePr w:type="lastRow">
      <w:pPr>
        <w:spacing w:before="0" w:after="0" w:line="240" w:lineRule="auto"/>
      </w:pPr>
      <w:rPr>
        <w:b/>
        <w:bCs/>
      </w:rPr>
      <w:tblPr/>
      <w:tcPr>
        <w:tcBorders>
          <w:top w:val="double" w:sz="6" w:space="0" w:color="E4E6E6"/>
          <w:left w:val="single" w:sz="8" w:space="0" w:color="E4E6E6"/>
          <w:bottom w:val="single" w:sz="8" w:space="0" w:color="E4E6E6"/>
          <w:right w:val="single" w:sz="8" w:space="0" w:color="E4E6E6"/>
          <w:insideH w:val="nil"/>
          <w:insideV w:val="nil"/>
        </w:tcBorders>
      </w:tcPr>
    </w:tblStylePr>
    <w:tblStylePr w:type="firstCol">
      <w:rPr>
        <w:b/>
        <w:bCs/>
      </w:rPr>
    </w:tblStylePr>
    <w:tblStylePr w:type="lastCol">
      <w:rPr>
        <w:b/>
        <w:bCs/>
      </w:rPr>
    </w:tblStylePr>
    <w:tblStylePr w:type="band1Vert">
      <w:tblPr/>
      <w:tcPr>
        <w:shd w:val="clear" w:color="auto" w:fill="F6F6F6"/>
      </w:tcPr>
    </w:tblStylePr>
    <w:tblStylePr w:type="band1Horz">
      <w:tblPr/>
      <w:tcPr>
        <w:tcBorders>
          <w:insideH w:val="nil"/>
          <w:insideV w:val="nil"/>
        </w:tcBorders>
        <w:shd w:val="clear" w:color="auto" w:fill="F6F6F6"/>
      </w:tcPr>
    </w:tblStylePr>
    <w:tblStylePr w:type="band2Horz">
      <w:tblPr/>
      <w:tcPr>
        <w:tcBorders>
          <w:insideH w:val="nil"/>
          <w:insideV w:val="nil"/>
        </w:tcBorders>
      </w:tcPr>
    </w:tblStylePr>
  </w:style>
  <w:style w:type="table" w:customStyle="1" w:styleId="TableGrid21">
    <w:name w:val="Table Grid21"/>
    <w:basedOn w:val="TableNormal"/>
    <w:next w:val="TableGrid"/>
    <w:rsid w:val="00E57F60"/>
    <w:rPr>
      <w:rFonts w:ascii="Cambria" w:eastAsia="Cambria" w:hAnsi="Cambria"/>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
    <w:name w:val="Light List - Accent 21"/>
    <w:basedOn w:val="TableNormal"/>
    <w:next w:val="LightList-Accent2"/>
    <w:uiPriority w:val="61"/>
    <w:rsid w:val="00E57F60"/>
    <w:rPr>
      <w:rFonts w:ascii="Courier" w:hAnsi="Courier"/>
    </w:rPr>
    <w:tblPr>
      <w:tblStyleRowBandSize w:val="1"/>
      <w:tblStyleColBandSize w:val="1"/>
      <w:tblInd w:w="0" w:type="dxa"/>
      <w:tblBorders>
        <w:top w:val="single" w:sz="8" w:space="0" w:color="92C3CA"/>
        <w:left w:val="single" w:sz="8" w:space="0" w:color="92C3CA"/>
        <w:bottom w:val="single" w:sz="8" w:space="0" w:color="92C3CA"/>
        <w:right w:val="single" w:sz="8" w:space="0" w:color="92C3C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2C3CA"/>
      </w:tcPr>
    </w:tblStylePr>
    <w:tblStylePr w:type="lastRow">
      <w:pPr>
        <w:spacing w:before="0" w:after="0" w:line="240" w:lineRule="auto"/>
      </w:pPr>
      <w:rPr>
        <w:b/>
        <w:bCs/>
      </w:rPr>
      <w:tblPr/>
      <w:tcPr>
        <w:tcBorders>
          <w:top w:val="double" w:sz="6" w:space="0" w:color="92C3CA"/>
          <w:left w:val="single" w:sz="8" w:space="0" w:color="92C3CA"/>
          <w:bottom w:val="single" w:sz="8" w:space="0" w:color="92C3CA"/>
          <w:right w:val="single" w:sz="8" w:space="0" w:color="92C3CA"/>
        </w:tcBorders>
      </w:tcPr>
    </w:tblStylePr>
    <w:tblStylePr w:type="firstCol">
      <w:rPr>
        <w:b/>
        <w:bCs/>
      </w:rPr>
    </w:tblStylePr>
    <w:tblStylePr w:type="lastCol">
      <w:rPr>
        <w:b/>
        <w:bCs/>
      </w:rPr>
    </w:tblStylePr>
    <w:tblStylePr w:type="band1Vert">
      <w:tblPr/>
      <w:tcPr>
        <w:tcBorders>
          <w:top w:val="single" w:sz="8" w:space="0" w:color="92C3CA"/>
          <w:left w:val="single" w:sz="8" w:space="0" w:color="92C3CA"/>
          <w:bottom w:val="single" w:sz="8" w:space="0" w:color="92C3CA"/>
          <w:right w:val="single" w:sz="8" w:space="0" w:color="92C3CA"/>
        </w:tcBorders>
      </w:tcPr>
    </w:tblStylePr>
    <w:tblStylePr w:type="band1Horz">
      <w:tblPr/>
      <w:tcPr>
        <w:tcBorders>
          <w:top w:val="single" w:sz="8" w:space="0" w:color="92C3CA"/>
          <w:left w:val="single" w:sz="8" w:space="0" w:color="92C3CA"/>
          <w:bottom w:val="single" w:sz="8" w:space="0" w:color="92C3CA"/>
          <w:right w:val="single" w:sz="8" w:space="0" w:color="92C3CA"/>
        </w:tcBorders>
      </w:tcPr>
    </w:tblStylePr>
  </w:style>
  <w:style w:type="table" w:customStyle="1" w:styleId="LightShading-Accent21">
    <w:name w:val="Light Shading - Accent 21"/>
    <w:basedOn w:val="TableNormal"/>
    <w:next w:val="LightShading-Accent2"/>
    <w:uiPriority w:val="60"/>
    <w:rsid w:val="00E57F60"/>
    <w:rPr>
      <w:rFonts w:ascii="Courier" w:hAnsi="Courier"/>
      <w:color w:val="57A2AD"/>
    </w:rPr>
    <w:tblPr>
      <w:tblStyleRowBandSize w:val="1"/>
      <w:tblStyleColBandSize w:val="1"/>
      <w:tblInd w:w="0" w:type="dxa"/>
      <w:tblBorders>
        <w:top w:val="single" w:sz="8" w:space="0" w:color="92C3CA"/>
        <w:bottom w:val="single" w:sz="8" w:space="0" w:color="92C3C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la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0F1"/>
      </w:tcPr>
    </w:tblStylePr>
    <w:tblStylePr w:type="band1Horz">
      <w:tblPr/>
      <w:tcPr>
        <w:tcBorders>
          <w:left w:val="nil"/>
          <w:right w:val="nil"/>
          <w:insideH w:val="nil"/>
          <w:insideV w:val="nil"/>
        </w:tcBorders>
        <w:shd w:val="clear" w:color="auto" w:fill="E3F0F1"/>
      </w:tcPr>
    </w:tblStylePr>
  </w:style>
  <w:style w:type="table" w:customStyle="1" w:styleId="LightList-Accent11">
    <w:name w:val="Light List - Accent 11"/>
    <w:basedOn w:val="TableNormal"/>
    <w:next w:val="LightList-Accent1"/>
    <w:uiPriority w:val="61"/>
    <w:rsid w:val="00E57F60"/>
    <w:rPr>
      <w:rFonts w:ascii="Cambria" w:eastAsia="Cambria" w:hAnsi="Cambria"/>
      <w:sz w:val="22"/>
      <w:szCs w:val="22"/>
      <w:lang w:val="en-GB" w:eastAsia="en-US"/>
    </w:rPr>
    <w:tblPr>
      <w:tblStyleRowBandSize w:val="1"/>
      <w:tblStyleColBandSize w:val="1"/>
      <w:tblInd w:w="0" w:type="dxa"/>
      <w:tblBorders>
        <w:top w:val="single" w:sz="8" w:space="0" w:color="0087A2"/>
        <w:left w:val="single" w:sz="8" w:space="0" w:color="0087A2"/>
        <w:bottom w:val="single" w:sz="8" w:space="0" w:color="0087A2"/>
        <w:right w:val="single" w:sz="8" w:space="0" w:color="0087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87A2"/>
      </w:tcPr>
    </w:tblStylePr>
    <w:tblStylePr w:type="lastRow">
      <w:pPr>
        <w:spacing w:before="0" w:after="0" w:line="240" w:lineRule="auto"/>
      </w:pPr>
      <w:rPr>
        <w:b/>
        <w:bCs/>
      </w:rPr>
      <w:tblPr/>
      <w:tcPr>
        <w:tcBorders>
          <w:top w:val="double" w:sz="6" w:space="0" w:color="0087A2"/>
          <w:left w:val="single" w:sz="8" w:space="0" w:color="0087A2"/>
          <w:bottom w:val="single" w:sz="8" w:space="0" w:color="0087A2"/>
          <w:right w:val="single" w:sz="8" w:space="0" w:color="0087A2"/>
        </w:tcBorders>
      </w:tcPr>
    </w:tblStylePr>
    <w:tblStylePr w:type="firstCol">
      <w:rPr>
        <w:b/>
        <w:bCs/>
      </w:rPr>
    </w:tblStylePr>
    <w:tblStylePr w:type="lastCol">
      <w:rPr>
        <w:b/>
        <w:bCs/>
      </w:rPr>
    </w:tblStylePr>
    <w:tblStylePr w:type="band1Vert">
      <w:tblPr/>
      <w:tcPr>
        <w:tcBorders>
          <w:top w:val="single" w:sz="8" w:space="0" w:color="0087A2"/>
          <w:left w:val="single" w:sz="8" w:space="0" w:color="0087A2"/>
          <w:bottom w:val="single" w:sz="8" w:space="0" w:color="0087A2"/>
          <w:right w:val="single" w:sz="8" w:space="0" w:color="0087A2"/>
        </w:tcBorders>
      </w:tcPr>
    </w:tblStylePr>
    <w:tblStylePr w:type="band1Horz">
      <w:tblPr/>
      <w:tcPr>
        <w:tcBorders>
          <w:top w:val="single" w:sz="8" w:space="0" w:color="0087A2"/>
          <w:left w:val="single" w:sz="8" w:space="0" w:color="0087A2"/>
          <w:bottom w:val="single" w:sz="8" w:space="0" w:color="0087A2"/>
          <w:right w:val="single" w:sz="8" w:space="0" w:color="0087A2"/>
        </w:tcBorders>
      </w:tcPr>
    </w:tblStylePr>
  </w:style>
  <w:style w:type="numbering" w:customStyle="1" w:styleId="Outlinebullets1">
    <w:name w:val="Outline bullets1"/>
    <w:basedOn w:val="NoList"/>
    <w:rsid w:val="00E57F60"/>
  </w:style>
  <w:style w:type="table" w:customStyle="1" w:styleId="LightList11">
    <w:name w:val="Light List11"/>
    <w:basedOn w:val="TableNormal"/>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E57F60"/>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1">
    <w:name w:val="Style11"/>
    <w:basedOn w:val="TableNormal"/>
    <w:uiPriority w:val="99"/>
    <w:qFormat/>
    <w:rsid w:val="00E57F60"/>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1">
    <w:name w:val="Style21"/>
    <w:basedOn w:val="TableNormal"/>
    <w:uiPriority w:val="99"/>
    <w:qFormat/>
    <w:rsid w:val="00E57F60"/>
    <w:rPr>
      <w:rFonts w:eastAsia="Calibri"/>
      <w:lang w:val="en-GB" w:eastAsia="en-GB"/>
    </w:rPr>
    <w:tblPr>
      <w:tblInd w:w="0" w:type="dxa"/>
      <w:tblCellMar>
        <w:top w:w="0" w:type="dxa"/>
        <w:left w:w="108" w:type="dxa"/>
        <w:bottom w:w="0" w:type="dxa"/>
        <w:right w:w="108" w:type="dxa"/>
      </w:tblCellMar>
    </w:tblPr>
  </w:style>
  <w:style w:type="paragraph" w:customStyle="1" w:styleId="QuoteSource">
    <w:name w:val="QuoteSource"/>
    <w:basedOn w:val="Quote"/>
    <w:link w:val="QuoteSourceChar"/>
    <w:qFormat/>
    <w:rsid w:val="00105BC8"/>
    <w:pPr>
      <w:spacing w:after="240"/>
      <w:jc w:val="right"/>
    </w:pPr>
    <w:rPr>
      <w:i w:val="0"/>
      <w:color w:val="000000"/>
    </w:rPr>
  </w:style>
  <w:style w:type="character" w:customStyle="1" w:styleId="QuoteSourceChar">
    <w:name w:val="QuoteSource Char"/>
    <w:basedOn w:val="QuoteChar"/>
    <w:link w:val="QuoteSource"/>
    <w:rsid w:val="00105BC8"/>
    <w:rPr>
      <w:rFonts w:ascii="Franklin Gothic Book" w:hAnsi="Franklin Gothic Book"/>
      <w:i w:val="0"/>
      <w:color w:val="000000"/>
      <w:sz w:val="21"/>
    </w:rPr>
  </w:style>
  <w:style w:type="character" w:customStyle="1" w:styleId="BoxQuoteChar">
    <w:name w:val="BoxQuote Char"/>
    <w:basedOn w:val="BoxTextChar"/>
    <w:link w:val="BoxQuote"/>
    <w:rsid w:val="00105BC8"/>
    <w:rPr>
      <w:rFonts w:ascii="Franklin Gothic Book" w:hAnsi="Franklin Gothic Book"/>
      <w:i/>
      <w:sz w:val="21"/>
      <w:shd w:val="clear" w:color="auto" w:fill="ECF1F7"/>
    </w:rPr>
  </w:style>
  <w:style w:type="character" w:customStyle="1" w:styleId="BoxTextChar">
    <w:name w:val="BoxText Char"/>
    <w:basedOn w:val="DefaultParagraphFont"/>
    <w:link w:val="BoxText"/>
    <w:rsid w:val="00105BC8"/>
    <w:rPr>
      <w:rFonts w:ascii="Franklin Gothic Book" w:hAnsi="Franklin Gothic Book"/>
      <w:sz w:val="21"/>
      <w:shd w:val="clear" w:color="auto" w:fill="ECF1F7"/>
    </w:rPr>
  </w:style>
  <w:style w:type="paragraph" w:customStyle="1" w:styleId="Foot">
    <w:name w:val="Foot"/>
    <w:basedOn w:val="FootnoteText"/>
    <w:rsid w:val="00232816"/>
  </w:style>
  <w:style w:type="character" w:customStyle="1" w:styleId="BoxHeadingChar">
    <w:name w:val="BoxHeading Char"/>
    <w:basedOn w:val="BoxTextChar"/>
    <w:link w:val="BoxHeading"/>
    <w:rsid w:val="00E44D77"/>
    <w:rPr>
      <w:rFonts w:ascii="Franklin Gothic Book" w:hAnsi="Franklin Gothic Book"/>
      <w:b/>
      <w:bCs/>
      <w:sz w:val="22"/>
      <w:shd w:val="clear" w:color="auto" w:fill="ECF1F7"/>
    </w:rPr>
  </w:style>
  <w:style w:type="paragraph" w:customStyle="1" w:styleId="BoxQuoteSource">
    <w:name w:val="BoxQuoteSource"/>
    <w:basedOn w:val="BoxText"/>
    <w:link w:val="BoxQuoteSourceChar"/>
    <w:qFormat/>
    <w:rsid w:val="00105BC8"/>
    <w:pPr>
      <w:jc w:val="right"/>
    </w:pPr>
    <w:rPr>
      <w:noProof/>
    </w:rPr>
  </w:style>
  <w:style w:type="character" w:customStyle="1" w:styleId="BoxQuoteSourceChar">
    <w:name w:val="BoxQuoteSource Char"/>
    <w:basedOn w:val="BoxTextChar"/>
    <w:link w:val="BoxQuoteSource"/>
    <w:rsid w:val="00105BC8"/>
    <w:rPr>
      <w:rFonts w:ascii="Franklin Gothic Book" w:hAnsi="Franklin Gothic Book"/>
      <w:noProof/>
      <w:sz w:val="21"/>
      <w:shd w:val="clear" w:color="auto" w:fill="ECF1F7"/>
    </w:rPr>
  </w:style>
  <w:style w:type="paragraph" w:customStyle="1" w:styleId="TableHeading21">
    <w:name w:val="TableHeading2"/>
    <w:basedOn w:val="TableHeading"/>
    <w:qFormat/>
    <w:rsid w:val="00105BC8"/>
    <w:rPr>
      <w:i/>
    </w:rPr>
  </w:style>
  <w:style w:type="character" w:customStyle="1" w:styleId="BoxBulletChar">
    <w:name w:val="BoxBullet Char"/>
    <w:basedOn w:val="BoxTextChar"/>
    <w:link w:val="BoxBullet"/>
    <w:rsid w:val="008A61AF"/>
    <w:rPr>
      <w:rFonts w:ascii="Franklin Gothic Book" w:hAnsi="Franklin Gothic Book"/>
      <w:sz w:val="21"/>
      <w:shd w:val="clear" w:color="auto" w:fill="ECF1F7"/>
    </w:rPr>
  </w:style>
  <w:style w:type="paragraph" w:customStyle="1" w:styleId="TableNumberList">
    <w:name w:val="TableNumberList"/>
    <w:basedOn w:val="Normal"/>
    <w:rsid w:val="00FF590D"/>
    <w:pPr>
      <w:numPr>
        <w:numId w:val="61"/>
      </w:numPr>
      <w:spacing w:after="40" w:line="240" w:lineRule="auto"/>
    </w:pPr>
    <w:rPr>
      <w:rFonts w:eastAsia="Calibri"/>
      <w:sz w:val="17"/>
      <w:szCs w:val="17"/>
      <w:lang w:eastAsia="en-US"/>
    </w:rPr>
  </w:style>
  <w:style w:type="paragraph" w:customStyle="1" w:styleId="TableNumberList2">
    <w:name w:val="TableNumberList2"/>
    <w:basedOn w:val="TableNumberList"/>
    <w:rsid w:val="00FF590D"/>
    <w:pPr>
      <w:numPr>
        <w:numId w:val="62"/>
      </w:numPr>
    </w:pPr>
  </w:style>
  <w:style w:type="paragraph" w:customStyle="1" w:styleId="NumberList3">
    <w:name w:val="NumberList3"/>
    <w:basedOn w:val="Normal"/>
    <w:rsid w:val="00401114"/>
    <w:pPr>
      <w:numPr>
        <w:numId w:val="63"/>
      </w:numPr>
      <w:spacing w:before="0" w:line="280" w:lineRule="exact"/>
      <w:ind w:left="851" w:hanging="284"/>
      <w:contextualSpacing/>
    </w:pPr>
    <w:rPr>
      <w:szCs w:val="24"/>
    </w:rPr>
  </w:style>
  <w:style w:type="paragraph" w:customStyle="1" w:styleId="Figureheading">
    <w:name w:val="Figure heading"/>
    <w:basedOn w:val="FigureName"/>
    <w:link w:val="FigureheadingChar"/>
    <w:rsid w:val="00AC0077"/>
  </w:style>
  <w:style w:type="paragraph" w:customStyle="1" w:styleId="BoxHeading21">
    <w:name w:val="BoxHeading2"/>
    <w:basedOn w:val="BoxHeading"/>
    <w:link w:val="BoxHeading2Char"/>
    <w:qFormat/>
    <w:rsid w:val="00105BC8"/>
    <w:rPr>
      <w:i/>
      <w:sz w:val="21"/>
    </w:rPr>
  </w:style>
  <w:style w:type="character" w:customStyle="1" w:styleId="FigureNameChar">
    <w:name w:val="FigureName Char"/>
    <w:basedOn w:val="DefaultParagraphFont"/>
    <w:link w:val="FigureName"/>
    <w:rsid w:val="00AC0077"/>
    <w:rPr>
      <w:rFonts w:ascii="Franklin Gothic Book" w:hAnsi="Franklin Gothic Book"/>
      <w:b/>
      <w:bCs/>
      <w:sz w:val="22"/>
    </w:rPr>
  </w:style>
  <w:style w:type="character" w:customStyle="1" w:styleId="FigureheadingChar">
    <w:name w:val="Figure heading Char"/>
    <w:basedOn w:val="FigureNameChar"/>
    <w:link w:val="Figureheading"/>
    <w:rsid w:val="00AC0077"/>
    <w:rPr>
      <w:rFonts w:ascii="Franklin Gothic Book" w:hAnsi="Franklin Gothic Book"/>
      <w:b/>
      <w:bCs/>
      <w:sz w:val="22"/>
    </w:rPr>
  </w:style>
  <w:style w:type="character" w:customStyle="1" w:styleId="BoxHeading2Char">
    <w:name w:val="BoxHeading2 Char"/>
    <w:basedOn w:val="BoxHeadingChar"/>
    <w:link w:val="BoxHeading21"/>
    <w:rsid w:val="00105BC8"/>
    <w:rPr>
      <w:rFonts w:ascii="Franklin Gothic Book" w:hAnsi="Franklin Gothic Book"/>
      <w:b/>
      <w:bCs/>
      <w:i/>
      <w:sz w:val="21"/>
      <w:shd w:val="clear" w:color="auto" w:fill="ECF1F7"/>
    </w:rPr>
  </w:style>
  <w:style w:type="paragraph" w:customStyle="1" w:styleId="RecommendationText">
    <w:name w:val="RecommendationText"/>
    <w:basedOn w:val="BoxText"/>
    <w:link w:val="RecommendationTextChar"/>
    <w:qFormat/>
    <w:rsid w:val="00105BC8"/>
    <w:pPr>
      <w:pBdr>
        <w:top w:val="single" w:sz="4" w:space="4" w:color="124486"/>
        <w:left w:val="none" w:sz="0" w:space="0" w:color="auto"/>
        <w:bottom w:val="single" w:sz="4" w:space="4" w:color="124486"/>
        <w:right w:val="none" w:sz="0" w:space="0" w:color="auto"/>
      </w:pBdr>
      <w:shd w:val="clear" w:color="auto" w:fill="auto"/>
    </w:pPr>
  </w:style>
  <w:style w:type="character" w:customStyle="1" w:styleId="RecommendationTextChar">
    <w:name w:val="RecommendationText Char"/>
    <w:basedOn w:val="BoxTextChar"/>
    <w:link w:val="RecommendationText"/>
    <w:rsid w:val="00105BC8"/>
    <w:rPr>
      <w:rFonts w:ascii="Franklin Gothic Book" w:hAnsi="Franklin Gothic Book"/>
      <w:sz w:val="21"/>
      <w:shd w:val="clear" w:color="auto" w:fill="ECF1F7"/>
    </w:rPr>
  </w:style>
  <w:style w:type="paragraph" w:customStyle="1" w:styleId="RecommendationSub">
    <w:name w:val="RecommendationSub"/>
    <w:basedOn w:val="RecommendationText"/>
    <w:link w:val="RecommendationSubChar"/>
    <w:qFormat/>
    <w:rsid w:val="00105BC8"/>
    <w:pPr>
      <w:ind w:left="357" w:hanging="357"/>
    </w:pPr>
  </w:style>
  <w:style w:type="character" w:customStyle="1" w:styleId="RecommendationSubChar">
    <w:name w:val="RecommendationSub Char"/>
    <w:basedOn w:val="RecommendationTextChar"/>
    <w:link w:val="RecommendationSub"/>
    <w:rsid w:val="00105BC8"/>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105BC8"/>
    <w:pPr>
      <w:spacing w:before="120"/>
    </w:pPr>
    <w:rPr>
      <w:rFonts w:ascii="Arial Bold" w:hAnsi="Arial Bold"/>
      <w:b/>
      <w:color w:val="EB0029"/>
      <w:sz w:val="24"/>
    </w:rPr>
  </w:style>
  <w:style w:type="character" w:customStyle="1" w:styleId="RecommendationNameChar">
    <w:name w:val="RecommendationName Char"/>
    <w:basedOn w:val="RecommendationTextChar"/>
    <w:link w:val="RecommendationName"/>
    <w:rsid w:val="00105BC8"/>
    <w:rPr>
      <w:rFonts w:ascii="Arial Bold" w:hAnsi="Arial Bold"/>
      <w:b/>
      <w:color w:val="EB0029"/>
      <w:sz w:val="24"/>
      <w:shd w:val="clear" w:color="auto" w:fill="ECF1F7"/>
    </w:rPr>
  </w:style>
  <w:style w:type="character" w:customStyle="1" w:styleId="footnotetextChar0">
    <w:name w:val="footnote text Char"/>
    <w:basedOn w:val="FootnoteTextChar"/>
    <w:link w:val="FootnoteText1"/>
    <w:rsid w:val="00782077"/>
    <w:rPr>
      <w:rFonts w:ascii="Franklin Gothic Book" w:hAnsi="Franklin Gothic Book"/>
      <w:sz w:val="17"/>
      <w:lang w:val="en-US"/>
    </w:rPr>
  </w:style>
  <w:style w:type="paragraph" w:customStyle="1" w:styleId="FootnoteText1">
    <w:name w:val="Footnote Text1"/>
    <w:basedOn w:val="FootnoteText"/>
    <w:link w:val="footnotetextChar0"/>
    <w:qFormat/>
    <w:rsid w:val="00782077"/>
    <w:rPr>
      <w:lang w:val="en-US"/>
    </w:rPr>
  </w:style>
  <w:style w:type="paragraph" w:customStyle="1" w:styleId="Quotetext">
    <w:name w:val="Quote text"/>
    <w:basedOn w:val="Quote"/>
    <w:link w:val="QuotetextChar"/>
    <w:qFormat/>
    <w:rsid w:val="00601396"/>
    <w:rPr>
      <w:noProof/>
    </w:rPr>
  </w:style>
  <w:style w:type="character" w:customStyle="1" w:styleId="QuotetextChar">
    <w:name w:val="Quote text Char"/>
    <w:basedOn w:val="QuoteChar"/>
    <w:link w:val="Quotetext"/>
    <w:rsid w:val="00601396"/>
    <w:rPr>
      <w:rFonts w:ascii="Franklin Gothic Book" w:hAnsi="Franklin Gothic Book"/>
      <w:i/>
      <w:noProof/>
      <w:sz w:val="21"/>
    </w:rPr>
  </w:style>
  <w:style w:type="paragraph" w:customStyle="1" w:styleId="Numberlist0">
    <w:name w:val="Number list"/>
    <w:basedOn w:val="NumberList"/>
    <w:link w:val="NumberlistChar0"/>
    <w:qFormat/>
    <w:rsid w:val="005F610E"/>
    <w:pPr>
      <w:tabs>
        <w:tab w:val="clear" w:pos="360"/>
      </w:tabs>
      <w:spacing w:before="0" w:line="280" w:lineRule="exact"/>
      <w:ind w:left="284" w:hanging="284"/>
    </w:pPr>
  </w:style>
  <w:style w:type="paragraph" w:customStyle="1" w:styleId="Boxheading0">
    <w:name w:val="Box heading"/>
    <w:basedOn w:val="BoxName"/>
    <w:link w:val="BoxheadingChar0"/>
    <w:qFormat/>
    <w:rsid w:val="00AB14E8"/>
    <w:pPr>
      <w:shd w:val="clear" w:color="auto" w:fill="007FAD"/>
      <w:spacing w:after="240"/>
      <w:ind w:left="1077" w:hanging="1077"/>
    </w:pPr>
    <w:rPr>
      <w:rFonts w:ascii="Arial" w:hAnsi="Arial"/>
    </w:rPr>
  </w:style>
  <w:style w:type="character" w:customStyle="1" w:styleId="NumberListChar">
    <w:name w:val="NumberList Char"/>
    <w:basedOn w:val="DefaultParagraphFont"/>
    <w:link w:val="NumberList"/>
    <w:rsid w:val="005F610E"/>
    <w:rPr>
      <w:rFonts w:ascii="Franklin Gothic Book" w:hAnsi="Franklin Gothic Book"/>
      <w:sz w:val="21"/>
    </w:rPr>
  </w:style>
  <w:style w:type="character" w:customStyle="1" w:styleId="NumberlistChar0">
    <w:name w:val="Number list Char"/>
    <w:basedOn w:val="NumberListChar"/>
    <w:link w:val="Numberlist0"/>
    <w:rsid w:val="005F610E"/>
    <w:rPr>
      <w:rFonts w:ascii="Franklin Gothic Book" w:hAnsi="Franklin Gothic Book"/>
      <w:sz w:val="21"/>
    </w:rPr>
  </w:style>
  <w:style w:type="character" w:customStyle="1" w:styleId="BoxheadingChar0">
    <w:name w:val="Box heading Char"/>
    <w:basedOn w:val="DefaultParagraphFont"/>
    <w:link w:val="Boxheading0"/>
    <w:rsid w:val="00AB14E8"/>
    <w:rPr>
      <w:rFonts w:ascii="Arial" w:hAnsi="Arial"/>
      <w:b/>
      <w:bCs/>
      <w:color w:val="FFFFFF" w:themeColor="background1"/>
      <w:sz w:val="24"/>
      <w:shd w:val="clear" w:color="auto" w:fill="007FAD"/>
    </w:rPr>
  </w:style>
  <w:style w:type="paragraph" w:customStyle="1" w:styleId="TableText0">
    <w:name w:val="Table Text"/>
    <w:basedOn w:val="TableText"/>
    <w:link w:val="TableTextChar"/>
    <w:qFormat/>
    <w:rsid w:val="00050A3C"/>
  </w:style>
  <w:style w:type="character" w:customStyle="1" w:styleId="TableTextChar">
    <w:name w:val="Table Text Char"/>
    <w:basedOn w:val="DefaultParagraphFont"/>
    <w:link w:val="TableText0"/>
    <w:rsid w:val="00050A3C"/>
    <w:rPr>
      <w:rFonts w:ascii="Franklin Gothic Book" w:hAnsi="Franklin Gothic Book"/>
      <w:color w:val="000000" w:themeColor="text1"/>
      <w:sz w:val="17"/>
      <w:szCs w:val="21"/>
    </w:rPr>
  </w:style>
  <w:style w:type="paragraph" w:customStyle="1" w:styleId="Style1StyleHeading111ptComplex11pt">
    <w:name w:val="Style 1. Style Heading 1 + 11 pt + (Complex) 11 pt"/>
    <w:basedOn w:val="Normal"/>
    <w:rsid w:val="00EA1C67"/>
    <w:pPr>
      <w:tabs>
        <w:tab w:val="num" w:pos="360"/>
      </w:tabs>
      <w:spacing w:before="0" w:after="0" w:line="240" w:lineRule="auto"/>
    </w:pPr>
    <w:rPr>
      <w:rFonts w:ascii="Times New Roman" w:eastAsia="SimSun" w:hAnsi="Times New Roman" w:cs="Courier"/>
      <w:sz w:val="24"/>
      <w:szCs w:val="28"/>
      <w:lang w:val="en-US"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774">
      <w:bodyDiv w:val="1"/>
      <w:marLeft w:val="0"/>
      <w:marRight w:val="0"/>
      <w:marTop w:val="0"/>
      <w:marBottom w:val="0"/>
      <w:divBdr>
        <w:top w:val="none" w:sz="0" w:space="0" w:color="auto"/>
        <w:left w:val="none" w:sz="0" w:space="0" w:color="auto"/>
        <w:bottom w:val="none" w:sz="0" w:space="0" w:color="auto"/>
        <w:right w:val="none" w:sz="0" w:space="0" w:color="auto"/>
      </w:divBdr>
    </w:div>
    <w:div w:id="360320006">
      <w:bodyDiv w:val="1"/>
      <w:marLeft w:val="0"/>
      <w:marRight w:val="0"/>
      <w:marTop w:val="0"/>
      <w:marBottom w:val="0"/>
      <w:divBdr>
        <w:top w:val="none" w:sz="0" w:space="0" w:color="auto"/>
        <w:left w:val="none" w:sz="0" w:space="0" w:color="auto"/>
        <w:bottom w:val="none" w:sz="0" w:space="0" w:color="auto"/>
        <w:right w:val="none" w:sz="0" w:space="0" w:color="auto"/>
      </w:divBdr>
    </w:div>
    <w:div w:id="501550889">
      <w:bodyDiv w:val="1"/>
      <w:marLeft w:val="0"/>
      <w:marRight w:val="0"/>
      <w:marTop w:val="0"/>
      <w:marBottom w:val="0"/>
      <w:divBdr>
        <w:top w:val="none" w:sz="0" w:space="0" w:color="auto"/>
        <w:left w:val="none" w:sz="0" w:space="0" w:color="auto"/>
        <w:bottom w:val="none" w:sz="0" w:space="0" w:color="auto"/>
        <w:right w:val="none" w:sz="0" w:space="0" w:color="auto"/>
      </w:divBdr>
    </w:div>
    <w:div w:id="512305563">
      <w:bodyDiv w:val="1"/>
      <w:marLeft w:val="0"/>
      <w:marRight w:val="0"/>
      <w:marTop w:val="0"/>
      <w:marBottom w:val="0"/>
      <w:divBdr>
        <w:top w:val="none" w:sz="0" w:space="0" w:color="auto"/>
        <w:left w:val="none" w:sz="0" w:space="0" w:color="auto"/>
        <w:bottom w:val="none" w:sz="0" w:space="0" w:color="auto"/>
        <w:right w:val="none" w:sz="0" w:space="0" w:color="auto"/>
      </w:divBdr>
    </w:div>
    <w:div w:id="523716802">
      <w:bodyDiv w:val="1"/>
      <w:marLeft w:val="0"/>
      <w:marRight w:val="0"/>
      <w:marTop w:val="0"/>
      <w:marBottom w:val="0"/>
      <w:divBdr>
        <w:top w:val="none" w:sz="0" w:space="0" w:color="auto"/>
        <w:left w:val="none" w:sz="0" w:space="0" w:color="auto"/>
        <w:bottom w:val="none" w:sz="0" w:space="0" w:color="auto"/>
        <w:right w:val="none" w:sz="0" w:space="0" w:color="auto"/>
      </w:divBdr>
    </w:div>
    <w:div w:id="675425728">
      <w:bodyDiv w:val="1"/>
      <w:marLeft w:val="0"/>
      <w:marRight w:val="0"/>
      <w:marTop w:val="0"/>
      <w:marBottom w:val="0"/>
      <w:divBdr>
        <w:top w:val="none" w:sz="0" w:space="0" w:color="auto"/>
        <w:left w:val="none" w:sz="0" w:space="0" w:color="auto"/>
        <w:bottom w:val="none" w:sz="0" w:space="0" w:color="auto"/>
        <w:right w:val="none" w:sz="0" w:space="0" w:color="auto"/>
      </w:divBdr>
    </w:div>
    <w:div w:id="675959228">
      <w:bodyDiv w:val="1"/>
      <w:marLeft w:val="0"/>
      <w:marRight w:val="0"/>
      <w:marTop w:val="0"/>
      <w:marBottom w:val="0"/>
      <w:divBdr>
        <w:top w:val="none" w:sz="0" w:space="0" w:color="auto"/>
        <w:left w:val="none" w:sz="0" w:space="0" w:color="auto"/>
        <w:bottom w:val="none" w:sz="0" w:space="0" w:color="auto"/>
        <w:right w:val="none" w:sz="0" w:space="0" w:color="auto"/>
      </w:divBdr>
    </w:div>
    <w:div w:id="706836963">
      <w:bodyDiv w:val="1"/>
      <w:marLeft w:val="0"/>
      <w:marRight w:val="0"/>
      <w:marTop w:val="0"/>
      <w:marBottom w:val="0"/>
      <w:divBdr>
        <w:top w:val="none" w:sz="0" w:space="0" w:color="auto"/>
        <w:left w:val="none" w:sz="0" w:space="0" w:color="auto"/>
        <w:bottom w:val="none" w:sz="0" w:space="0" w:color="auto"/>
        <w:right w:val="none" w:sz="0" w:space="0" w:color="auto"/>
      </w:divBdr>
    </w:div>
    <w:div w:id="713047028">
      <w:bodyDiv w:val="1"/>
      <w:marLeft w:val="0"/>
      <w:marRight w:val="0"/>
      <w:marTop w:val="0"/>
      <w:marBottom w:val="0"/>
      <w:divBdr>
        <w:top w:val="none" w:sz="0" w:space="0" w:color="auto"/>
        <w:left w:val="none" w:sz="0" w:space="0" w:color="auto"/>
        <w:bottom w:val="none" w:sz="0" w:space="0" w:color="auto"/>
        <w:right w:val="none" w:sz="0" w:space="0" w:color="auto"/>
      </w:divBdr>
      <w:divsChild>
        <w:div w:id="1500383816">
          <w:marLeft w:val="0"/>
          <w:marRight w:val="0"/>
          <w:marTop w:val="0"/>
          <w:marBottom w:val="0"/>
          <w:divBdr>
            <w:top w:val="none" w:sz="0" w:space="0" w:color="auto"/>
            <w:left w:val="none" w:sz="0" w:space="0" w:color="auto"/>
            <w:bottom w:val="none" w:sz="0" w:space="0" w:color="auto"/>
            <w:right w:val="none" w:sz="0" w:space="0" w:color="auto"/>
          </w:divBdr>
          <w:divsChild>
            <w:div w:id="1859852750">
              <w:marLeft w:val="0"/>
              <w:marRight w:val="0"/>
              <w:marTop w:val="0"/>
              <w:marBottom w:val="0"/>
              <w:divBdr>
                <w:top w:val="none" w:sz="0" w:space="0" w:color="auto"/>
                <w:left w:val="none" w:sz="0" w:space="0" w:color="auto"/>
                <w:bottom w:val="none" w:sz="0" w:space="0" w:color="auto"/>
                <w:right w:val="none" w:sz="0" w:space="0" w:color="auto"/>
              </w:divBdr>
              <w:divsChild>
                <w:div w:id="5615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1172">
      <w:bodyDiv w:val="1"/>
      <w:marLeft w:val="0"/>
      <w:marRight w:val="0"/>
      <w:marTop w:val="0"/>
      <w:marBottom w:val="0"/>
      <w:divBdr>
        <w:top w:val="none" w:sz="0" w:space="0" w:color="auto"/>
        <w:left w:val="none" w:sz="0" w:space="0" w:color="auto"/>
        <w:bottom w:val="none" w:sz="0" w:space="0" w:color="auto"/>
        <w:right w:val="none" w:sz="0" w:space="0" w:color="auto"/>
      </w:divBdr>
    </w:div>
    <w:div w:id="909774253">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70269761">
      <w:bodyDiv w:val="1"/>
      <w:marLeft w:val="0"/>
      <w:marRight w:val="0"/>
      <w:marTop w:val="0"/>
      <w:marBottom w:val="0"/>
      <w:divBdr>
        <w:top w:val="none" w:sz="0" w:space="0" w:color="auto"/>
        <w:left w:val="none" w:sz="0" w:space="0" w:color="auto"/>
        <w:bottom w:val="none" w:sz="0" w:space="0" w:color="auto"/>
        <w:right w:val="none" w:sz="0" w:space="0" w:color="auto"/>
      </w:divBdr>
    </w:div>
    <w:div w:id="1101989362">
      <w:bodyDiv w:val="1"/>
      <w:marLeft w:val="0"/>
      <w:marRight w:val="0"/>
      <w:marTop w:val="0"/>
      <w:marBottom w:val="0"/>
      <w:divBdr>
        <w:top w:val="none" w:sz="0" w:space="0" w:color="auto"/>
        <w:left w:val="none" w:sz="0" w:space="0" w:color="auto"/>
        <w:bottom w:val="none" w:sz="0" w:space="0" w:color="auto"/>
        <w:right w:val="none" w:sz="0" w:space="0" w:color="auto"/>
      </w:divBdr>
    </w:div>
    <w:div w:id="1176578522">
      <w:bodyDiv w:val="1"/>
      <w:marLeft w:val="0"/>
      <w:marRight w:val="0"/>
      <w:marTop w:val="0"/>
      <w:marBottom w:val="0"/>
      <w:divBdr>
        <w:top w:val="none" w:sz="0" w:space="0" w:color="auto"/>
        <w:left w:val="none" w:sz="0" w:space="0" w:color="auto"/>
        <w:bottom w:val="none" w:sz="0" w:space="0" w:color="auto"/>
        <w:right w:val="none" w:sz="0" w:space="0" w:color="auto"/>
      </w:divBdr>
      <w:divsChild>
        <w:div w:id="524097062">
          <w:marLeft w:val="0"/>
          <w:marRight w:val="0"/>
          <w:marTop w:val="0"/>
          <w:marBottom w:val="0"/>
          <w:divBdr>
            <w:top w:val="none" w:sz="0" w:space="0" w:color="auto"/>
            <w:left w:val="none" w:sz="0" w:space="0" w:color="auto"/>
            <w:bottom w:val="none" w:sz="0" w:space="0" w:color="auto"/>
            <w:right w:val="none" w:sz="0" w:space="0" w:color="auto"/>
          </w:divBdr>
          <w:divsChild>
            <w:div w:id="1179584813">
              <w:marLeft w:val="0"/>
              <w:marRight w:val="0"/>
              <w:marTop w:val="0"/>
              <w:marBottom w:val="0"/>
              <w:divBdr>
                <w:top w:val="none" w:sz="0" w:space="0" w:color="auto"/>
                <w:left w:val="none" w:sz="0" w:space="0" w:color="auto"/>
                <w:bottom w:val="none" w:sz="0" w:space="0" w:color="auto"/>
                <w:right w:val="none" w:sz="0" w:space="0" w:color="auto"/>
              </w:divBdr>
              <w:divsChild>
                <w:div w:id="228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3759">
      <w:bodyDiv w:val="1"/>
      <w:marLeft w:val="0"/>
      <w:marRight w:val="0"/>
      <w:marTop w:val="0"/>
      <w:marBottom w:val="0"/>
      <w:divBdr>
        <w:top w:val="none" w:sz="0" w:space="0" w:color="auto"/>
        <w:left w:val="none" w:sz="0" w:space="0" w:color="auto"/>
        <w:bottom w:val="none" w:sz="0" w:space="0" w:color="auto"/>
        <w:right w:val="none" w:sz="0" w:space="0" w:color="auto"/>
      </w:divBdr>
    </w:div>
    <w:div w:id="1411076791">
      <w:bodyDiv w:val="1"/>
      <w:marLeft w:val="0"/>
      <w:marRight w:val="0"/>
      <w:marTop w:val="0"/>
      <w:marBottom w:val="0"/>
      <w:divBdr>
        <w:top w:val="none" w:sz="0" w:space="0" w:color="auto"/>
        <w:left w:val="none" w:sz="0" w:space="0" w:color="auto"/>
        <w:bottom w:val="none" w:sz="0" w:space="0" w:color="auto"/>
        <w:right w:val="none" w:sz="0" w:space="0" w:color="auto"/>
      </w:divBdr>
    </w:div>
    <w:div w:id="1418163113">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54847057">
      <w:bodyDiv w:val="1"/>
      <w:marLeft w:val="0"/>
      <w:marRight w:val="0"/>
      <w:marTop w:val="0"/>
      <w:marBottom w:val="0"/>
      <w:divBdr>
        <w:top w:val="none" w:sz="0" w:space="0" w:color="auto"/>
        <w:left w:val="none" w:sz="0" w:space="0" w:color="auto"/>
        <w:bottom w:val="none" w:sz="0" w:space="0" w:color="auto"/>
        <w:right w:val="none" w:sz="0" w:space="0" w:color="auto"/>
      </w:divBdr>
    </w:div>
    <w:div w:id="1562250644">
      <w:bodyDiv w:val="1"/>
      <w:marLeft w:val="0"/>
      <w:marRight w:val="0"/>
      <w:marTop w:val="0"/>
      <w:marBottom w:val="0"/>
      <w:divBdr>
        <w:top w:val="none" w:sz="0" w:space="0" w:color="auto"/>
        <w:left w:val="none" w:sz="0" w:space="0" w:color="auto"/>
        <w:bottom w:val="none" w:sz="0" w:space="0" w:color="auto"/>
        <w:right w:val="none" w:sz="0" w:space="0" w:color="auto"/>
      </w:divBdr>
    </w:div>
    <w:div w:id="157758742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793398431">
      <w:bodyDiv w:val="1"/>
      <w:marLeft w:val="0"/>
      <w:marRight w:val="0"/>
      <w:marTop w:val="0"/>
      <w:marBottom w:val="0"/>
      <w:divBdr>
        <w:top w:val="none" w:sz="0" w:space="0" w:color="auto"/>
        <w:left w:val="none" w:sz="0" w:space="0" w:color="auto"/>
        <w:bottom w:val="none" w:sz="0" w:space="0" w:color="auto"/>
        <w:right w:val="none" w:sz="0" w:space="0" w:color="auto"/>
      </w:divBdr>
    </w:div>
    <w:div w:id="1803842197">
      <w:bodyDiv w:val="1"/>
      <w:marLeft w:val="0"/>
      <w:marRight w:val="0"/>
      <w:marTop w:val="90"/>
      <w:marBottom w:val="90"/>
      <w:divBdr>
        <w:top w:val="none" w:sz="0" w:space="0" w:color="auto"/>
        <w:left w:val="none" w:sz="0" w:space="0" w:color="auto"/>
        <w:bottom w:val="none" w:sz="0" w:space="0" w:color="auto"/>
        <w:right w:val="none" w:sz="0" w:space="0" w:color="auto"/>
      </w:divBdr>
      <w:divsChild>
        <w:div w:id="1338967143">
          <w:marLeft w:val="0"/>
          <w:marRight w:val="0"/>
          <w:marTop w:val="0"/>
          <w:marBottom w:val="0"/>
          <w:divBdr>
            <w:top w:val="none" w:sz="0" w:space="0" w:color="auto"/>
            <w:left w:val="none" w:sz="0" w:space="0" w:color="auto"/>
            <w:bottom w:val="none" w:sz="0" w:space="0" w:color="auto"/>
            <w:right w:val="none" w:sz="0" w:space="0" w:color="auto"/>
          </w:divBdr>
          <w:divsChild>
            <w:div w:id="735936353">
              <w:marLeft w:val="0"/>
              <w:marRight w:val="0"/>
              <w:marTop w:val="0"/>
              <w:marBottom w:val="0"/>
              <w:divBdr>
                <w:top w:val="none" w:sz="0" w:space="0" w:color="auto"/>
                <w:left w:val="none" w:sz="0" w:space="0" w:color="auto"/>
                <w:bottom w:val="none" w:sz="0" w:space="0" w:color="auto"/>
                <w:right w:val="none" w:sz="0" w:space="0" w:color="auto"/>
              </w:divBdr>
              <w:divsChild>
                <w:div w:id="1786535787">
                  <w:marLeft w:val="0"/>
                  <w:marRight w:val="0"/>
                  <w:marTop w:val="0"/>
                  <w:marBottom w:val="0"/>
                  <w:divBdr>
                    <w:top w:val="none" w:sz="0" w:space="0" w:color="auto"/>
                    <w:left w:val="none" w:sz="0" w:space="0" w:color="auto"/>
                    <w:bottom w:val="none" w:sz="0" w:space="0" w:color="auto"/>
                    <w:right w:val="none" w:sz="0" w:space="0" w:color="auto"/>
                  </w:divBdr>
                  <w:divsChild>
                    <w:div w:id="1997415799">
                      <w:marLeft w:val="0"/>
                      <w:marRight w:val="0"/>
                      <w:marTop w:val="0"/>
                      <w:marBottom w:val="0"/>
                      <w:divBdr>
                        <w:top w:val="none" w:sz="0" w:space="0" w:color="auto"/>
                        <w:left w:val="none" w:sz="0" w:space="0" w:color="auto"/>
                        <w:bottom w:val="none" w:sz="0" w:space="0" w:color="auto"/>
                        <w:right w:val="none" w:sz="0" w:space="0" w:color="auto"/>
                      </w:divBdr>
                      <w:divsChild>
                        <w:div w:id="1507742235">
                          <w:marLeft w:val="0"/>
                          <w:marRight w:val="0"/>
                          <w:marTop w:val="0"/>
                          <w:marBottom w:val="0"/>
                          <w:divBdr>
                            <w:top w:val="none" w:sz="0" w:space="0" w:color="auto"/>
                            <w:left w:val="none" w:sz="0" w:space="0" w:color="auto"/>
                            <w:bottom w:val="none" w:sz="0" w:space="0" w:color="auto"/>
                            <w:right w:val="none" w:sz="0" w:space="0" w:color="auto"/>
                          </w:divBdr>
                          <w:divsChild>
                            <w:div w:id="232593642">
                              <w:marLeft w:val="0"/>
                              <w:marRight w:val="0"/>
                              <w:marTop w:val="0"/>
                              <w:marBottom w:val="0"/>
                              <w:divBdr>
                                <w:top w:val="none" w:sz="0" w:space="0" w:color="auto"/>
                                <w:left w:val="none" w:sz="0" w:space="0" w:color="auto"/>
                                <w:bottom w:val="none" w:sz="0" w:space="0" w:color="auto"/>
                                <w:right w:val="none" w:sz="0" w:space="0" w:color="auto"/>
                              </w:divBdr>
                              <w:divsChild>
                                <w:div w:id="90199316">
                                  <w:marLeft w:val="0"/>
                                  <w:marRight w:val="0"/>
                                  <w:marTop w:val="0"/>
                                  <w:marBottom w:val="0"/>
                                  <w:divBdr>
                                    <w:top w:val="none" w:sz="0" w:space="0" w:color="auto"/>
                                    <w:left w:val="none" w:sz="0" w:space="0" w:color="auto"/>
                                    <w:bottom w:val="none" w:sz="0" w:space="0" w:color="auto"/>
                                    <w:right w:val="none" w:sz="0" w:space="0" w:color="auto"/>
                                  </w:divBdr>
                                  <w:divsChild>
                                    <w:div w:id="1784807838">
                                      <w:marLeft w:val="0"/>
                                      <w:marRight w:val="0"/>
                                      <w:marTop w:val="0"/>
                                      <w:marBottom w:val="0"/>
                                      <w:divBdr>
                                        <w:top w:val="none" w:sz="0" w:space="0" w:color="auto"/>
                                        <w:left w:val="none" w:sz="0" w:space="0" w:color="auto"/>
                                        <w:bottom w:val="none" w:sz="0" w:space="0" w:color="auto"/>
                                        <w:right w:val="none" w:sz="0" w:space="0" w:color="auto"/>
                                      </w:divBdr>
                                      <w:divsChild>
                                        <w:div w:id="1478299708">
                                          <w:marLeft w:val="0"/>
                                          <w:marRight w:val="0"/>
                                          <w:marTop w:val="0"/>
                                          <w:marBottom w:val="0"/>
                                          <w:divBdr>
                                            <w:top w:val="none" w:sz="0" w:space="0" w:color="auto"/>
                                            <w:left w:val="none" w:sz="0" w:space="0" w:color="auto"/>
                                            <w:bottom w:val="none" w:sz="0" w:space="0" w:color="auto"/>
                                            <w:right w:val="none" w:sz="0" w:space="0" w:color="auto"/>
                                          </w:divBdr>
                                          <w:divsChild>
                                            <w:div w:id="1536768433">
                                              <w:marLeft w:val="0"/>
                                              <w:marRight w:val="0"/>
                                              <w:marTop w:val="0"/>
                                              <w:marBottom w:val="0"/>
                                              <w:divBdr>
                                                <w:top w:val="none" w:sz="0" w:space="0" w:color="auto"/>
                                                <w:left w:val="none" w:sz="0" w:space="0" w:color="auto"/>
                                                <w:bottom w:val="none" w:sz="0" w:space="0" w:color="auto"/>
                                                <w:right w:val="none" w:sz="0" w:space="0" w:color="auto"/>
                                              </w:divBdr>
                                              <w:divsChild>
                                                <w:div w:id="835849740">
                                                  <w:marLeft w:val="0"/>
                                                  <w:marRight w:val="0"/>
                                                  <w:marTop w:val="0"/>
                                                  <w:marBottom w:val="0"/>
                                                  <w:divBdr>
                                                    <w:top w:val="none" w:sz="0" w:space="0" w:color="auto"/>
                                                    <w:left w:val="none" w:sz="0" w:space="0" w:color="auto"/>
                                                    <w:bottom w:val="none" w:sz="0" w:space="0" w:color="auto"/>
                                                    <w:right w:val="none" w:sz="0" w:space="0" w:color="auto"/>
                                                  </w:divBdr>
                                                  <w:divsChild>
                                                    <w:div w:id="235553438">
                                                      <w:marLeft w:val="0"/>
                                                      <w:marRight w:val="0"/>
                                                      <w:marTop w:val="0"/>
                                                      <w:marBottom w:val="0"/>
                                                      <w:divBdr>
                                                        <w:top w:val="none" w:sz="0" w:space="0" w:color="auto"/>
                                                        <w:left w:val="none" w:sz="0" w:space="0" w:color="auto"/>
                                                        <w:bottom w:val="none" w:sz="0" w:space="0" w:color="auto"/>
                                                        <w:right w:val="none" w:sz="0" w:space="0" w:color="auto"/>
                                                      </w:divBdr>
                                                      <w:divsChild>
                                                        <w:div w:id="227352238">
                                                          <w:marLeft w:val="0"/>
                                                          <w:marRight w:val="0"/>
                                                          <w:marTop w:val="0"/>
                                                          <w:marBottom w:val="0"/>
                                                          <w:divBdr>
                                                            <w:top w:val="none" w:sz="0" w:space="0" w:color="auto"/>
                                                            <w:left w:val="none" w:sz="0" w:space="0" w:color="auto"/>
                                                            <w:bottom w:val="none" w:sz="0" w:space="0" w:color="auto"/>
                                                            <w:right w:val="none" w:sz="0" w:space="0" w:color="auto"/>
                                                          </w:divBdr>
                                                          <w:divsChild>
                                                            <w:div w:id="2049332424">
                                                              <w:marLeft w:val="0"/>
                                                              <w:marRight w:val="0"/>
                                                              <w:marTop w:val="0"/>
                                                              <w:marBottom w:val="0"/>
                                                              <w:divBdr>
                                                                <w:top w:val="none" w:sz="0" w:space="0" w:color="auto"/>
                                                                <w:left w:val="none" w:sz="0" w:space="0" w:color="auto"/>
                                                                <w:bottom w:val="none" w:sz="0" w:space="0" w:color="auto"/>
                                                                <w:right w:val="none" w:sz="0" w:space="0" w:color="auto"/>
                                                              </w:divBdr>
                                                              <w:divsChild>
                                                                <w:div w:id="1825589580">
                                                                  <w:marLeft w:val="0"/>
                                                                  <w:marRight w:val="0"/>
                                                                  <w:marTop w:val="0"/>
                                                                  <w:marBottom w:val="0"/>
                                                                  <w:divBdr>
                                                                    <w:top w:val="none" w:sz="0" w:space="0" w:color="auto"/>
                                                                    <w:left w:val="none" w:sz="0" w:space="0" w:color="auto"/>
                                                                    <w:bottom w:val="none" w:sz="0" w:space="0" w:color="auto"/>
                                                                    <w:right w:val="none" w:sz="0" w:space="0" w:color="auto"/>
                                                                  </w:divBdr>
                                                                  <w:divsChild>
                                                                    <w:div w:id="1652517638">
                                                                      <w:marLeft w:val="0"/>
                                                                      <w:marRight w:val="0"/>
                                                                      <w:marTop w:val="0"/>
                                                                      <w:marBottom w:val="0"/>
                                                                      <w:divBdr>
                                                                        <w:top w:val="none" w:sz="0" w:space="0" w:color="auto"/>
                                                                        <w:left w:val="none" w:sz="0" w:space="0" w:color="auto"/>
                                                                        <w:bottom w:val="none" w:sz="0" w:space="0" w:color="auto"/>
                                                                        <w:right w:val="none" w:sz="0" w:space="0" w:color="auto"/>
                                                                      </w:divBdr>
                                                                      <w:divsChild>
                                                                        <w:div w:id="399060464">
                                                                          <w:marLeft w:val="0"/>
                                                                          <w:marRight w:val="0"/>
                                                                          <w:marTop w:val="0"/>
                                                                          <w:marBottom w:val="0"/>
                                                                          <w:divBdr>
                                                                            <w:top w:val="none" w:sz="0" w:space="0" w:color="auto"/>
                                                                            <w:left w:val="none" w:sz="0" w:space="0" w:color="auto"/>
                                                                            <w:bottom w:val="none" w:sz="0" w:space="0" w:color="auto"/>
                                                                            <w:right w:val="none" w:sz="0" w:space="0" w:color="auto"/>
                                                                          </w:divBdr>
                                                                          <w:divsChild>
                                                                            <w:div w:id="18298002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237789">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2064214232">
      <w:bodyDiv w:val="1"/>
      <w:marLeft w:val="0"/>
      <w:marRight w:val="0"/>
      <w:marTop w:val="0"/>
      <w:marBottom w:val="0"/>
      <w:divBdr>
        <w:top w:val="none" w:sz="0" w:space="0" w:color="auto"/>
        <w:left w:val="none" w:sz="0" w:space="0" w:color="auto"/>
        <w:bottom w:val="none" w:sz="0" w:space="0" w:color="auto"/>
        <w:right w:val="none" w:sz="0" w:space="0" w:color="auto"/>
      </w:divBdr>
    </w:div>
    <w:div w:id="2074620085">
      <w:bodyDiv w:val="1"/>
      <w:marLeft w:val="0"/>
      <w:marRight w:val="0"/>
      <w:marTop w:val="0"/>
      <w:marBottom w:val="0"/>
      <w:divBdr>
        <w:top w:val="none" w:sz="0" w:space="0" w:color="auto"/>
        <w:left w:val="none" w:sz="0" w:space="0" w:color="auto"/>
        <w:bottom w:val="none" w:sz="0" w:space="0" w:color="auto"/>
        <w:right w:val="none" w:sz="0" w:space="0" w:color="auto"/>
      </w:divBdr>
    </w:div>
    <w:div w:id="21437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file:///C:/Users/plummk01/AppData/Local/Microsoft/Windows/Temporary%20Internet%20Files/Content.Outlook/WTGBO7I9/www.ode.dfat.gov.au" TargetMode="External"/><Relationship Id="rId39" Type="http://schemas.openxmlformats.org/officeDocument/2006/relationships/customXml" Target="../customXml/item9.xm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29" Type="http://schemas.openxmlformats.org/officeDocument/2006/relationships/image" Target="media/image3.emf"/><Relationship Id="rId41" Type="http://schemas.openxmlformats.org/officeDocument/2006/relationships/customXml" Target="../customXml/item1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creativecommons.org/licenses/by/3.0/au/legalcode" TargetMode="External"/><Relationship Id="rId32" Type="http://schemas.openxmlformats.org/officeDocument/2006/relationships/footer" Target="footer4.xml"/><Relationship Id="rId37" Type="http://schemas.openxmlformats.org/officeDocument/2006/relationships/fontTable" Target="fontTable.xml"/><Relationship Id="rId40"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creativecommons.org/licenses/by/3.0/au/"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yperlink" Target="http://www.ode.dfat.gov.au" TargetMode="External"/><Relationship Id="rId30" Type="http://schemas.openxmlformats.org/officeDocument/2006/relationships/header" Target="header5.xml"/><Relationship Id="rId35"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www.ode.dfat.gov.au" TargetMode="External"/><Relationship Id="rId33" Type="http://schemas.openxmlformats.org/officeDocument/2006/relationships/footer" Target="footer5.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id.dfat.gov.au/Publications/Pages/List.aspx?publicationcategory=Evaluation%20Reports" TargetMode="External"/><Relationship Id="rId2" Type="http://schemas.openxmlformats.org/officeDocument/2006/relationships/hyperlink" Target="file://ausaid.local/Udrive/CBR/ODE/4.%20PERF_ANALYSIS/4%20Review%20of%20Operational%20Evaluations/2013%20Evaluation%20Review/www.alnap.org/pool/files/QualityProforma05.pdf" TargetMode="External"/><Relationship Id="rId1" Type="http://schemas.openxmlformats.org/officeDocument/2006/relationships/hyperlink" Target="http://aid.dfat.gov.au/Publications/Pages/List.aspx?publicationcategory=Evaluation%20Repor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2354-E8AC-4BC9-8AF2-8E33E56CE13D}"/>
</file>

<file path=customXml/itemProps10.xml><?xml version="1.0" encoding="utf-8"?>
<ds:datastoreItem xmlns:ds="http://schemas.openxmlformats.org/officeDocument/2006/customXml" ds:itemID="{12EE1ADA-12C0-484F-B8F7-6082C1283BE3}"/>
</file>

<file path=customXml/itemProps11.xml><?xml version="1.0" encoding="utf-8"?>
<ds:datastoreItem xmlns:ds="http://schemas.openxmlformats.org/officeDocument/2006/customXml" ds:itemID="{3A4A108F-2BC8-4C12-B3A8-1847EE440A97}"/>
</file>

<file path=customXml/itemProps2.xml><?xml version="1.0" encoding="utf-8"?>
<ds:datastoreItem xmlns:ds="http://schemas.openxmlformats.org/officeDocument/2006/customXml" ds:itemID="{8A2DF014-9534-4233-B20B-355CB99A4822}"/>
</file>

<file path=customXml/itemProps3.xml><?xml version="1.0" encoding="utf-8"?>
<ds:datastoreItem xmlns:ds="http://schemas.openxmlformats.org/officeDocument/2006/customXml" ds:itemID="{36D78903-9EAE-41F1-8AFB-E6E8A63F36BD}"/>
</file>

<file path=customXml/itemProps4.xml><?xml version="1.0" encoding="utf-8"?>
<ds:datastoreItem xmlns:ds="http://schemas.openxmlformats.org/officeDocument/2006/customXml" ds:itemID="{58AF8149-C498-49CA-AD39-634DED330706}"/>
</file>

<file path=customXml/itemProps5.xml><?xml version="1.0" encoding="utf-8"?>
<ds:datastoreItem xmlns:ds="http://schemas.openxmlformats.org/officeDocument/2006/customXml" ds:itemID="{F2241592-F895-486A-A557-3B998577D3A5}"/>
</file>

<file path=customXml/itemProps6.xml><?xml version="1.0" encoding="utf-8"?>
<ds:datastoreItem xmlns:ds="http://schemas.openxmlformats.org/officeDocument/2006/customXml" ds:itemID="{6D0812E4-1FC0-403F-BC47-7154CECC278F}"/>
</file>

<file path=customXml/itemProps7.xml><?xml version="1.0" encoding="utf-8"?>
<ds:datastoreItem xmlns:ds="http://schemas.openxmlformats.org/officeDocument/2006/customXml" ds:itemID="{D6709ABD-411F-420F-BC84-5F103B4EA974}"/>
</file>

<file path=customXml/itemProps8.xml><?xml version="1.0" encoding="utf-8"?>
<ds:datastoreItem xmlns:ds="http://schemas.openxmlformats.org/officeDocument/2006/customXml" ds:itemID="{B6053A19-7AA6-40E9-86F0-3B66E624DFC3}"/>
</file>

<file path=customXml/itemProps9.xml><?xml version="1.0" encoding="utf-8"?>
<ds:datastoreItem xmlns:ds="http://schemas.openxmlformats.org/officeDocument/2006/customXml" ds:itemID="{4BD050D5-0BB7-4D95-9614-8B06EBDD1C35}"/>
</file>

<file path=docProps/app.xml><?xml version="1.0" encoding="utf-8"?>
<Properties xmlns="http://schemas.openxmlformats.org/officeDocument/2006/extended-properties" xmlns:vt="http://schemas.openxmlformats.org/officeDocument/2006/docPropsVTypes">
  <Template>69F1FCE1</Template>
  <TotalTime>0</TotalTime>
  <Pages>64</Pages>
  <Words>26364</Words>
  <Characters>153377</Characters>
  <Application>Microsoft Office Word</Application>
  <DocSecurity>0</DocSecurity>
  <Lines>2893</Lines>
  <Paragraphs>1265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2014-06-20T01:00:00Z</dcterms:created>
  <dcterms:modified xsi:type="dcterms:W3CDTF">2014-06-20T01:00:00Z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10600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