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A16C9" w14:textId="1A7E225B" w:rsidR="001425A9" w:rsidRDefault="00295A28" w:rsidP="00CD0E2A">
      <w:pPr>
        <w:pStyle w:val="PageHeading"/>
      </w:pPr>
      <w:bookmarkStart w:id="0" w:name="bookmark=id.gjdgxs" w:colFirst="0" w:colLast="0"/>
      <w:bookmarkEnd w:id="0"/>
      <w:r>
        <w:t xml:space="preserve">Evaluation of the Australian Humanitarian Partnership’s Bangladesh Humanitarian Response Phase III: </w:t>
      </w:r>
      <w:r w:rsidR="00942A2F">
        <w:t>Joint</w:t>
      </w:r>
      <w:r>
        <w:t xml:space="preserve"> Management Response </w:t>
      </w:r>
    </w:p>
    <w:p w14:paraId="2838F211" w14:textId="5A180663" w:rsidR="001425A9" w:rsidRDefault="00295A28">
      <w:r>
        <w:t xml:space="preserve">An independent evaluation assessed the </w:t>
      </w:r>
      <w:r w:rsidR="002F2BB2">
        <w:t xml:space="preserve">third phase of the </w:t>
      </w:r>
      <w:r>
        <w:t>DFAT-funded Australian Humanitarian Partnership (AHP) Response to the ongoing Bangladesh humanitarian cris</w:t>
      </w:r>
      <w:r w:rsidR="001E4764">
        <w:t>i</w:t>
      </w:r>
      <w:r>
        <w:t xml:space="preserve">s. The </w:t>
      </w:r>
      <w:r w:rsidR="00093C4F">
        <w:t xml:space="preserve">AHP </w:t>
      </w:r>
      <w:r>
        <w:t>response was implemented by a consortium of AHP partners including Save the Children, Oxfam, Care, World Vision, Plan and CAN DO through a Consortium Management Unit. Tetra Tech was contracted by the AHP Support Unit (AHPSU) to conduct the evaluation. An evaluation review committee and the AHP</w:t>
      </w:r>
      <w:r w:rsidR="007553EF">
        <w:t xml:space="preserve"> Support Unit </w:t>
      </w:r>
      <w:r>
        <w:t>provided oversight of all key stages and products of the evaluation.</w:t>
      </w:r>
    </w:p>
    <w:p w14:paraId="2BAB2FDF" w14:textId="6AD78C10" w:rsidR="001425A9" w:rsidRDefault="00AB70B2">
      <w:r>
        <w:t xml:space="preserve">DFAT and </w:t>
      </w:r>
      <w:r w:rsidR="00916B17">
        <w:t xml:space="preserve">five </w:t>
      </w:r>
      <w:r w:rsidR="007C61E4">
        <w:t xml:space="preserve">Australian </w:t>
      </w:r>
      <w:r w:rsidR="005E3076">
        <w:t>Non</w:t>
      </w:r>
      <w:r w:rsidR="5FB03A6A">
        <w:t>-</w:t>
      </w:r>
      <w:r w:rsidR="005E3076">
        <w:t>Government Organisation</w:t>
      </w:r>
      <w:r w:rsidR="007C61E4">
        <w:t xml:space="preserve"> </w:t>
      </w:r>
      <w:r w:rsidR="00AA1639">
        <w:t xml:space="preserve">(ANGO) </w:t>
      </w:r>
      <w:r w:rsidR="00295A28">
        <w:t xml:space="preserve">partners in the AHP Bangladesh Humanitarian Response Phase III </w:t>
      </w:r>
      <w:r w:rsidR="001A0496">
        <w:t xml:space="preserve">have </w:t>
      </w:r>
      <w:r w:rsidR="000D59E3">
        <w:t xml:space="preserve">responded </w:t>
      </w:r>
      <w:r w:rsidR="00295A28">
        <w:t xml:space="preserve">to the </w:t>
      </w:r>
      <w:r w:rsidR="007553EF">
        <w:t xml:space="preserve">evaluation’s </w:t>
      </w:r>
      <w:r w:rsidR="00295A28">
        <w:t xml:space="preserve">recommendations </w:t>
      </w:r>
      <w:r w:rsidR="00B469D7">
        <w:t>in</w:t>
      </w:r>
      <w:r w:rsidR="000D544D">
        <w:t xml:space="preserve"> the </w:t>
      </w:r>
      <w:r w:rsidR="00BD3AA5">
        <w:t>management actions table below</w:t>
      </w:r>
      <w:r w:rsidR="00295A28">
        <w:t>.</w:t>
      </w:r>
      <w:r w:rsidR="00EE3A82">
        <w:t xml:space="preserve"> This includes all ANGOs that </w:t>
      </w:r>
      <w:r w:rsidR="00B469D7">
        <w:t>are</w:t>
      </w:r>
      <w:r w:rsidR="00EE3A82">
        <w:t xml:space="preserve"> implementing Phase IV of the AHP Bangladesh Humanitarian Response</w:t>
      </w:r>
      <w:r w:rsidR="008B721A">
        <w:t xml:space="preserve"> from July 2023 to December 2025</w:t>
      </w:r>
      <w:r w:rsidR="00EE3A82">
        <w:t xml:space="preserve">. </w:t>
      </w:r>
      <w:r w:rsidR="008D0902">
        <w:t xml:space="preserve"> </w:t>
      </w:r>
      <w:r w:rsidR="005A3357">
        <w:t xml:space="preserve">Of the 15 recommendations, 14 have been agreed or partially agreed and </w:t>
      </w:r>
      <w:r w:rsidR="008D0902">
        <w:t>one</w:t>
      </w:r>
      <w:r w:rsidR="005A3357">
        <w:t xml:space="preserve"> has been noted. </w:t>
      </w:r>
      <w:r w:rsidR="00295A28">
        <w:t>Th</w:t>
      </w:r>
      <w:r w:rsidR="00BD3AA5">
        <w:t>is</w:t>
      </w:r>
      <w:r w:rsidR="00295A28">
        <w:t xml:space="preserve"> </w:t>
      </w:r>
      <w:r w:rsidR="00BD1419">
        <w:t xml:space="preserve">joint </w:t>
      </w:r>
      <w:r w:rsidR="00295A28">
        <w:t>management response outline</w:t>
      </w:r>
      <w:r w:rsidR="0035551D">
        <w:t>s</w:t>
      </w:r>
      <w:r w:rsidR="00295A28">
        <w:t xml:space="preserve"> the </w:t>
      </w:r>
      <w:r w:rsidR="00A413A9">
        <w:t xml:space="preserve">agreed </w:t>
      </w:r>
      <w:r w:rsidR="00BD1419">
        <w:t xml:space="preserve">actions </w:t>
      </w:r>
      <w:r w:rsidR="000A0CE8">
        <w:t>that will be</w:t>
      </w:r>
      <w:r w:rsidR="00BD1419">
        <w:t xml:space="preserve"> </w:t>
      </w:r>
      <w:r w:rsidR="00295A28">
        <w:t>take</w:t>
      </w:r>
      <w:r w:rsidR="00BD1419">
        <w:t>n</w:t>
      </w:r>
      <w:r w:rsidR="00295A28">
        <w:t xml:space="preserve"> </w:t>
      </w:r>
      <w:r w:rsidR="00A413A9">
        <w:t>forward</w:t>
      </w:r>
      <w:r w:rsidR="00295A28">
        <w:t xml:space="preserve">. </w:t>
      </w:r>
      <w:r w:rsidR="002B17B2">
        <w:t xml:space="preserve"> </w:t>
      </w:r>
    </w:p>
    <w:p w14:paraId="6158529B" w14:textId="7A72A2BB" w:rsidR="001425A9" w:rsidRPr="00CD0E2A" w:rsidRDefault="00295A28" w:rsidP="00CD0E2A">
      <w:pPr>
        <w:pStyle w:val="Heading1"/>
        <w:numPr>
          <w:ilvl w:val="0"/>
          <w:numId w:val="0"/>
        </w:numPr>
      </w:pPr>
      <w:r w:rsidRPr="00CD0E2A">
        <w:t>Management Action</w:t>
      </w:r>
      <w:r w:rsidR="0056536C" w:rsidRPr="00CD0E2A">
        <w:t>s</w:t>
      </w:r>
      <w:r w:rsidRPr="00CD0E2A">
        <w:t xml:space="preserve"> </w:t>
      </w:r>
    </w:p>
    <w:tbl>
      <w:tblPr>
        <w:tblStyle w:val="PlainTable"/>
        <w:tblW w:w="14490" w:type="dxa"/>
        <w:tblLayout w:type="fixed"/>
        <w:tblLook w:val="0420" w:firstRow="1" w:lastRow="0" w:firstColumn="0" w:lastColumn="0" w:noHBand="0" w:noVBand="1"/>
      </w:tblPr>
      <w:tblGrid>
        <w:gridCol w:w="4536"/>
        <w:gridCol w:w="1560"/>
        <w:gridCol w:w="1425"/>
        <w:gridCol w:w="5662"/>
        <w:gridCol w:w="1307"/>
      </w:tblGrid>
      <w:tr w:rsidR="001425A9" w14:paraId="5848C990" w14:textId="77777777" w:rsidTr="4BC57607">
        <w:trPr>
          <w:cnfStyle w:val="100000000000" w:firstRow="1" w:lastRow="0" w:firstColumn="0" w:lastColumn="0" w:oddVBand="0" w:evenVBand="0" w:oddHBand="0" w:evenHBand="0" w:firstRowFirstColumn="0" w:firstRowLastColumn="0" w:lastRowFirstColumn="0" w:lastRowLastColumn="0"/>
          <w:trHeight w:val="300"/>
          <w:tblHeader/>
        </w:trPr>
        <w:tc>
          <w:tcPr>
            <w:tcW w:w="4536" w:type="dxa"/>
          </w:tcPr>
          <w:p w14:paraId="237284B2" w14:textId="77777777" w:rsidR="001425A9" w:rsidRDefault="00295A28">
            <w:pPr>
              <w:rPr>
                <w:b/>
                <w:color w:val="000000"/>
              </w:rPr>
            </w:pPr>
            <w:r>
              <w:rPr>
                <w:b/>
                <w:color w:val="000000"/>
              </w:rPr>
              <w:t>Recommendation</w:t>
            </w:r>
          </w:p>
        </w:tc>
        <w:tc>
          <w:tcPr>
            <w:tcW w:w="1560" w:type="dxa"/>
          </w:tcPr>
          <w:p w14:paraId="7B5954A9" w14:textId="73D887DF" w:rsidR="001425A9" w:rsidRDefault="00295A28">
            <w:pPr>
              <w:rPr>
                <w:b/>
                <w:color w:val="000000"/>
              </w:rPr>
            </w:pPr>
            <w:r>
              <w:rPr>
                <w:b/>
                <w:color w:val="000000"/>
              </w:rPr>
              <w:t xml:space="preserve">Responsibility </w:t>
            </w:r>
            <w:r w:rsidR="00195FEB">
              <w:rPr>
                <w:b/>
                <w:color w:val="000000"/>
                <w:vertAlign w:val="superscript"/>
              </w:rPr>
              <w:footnoteReference w:id="1"/>
            </w:r>
          </w:p>
        </w:tc>
        <w:tc>
          <w:tcPr>
            <w:tcW w:w="1425" w:type="dxa"/>
          </w:tcPr>
          <w:p w14:paraId="2D11D9D9" w14:textId="77777777" w:rsidR="001425A9" w:rsidRDefault="00295A28">
            <w:pPr>
              <w:rPr>
                <w:b/>
                <w:color w:val="000000"/>
              </w:rPr>
            </w:pPr>
            <w:r>
              <w:rPr>
                <w:b/>
                <w:color w:val="000000"/>
              </w:rPr>
              <w:t>Level of Agreement</w:t>
            </w:r>
            <w:r>
              <w:rPr>
                <w:b/>
                <w:color w:val="000000"/>
                <w:vertAlign w:val="superscript"/>
              </w:rPr>
              <w:footnoteReference w:id="2"/>
            </w:r>
          </w:p>
        </w:tc>
        <w:tc>
          <w:tcPr>
            <w:tcW w:w="5662" w:type="dxa"/>
          </w:tcPr>
          <w:p w14:paraId="20DF1674" w14:textId="77777777" w:rsidR="001425A9" w:rsidRDefault="00295A28">
            <w:pPr>
              <w:rPr>
                <w:b/>
                <w:color w:val="000000"/>
              </w:rPr>
            </w:pPr>
            <w:r>
              <w:rPr>
                <w:b/>
                <w:color w:val="000000"/>
              </w:rPr>
              <w:t xml:space="preserve">Action </w:t>
            </w:r>
          </w:p>
        </w:tc>
        <w:tc>
          <w:tcPr>
            <w:tcW w:w="1307" w:type="dxa"/>
          </w:tcPr>
          <w:p w14:paraId="296D1198" w14:textId="77777777" w:rsidR="001425A9" w:rsidRDefault="00295A28">
            <w:pPr>
              <w:rPr>
                <w:b/>
                <w:color w:val="000000"/>
              </w:rPr>
            </w:pPr>
            <w:r>
              <w:rPr>
                <w:b/>
                <w:color w:val="000000"/>
              </w:rPr>
              <w:t xml:space="preserve">Timeframe </w:t>
            </w:r>
          </w:p>
        </w:tc>
      </w:tr>
      <w:tr w:rsidR="001425A9" w14:paraId="3989282F" w14:textId="77777777" w:rsidTr="4BC57607">
        <w:trPr>
          <w:trHeight w:val="300"/>
        </w:trPr>
        <w:tc>
          <w:tcPr>
            <w:tcW w:w="4536" w:type="dxa"/>
          </w:tcPr>
          <w:p w14:paraId="7B696EE1" w14:textId="22C01F19" w:rsidR="001425A9" w:rsidRDefault="00295A28">
            <w:pPr>
              <w:rPr>
                <w:rFonts w:eastAsia="Calibri"/>
              </w:rPr>
            </w:pPr>
            <w:r w:rsidRPr="00A325A3">
              <w:rPr>
                <w:rFonts w:eastAsia="Calibri"/>
                <w:b/>
                <w:bCs/>
              </w:rPr>
              <w:t>1.</w:t>
            </w:r>
            <w:r>
              <w:rPr>
                <w:rFonts w:eastAsia="Calibri"/>
              </w:rPr>
              <w:tab/>
            </w:r>
            <w:sdt>
              <w:sdtPr>
                <w:tag w:val="goog_rdk_0"/>
                <w:id w:val="-2011370305"/>
                <w:showingPlcHdr/>
              </w:sdtPr>
              <w:sdtEndPr/>
              <w:sdtContent>
                <w:r w:rsidR="0030322A">
                  <w:t xml:space="preserve">     </w:t>
                </w:r>
              </w:sdtContent>
            </w:sdt>
            <w:r>
              <w:rPr>
                <w:rFonts w:eastAsia="Calibri"/>
              </w:rPr>
              <w:t xml:space="preserve">Volunteering opportunities are in high demand in camps and demonstrated their effectiveness in promoting the self-reliance, resilience and even protection of displaced people, in the areas of DRR and WASH, within the camps. This model should be more broadly reflected across the AHP activities, and more </w:t>
            </w:r>
            <w:r>
              <w:rPr>
                <w:rFonts w:eastAsia="Calibri"/>
              </w:rPr>
              <w:lastRenderedPageBreak/>
              <w:t>opportunities and incentives should be made available to refugees.</w:t>
            </w:r>
          </w:p>
        </w:tc>
        <w:tc>
          <w:tcPr>
            <w:tcW w:w="1560" w:type="dxa"/>
          </w:tcPr>
          <w:p w14:paraId="16CF9837" w14:textId="5F2ED102" w:rsidR="001425A9" w:rsidRDefault="00295A28">
            <w:r>
              <w:lastRenderedPageBreak/>
              <w:t>ANGOs</w:t>
            </w:r>
            <w:r w:rsidR="00B451E1">
              <w:t xml:space="preserve"> / DFAT</w:t>
            </w:r>
          </w:p>
        </w:tc>
        <w:tc>
          <w:tcPr>
            <w:tcW w:w="1425" w:type="dxa"/>
          </w:tcPr>
          <w:p w14:paraId="350F2DCE" w14:textId="373BBA6E" w:rsidR="001425A9" w:rsidRPr="007005A7" w:rsidRDefault="007005A7">
            <w:r w:rsidRPr="007005A7">
              <w:t>A</w:t>
            </w:r>
            <w:r w:rsidR="00295A28" w:rsidRPr="007005A7">
              <w:t>gree</w:t>
            </w:r>
          </w:p>
          <w:p w14:paraId="225CF7AD" w14:textId="77777777" w:rsidR="001425A9" w:rsidRPr="007005A7" w:rsidRDefault="001425A9"/>
          <w:p w14:paraId="63967865" w14:textId="77777777" w:rsidR="001425A9" w:rsidRPr="007005A7" w:rsidRDefault="001425A9"/>
          <w:p w14:paraId="1E959EA6" w14:textId="77777777" w:rsidR="001425A9" w:rsidRPr="007005A7" w:rsidRDefault="001425A9"/>
          <w:p w14:paraId="6CF4059E" w14:textId="77777777" w:rsidR="001425A9" w:rsidRPr="007005A7" w:rsidRDefault="001425A9"/>
          <w:p w14:paraId="68886AE4" w14:textId="77777777" w:rsidR="001425A9" w:rsidRPr="007005A7" w:rsidRDefault="001425A9"/>
          <w:p w14:paraId="5479ADA1" w14:textId="77777777" w:rsidR="001425A9" w:rsidRPr="007005A7" w:rsidRDefault="001425A9"/>
          <w:p w14:paraId="5B06DC8B" w14:textId="77777777" w:rsidR="001425A9" w:rsidRPr="007005A7" w:rsidRDefault="001425A9"/>
          <w:p w14:paraId="31479F48" w14:textId="77777777" w:rsidR="001425A9" w:rsidRPr="007005A7" w:rsidRDefault="001425A9"/>
          <w:p w14:paraId="23B65E61" w14:textId="77777777" w:rsidR="001425A9" w:rsidRPr="007005A7" w:rsidRDefault="001425A9"/>
          <w:p w14:paraId="264F852F" w14:textId="77777777" w:rsidR="001425A9" w:rsidRPr="007005A7" w:rsidRDefault="001425A9"/>
          <w:p w14:paraId="53B51CA9" w14:textId="77777777" w:rsidR="001425A9" w:rsidRPr="007005A7" w:rsidRDefault="001425A9"/>
          <w:p w14:paraId="66196F43" w14:textId="77777777" w:rsidR="001425A9" w:rsidRPr="007005A7" w:rsidRDefault="001425A9"/>
          <w:p w14:paraId="78CE3E72" w14:textId="77777777" w:rsidR="007005A7" w:rsidRPr="007005A7" w:rsidRDefault="007005A7"/>
          <w:p w14:paraId="19B015A2" w14:textId="77777777" w:rsidR="009A7F5B" w:rsidRDefault="009A7F5B"/>
          <w:p w14:paraId="487AF576" w14:textId="13936C58" w:rsidR="001425A9" w:rsidRPr="007005A7" w:rsidRDefault="00295A28">
            <w:r w:rsidRPr="007005A7">
              <w:t>Agree</w:t>
            </w:r>
          </w:p>
          <w:p w14:paraId="3027830A" w14:textId="77777777" w:rsidR="001425A9" w:rsidRPr="007005A7" w:rsidRDefault="001425A9"/>
          <w:p w14:paraId="76DAE1EF" w14:textId="77777777" w:rsidR="001425A9" w:rsidRPr="007005A7" w:rsidRDefault="001425A9"/>
          <w:p w14:paraId="461A7CB8" w14:textId="77777777" w:rsidR="001425A9" w:rsidRPr="007005A7" w:rsidRDefault="001425A9"/>
          <w:p w14:paraId="012F7218" w14:textId="77777777" w:rsidR="001425A9" w:rsidRPr="007005A7" w:rsidRDefault="001425A9"/>
          <w:p w14:paraId="1438AEA1" w14:textId="77777777" w:rsidR="001425A9" w:rsidRPr="007005A7" w:rsidRDefault="001425A9"/>
          <w:p w14:paraId="5D901AE6" w14:textId="77777777" w:rsidR="001425A9" w:rsidRPr="007005A7" w:rsidRDefault="001425A9"/>
          <w:p w14:paraId="7C64C8AC" w14:textId="77777777" w:rsidR="001425A9" w:rsidRPr="007005A7" w:rsidRDefault="001425A9"/>
          <w:p w14:paraId="41737235" w14:textId="71101778" w:rsidR="001425A9" w:rsidRPr="007005A7" w:rsidRDefault="001425A9"/>
          <w:p w14:paraId="04F141AF" w14:textId="77777777" w:rsidR="001425A9" w:rsidRPr="007005A7" w:rsidRDefault="001425A9"/>
          <w:p w14:paraId="367195AA" w14:textId="77777777" w:rsidR="001425A9" w:rsidRPr="007005A7" w:rsidRDefault="001425A9"/>
          <w:p w14:paraId="1F635871" w14:textId="77777777" w:rsidR="0044411C" w:rsidRDefault="0044411C"/>
          <w:p w14:paraId="638FCB26" w14:textId="77777777" w:rsidR="0044411C" w:rsidRDefault="0044411C"/>
          <w:p w14:paraId="2ED40532" w14:textId="77777777" w:rsidR="0044411C" w:rsidRDefault="0044411C"/>
          <w:p w14:paraId="6067D7C6" w14:textId="3C6A42C9" w:rsidR="001425A9" w:rsidRDefault="00295A28">
            <w:r w:rsidRPr="007005A7">
              <w:t xml:space="preserve">Partially </w:t>
            </w:r>
            <w:proofErr w:type="gramStart"/>
            <w:r w:rsidR="00AB4125">
              <w:t>a</w:t>
            </w:r>
            <w:r w:rsidRPr="007005A7">
              <w:t>gree</w:t>
            </w:r>
            <w:proofErr w:type="gramEnd"/>
          </w:p>
          <w:p w14:paraId="4B98079E" w14:textId="77777777" w:rsidR="009E374C" w:rsidRDefault="009E374C"/>
          <w:p w14:paraId="0C70FE2F" w14:textId="77777777" w:rsidR="009E374C" w:rsidRDefault="009E374C"/>
          <w:p w14:paraId="67B40E99" w14:textId="77777777" w:rsidR="009E374C" w:rsidRDefault="009E374C"/>
          <w:p w14:paraId="535A2FC2" w14:textId="77777777" w:rsidR="009E374C" w:rsidRDefault="009E374C"/>
          <w:p w14:paraId="549ADA09" w14:textId="77777777" w:rsidR="009E374C" w:rsidRDefault="009E374C"/>
          <w:p w14:paraId="5C6B9761" w14:textId="77777777" w:rsidR="00400122" w:rsidRDefault="00400122"/>
          <w:p w14:paraId="0AD6622A" w14:textId="11614A49" w:rsidR="006F2258" w:rsidRDefault="00F20E2A">
            <w:r>
              <w:lastRenderedPageBreak/>
              <w:t>Agree</w:t>
            </w:r>
          </w:p>
          <w:p w14:paraId="1A80B02A" w14:textId="694C2979" w:rsidR="009E374C" w:rsidRPr="007005A7" w:rsidRDefault="009E374C"/>
          <w:p w14:paraId="25214520" w14:textId="5A839737" w:rsidR="009E374C" w:rsidRPr="007005A7" w:rsidRDefault="009E374C"/>
          <w:p w14:paraId="157B34D2" w14:textId="0F3C3F16" w:rsidR="009E374C" w:rsidRPr="007005A7" w:rsidRDefault="009E374C"/>
          <w:p w14:paraId="3D35B366" w14:textId="066B3581" w:rsidR="009E374C" w:rsidRPr="007005A7" w:rsidRDefault="009E374C"/>
          <w:p w14:paraId="68A3583F" w14:textId="63AB4F65" w:rsidR="009E374C" w:rsidRPr="007005A7" w:rsidRDefault="009E374C"/>
          <w:p w14:paraId="6C3178CF" w14:textId="77777777" w:rsidR="00324BA0" w:rsidRDefault="00324BA0"/>
          <w:p w14:paraId="40653EC9" w14:textId="40F499A8" w:rsidR="009E374C" w:rsidRPr="007005A7" w:rsidRDefault="00400122">
            <w:r>
              <w:t>Agree</w:t>
            </w:r>
          </w:p>
          <w:p w14:paraId="6836B669" w14:textId="4C7486DD" w:rsidR="009E374C" w:rsidRPr="007005A7" w:rsidRDefault="009E374C"/>
          <w:p w14:paraId="4AEAE0CE" w14:textId="474BDF61" w:rsidR="009E374C" w:rsidRPr="007005A7" w:rsidRDefault="009E374C"/>
          <w:p w14:paraId="1FC73A44" w14:textId="4BA9C998" w:rsidR="009E374C" w:rsidRPr="007005A7" w:rsidRDefault="009E374C"/>
          <w:p w14:paraId="7C689FAA" w14:textId="77777777" w:rsidR="00400122" w:rsidRDefault="00400122" w:rsidP="4BC57607"/>
          <w:p w14:paraId="3E877259" w14:textId="6B8585BD" w:rsidR="009E374C" w:rsidRPr="007005A7" w:rsidRDefault="009E374C" w:rsidP="4BC57607">
            <w:r>
              <w:t>Agree</w:t>
            </w:r>
          </w:p>
        </w:tc>
        <w:tc>
          <w:tcPr>
            <w:tcW w:w="5662" w:type="dxa"/>
          </w:tcPr>
          <w:p w14:paraId="7E2AA548" w14:textId="2785F306" w:rsidR="001425A9" w:rsidRPr="007005A7" w:rsidRDefault="00F676CC" w:rsidP="009A7F5B">
            <w:pPr>
              <w:spacing w:after="240"/>
              <w:rPr>
                <w:rFonts w:asciiTheme="minorHAnsi" w:eastAsia="Arial" w:hAnsiTheme="minorHAnsi" w:cstheme="minorHAnsi"/>
              </w:rPr>
            </w:pPr>
            <w:r w:rsidRPr="00A325A3">
              <w:rPr>
                <w:rFonts w:asciiTheme="minorHAnsi" w:eastAsia="Arial" w:hAnsiTheme="minorHAnsi" w:cstheme="minorHAnsi"/>
                <w:b/>
                <w:bCs/>
              </w:rPr>
              <w:lastRenderedPageBreak/>
              <w:t>1.1.</w:t>
            </w:r>
            <w:r>
              <w:rPr>
                <w:rFonts w:asciiTheme="minorHAnsi" w:eastAsia="Arial" w:hAnsiTheme="minorHAnsi" w:cstheme="minorHAnsi"/>
              </w:rPr>
              <w:t xml:space="preserve"> </w:t>
            </w:r>
            <w:r w:rsidR="00295A28" w:rsidRPr="007005A7">
              <w:rPr>
                <w:rFonts w:asciiTheme="minorHAnsi" w:eastAsia="Arial" w:hAnsiTheme="minorHAnsi" w:cstheme="minorHAnsi"/>
              </w:rPr>
              <w:t xml:space="preserve">Oxfam will continue to engage volunteers through its </w:t>
            </w:r>
            <w:r w:rsidR="007471B1" w:rsidRPr="008D0902">
              <w:rPr>
                <w:rFonts w:asciiTheme="minorHAnsi" w:eastAsia="Arial" w:hAnsiTheme="minorHAnsi" w:cstheme="minorHAnsi"/>
              </w:rPr>
              <w:t xml:space="preserve">water, </w:t>
            </w:r>
            <w:proofErr w:type="gramStart"/>
            <w:r w:rsidR="007471B1" w:rsidRPr="008D0902">
              <w:rPr>
                <w:rFonts w:asciiTheme="minorHAnsi" w:eastAsia="Arial" w:hAnsiTheme="minorHAnsi" w:cstheme="minorHAnsi"/>
              </w:rPr>
              <w:t>sanitation</w:t>
            </w:r>
            <w:proofErr w:type="gramEnd"/>
            <w:r w:rsidR="007471B1" w:rsidRPr="008D0902">
              <w:rPr>
                <w:rFonts w:asciiTheme="minorHAnsi" w:eastAsia="Arial" w:hAnsiTheme="minorHAnsi" w:cstheme="minorHAnsi"/>
              </w:rPr>
              <w:t xml:space="preserve"> and hygiene</w:t>
            </w:r>
            <w:r w:rsidR="00091491">
              <w:rPr>
                <w:rFonts w:asciiTheme="minorHAnsi" w:eastAsia="Arial" w:hAnsiTheme="minorHAnsi" w:cstheme="minorHAnsi"/>
              </w:rPr>
              <w:t xml:space="preserve"> (WASH)</w:t>
            </w:r>
            <w:r w:rsidR="00295A28" w:rsidRPr="007005A7">
              <w:rPr>
                <w:rFonts w:asciiTheme="minorHAnsi" w:eastAsia="Arial" w:hAnsiTheme="minorHAnsi" w:cstheme="minorHAnsi"/>
              </w:rPr>
              <w:t>, gender, protection and</w:t>
            </w:r>
            <w:r w:rsidR="003020A0">
              <w:rPr>
                <w:rFonts w:asciiTheme="minorHAnsi" w:eastAsia="Arial" w:hAnsiTheme="minorHAnsi" w:cstheme="minorHAnsi"/>
              </w:rPr>
              <w:t xml:space="preserve"> emergency food security</w:t>
            </w:r>
            <w:r w:rsidR="00DB56D3">
              <w:rPr>
                <w:rFonts w:asciiTheme="minorHAnsi" w:eastAsia="Arial" w:hAnsiTheme="minorHAnsi" w:cstheme="minorHAnsi"/>
              </w:rPr>
              <w:t xml:space="preserve"> and vulnerable livelihoods</w:t>
            </w:r>
            <w:r w:rsidR="00295A28" w:rsidRPr="007005A7">
              <w:rPr>
                <w:rFonts w:asciiTheme="minorHAnsi" w:eastAsia="Arial" w:hAnsiTheme="minorHAnsi" w:cstheme="minorHAnsi"/>
              </w:rPr>
              <w:t xml:space="preserve"> programming (following new skills development sector). Volunteers are a major part of Oxfam’s community-based protection approach to raise awareness about and report protection concerns in the community. However, </w:t>
            </w:r>
            <w:r w:rsidR="006D792B">
              <w:rPr>
                <w:rFonts w:asciiTheme="minorHAnsi" w:eastAsia="Arial" w:hAnsiTheme="minorHAnsi" w:cstheme="minorHAnsi"/>
              </w:rPr>
              <w:t xml:space="preserve">decisions </w:t>
            </w:r>
            <w:r w:rsidR="006D792B">
              <w:rPr>
                <w:rFonts w:asciiTheme="minorHAnsi" w:eastAsia="Arial" w:hAnsiTheme="minorHAnsi" w:cstheme="minorHAnsi"/>
              </w:rPr>
              <w:lastRenderedPageBreak/>
              <w:t xml:space="preserve">around </w:t>
            </w:r>
            <w:r w:rsidR="00295A28" w:rsidRPr="007005A7">
              <w:rPr>
                <w:rFonts w:asciiTheme="minorHAnsi" w:eastAsia="Arial" w:hAnsiTheme="minorHAnsi" w:cstheme="minorHAnsi"/>
              </w:rPr>
              <w:t xml:space="preserve">reduced funding in AHP </w:t>
            </w:r>
            <w:r w:rsidR="00876E00">
              <w:rPr>
                <w:rFonts w:asciiTheme="minorHAnsi" w:eastAsia="Arial" w:hAnsiTheme="minorHAnsi" w:cstheme="minorHAnsi"/>
              </w:rPr>
              <w:t>Phase</w:t>
            </w:r>
            <w:r w:rsidR="004E49B4">
              <w:rPr>
                <w:rFonts w:asciiTheme="minorHAnsi" w:eastAsia="Arial" w:hAnsiTheme="minorHAnsi" w:cstheme="minorHAnsi"/>
              </w:rPr>
              <w:t xml:space="preserve"> IV</w:t>
            </w:r>
            <w:r w:rsidR="00295A28" w:rsidRPr="007005A7">
              <w:rPr>
                <w:rFonts w:asciiTheme="minorHAnsi" w:eastAsia="Arial" w:hAnsiTheme="minorHAnsi" w:cstheme="minorHAnsi"/>
              </w:rPr>
              <w:t>, has also reduced the scope for engaging</w:t>
            </w:r>
            <w:r w:rsidR="00C05BAE">
              <w:rPr>
                <w:rFonts w:asciiTheme="minorHAnsi" w:eastAsia="Arial" w:hAnsiTheme="minorHAnsi" w:cstheme="minorHAnsi"/>
              </w:rPr>
              <w:t xml:space="preserve"> </w:t>
            </w:r>
            <w:r w:rsidR="004501B9">
              <w:rPr>
                <w:rFonts w:asciiTheme="minorHAnsi" w:eastAsia="Arial" w:hAnsiTheme="minorHAnsi" w:cstheme="minorHAnsi"/>
              </w:rPr>
              <w:t>community-based</w:t>
            </w:r>
            <w:r w:rsidR="00C05BAE">
              <w:rPr>
                <w:rFonts w:asciiTheme="minorHAnsi" w:eastAsia="Arial" w:hAnsiTheme="minorHAnsi" w:cstheme="minorHAnsi"/>
              </w:rPr>
              <w:t xml:space="preserve"> volunteers </w:t>
            </w:r>
            <w:r w:rsidR="00B259FD">
              <w:rPr>
                <w:rFonts w:asciiTheme="minorHAnsi" w:eastAsia="Arial" w:hAnsiTheme="minorHAnsi" w:cstheme="minorHAnsi"/>
              </w:rPr>
              <w:t>(CBV).</w:t>
            </w:r>
            <w:r w:rsidR="008D0902">
              <w:rPr>
                <w:rFonts w:asciiTheme="minorHAnsi" w:eastAsia="Arial" w:hAnsiTheme="minorHAnsi" w:cstheme="minorHAnsi"/>
              </w:rPr>
              <w:t xml:space="preserve"> </w:t>
            </w:r>
            <w:r w:rsidR="00295A28" w:rsidRPr="007005A7">
              <w:rPr>
                <w:rFonts w:asciiTheme="minorHAnsi" w:eastAsia="Arial" w:hAnsiTheme="minorHAnsi" w:cstheme="minorHAnsi"/>
              </w:rPr>
              <w:t>OXFAM adheres to volunteer payment guidelines following published “Guidance on the Engagement of Volunteers for the Rohingya Refugee/</w:t>
            </w:r>
            <w:r w:rsidR="00DB6610">
              <w:rPr>
                <w:rFonts w:asciiTheme="minorHAnsi" w:eastAsia="Arial" w:hAnsiTheme="minorHAnsi" w:cstheme="minorHAnsi"/>
              </w:rPr>
              <w:t xml:space="preserve">Forcibly Displaced Myanmar Nationals </w:t>
            </w:r>
            <w:r w:rsidR="00295A28" w:rsidRPr="007005A7">
              <w:rPr>
                <w:rFonts w:asciiTheme="minorHAnsi" w:eastAsia="Arial" w:hAnsiTheme="minorHAnsi" w:cstheme="minorHAnsi"/>
              </w:rPr>
              <w:t xml:space="preserve">Camp”, including recent increase to the monthly payment rate for </w:t>
            </w:r>
            <w:r w:rsidR="00491781">
              <w:rPr>
                <w:rFonts w:asciiTheme="minorHAnsi" w:eastAsia="Arial" w:hAnsiTheme="minorHAnsi" w:cstheme="minorHAnsi"/>
              </w:rPr>
              <w:t>gen</w:t>
            </w:r>
            <w:r w:rsidR="00295A28" w:rsidRPr="007005A7">
              <w:rPr>
                <w:rFonts w:asciiTheme="minorHAnsi" w:eastAsia="Arial" w:hAnsiTheme="minorHAnsi" w:cstheme="minorHAnsi"/>
              </w:rPr>
              <w:t xml:space="preserve">der and </w:t>
            </w:r>
            <w:r w:rsidR="00491781">
              <w:rPr>
                <w:rFonts w:asciiTheme="minorHAnsi" w:eastAsia="Arial" w:hAnsiTheme="minorHAnsi" w:cstheme="minorHAnsi"/>
              </w:rPr>
              <w:t>p</w:t>
            </w:r>
            <w:r w:rsidR="00295A28" w:rsidRPr="007005A7">
              <w:rPr>
                <w:rFonts w:asciiTheme="minorHAnsi" w:eastAsia="Arial" w:hAnsiTheme="minorHAnsi" w:cstheme="minorHAnsi"/>
              </w:rPr>
              <w:t xml:space="preserve">rotection volunteers. </w:t>
            </w:r>
          </w:p>
          <w:p w14:paraId="4513A495" w14:textId="335A90E8" w:rsidR="001425A9" w:rsidRPr="007005A7" w:rsidRDefault="00F676CC">
            <w:pPr>
              <w:rPr>
                <w:rFonts w:asciiTheme="minorHAnsi" w:hAnsiTheme="minorHAnsi" w:cstheme="minorHAnsi"/>
              </w:rPr>
            </w:pPr>
            <w:r w:rsidRPr="00A325A3">
              <w:rPr>
                <w:rFonts w:asciiTheme="minorHAnsi" w:hAnsiTheme="minorHAnsi" w:cstheme="minorHAnsi"/>
                <w:b/>
                <w:bCs/>
              </w:rPr>
              <w:t>1.2</w:t>
            </w:r>
            <w:r>
              <w:rPr>
                <w:rFonts w:asciiTheme="minorHAnsi" w:hAnsiTheme="minorHAnsi" w:cstheme="minorHAnsi"/>
              </w:rPr>
              <w:t xml:space="preserve"> </w:t>
            </w:r>
            <w:r w:rsidR="00295A28" w:rsidRPr="007005A7">
              <w:rPr>
                <w:rFonts w:asciiTheme="minorHAnsi" w:hAnsiTheme="minorHAnsi" w:cstheme="minorHAnsi"/>
              </w:rPr>
              <w:t>CARE will continue to create volunteer opportunities for camp communities, focusing on engaging women (including single women and widows) and girls and people with disabilities. This approach is already widely used by partners across interventions according to</w:t>
            </w:r>
            <w:r w:rsidR="003B18F6">
              <w:rPr>
                <w:rFonts w:asciiTheme="minorHAnsi" w:hAnsiTheme="minorHAnsi" w:cstheme="minorHAnsi"/>
              </w:rPr>
              <w:t xml:space="preserve"> </w:t>
            </w:r>
            <w:r w:rsidR="005510C1">
              <w:rPr>
                <w:rFonts w:asciiTheme="minorHAnsi" w:hAnsiTheme="minorHAnsi" w:cstheme="minorHAnsi"/>
              </w:rPr>
              <w:t xml:space="preserve">Inter-Sector Coordination Group </w:t>
            </w:r>
            <w:r w:rsidR="0005451B">
              <w:rPr>
                <w:rFonts w:asciiTheme="minorHAnsi" w:hAnsiTheme="minorHAnsi" w:cstheme="minorHAnsi"/>
              </w:rPr>
              <w:t xml:space="preserve">(ISCG) </w:t>
            </w:r>
            <w:r w:rsidR="005510C1">
              <w:rPr>
                <w:rFonts w:asciiTheme="minorHAnsi" w:hAnsiTheme="minorHAnsi" w:cstheme="minorHAnsi"/>
              </w:rPr>
              <w:t xml:space="preserve">and </w:t>
            </w:r>
            <w:r w:rsidR="0005451B">
              <w:rPr>
                <w:rFonts w:asciiTheme="minorHAnsi" w:hAnsiTheme="minorHAnsi" w:cstheme="minorHAnsi"/>
              </w:rPr>
              <w:t xml:space="preserve">The Office of the </w:t>
            </w:r>
            <w:r w:rsidR="005510C1">
              <w:rPr>
                <w:rFonts w:asciiTheme="minorHAnsi" w:hAnsiTheme="minorHAnsi" w:cstheme="minorHAnsi"/>
              </w:rPr>
              <w:t>Refugee Relief and Repatriation Commissioner</w:t>
            </w:r>
            <w:r w:rsidR="0005451B">
              <w:rPr>
                <w:rFonts w:asciiTheme="minorHAnsi" w:hAnsiTheme="minorHAnsi" w:cstheme="minorHAnsi"/>
              </w:rPr>
              <w:t xml:space="preserve"> (RRRC)</w:t>
            </w:r>
            <w:r w:rsidR="00295A28" w:rsidRPr="007005A7">
              <w:rPr>
                <w:rFonts w:asciiTheme="minorHAnsi" w:hAnsiTheme="minorHAnsi" w:cstheme="minorHAnsi"/>
              </w:rPr>
              <w:t xml:space="preserve"> guidelines.</w:t>
            </w:r>
          </w:p>
          <w:p w14:paraId="1D9DB17C" w14:textId="77777777" w:rsidR="001425A9" w:rsidRPr="007005A7" w:rsidRDefault="001425A9">
            <w:pPr>
              <w:rPr>
                <w:rFonts w:asciiTheme="minorHAnsi" w:hAnsiTheme="minorHAnsi" w:cstheme="minorHAnsi"/>
              </w:rPr>
            </w:pPr>
          </w:p>
          <w:p w14:paraId="45AEB538" w14:textId="5A6998D8" w:rsidR="001425A9" w:rsidRPr="007005A7" w:rsidRDefault="00295A28">
            <w:pPr>
              <w:rPr>
                <w:rFonts w:asciiTheme="minorHAnsi" w:hAnsiTheme="minorHAnsi" w:cstheme="minorHAnsi"/>
              </w:rPr>
            </w:pPr>
            <w:r w:rsidRPr="007005A7">
              <w:rPr>
                <w:rFonts w:asciiTheme="minorHAnsi" w:hAnsiTheme="minorHAnsi" w:cstheme="minorHAnsi"/>
              </w:rPr>
              <w:t xml:space="preserve">CARE seeks to provide </w:t>
            </w:r>
            <w:r w:rsidR="00491781">
              <w:rPr>
                <w:rFonts w:asciiTheme="minorHAnsi" w:hAnsiTheme="minorHAnsi" w:cstheme="minorHAnsi"/>
              </w:rPr>
              <w:t>C</w:t>
            </w:r>
            <w:r w:rsidRPr="007005A7">
              <w:rPr>
                <w:rFonts w:asciiTheme="minorHAnsi" w:hAnsiTheme="minorHAnsi" w:cstheme="minorHAnsi"/>
              </w:rPr>
              <w:t xml:space="preserve">ash for </w:t>
            </w:r>
            <w:r w:rsidR="00491781">
              <w:rPr>
                <w:rFonts w:asciiTheme="minorHAnsi" w:hAnsiTheme="minorHAnsi" w:cstheme="minorHAnsi"/>
              </w:rPr>
              <w:t>W</w:t>
            </w:r>
            <w:r w:rsidRPr="007005A7">
              <w:rPr>
                <w:rFonts w:asciiTheme="minorHAnsi" w:hAnsiTheme="minorHAnsi" w:cstheme="minorHAnsi"/>
              </w:rPr>
              <w:t>ork opportunities under</w:t>
            </w:r>
            <w:r w:rsidR="00AB0BF2">
              <w:rPr>
                <w:rFonts w:asciiTheme="minorHAnsi" w:hAnsiTheme="minorHAnsi" w:cstheme="minorHAnsi"/>
              </w:rPr>
              <w:t xml:space="preserve"> disaster risk reduction</w:t>
            </w:r>
            <w:r w:rsidR="00F6327E">
              <w:rPr>
                <w:rFonts w:asciiTheme="minorHAnsi" w:hAnsiTheme="minorHAnsi" w:cstheme="minorHAnsi"/>
              </w:rPr>
              <w:t xml:space="preserve"> (DRR)</w:t>
            </w:r>
            <w:r w:rsidR="00AB0BF2">
              <w:rPr>
                <w:rFonts w:asciiTheme="minorHAnsi" w:hAnsiTheme="minorHAnsi" w:cstheme="minorHAnsi"/>
              </w:rPr>
              <w:t xml:space="preserve"> and </w:t>
            </w:r>
            <w:r w:rsidR="001D7CFC">
              <w:rPr>
                <w:rFonts w:asciiTheme="minorHAnsi" w:hAnsiTheme="minorHAnsi" w:cstheme="minorHAnsi"/>
              </w:rPr>
              <w:t>WASH</w:t>
            </w:r>
            <w:r w:rsidRPr="007005A7">
              <w:rPr>
                <w:rFonts w:asciiTheme="minorHAnsi" w:hAnsiTheme="minorHAnsi" w:cstheme="minorHAnsi"/>
              </w:rPr>
              <w:t xml:space="preserve"> as well as longer-term roles which build capacity of camp communities to maintain camp infrastructure and act as first responders during crises.</w:t>
            </w:r>
          </w:p>
          <w:p w14:paraId="5A6AF0A5" w14:textId="77777777" w:rsidR="001425A9" w:rsidRPr="007005A7" w:rsidRDefault="001425A9">
            <w:pPr>
              <w:rPr>
                <w:rFonts w:asciiTheme="minorHAnsi" w:hAnsiTheme="minorHAnsi" w:cstheme="minorHAnsi"/>
              </w:rPr>
            </w:pPr>
          </w:p>
          <w:p w14:paraId="03107D50" w14:textId="77777777" w:rsidR="006A1686" w:rsidRDefault="0064385E">
            <w:pPr>
              <w:rPr>
                <w:rFonts w:asciiTheme="minorHAnsi" w:hAnsiTheme="minorHAnsi" w:cstheme="minorHAnsi"/>
              </w:rPr>
            </w:pPr>
            <w:r w:rsidRPr="00A325A3">
              <w:rPr>
                <w:rFonts w:asciiTheme="minorHAnsi" w:hAnsiTheme="minorHAnsi" w:cstheme="minorHAnsi"/>
                <w:b/>
                <w:bCs/>
              </w:rPr>
              <w:t>1.3</w:t>
            </w:r>
            <w:r>
              <w:rPr>
                <w:rFonts w:asciiTheme="minorHAnsi" w:hAnsiTheme="minorHAnsi" w:cstheme="minorHAnsi"/>
              </w:rPr>
              <w:t xml:space="preserve"> </w:t>
            </w:r>
            <w:r w:rsidR="00295A28" w:rsidRPr="007005A7">
              <w:rPr>
                <w:rFonts w:asciiTheme="minorHAnsi" w:hAnsiTheme="minorHAnsi" w:cstheme="minorHAnsi"/>
              </w:rPr>
              <w:t xml:space="preserve">Plan is supportive of volunteerism, however, the extent to which Rohingya can volunteer is dependent on camp government authorities. In Phase </w:t>
            </w:r>
            <w:r w:rsidR="004E49B4">
              <w:rPr>
                <w:rFonts w:asciiTheme="minorHAnsi" w:hAnsiTheme="minorHAnsi" w:cstheme="minorHAnsi"/>
              </w:rPr>
              <w:t>IV</w:t>
            </w:r>
            <w:r w:rsidR="00295A28" w:rsidRPr="007005A7">
              <w:rPr>
                <w:rFonts w:asciiTheme="minorHAnsi" w:hAnsiTheme="minorHAnsi" w:cstheme="minorHAnsi"/>
              </w:rPr>
              <w:t>, ANGOs with country offices will continue to work with local NGO partners and engage local volunteers to the extent possible to implement AHP activities.</w:t>
            </w:r>
          </w:p>
          <w:p w14:paraId="00297A7E" w14:textId="77777777" w:rsidR="00400122" w:rsidRDefault="00400122">
            <w:pPr>
              <w:rPr>
                <w:rFonts w:asciiTheme="minorHAnsi" w:hAnsiTheme="minorHAnsi" w:cstheme="minorHAnsi"/>
                <w:b/>
                <w:bCs/>
              </w:rPr>
            </w:pPr>
          </w:p>
          <w:p w14:paraId="3DB2AB6C" w14:textId="1AE59F4F" w:rsidR="00ED2E16" w:rsidRDefault="00F20E2A">
            <w:pPr>
              <w:rPr>
                <w:rFonts w:asciiTheme="minorHAnsi" w:hAnsiTheme="minorHAnsi" w:cstheme="minorHAnsi"/>
              </w:rPr>
            </w:pPr>
            <w:r w:rsidRPr="00160057">
              <w:rPr>
                <w:rFonts w:asciiTheme="minorHAnsi" w:hAnsiTheme="minorHAnsi" w:cstheme="minorHAnsi"/>
                <w:b/>
                <w:bCs/>
              </w:rPr>
              <w:lastRenderedPageBreak/>
              <w:t>1.4</w:t>
            </w:r>
            <w:r>
              <w:rPr>
                <w:rFonts w:asciiTheme="minorHAnsi" w:hAnsiTheme="minorHAnsi" w:cstheme="minorHAnsi"/>
              </w:rPr>
              <w:t xml:space="preserve"> W</w:t>
            </w:r>
            <w:r w:rsidR="00FD62AF">
              <w:rPr>
                <w:rFonts w:asciiTheme="minorHAnsi" w:hAnsiTheme="minorHAnsi" w:cstheme="minorHAnsi"/>
              </w:rPr>
              <w:t>orld Vision</w:t>
            </w:r>
            <w:r w:rsidR="00161FBF">
              <w:rPr>
                <w:rFonts w:asciiTheme="minorHAnsi" w:hAnsiTheme="minorHAnsi" w:cstheme="minorHAnsi"/>
              </w:rPr>
              <w:t xml:space="preserve"> (WV)</w:t>
            </w:r>
            <w:r>
              <w:rPr>
                <w:rFonts w:asciiTheme="minorHAnsi" w:hAnsiTheme="minorHAnsi" w:cstheme="minorHAnsi"/>
              </w:rPr>
              <w:t xml:space="preserve"> </w:t>
            </w:r>
            <w:r w:rsidR="00753DE3">
              <w:rPr>
                <w:rFonts w:asciiTheme="minorHAnsi" w:hAnsiTheme="minorHAnsi" w:cstheme="minorHAnsi"/>
              </w:rPr>
              <w:t xml:space="preserve">believes that </w:t>
            </w:r>
            <w:r w:rsidR="00ED7C7D">
              <w:rPr>
                <w:rFonts w:asciiTheme="minorHAnsi" w:hAnsiTheme="minorHAnsi" w:cstheme="minorHAnsi"/>
              </w:rPr>
              <w:t>International Non-Government Organisations (INGOs)</w:t>
            </w:r>
            <w:r w:rsidR="00753DE3">
              <w:rPr>
                <w:rFonts w:asciiTheme="minorHAnsi" w:hAnsiTheme="minorHAnsi" w:cstheme="minorHAnsi"/>
              </w:rPr>
              <w:t xml:space="preserve"> need to spend </w:t>
            </w:r>
            <w:r w:rsidR="000E46BE">
              <w:rPr>
                <w:rFonts w:asciiTheme="minorHAnsi" w:hAnsiTheme="minorHAnsi" w:cstheme="minorHAnsi"/>
              </w:rPr>
              <w:t>more resources</w:t>
            </w:r>
            <w:r w:rsidR="00160057">
              <w:rPr>
                <w:rFonts w:asciiTheme="minorHAnsi" w:hAnsiTheme="minorHAnsi" w:cstheme="minorHAnsi"/>
              </w:rPr>
              <w:t xml:space="preserve"> to manage the volunteers</w:t>
            </w:r>
            <w:r w:rsidR="00576F04">
              <w:rPr>
                <w:rFonts w:asciiTheme="minorHAnsi" w:hAnsiTheme="minorHAnsi" w:cstheme="minorHAnsi"/>
              </w:rPr>
              <w:t xml:space="preserve"> </w:t>
            </w:r>
            <w:r w:rsidR="003A7E80">
              <w:rPr>
                <w:rFonts w:asciiTheme="minorHAnsi" w:hAnsiTheme="minorHAnsi" w:cstheme="minorHAnsi"/>
              </w:rPr>
              <w:t xml:space="preserve">including </w:t>
            </w:r>
            <w:r w:rsidR="00962C64">
              <w:rPr>
                <w:rFonts w:asciiTheme="minorHAnsi" w:hAnsiTheme="minorHAnsi" w:cstheme="minorHAnsi"/>
              </w:rPr>
              <w:t xml:space="preserve">providing incentives, </w:t>
            </w:r>
            <w:r w:rsidR="003A7E80">
              <w:rPr>
                <w:rFonts w:asciiTheme="minorHAnsi" w:hAnsiTheme="minorHAnsi" w:cstheme="minorHAnsi"/>
              </w:rPr>
              <w:t>screening process, monitoring</w:t>
            </w:r>
            <w:r w:rsidR="005E2D8B">
              <w:rPr>
                <w:rFonts w:asciiTheme="minorHAnsi" w:hAnsiTheme="minorHAnsi" w:cstheme="minorHAnsi"/>
              </w:rPr>
              <w:t xml:space="preserve">, </w:t>
            </w:r>
            <w:r w:rsidR="003A7E80">
              <w:rPr>
                <w:rFonts w:asciiTheme="minorHAnsi" w:hAnsiTheme="minorHAnsi" w:cstheme="minorHAnsi"/>
              </w:rPr>
              <w:t>capacity building</w:t>
            </w:r>
            <w:r w:rsidR="005E2D8B">
              <w:rPr>
                <w:rFonts w:asciiTheme="minorHAnsi" w:hAnsiTheme="minorHAnsi" w:cstheme="minorHAnsi"/>
              </w:rPr>
              <w:t xml:space="preserve"> and training</w:t>
            </w:r>
            <w:r w:rsidR="003A7E80">
              <w:rPr>
                <w:rFonts w:asciiTheme="minorHAnsi" w:hAnsiTheme="minorHAnsi" w:cstheme="minorHAnsi"/>
              </w:rPr>
              <w:t xml:space="preserve"> </w:t>
            </w:r>
            <w:r w:rsidR="006A356D">
              <w:rPr>
                <w:rFonts w:asciiTheme="minorHAnsi" w:hAnsiTheme="minorHAnsi" w:cstheme="minorHAnsi"/>
              </w:rPr>
              <w:t>to ensure that the volunteers also comply to DFAT standards</w:t>
            </w:r>
            <w:r w:rsidR="002E1566">
              <w:rPr>
                <w:rFonts w:asciiTheme="minorHAnsi" w:hAnsiTheme="minorHAnsi" w:cstheme="minorHAnsi"/>
              </w:rPr>
              <w:t xml:space="preserve"> as they engage </w:t>
            </w:r>
            <w:r w:rsidR="005E2D8B">
              <w:rPr>
                <w:rFonts w:asciiTheme="minorHAnsi" w:hAnsiTheme="minorHAnsi" w:cstheme="minorHAnsi"/>
              </w:rPr>
              <w:t>in</w:t>
            </w:r>
            <w:r w:rsidR="002E1566">
              <w:rPr>
                <w:rFonts w:asciiTheme="minorHAnsi" w:hAnsiTheme="minorHAnsi" w:cstheme="minorHAnsi"/>
              </w:rPr>
              <w:t xml:space="preserve"> community</w:t>
            </w:r>
            <w:r w:rsidR="005E2D8B">
              <w:rPr>
                <w:rFonts w:asciiTheme="minorHAnsi" w:hAnsiTheme="minorHAnsi" w:cstheme="minorHAnsi"/>
              </w:rPr>
              <w:t xml:space="preserve"> activities</w:t>
            </w:r>
            <w:r w:rsidR="00FB7C88">
              <w:rPr>
                <w:rFonts w:asciiTheme="minorHAnsi" w:hAnsiTheme="minorHAnsi" w:cstheme="minorHAnsi"/>
              </w:rPr>
              <w:t xml:space="preserve">. </w:t>
            </w:r>
            <w:r w:rsidR="00160057">
              <w:rPr>
                <w:rFonts w:asciiTheme="minorHAnsi" w:hAnsiTheme="minorHAnsi" w:cstheme="minorHAnsi"/>
              </w:rPr>
              <w:t xml:space="preserve"> </w:t>
            </w:r>
          </w:p>
          <w:p w14:paraId="760ABA4E" w14:textId="77777777" w:rsidR="00160057" w:rsidRDefault="00160057" w:rsidP="4BC57607">
            <w:pPr>
              <w:rPr>
                <w:rFonts w:asciiTheme="minorHAnsi" w:hAnsiTheme="minorHAnsi" w:cstheme="minorBidi"/>
              </w:rPr>
            </w:pPr>
          </w:p>
          <w:p w14:paraId="42B38DCB" w14:textId="42A1C9EF" w:rsidR="5CCDD100" w:rsidRDefault="5CCDD100" w:rsidP="4BC57607">
            <w:pPr>
              <w:spacing w:after="160"/>
              <w:rPr>
                <w:rFonts w:eastAsia="Calibri"/>
              </w:rPr>
            </w:pPr>
            <w:r w:rsidRPr="4BC57607">
              <w:rPr>
                <w:rFonts w:asciiTheme="minorHAnsi" w:hAnsiTheme="minorHAnsi" w:cstheme="minorBidi"/>
                <w:b/>
                <w:bCs/>
              </w:rPr>
              <w:t xml:space="preserve">1.5 </w:t>
            </w:r>
            <w:r w:rsidRPr="4BC57607">
              <w:rPr>
                <w:rFonts w:eastAsia="Calibri"/>
              </w:rPr>
              <w:t>Save the Children (SC) ha</w:t>
            </w:r>
            <w:r w:rsidR="00324BA0">
              <w:rPr>
                <w:rFonts w:eastAsia="Calibri"/>
              </w:rPr>
              <w:t>d</w:t>
            </w:r>
            <w:r w:rsidRPr="4BC57607">
              <w:rPr>
                <w:rFonts w:eastAsia="Calibri"/>
              </w:rPr>
              <w:t xml:space="preserve"> volunteers in </w:t>
            </w:r>
            <w:r w:rsidR="09971E55" w:rsidRPr="4BC57607">
              <w:rPr>
                <w:rFonts w:eastAsia="Calibri"/>
              </w:rPr>
              <w:t>e</w:t>
            </w:r>
            <w:r w:rsidRPr="4BC57607">
              <w:rPr>
                <w:rFonts w:eastAsia="Calibri"/>
              </w:rPr>
              <w:t>ducation, child protection and health areas in AHP</w:t>
            </w:r>
            <w:r w:rsidR="0CE83FD5" w:rsidRPr="4BC57607">
              <w:rPr>
                <w:rFonts w:eastAsia="Calibri"/>
              </w:rPr>
              <w:t xml:space="preserve"> Phase III</w:t>
            </w:r>
            <w:r w:rsidRPr="4BC57607">
              <w:rPr>
                <w:rFonts w:eastAsia="Calibri"/>
              </w:rPr>
              <w:t xml:space="preserve">. </w:t>
            </w:r>
            <w:r w:rsidR="00324BA0">
              <w:rPr>
                <w:rFonts w:eastAsia="Calibri"/>
              </w:rPr>
              <w:t>This</w:t>
            </w:r>
            <w:r w:rsidRPr="4BC57607">
              <w:rPr>
                <w:rFonts w:eastAsia="Calibri"/>
              </w:rPr>
              <w:t xml:space="preserve"> will continue in </w:t>
            </w:r>
            <w:r w:rsidR="46417ABD" w:rsidRPr="4BC57607">
              <w:rPr>
                <w:rFonts w:eastAsia="Calibri"/>
              </w:rPr>
              <w:t>Phase IV</w:t>
            </w:r>
            <w:r w:rsidRPr="4BC57607">
              <w:rPr>
                <w:rFonts w:eastAsia="Calibri"/>
              </w:rPr>
              <w:t>.</w:t>
            </w:r>
          </w:p>
          <w:p w14:paraId="3F50A7CE" w14:textId="7DAD4ABB" w:rsidR="4BC57607" w:rsidRDefault="4BC57607" w:rsidP="4BC57607">
            <w:pPr>
              <w:rPr>
                <w:rFonts w:asciiTheme="minorHAnsi" w:hAnsiTheme="minorHAnsi" w:cstheme="minorBidi"/>
                <w:b/>
                <w:bCs/>
              </w:rPr>
            </w:pPr>
          </w:p>
          <w:p w14:paraId="539ED8D6" w14:textId="7C09683A" w:rsidR="009E374C" w:rsidRPr="007005A7" w:rsidRDefault="009E374C" w:rsidP="00491781">
            <w:pPr>
              <w:rPr>
                <w:rFonts w:asciiTheme="minorHAnsi" w:hAnsiTheme="minorHAnsi" w:cstheme="minorBidi"/>
                <w:b/>
                <w:bCs/>
              </w:rPr>
            </w:pPr>
            <w:r w:rsidRPr="4BC57607">
              <w:rPr>
                <w:rFonts w:asciiTheme="minorHAnsi" w:hAnsiTheme="minorHAnsi" w:cstheme="minorBidi"/>
                <w:b/>
                <w:bCs/>
              </w:rPr>
              <w:t>1.</w:t>
            </w:r>
            <w:r w:rsidR="50279A9D" w:rsidRPr="4BC57607">
              <w:rPr>
                <w:rFonts w:asciiTheme="minorHAnsi" w:hAnsiTheme="minorHAnsi" w:cstheme="minorBidi"/>
                <w:b/>
                <w:bCs/>
              </w:rPr>
              <w:t>6</w:t>
            </w:r>
            <w:r w:rsidRPr="4BC57607">
              <w:rPr>
                <w:rFonts w:asciiTheme="minorHAnsi" w:hAnsiTheme="minorHAnsi" w:cstheme="minorBidi"/>
              </w:rPr>
              <w:t xml:space="preserve"> DFAT agrees with this recommendation</w:t>
            </w:r>
            <w:r w:rsidR="006635D5" w:rsidRPr="4BC57607">
              <w:rPr>
                <w:rFonts w:asciiTheme="minorHAnsi" w:hAnsiTheme="minorHAnsi" w:cstheme="minorBidi"/>
              </w:rPr>
              <w:t xml:space="preserve"> and continue to support partners’ implementation of volunteer activities</w:t>
            </w:r>
            <w:r w:rsidR="008A0F63" w:rsidRPr="4BC57607">
              <w:rPr>
                <w:rFonts w:asciiTheme="minorHAnsi" w:hAnsiTheme="minorHAnsi" w:cstheme="minorBidi"/>
              </w:rPr>
              <w:t xml:space="preserve">, noting that </w:t>
            </w:r>
            <w:r w:rsidR="00815B70" w:rsidRPr="4BC57607">
              <w:rPr>
                <w:rFonts w:asciiTheme="minorHAnsi" w:hAnsiTheme="minorHAnsi" w:cstheme="minorBidi"/>
              </w:rPr>
              <w:t xml:space="preserve">opportunities for partners to support volunteers </w:t>
            </w:r>
            <w:r w:rsidR="008A0F63" w:rsidRPr="4BC57607">
              <w:rPr>
                <w:rFonts w:asciiTheme="minorHAnsi" w:hAnsiTheme="minorHAnsi" w:cstheme="minorBidi"/>
              </w:rPr>
              <w:t xml:space="preserve">are </w:t>
            </w:r>
            <w:r w:rsidR="009B2CBC">
              <w:rPr>
                <w:rFonts w:asciiTheme="minorHAnsi" w:hAnsiTheme="minorHAnsi" w:cstheme="minorBidi"/>
              </w:rPr>
              <w:t xml:space="preserve">shaped by </w:t>
            </w:r>
            <w:r w:rsidRPr="4BC57607">
              <w:rPr>
                <w:rFonts w:asciiTheme="minorHAnsi" w:hAnsiTheme="minorHAnsi" w:cstheme="minorBidi"/>
              </w:rPr>
              <w:t xml:space="preserve">the </w:t>
            </w:r>
            <w:r w:rsidR="00815B70" w:rsidRPr="4BC57607">
              <w:rPr>
                <w:rFonts w:asciiTheme="minorHAnsi" w:hAnsiTheme="minorHAnsi" w:cstheme="minorBidi"/>
              </w:rPr>
              <w:t>Government of Bangladesh through the ‘Guidance on the Engagement of Volunteers for the Rohingya Refugee/FDMN Camps’</w:t>
            </w:r>
            <w:r w:rsidR="00BF07CB" w:rsidRPr="4BC57607">
              <w:rPr>
                <w:rFonts w:asciiTheme="minorHAnsi" w:hAnsiTheme="minorHAnsi" w:cstheme="minorBidi"/>
              </w:rPr>
              <w:t xml:space="preserve"> and the ‘Government of Bangladesh- United Nations Framework on Skills Development for Rohingya Refugees/FDMNs and Host Communities’</w:t>
            </w:r>
            <w:r w:rsidR="00815B70" w:rsidRPr="4BC57607">
              <w:rPr>
                <w:rFonts w:asciiTheme="minorHAnsi" w:hAnsiTheme="minorHAnsi" w:cstheme="minorBidi"/>
              </w:rPr>
              <w:t>.</w:t>
            </w:r>
            <w:r w:rsidRPr="4BC57607">
              <w:rPr>
                <w:rFonts w:asciiTheme="minorHAnsi" w:hAnsiTheme="minorHAnsi" w:cstheme="minorBidi"/>
              </w:rPr>
              <w:t xml:space="preserve"> </w:t>
            </w:r>
            <w:r w:rsidR="00815B70" w:rsidRPr="4BC57607">
              <w:rPr>
                <w:rFonts w:asciiTheme="minorHAnsi" w:hAnsiTheme="minorHAnsi" w:cstheme="minorBidi"/>
              </w:rPr>
              <w:t xml:space="preserve">DFAT will continue to </w:t>
            </w:r>
            <w:r w:rsidR="006635D5" w:rsidRPr="4BC57607">
              <w:rPr>
                <w:rFonts w:asciiTheme="minorHAnsi" w:hAnsiTheme="minorHAnsi" w:cstheme="minorBidi"/>
              </w:rPr>
              <w:t>advocat</w:t>
            </w:r>
            <w:r w:rsidR="00815B70" w:rsidRPr="4BC57607">
              <w:rPr>
                <w:rFonts w:asciiTheme="minorHAnsi" w:hAnsiTheme="minorHAnsi" w:cstheme="minorBidi"/>
              </w:rPr>
              <w:t>e</w:t>
            </w:r>
            <w:r w:rsidR="006635D5" w:rsidRPr="4BC57607">
              <w:rPr>
                <w:rFonts w:asciiTheme="minorHAnsi" w:hAnsiTheme="minorHAnsi" w:cstheme="minorBidi"/>
              </w:rPr>
              <w:t xml:space="preserve"> for </w:t>
            </w:r>
            <w:r w:rsidR="00EA2848" w:rsidRPr="4BC57607">
              <w:rPr>
                <w:rFonts w:asciiTheme="minorHAnsi" w:hAnsiTheme="minorHAnsi" w:cstheme="minorBidi"/>
              </w:rPr>
              <w:t xml:space="preserve">further </w:t>
            </w:r>
            <w:r w:rsidR="006635D5" w:rsidRPr="4BC57607">
              <w:rPr>
                <w:rFonts w:asciiTheme="minorHAnsi" w:hAnsiTheme="minorHAnsi" w:cstheme="minorBidi"/>
              </w:rPr>
              <w:t>opportunities for self-reliance at the policy level</w:t>
            </w:r>
            <w:r w:rsidRPr="4BC57607">
              <w:rPr>
                <w:rFonts w:asciiTheme="minorHAnsi" w:hAnsiTheme="minorHAnsi" w:cstheme="minorBidi"/>
              </w:rPr>
              <w:t xml:space="preserve">. </w:t>
            </w:r>
          </w:p>
        </w:tc>
        <w:tc>
          <w:tcPr>
            <w:tcW w:w="1307" w:type="dxa"/>
          </w:tcPr>
          <w:p w14:paraId="0FF15CFE" w14:textId="2893C7D3" w:rsidR="001425A9" w:rsidRDefault="00295A28">
            <w:r>
              <w:lastRenderedPageBreak/>
              <w:t xml:space="preserve">July 2023 – December 2025 </w:t>
            </w:r>
          </w:p>
        </w:tc>
      </w:tr>
      <w:tr w:rsidR="001425A9" w14:paraId="2B8A39EF" w14:textId="77777777" w:rsidTr="4BC57607">
        <w:trPr>
          <w:trHeight w:val="300"/>
        </w:trPr>
        <w:tc>
          <w:tcPr>
            <w:tcW w:w="4536" w:type="dxa"/>
          </w:tcPr>
          <w:p w14:paraId="5DD7577B" w14:textId="77777777" w:rsidR="001425A9" w:rsidRDefault="00295A28">
            <w:pPr>
              <w:rPr>
                <w:rFonts w:eastAsia="Calibri"/>
              </w:rPr>
            </w:pPr>
            <w:r w:rsidRPr="00A325A3">
              <w:rPr>
                <w:rFonts w:eastAsia="Calibri"/>
                <w:b/>
                <w:bCs/>
              </w:rPr>
              <w:lastRenderedPageBreak/>
              <w:t>2.</w:t>
            </w:r>
            <w:r>
              <w:rPr>
                <w:rFonts w:eastAsia="Calibri"/>
              </w:rPr>
              <w:tab/>
              <w:t xml:space="preserve">The existing policy instruments present significant challenges when creating market linkages for displaced Rohingya. A key takeaway from AHP implementation is the importance of expanding livelihood and vocational training programs beyond the confines of the camps, focusing on facilitating connections with </w:t>
            </w:r>
            <w:r>
              <w:rPr>
                <w:rFonts w:eastAsia="Calibri"/>
              </w:rPr>
              <w:lastRenderedPageBreak/>
              <w:t>markets outside. This approach would enable individuals to effectively apply their acquired skills and foster greater self-reliance among the Rohingya community. It is recommended that AHP collaborate with relevant stakeholders at the policy level to advocate for policy changes and support market connections for livelihood interventions within the camps. Seek opportunities to expand volunteering activities directly addressing community needs while allowing volunteers to build skills and earn income. Continue to utilise volunteers in DRR and WASH initiatives within the camps by designing programs that enable individuals to gain practical skills, access educational resources, develop income-generating activities, and contribute to overall camp management and maintenance. These initiatives can empower volunteers (displaced individuals) to actively participate in community-building efforts and develop valuable skills that contribute to their self-reliance and resilience. They also meet the high community need for greater awareness of WASH, and clean drainage, and facilitate feedback from affected community members to AHP partners.</w:t>
            </w:r>
          </w:p>
        </w:tc>
        <w:tc>
          <w:tcPr>
            <w:tcW w:w="1560" w:type="dxa"/>
          </w:tcPr>
          <w:p w14:paraId="294403AB" w14:textId="6580ED1B" w:rsidR="001425A9" w:rsidRDefault="00295A28">
            <w:r>
              <w:lastRenderedPageBreak/>
              <w:t>ANGOs</w:t>
            </w:r>
            <w:r w:rsidR="00B451E1">
              <w:t xml:space="preserve"> / DFAT</w:t>
            </w:r>
          </w:p>
        </w:tc>
        <w:tc>
          <w:tcPr>
            <w:tcW w:w="1425" w:type="dxa"/>
          </w:tcPr>
          <w:p w14:paraId="314D85DF" w14:textId="181776C0" w:rsidR="001425A9" w:rsidRDefault="007005A7">
            <w:r>
              <w:t>A</w:t>
            </w:r>
            <w:r w:rsidR="00295A28">
              <w:t>gree</w:t>
            </w:r>
          </w:p>
          <w:p w14:paraId="0615922F" w14:textId="77777777" w:rsidR="001425A9" w:rsidRDefault="001425A9"/>
          <w:p w14:paraId="0495C435" w14:textId="77777777" w:rsidR="001425A9" w:rsidRDefault="001425A9"/>
          <w:p w14:paraId="0094E266" w14:textId="77777777" w:rsidR="001425A9" w:rsidRDefault="001425A9"/>
          <w:p w14:paraId="6ABE1EEC" w14:textId="77777777" w:rsidR="001425A9" w:rsidRDefault="001425A9"/>
          <w:p w14:paraId="1AB52299" w14:textId="77777777" w:rsidR="001425A9" w:rsidRDefault="001425A9"/>
          <w:p w14:paraId="31FD04E0" w14:textId="77777777" w:rsidR="001425A9" w:rsidRDefault="001425A9"/>
          <w:p w14:paraId="52B0CF2E" w14:textId="77777777" w:rsidR="001425A9" w:rsidRDefault="001425A9"/>
          <w:p w14:paraId="6408EE53" w14:textId="77777777" w:rsidR="001425A9" w:rsidRDefault="001425A9"/>
          <w:p w14:paraId="45ABE575" w14:textId="77777777" w:rsidR="001425A9" w:rsidRDefault="001425A9"/>
          <w:p w14:paraId="05863DDC" w14:textId="77777777" w:rsidR="00694CCB" w:rsidRDefault="00694CCB"/>
          <w:p w14:paraId="6E8E8448" w14:textId="59BB67B4" w:rsidR="001425A9" w:rsidRDefault="00295A28">
            <w:r>
              <w:t xml:space="preserve">Partially </w:t>
            </w:r>
            <w:proofErr w:type="gramStart"/>
            <w:r>
              <w:t>agree</w:t>
            </w:r>
            <w:proofErr w:type="gramEnd"/>
          </w:p>
          <w:p w14:paraId="6C75A2A2" w14:textId="77777777" w:rsidR="001425A9" w:rsidRDefault="001425A9"/>
          <w:p w14:paraId="77ED1104" w14:textId="77777777" w:rsidR="001425A9" w:rsidRDefault="001425A9"/>
          <w:p w14:paraId="5CB2C382" w14:textId="77777777" w:rsidR="001425A9" w:rsidRDefault="001425A9"/>
          <w:p w14:paraId="51033236" w14:textId="77777777" w:rsidR="001425A9" w:rsidRDefault="001425A9"/>
          <w:p w14:paraId="02AA0F3F" w14:textId="77777777" w:rsidR="001425A9" w:rsidRDefault="001425A9"/>
          <w:p w14:paraId="51179E41" w14:textId="77777777" w:rsidR="001425A9" w:rsidRDefault="001425A9"/>
          <w:p w14:paraId="121F1091" w14:textId="77777777" w:rsidR="001425A9" w:rsidRDefault="001425A9"/>
          <w:p w14:paraId="4CCB32D6" w14:textId="77777777" w:rsidR="001425A9" w:rsidRDefault="001425A9"/>
          <w:p w14:paraId="2A6A235F" w14:textId="77777777" w:rsidR="001425A9" w:rsidRDefault="001425A9"/>
          <w:p w14:paraId="44DBAF01" w14:textId="77777777" w:rsidR="001425A9" w:rsidRDefault="001425A9"/>
          <w:p w14:paraId="1CBF3EF0" w14:textId="77777777" w:rsidR="00B259FD" w:rsidRDefault="00B259FD"/>
          <w:p w14:paraId="1C21AC27" w14:textId="77777777" w:rsidR="001425A9" w:rsidRDefault="00295A28">
            <w:r>
              <w:t xml:space="preserve">Partially </w:t>
            </w:r>
            <w:proofErr w:type="gramStart"/>
            <w:r>
              <w:t>agree</w:t>
            </w:r>
            <w:proofErr w:type="gramEnd"/>
          </w:p>
          <w:p w14:paraId="47FA66E0" w14:textId="77777777" w:rsidR="001C3B73" w:rsidRDefault="001C3B73"/>
          <w:p w14:paraId="48BB9659" w14:textId="77777777" w:rsidR="001C3B73" w:rsidRDefault="001C3B73"/>
          <w:p w14:paraId="11A1A18E" w14:textId="77777777" w:rsidR="001C3B73" w:rsidRDefault="001C3B73"/>
          <w:p w14:paraId="3C6A6A92" w14:textId="77777777" w:rsidR="00054A01" w:rsidRDefault="00054A01"/>
          <w:p w14:paraId="2CD18DEE" w14:textId="6B7FAA6F" w:rsidR="00B63F15" w:rsidRDefault="00B63F15" w:rsidP="00054A01">
            <w:r>
              <w:t>Agree</w:t>
            </w:r>
          </w:p>
          <w:p w14:paraId="47D16611" w14:textId="77777777" w:rsidR="00B63F15" w:rsidRDefault="00B63F15" w:rsidP="00054A01"/>
          <w:p w14:paraId="381D2130" w14:textId="77777777" w:rsidR="00082441" w:rsidRDefault="00082441" w:rsidP="00054A01"/>
          <w:p w14:paraId="1A0C7FAA" w14:textId="77777777" w:rsidR="00082441" w:rsidRDefault="00082441" w:rsidP="00054A01"/>
          <w:p w14:paraId="263C0E5F" w14:textId="77777777" w:rsidR="00936320" w:rsidRDefault="00936320" w:rsidP="00054A01"/>
          <w:p w14:paraId="41E401B8" w14:textId="77777777" w:rsidR="00936320" w:rsidRDefault="00936320" w:rsidP="00054A01"/>
          <w:p w14:paraId="345299C9" w14:textId="77777777" w:rsidR="000E5CDB" w:rsidRDefault="000E5CDB" w:rsidP="00054A01"/>
          <w:p w14:paraId="3771EC63" w14:textId="7CCCDC0E" w:rsidR="4BC57607" w:rsidRDefault="00400122">
            <w:r>
              <w:lastRenderedPageBreak/>
              <w:t xml:space="preserve">Partially </w:t>
            </w:r>
            <w:proofErr w:type="gramStart"/>
            <w:r w:rsidR="00AB4125">
              <w:t>a</w:t>
            </w:r>
            <w:r>
              <w:t>gree</w:t>
            </w:r>
            <w:proofErr w:type="gramEnd"/>
          </w:p>
          <w:p w14:paraId="75BA838A" w14:textId="7491CCE7" w:rsidR="4BC57607" w:rsidRDefault="4BC57607"/>
          <w:p w14:paraId="14DAE481" w14:textId="230FF4C3" w:rsidR="4BC57607" w:rsidRDefault="4BC57607"/>
          <w:p w14:paraId="60441D27" w14:textId="6539D311" w:rsidR="4BC57607" w:rsidRDefault="4BC57607"/>
          <w:p w14:paraId="1EE3C5FF" w14:textId="4F2BDFEB" w:rsidR="4BC57607" w:rsidRDefault="4BC57607"/>
          <w:p w14:paraId="2456AEAF" w14:textId="39722700" w:rsidR="4BC57607" w:rsidRDefault="4BC57607"/>
          <w:p w14:paraId="51031E54" w14:textId="2791AC3B" w:rsidR="4BC57607" w:rsidRDefault="4BC57607"/>
          <w:p w14:paraId="6B56B6CF" w14:textId="50E9B6EA" w:rsidR="4BC57607" w:rsidRDefault="4BC57607"/>
          <w:p w14:paraId="025363DD" w14:textId="5EB9726E" w:rsidR="4BC57607" w:rsidRDefault="4BC57607"/>
          <w:p w14:paraId="32F9A878" w14:textId="262DBF24" w:rsidR="4BC57607" w:rsidRDefault="4BC57607"/>
          <w:p w14:paraId="6606124F" w14:textId="69469FB9" w:rsidR="4BC57607" w:rsidRDefault="4BC57607"/>
          <w:p w14:paraId="50AB0224" w14:textId="011B9371" w:rsidR="4BC57607" w:rsidRDefault="4BC57607"/>
          <w:p w14:paraId="6460F058" w14:textId="742DDC8F" w:rsidR="4BC57607" w:rsidRDefault="4BC57607"/>
          <w:p w14:paraId="04CD165A" w14:textId="77674115" w:rsidR="4BC57607" w:rsidRDefault="4BC57607"/>
          <w:p w14:paraId="422929E5" w14:textId="4D049525" w:rsidR="4BC57607" w:rsidRDefault="4BC57607"/>
          <w:p w14:paraId="4255CDED" w14:textId="1A67AB3D" w:rsidR="00054A01" w:rsidRDefault="00054A01" w:rsidP="00054A01">
            <w:r>
              <w:t xml:space="preserve">Partially </w:t>
            </w:r>
            <w:proofErr w:type="gramStart"/>
            <w:r>
              <w:t>agree</w:t>
            </w:r>
            <w:proofErr w:type="gramEnd"/>
          </w:p>
          <w:p w14:paraId="3AD59BBF" w14:textId="4A911F4B" w:rsidR="00054A01" w:rsidRDefault="00054A01"/>
        </w:tc>
        <w:tc>
          <w:tcPr>
            <w:tcW w:w="5662" w:type="dxa"/>
          </w:tcPr>
          <w:p w14:paraId="2FC4B4D2" w14:textId="7B4025D7" w:rsidR="001425A9" w:rsidRPr="007005A7" w:rsidRDefault="0013716D" w:rsidP="009A7F5B">
            <w:pPr>
              <w:spacing w:after="240"/>
              <w:rPr>
                <w:rFonts w:eastAsia="Arial"/>
              </w:rPr>
            </w:pPr>
            <w:r w:rsidRPr="00A325A3">
              <w:rPr>
                <w:rFonts w:eastAsia="Arial"/>
                <w:b/>
                <w:bCs/>
              </w:rPr>
              <w:lastRenderedPageBreak/>
              <w:t>2.1</w:t>
            </w:r>
            <w:r>
              <w:rPr>
                <w:rFonts w:eastAsia="Arial"/>
              </w:rPr>
              <w:t xml:space="preserve"> </w:t>
            </w:r>
            <w:r w:rsidR="00295A28" w:rsidRPr="007005A7">
              <w:rPr>
                <w:rFonts w:eastAsia="Arial"/>
              </w:rPr>
              <w:t>Oxfam to support skills development within the camps in line with what is permissible by</w:t>
            </w:r>
            <w:r w:rsidR="00F00BB6">
              <w:rPr>
                <w:rFonts w:eastAsia="Arial"/>
              </w:rPr>
              <w:t xml:space="preserve"> </w:t>
            </w:r>
            <w:r>
              <w:rPr>
                <w:rFonts w:eastAsia="Arial"/>
              </w:rPr>
              <w:t>The Government of Bangladesh</w:t>
            </w:r>
            <w:r w:rsidR="00DD0AD1">
              <w:rPr>
                <w:rFonts w:eastAsia="Arial"/>
              </w:rPr>
              <w:t xml:space="preserve"> (GoB)</w:t>
            </w:r>
            <w:r w:rsidR="00295A28" w:rsidRPr="007005A7">
              <w:rPr>
                <w:rFonts w:eastAsia="Arial"/>
              </w:rPr>
              <w:t xml:space="preserve"> and will continue supporting host communities with capacity building and linkage with government and non</w:t>
            </w:r>
            <w:r w:rsidR="008D0902">
              <w:rPr>
                <w:rFonts w:eastAsia="Arial"/>
              </w:rPr>
              <w:t>-</w:t>
            </w:r>
            <w:r w:rsidR="00295A28" w:rsidRPr="007005A7">
              <w:rPr>
                <w:rFonts w:eastAsia="Arial"/>
              </w:rPr>
              <w:t>government support, including climate smart agriculture</w:t>
            </w:r>
            <w:r w:rsidR="00FF2333">
              <w:rPr>
                <w:rFonts w:eastAsia="Arial"/>
              </w:rPr>
              <w:t xml:space="preserve">. Oxfam </w:t>
            </w:r>
            <w:r w:rsidR="00295A28" w:rsidRPr="007005A7">
              <w:rPr>
                <w:rFonts w:eastAsia="Arial"/>
              </w:rPr>
              <w:t xml:space="preserve">will explore the possibility of market linkages between camps and host community </w:t>
            </w:r>
            <w:r w:rsidR="00295A28" w:rsidRPr="007005A7">
              <w:rPr>
                <w:rFonts w:eastAsia="Arial"/>
              </w:rPr>
              <w:lastRenderedPageBreak/>
              <w:t>depending on the political environment - though this remains highly constrained. Oxfam will use its influence to advocate for a policy shift in this area.</w:t>
            </w:r>
          </w:p>
          <w:p w14:paraId="2859AC3D" w14:textId="2BE7278D" w:rsidR="001425A9" w:rsidRPr="007005A7" w:rsidRDefault="0013716D">
            <w:r w:rsidRPr="00A325A3">
              <w:rPr>
                <w:b/>
                <w:bCs/>
              </w:rPr>
              <w:t>2.2</w:t>
            </w:r>
            <w:r>
              <w:t xml:space="preserve"> </w:t>
            </w:r>
            <w:r w:rsidR="00295A28" w:rsidRPr="007005A7">
              <w:t>CARE supports skills development within the camps in line with what is permissible by</w:t>
            </w:r>
            <w:r>
              <w:t xml:space="preserve"> </w:t>
            </w:r>
            <w:r w:rsidR="00B259FD">
              <w:t>the GoB</w:t>
            </w:r>
            <w:r w:rsidR="008D0902">
              <w:t>.</w:t>
            </w:r>
            <w:r w:rsidR="00295A28" w:rsidRPr="007005A7">
              <w:t xml:space="preserve"> CARE will continue life skills under DRR, WASH and </w:t>
            </w:r>
            <w:r w:rsidR="00946DA7">
              <w:t xml:space="preserve">gender-based violence </w:t>
            </w:r>
            <w:r w:rsidR="00946DA7" w:rsidRPr="00946DA7">
              <w:t>(</w:t>
            </w:r>
            <w:r w:rsidR="00295A28" w:rsidRPr="008D0902">
              <w:t>GBV</w:t>
            </w:r>
            <w:r w:rsidR="00946DA7" w:rsidRPr="00946DA7">
              <w:t>)</w:t>
            </w:r>
            <w:r w:rsidR="00295A28" w:rsidRPr="00946DA7">
              <w:t>.</w:t>
            </w:r>
            <w:r w:rsidR="00295A28" w:rsidRPr="007005A7">
              <w:t xml:space="preserve"> This includes </w:t>
            </w:r>
            <w:r w:rsidR="00C82640">
              <w:t>c</w:t>
            </w:r>
            <w:r w:rsidR="00295A28" w:rsidRPr="007005A7">
              <w:t xml:space="preserve">ash for </w:t>
            </w:r>
            <w:r w:rsidR="00C82640">
              <w:t>w</w:t>
            </w:r>
            <w:r w:rsidR="00295A28" w:rsidRPr="007005A7">
              <w:t xml:space="preserve">ork as well as skills building to improve resilience and enable people to improve their own environment </w:t>
            </w:r>
            <w:r w:rsidR="007D2937">
              <w:t>–</w:t>
            </w:r>
            <w:r w:rsidR="00295A28" w:rsidRPr="007005A7">
              <w:t xml:space="preserve"> </w:t>
            </w:r>
            <w:r w:rsidR="007D2937">
              <w:t>for example, v</w:t>
            </w:r>
            <w:r w:rsidR="00295A28" w:rsidRPr="007005A7">
              <w:t>ocational training to respond to small issues such as maintenance of infrastructure. Humanitarian actors are restricted to what is outlined in the</w:t>
            </w:r>
            <w:r w:rsidR="00DD0AD1">
              <w:t xml:space="preserve"> </w:t>
            </w:r>
            <w:r w:rsidR="002508A8">
              <w:t>J</w:t>
            </w:r>
            <w:r w:rsidR="00DD0AD1">
              <w:t xml:space="preserve">oint Response Plan </w:t>
            </w:r>
            <w:r w:rsidR="00295A28" w:rsidRPr="007005A7">
              <w:t>and Skills Development Framework of the GoB. These docume</w:t>
            </w:r>
            <w:r w:rsidR="007005A7" w:rsidRPr="007005A7">
              <w:t xml:space="preserve">nts focus </w:t>
            </w:r>
            <w:r w:rsidR="00295A28" w:rsidRPr="007005A7">
              <w:t>on building skills to support successful repatriation to Rakhine State, rather than linking Rohingya refugees to markets within Bangladesh.</w:t>
            </w:r>
          </w:p>
          <w:p w14:paraId="133172BC" w14:textId="77777777" w:rsidR="001425A9" w:rsidRPr="007005A7" w:rsidRDefault="001425A9"/>
          <w:p w14:paraId="4C715CB3" w14:textId="30F1A934" w:rsidR="008539BE" w:rsidRDefault="0013716D">
            <w:r w:rsidRPr="00A325A3">
              <w:rPr>
                <w:b/>
                <w:bCs/>
              </w:rPr>
              <w:t>2.3</w:t>
            </w:r>
            <w:r>
              <w:t xml:space="preserve"> </w:t>
            </w:r>
            <w:r w:rsidR="00295A28" w:rsidRPr="007005A7">
              <w:t>Plan is supportive of participating in a policy review process. However, the extent to which ANGOs and our country offices and local NGO partners can participate in such processes is dependent on invitation from the Bangladesh Government.</w:t>
            </w:r>
          </w:p>
          <w:p w14:paraId="6DBFFC6B" w14:textId="77777777" w:rsidR="00491781" w:rsidRDefault="00491781"/>
          <w:p w14:paraId="7FB00248" w14:textId="115A963C" w:rsidR="4BC57607" w:rsidRDefault="00BF047C" w:rsidP="4BC57607">
            <w:r w:rsidRPr="4BC57607">
              <w:rPr>
                <w:b/>
                <w:bCs/>
              </w:rPr>
              <w:t>2.4</w:t>
            </w:r>
            <w:r>
              <w:t xml:space="preserve"> WV agrees that a shift in policy is </w:t>
            </w:r>
            <w:r w:rsidR="00980A14">
              <w:t xml:space="preserve">extremely important to enable the Rohingya refugees to fully engage with markets </w:t>
            </w:r>
            <w:r w:rsidR="00AE2454">
              <w:t>within</w:t>
            </w:r>
            <w:r w:rsidR="00980A14">
              <w:t xml:space="preserve"> the camp</w:t>
            </w:r>
            <w:r w:rsidR="00A45B3E">
              <w:t>s</w:t>
            </w:r>
            <w:r w:rsidR="00192A78">
              <w:t xml:space="preserve"> (and outside)</w:t>
            </w:r>
            <w:r w:rsidR="00082441">
              <w:t xml:space="preserve"> and become more resilient. </w:t>
            </w:r>
            <w:r w:rsidR="00A45B3E">
              <w:t xml:space="preserve">WV has </w:t>
            </w:r>
            <w:r w:rsidR="00936320">
              <w:t xml:space="preserve">undertaken vocational training for </w:t>
            </w:r>
            <w:r w:rsidR="008A10AE">
              <w:t xml:space="preserve">Rohingya </w:t>
            </w:r>
            <w:r w:rsidR="00936320">
              <w:t>youth</w:t>
            </w:r>
            <w:r w:rsidR="006A668D">
              <w:t xml:space="preserve"> on various skills</w:t>
            </w:r>
            <w:r w:rsidR="00936320">
              <w:t>.</w:t>
            </w:r>
            <w:r w:rsidR="001970FB">
              <w:t xml:space="preserve"> However, the youth are not </w:t>
            </w:r>
            <w:r w:rsidR="009B2CBC">
              <w:t xml:space="preserve">always </w:t>
            </w:r>
            <w:r w:rsidR="001970FB">
              <w:t xml:space="preserve">able to </w:t>
            </w:r>
            <w:r w:rsidR="00431452">
              <w:t xml:space="preserve">fully </w:t>
            </w:r>
            <w:r w:rsidR="001970FB">
              <w:t xml:space="preserve">utilise the </w:t>
            </w:r>
            <w:r w:rsidR="00431452">
              <w:t xml:space="preserve">acquired </w:t>
            </w:r>
            <w:r w:rsidR="001970FB">
              <w:t xml:space="preserve">skills </w:t>
            </w:r>
            <w:r w:rsidR="00FE3F6C">
              <w:t>for income generation</w:t>
            </w:r>
            <w:r w:rsidR="009B2CBC">
              <w:t xml:space="preserve"> within the current policy framework. </w:t>
            </w:r>
          </w:p>
          <w:p w14:paraId="21BB08A9" w14:textId="493624D6" w:rsidR="19D55747" w:rsidRDefault="19D55747" w:rsidP="4BC57607">
            <w:pPr>
              <w:spacing w:after="160"/>
              <w:rPr>
                <w:rFonts w:eastAsia="Calibri"/>
              </w:rPr>
            </w:pPr>
            <w:r w:rsidRPr="4BC57607">
              <w:rPr>
                <w:b/>
                <w:bCs/>
              </w:rPr>
              <w:lastRenderedPageBreak/>
              <w:t xml:space="preserve">2.5 </w:t>
            </w:r>
            <w:r w:rsidRPr="4BC57607">
              <w:rPr>
                <w:rFonts w:eastAsia="Calibri"/>
              </w:rPr>
              <w:t xml:space="preserve">Save the Children did not have self-reliance/ livelihood specific initiatives in AHP </w:t>
            </w:r>
            <w:r w:rsidR="23681C50" w:rsidRPr="4BC57607">
              <w:rPr>
                <w:rFonts w:eastAsia="Calibri"/>
              </w:rPr>
              <w:t>Phase III,</w:t>
            </w:r>
            <w:r w:rsidRPr="4BC57607">
              <w:rPr>
                <w:rFonts w:eastAsia="Calibri"/>
              </w:rPr>
              <w:t xml:space="preserve"> nor under AHP </w:t>
            </w:r>
            <w:r w:rsidR="60B8BF70" w:rsidRPr="4BC57607">
              <w:rPr>
                <w:rFonts w:eastAsia="Calibri"/>
              </w:rPr>
              <w:t>Phase IV</w:t>
            </w:r>
            <w:r w:rsidRPr="4BC57607">
              <w:rPr>
                <w:rFonts w:eastAsia="Calibri"/>
              </w:rPr>
              <w:t xml:space="preserve">. However, SC considers that </w:t>
            </w:r>
            <w:r w:rsidR="358C727C" w:rsidRPr="4BC57607">
              <w:rPr>
                <w:rFonts w:eastAsia="Calibri"/>
              </w:rPr>
              <w:t>r</w:t>
            </w:r>
            <w:r w:rsidRPr="4BC57607">
              <w:rPr>
                <w:rFonts w:eastAsia="Calibri"/>
              </w:rPr>
              <w:t>efugee volunteers are playing the key role in the entire response and where it is required, SC engage</w:t>
            </w:r>
            <w:r w:rsidR="00927686">
              <w:rPr>
                <w:rFonts w:eastAsia="Calibri"/>
              </w:rPr>
              <w:t>s</w:t>
            </w:r>
            <w:r w:rsidRPr="4BC57607">
              <w:rPr>
                <w:rFonts w:eastAsia="Calibri"/>
              </w:rPr>
              <w:t xml:space="preserve"> volunteers for lasting changes. Although not a self-reliance or livelihoods initiative, volunteers receive skills training as well as a stipend payment, which both economically supports individuals and families and contributes to their long-term capacity for self-reliance.  </w:t>
            </w:r>
          </w:p>
          <w:p w14:paraId="45E3314B" w14:textId="3D8EA4E0" w:rsidR="19D55747" w:rsidRDefault="19D55747" w:rsidP="4BC57607">
            <w:pPr>
              <w:spacing w:after="160"/>
            </w:pPr>
            <w:r w:rsidRPr="4BC57607">
              <w:rPr>
                <w:rFonts w:eastAsia="Calibri"/>
              </w:rPr>
              <w:t xml:space="preserve">Beyond the AHP, SC has a volunteering program in partnership with World Food Program (WFP) where 3200 </w:t>
            </w:r>
            <w:r w:rsidR="115C8D11" w:rsidRPr="4BC57607">
              <w:rPr>
                <w:rFonts w:eastAsia="Calibri"/>
              </w:rPr>
              <w:t>r</w:t>
            </w:r>
            <w:r w:rsidRPr="4BC57607">
              <w:rPr>
                <w:rFonts w:eastAsia="Calibri"/>
              </w:rPr>
              <w:t>efugee youths’ benefit with direct cash-based incentives through receiving soft skills training and involv</w:t>
            </w:r>
            <w:r w:rsidR="001E6EAA">
              <w:rPr>
                <w:rFonts w:eastAsia="Calibri"/>
              </w:rPr>
              <w:t xml:space="preserve">ement in </w:t>
            </w:r>
            <w:r w:rsidRPr="4BC57607">
              <w:rPr>
                <w:rFonts w:eastAsia="Calibri"/>
              </w:rPr>
              <w:t>community mobilization. In addition, SC’s WASH</w:t>
            </w:r>
            <w:r w:rsidR="3BF308E0" w:rsidRPr="4BC57607">
              <w:rPr>
                <w:rFonts w:eastAsia="Calibri"/>
              </w:rPr>
              <w:t xml:space="preserve"> </w:t>
            </w:r>
            <w:r w:rsidRPr="4BC57607">
              <w:rPr>
                <w:rFonts w:eastAsia="Calibri"/>
              </w:rPr>
              <w:t xml:space="preserve">and </w:t>
            </w:r>
            <w:r w:rsidR="3C586A13" w:rsidRPr="4BC57607">
              <w:rPr>
                <w:rFonts w:eastAsia="Calibri"/>
              </w:rPr>
              <w:t>s</w:t>
            </w:r>
            <w:r w:rsidRPr="4BC57607">
              <w:rPr>
                <w:rFonts w:eastAsia="Calibri"/>
              </w:rPr>
              <w:t xml:space="preserve">helter programs are also fully supported by the volunteers.   </w:t>
            </w:r>
          </w:p>
          <w:p w14:paraId="6B0B5037" w14:textId="164754A8" w:rsidR="001C3B73" w:rsidRPr="007005A7" w:rsidRDefault="0008318A" w:rsidP="00311704">
            <w:r w:rsidRPr="4BC57607">
              <w:rPr>
                <w:b/>
                <w:bCs/>
              </w:rPr>
              <w:t>2.</w:t>
            </w:r>
            <w:r w:rsidR="67796CBB" w:rsidRPr="4BC57607">
              <w:rPr>
                <w:b/>
                <w:bCs/>
              </w:rPr>
              <w:t>6</w:t>
            </w:r>
            <w:r>
              <w:t xml:space="preserve"> </w:t>
            </w:r>
            <w:r w:rsidR="00BF07CB">
              <w:t xml:space="preserve">DFAT supports the aim of increased opportunities for self-reliance of </w:t>
            </w:r>
            <w:r w:rsidR="00FB0CA0">
              <w:t>Rohingya</w:t>
            </w:r>
            <w:r w:rsidR="00BF07CB">
              <w:t xml:space="preserve"> refugees</w:t>
            </w:r>
            <w:r w:rsidR="00FB0CA0">
              <w:t xml:space="preserve">, </w:t>
            </w:r>
            <w:proofErr w:type="gramStart"/>
            <w:r w:rsidR="00FB0CA0">
              <w:t>however</w:t>
            </w:r>
            <w:proofErr w:type="gramEnd"/>
            <w:r w:rsidR="00FB0CA0">
              <w:t xml:space="preserve"> notes that solutions must be progressed within the frameworks agreed between the humanitarian community and the Bangladesh government.</w:t>
            </w:r>
            <w:r w:rsidR="008A4EDB">
              <w:t xml:space="preserve"> Implementation of this recommendation without careful consideration of the frameworks or the required approvals </w:t>
            </w:r>
            <w:r w:rsidR="009B2CBC">
              <w:t>may raise new and different challenges</w:t>
            </w:r>
            <w:r w:rsidR="008A4EDB">
              <w:t xml:space="preserve">. </w:t>
            </w:r>
            <w:r w:rsidR="00BF07CB">
              <w:t xml:space="preserve"> </w:t>
            </w:r>
            <w:r>
              <w:t xml:space="preserve">DFAT </w:t>
            </w:r>
            <w:r w:rsidR="001E01A5">
              <w:t xml:space="preserve">will continue to advocate for progress toward policy settings that foster </w:t>
            </w:r>
            <w:r w:rsidR="00FB0CA0">
              <w:t>the self-reliance of Rohingya refugees</w:t>
            </w:r>
            <w:r w:rsidR="001E01A5">
              <w:t xml:space="preserve"> and will do so in close partnership with the humanitarian community. </w:t>
            </w:r>
          </w:p>
        </w:tc>
        <w:tc>
          <w:tcPr>
            <w:tcW w:w="1307" w:type="dxa"/>
          </w:tcPr>
          <w:p w14:paraId="2C11377B" w14:textId="7B8D4C39" w:rsidR="001425A9" w:rsidRDefault="00AC5E42">
            <w:r>
              <w:lastRenderedPageBreak/>
              <w:t>July 2023 – December 2025</w:t>
            </w:r>
          </w:p>
        </w:tc>
      </w:tr>
      <w:tr w:rsidR="001425A9" w14:paraId="7A50614F" w14:textId="77777777" w:rsidTr="4BC57607">
        <w:trPr>
          <w:trHeight w:val="2065"/>
        </w:trPr>
        <w:tc>
          <w:tcPr>
            <w:tcW w:w="4536" w:type="dxa"/>
          </w:tcPr>
          <w:p w14:paraId="70DD4DE7" w14:textId="77777777" w:rsidR="001425A9" w:rsidRDefault="00295A28">
            <w:pPr>
              <w:rPr>
                <w:rFonts w:eastAsia="Calibri"/>
              </w:rPr>
            </w:pPr>
            <w:r w:rsidRPr="00A325A3">
              <w:rPr>
                <w:rFonts w:eastAsia="Calibri"/>
                <w:b/>
                <w:bCs/>
              </w:rPr>
              <w:lastRenderedPageBreak/>
              <w:t>3.</w:t>
            </w:r>
            <w:r>
              <w:rPr>
                <w:rFonts w:eastAsia="Calibri"/>
              </w:rPr>
              <w:tab/>
              <w:t xml:space="preserve">Broaden the scope of humanitarian roles: </w:t>
            </w:r>
            <w:sdt>
              <w:sdtPr>
                <w:tag w:val="goog_rdk_1"/>
                <w:id w:val="760420424"/>
              </w:sdtPr>
              <w:sdtEndPr/>
              <w:sdtContent/>
            </w:sdt>
            <w:r>
              <w:rPr>
                <w:rFonts w:eastAsia="Calibri"/>
              </w:rPr>
              <w:t xml:space="preserve">Humanitarian organisations should advocate to go beyond traditional volunteering roles and consider engaging refugees in more tangible and active leadership positions in the camps. </w:t>
            </w:r>
            <w:sdt>
              <w:sdtPr>
                <w:tag w:val="goog_rdk_2"/>
                <w:id w:val="-833761592"/>
              </w:sdtPr>
              <w:sdtEndPr/>
              <w:sdtContent/>
            </w:sdt>
            <w:r>
              <w:rPr>
                <w:rFonts w:eastAsia="Calibri"/>
              </w:rPr>
              <w:t>By involving refugees in decision-making processes, project management, and community development initiatives, their perspectives and expertise can be utilised effectively, empowering them to take a proactive role in shaping and implementing humanitarian work.</w:t>
            </w:r>
          </w:p>
        </w:tc>
        <w:tc>
          <w:tcPr>
            <w:tcW w:w="1560" w:type="dxa"/>
          </w:tcPr>
          <w:p w14:paraId="75028D14" w14:textId="3D108CC7" w:rsidR="001425A9" w:rsidRDefault="00295A28">
            <w:r>
              <w:t>ANGOs</w:t>
            </w:r>
            <w:r w:rsidR="00B451E1">
              <w:t xml:space="preserve"> / DFAT</w:t>
            </w:r>
          </w:p>
        </w:tc>
        <w:tc>
          <w:tcPr>
            <w:tcW w:w="1425" w:type="dxa"/>
          </w:tcPr>
          <w:p w14:paraId="7DEB2356" w14:textId="77777777" w:rsidR="001425A9" w:rsidRDefault="007005A7">
            <w:r>
              <w:t>A</w:t>
            </w:r>
            <w:r w:rsidR="00295A28">
              <w:t>gree</w:t>
            </w:r>
          </w:p>
          <w:p w14:paraId="40B789D0" w14:textId="77777777" w:rsidR="001425A9" w:rsidRDefault="001425A9"/>
          <w:p w14:paraId="5C2EB5DF" w14:textId="77777777" w:rsidR="001425A9" w:rsidRDefault="001425A9"/>
          <w:p w14:paraId="07040687" w14:textId="77777777" w:rsidR="001425A9" w:rsidRDefault="001425A9"/>
          <w:p w14:paraId="407B2CB4" w14:textId="77777777" w:rsidR="001425A9" w:rsidRDefault="001425A9"/>
          <w:p w14:paraId="506ED00E" w14:textId="77777777" w:rsidR="001425A9" w:rsidRDefault="001425A9"/>
          <w:p w14:paraId="4CAD7289" w14:textId="77777777" w:rsidR="00491781" w:rsidRDefault="00491781"/>
          <w:p w14:paraId="46307AAF" w14:textId="5CC6AB7B" w:rsidR="001425A9" w:rsidRDefault="00295A28">
            <w:r>
              <w:t xml:space="preserve">Partially </w:t>
            </w:r>
            <w:proofErr w:type="gramStart"/>
            <w:r>
              <w:t>agree</w:t>
            </w:r>
            <w:proofErr w:type="gramEnd"/>
          </w:p>
          <w:p w14:paraId="4CDF5DFF" w14:textId="77777777" w:rsidR="001425A9" w:rsidRDefault="001425A9"/>
          <w:p w14:paraId="3025D1FC" w14:textId="77777777" w:rsidR="001425A9" w:rsidRDefault="001425A9"/>
          <w:p w14:paraId="35F57BED" w14:textId="77777777" w:rsidR="001425A9" w:rsidRDefault="001425A9"/>
          <w:p w14:paraId="25A00299" w14:textId="77777777" w:rsidR="001425A9" w:rsidRDefault="001425A9"/>
          <w:p w14:paraId="069076B6" w14:textId="77777777" w:rsidR="001425A9" w:rsidRDefault="001425A9"/>
          <w:p w14:paraId="6F26D066" w14:textId="77777777" w:rsidR="001425A9" w:rsidRDefault="001425A9"/>
          <w:p w14:paraId="3F15C04E" w14:textId="77777777" w:rsidR="001425A9" w:rsidRDefault="001425A9"/>
          <w:p w14:paraId="407F55DD" w14:textId="77777777" w:rsidR="001425A9" w:rsidRDefault="001425A9"/>
          <w:p w14:paraId="700DDDD8" w14:textId="77777777" w:rsidR="007005A7" w:rsidRDefault="007005A7"/>
          <w:p w14:paraId="5F048A26" w14:textId="77777777" w:rsidR="007005A7" w:rsidRDefault="007005A7"/>
          <w:p w14:paraId="4C34B62F" w14:textId="77777777" w:rsidR="007005A7" w:rsidRDefault="007005A7"/>
          <w:p w14:paraId="1D3E15DF" w14:textId="77777777" w:rsidR="007005A7" w:rsidRDefault="007005A7"/>
          <w:p w14:paraId="71D9DBF5" w14:textId="77777777" w:rsidR="007005A7" w:rsidRDefault="007005A7"/>
          <w:p w14:paraId="4DD83EF0" w14:textId="77777777" w:rsidR="007005A7" w:rsidRDefault="007005A7"/>
          <w:p w14:paraId="7BF35D9E" w14:textId="77777777" w:rsidR="007005A7" w:rsidRDefault="007005A7"/>
          <w:p w14:paraId="425B6DD6" w14:textId="77777777" w:rsidR="007005A7" w:rsidRDefault="007005A7"/>
          <w:p w14:paraId="489172E6" w14:textId="77777777" w:rsidR="007005A7" w:rsidRDefault="007005A7"/>
          <w:p w14:paraId="0EF1B853" w14:textId="77777777" w:rsidR="007005A7" w:rsidRDefault="007005A7"/>
          <w:p w14:paraId="6A3908AA" w14:textId="77777777" w:rsidR="007005A7" w:rsidRDefault="007005A7"/>
          <w:p w14:paraId="290E4AA9" w14:textId="77777777" w:rsidR="007005A7" w:rsidRDefault="007005A7"/>
          <w:p w14:paraId="2452F443" w14:textId="77777777" w:rsidR="007005A7" w:rsidRDefault="007005A7"/>
          <w:p w14:paraId="1D717107" w14:textId="77777777" w:rsidR="007005A7" w:rsidRDefault="007005A7"/>
          <w:p w14:paraId="2409E659" w14:textId="77777777" w:rsidR="007005A7" w:rsidRDefault="007005A7"/>
          <w:p w14:paraId="42E1AE4B" w14:textId="77777777" w:rsidR="00E11658" w:rsidRDefault="00E11658"/>
          <w:p w14:paraId="2BC2B614" w14:textId="77777777" w:rsidR="00E11658" w:rsidRDefault="00E11658"/>
          <w:p w14:paraId="486E435A" w14:textId="77777777" w:rsidR="001425A9" w:rsidRDefault="00295A28">
            <w:r>
              <w:t xml:space="preserve">Partially </w:t>
            </w:r>
            <w:proofErr w:type="gramStart"/>
            <w:r>
              <w:t>agree</w:t>
            </w:r>
            <w:proofErr w:type="gramEnd"/>
          </w:p>
          <w:p w14:paraId="3725EB45" w14:textId="77777777" w:rsidR="001C3B73" w:rsidRDefault="001C3B73"/>
          <w:p w14:paraId="144915E7" w14:textId="77777777" w:rsidR="001C3B73" w:rsidRDefault="001C3B73"/>
          <w:p w14:paraId="326D539F" w14:textId="77777777" w:rsidR="001C3B73" w:rsidRDefault="001C3B73"/>
          <w:p w14:paraId="2A604C10" w14:textId="77777777" w:rsidR="001C3B73" w:rsidRDefault="001C3B73"/>
          <w:p w14:paraId="1CF331F5" w14:textId="77777777" w:rsidR="001C3B73" w:rsidRDefault="001C3B73"/>
          <w:p w14:paraId="71E856BA" w14:textId="77777777" w:rsidR="001C3B73" w:rsidRDefault="001C3B73"/>
          <w:p w14:paraId="6B4D9F04" w14:textId="77777777" w:rsidR="001C3B73" w:rsidRDefault="001C3B73"/>
          <w:p w14:paraId="12206BBE" w14:textId="77777777" w:rsidR="001C3B73" w:rsidRDefault="001C3B73"/>
          <w:p w14:paraId="46CF62BD" w14:textId="77777777" w:rsidR="001C3B73" w:rsidRDefault="001C3B73"/>
          <w:p w14:paraId="4BCB65C0" w14:textId="77777777" w:rsidR="001C3B73" w:rsidRDefault="001C3B73"/>
          <w:p w14:paraId="758408C6" w14:textId="77777777" w:rsidR="001C3B73" w:rsidRDefault="001C3B73"/>
          <w:p w14:paraId="2E7321D6" w14:textId="77777777" w:rsidR="001C3B73" w:rsidRDefault="001C3B73"/>
          <w:p w14:paraId="52AF10C5" w14:textId="4301BB68" w:rsidR="000B45D2" w:rsidRDefault="000B45D2">
            <w:r>
              <w:t xml:space="preserve">Agree </w:t>
            </w:r>
          </w:p>
          <w:p w14:paraId="60B8999A" w14:textId="77777777" w:rsidR="000B45D2" w:rsidRDefault="000B45D2"/>
          <w:p w14:paraId="511DF669" w14:textId="77777777" w:rsidR="00884883" w:rsidRDefault="00884883"/>
          <w:p w14:paraId="0BA03EAE" w14:textId="77777777" w:rsidR="00884883" w:rsidRDefault="00884883"/>
          <w:p w14:paraId="025FDEB7" w14:textId="32E84242" w:rsidR="4BC57607" w:rsidRDefault="4BC57607"/>
          <w:p w14:paraId="7BFC43C0" w14:textId="3B6F2F0C" w:rsidR="4BC57607" w:rsidRDefault="4BC57607"/>
          <w:p w14:paraId="53D072AB" w14:textId="0952DEE1" w:rsidR="4BC57607" w:rsidRDefault="00400122">
            <w:r>
              <w:t xml:space="preserve">Partially </w:t>
            </w:r>
            <w:proofErr w:type="gramStart"/>
            <w:r w:rsidR="00AB4125">
              <w:t>a</w:t>
            </w:r>
            <w:r>
              <w:t>gree</w:t>
            </w:r>
            <w:proofErr w:type="gramEnd"/>
          </w:p>
          <w:p w14:paraId="03B9135D" w14:textId="57321710" w:rsidR="4BC57607" w:rsidRDefault="4BC57607"/>
          <w:p w14:paraId="1BB4336A" w14:textId="710ED807" w:rsidR="4BC57607" w:rsidRDefault="4BC57607"/>
          <w:p w14:paraId="4C8E1F3E" w14:textId="17D44C20" w:rsidR="4BC57607" w:rsidRDefault="4BC57607"/>
          <w:p w14:paraId="0904B373" w14:textId="5FC9402F" w:rsidR="4BC57607" w:rsidRDefault="4BC57607"/>
          <w:p w14:paraId="049645E2" w14:textId="2A7C3C90" w:rsidR="4BC57607" w:rsidRDefault="4BC57607"/>
          <w:p w14:paraId="08FD0302" w14:textId="1BACE0A1" w:rsidR="4BC57607" w:rsidRDefault="4BC57607"/>
          <w:p w14:paraId="201E2BAF" w14:textId="1699F530" w:rsidR="4BC57607" w:rsidRDefault="4BC57607"/>
          <w:p w14:paraId="72786EF5" w14:textId="740A8637" w:rsidR="4BC57607" w:rsidRDefault="4BC57607"/>
          <w:p w14:paraId="3D8414C6" w14:textId="26E4529D" w:rsidR="4BC57607" w:rsidRDefault="4BC57607"/>
          <w:p w14:paraId="7404B565" w14:textId="20117EEA" w:rsidR="4BC57607" w:rsidRDefault="4BC57607"/>
          <w:p w14:paraId="38BC3DD0" w14:textId="23F8598F" w:rsidR="4BC57607" w:rsidRDefault="4BC57607"/>
          <w:p w14:paraId="2AD69EC7" w14:textId="0582F290" w:rsidR="001C3B73" w:rsidRDefault="001C3B73">
            <w:r>
              <w:t>Partially agree</w:t>
            </w:r>
          </w:p>
        </w:tc>
        <w:tc>
          <w:tcPr>
            <w:tcW w:w="5662" w:type="dxa"/>
          </w:tcPr>
          <w:p w14:paraId="069605D9" w14:textId="67E524EE" w:rsidR="001425A9" w:rsidRPr="007005A7" w:rsidRDefault="00B259FD">
            <w:pPr>
              <w:pBdr>
                <w:top w:val="nil"/>
                <w:left w:val="nil"/>
                <w:bottom w:val="nil"/>
                <w:right w:val="nil"/>
                <w:between w:val="nil"/>
              </w:pBdr>
              <w:rPr>
                <w:rFonts w:eastAsia="Arial"/>
              </w:rPr>
            </w:pPr>
            <w:r w:rsidRPr="00A325A3">
              <w:rPr>
                <w:b/>
                <w:bCs/>
              </w:rPr>
              <w:lastRenderedPageBreak/>
              <w:t>3.1</w:t>
            </w:r>
            <w:r>
              <w:t xml:space="preserve"> </w:t>
            </w:r>
            <w:r w:rsidR="00295A28" w:rsidRPr="007005A7">
              <w:t xml:space="preserve">Oxfam to undertake </w:t>
            </w:r>
            <w:r w:rsidR="00295A28" w:rsidRPr="007005A7">
              <w:rPr>
                <w:rFonts w:eastAsia="Arial"/>
              </w:rPr>
              <w:t xml:space="preserve">dialogue / networking meetings with camp authority / service actors &amp; our </w:t>
            </w:r>
            <w:r w:rsidR="00491781">
              <w:rPr>
                <w:rFonts w:eastAsia="Arial"/>
              </w:rPr>
              <w:t>community-based volunteers (</w:t>
            </w:r>
            <w:r w:rsidR="00295A28" w:rsidRPr="007005A7">
              <w:rPr>
                <w:rFonts w:eastAsia="Arial"/>
              </w:rPr>
              <w:t>CBV</w:t>
            </w:r>
            <w:r w:rsidR="00491781">
              <w:rPr>
                <w:rFonts w:eastAsia="Arial"/>
              </w:rPr>
              <w:t>)</w:t>
            </w:r>
            <w:r w:rsidR="00295A28" w:rsidRPr="007005A7">
              <w:rPr>
                <w:rFonts w:eastAsia="Arial"/>
              </w:rPr>
              <w:t xml:space="preserve"> which will allow them space to go beyond traditional volunteering roles and consider engaging refugees in more tangible and active leadership positions in the camps</w:t>
            </w:r>
            <w:r>
              <w:rPr>
                <w:rFonts w:eastAsia="Arial"/>
              </w:rPr>
              <w:t>.</w:t>
            </w:r>
          </w:p>
          <w:p w14:paraId="446B093C" w14:textId="77777777" w:rsidR="001425A9" w:rsidRPr="007005A7" w:rsidRDefault="001425A9">
            <w:pPr>
              <w:pBdr>
                <w:top w:val="nil"/>
                <w:left w:val="nil"/>
                <w:bottom w:val="nil"/>
                <w:right w:val="nil"/>
                <w:between w:val="nil"/>
              </w:pBdr>
              <w:rPr>
                <w:rFonts w:eastAsia="Arial"/>
              </w:rPr>
            </w:pPr>
          </w:p>
          <w:p w14:paraId="594E0D80" w14:textId="79A0EA6B" w:rsidR="001425A9" w:rsidRPr="007005A7" w:rsidRDefault="00B259FD">
            <w:r w:rsidRPr="00A325A3">
              <w:rPr>
                <w:b/>
                <w:bCs/>
              </w:rPr>
              <w:t>3.2</w:t>
            </w:r>
            <w:r>
              <w:t xml:space="preserve"> </w:t>
            </w:r>
            <w:r w:rsidR="00295A28" w:rsidRPr="007005A7">
              <w:t>CARE will continue to support opportunities for Rohingya refugees to engage in leadership and decision-making roles within the camp context. For example</w:t>
            </w:r>
            <w:r w:rsidR="008D0902">
              <w:t xml:space="preserve">, </w:t>
            </w:r>
            <w:r w:rsidR="00295A28" w:rsidRPr="007005A7">
              <w:t>Disability Support Committees and Block Development Committees</w:t>
            </w:r>
            <w:r w:rsidR="0095492B">
              <w:t xml:space="preserve"> </w:t>
            </w:r>
            <w:r w:rsidR="00295A28" w:rsidRPr="007005A7">
              <w:t>seek to support affected groups to raise concerns and be actively consulted on program activities</w:t>
            </w:r>
            <w:r w:rsidR="009B2CBC">
              <w:t xml:space="preserve">, even where these groups are not formalised within camp leadership structures. </w:t>
            </w:r>
            <w:r w:rsidR="00295A28" w:rsidRPr="007005A7">
              <w:t xml:space="preserve">CARE </w:t>
            </w:r>
            <w:r w:rsidR="0095492B">
              <w:t>also works</w:t>
            </w:r>
            <w:r w:rsidR="00295A28" w:rsidRPr="007005A7">
              <w:t xml:space="preserve"> with Rohingya community leaders (Mahjis) but</w:t>
            </w:r>
            <w:r w:rsidR="0095492B">
              <w:t xml:space="preserve"> notes that</w:t>
            </w:r>
            <w:r w:rsidR="00295A28" w:rsidRPr="007005A7">
              <w:t xml:space="preserve"> these are mostly not elected and can be changed by the CiC. </w:t>
            </w:r>
          </w:p>
          <w:p w14:paraId="2268C503" w14:textId="77777777" w:rsidR="001425A9" w:rsidRPr="007005A7" w:rsidRDefault="001425A9">
            <w:pPr>
              <w:rPr>
                <w:color w:val="111239"/>
              </w:rPr>
            </w:pPr>
          </w:p>
          <w:p w14:paraId="285AD1F1" w14:textId="2D4E0B4D" w:rsidR="001425A9" w:rsidRPr="007005A7" w:rsidRDefault="00295A28">
            <w:pPr>
              <w:rPr>
                <w:color w:val="111239"/>
              </w:rPr>
            </w:pPr>
            <w:r w:rsidRPr="56228081">
              <w:rPr>
                <w:color w:val="111239"/>
              </w:rPr>
              <w:t xml:space="preserve">Two approaches </w:t>
            </w:r>
            <w:r w:rsidR="007005A7" w:rsidRPr="56228081">
              <w:rPr>
                <w:color w:val="111239"/>
              </w:rPr>
              <w:t xml:space="preserve">in </w:t>
            </w:r>
            <w:r w:rsidR="002B204F" w:rsidRPr="56228081">
              <w:rPr>
                <w:color w:val="111239"/>
              </w:rPr>
              <w:t>P</w:t>
            </w:r>
            <w:r w:rsidR="007005A7" w:rsidRPr="56228081">
              <w:rPr>
                <w:color w:val="111239"/>
              </w:rPr>
              <w:t>hase</w:t>
            </w:r>
            <w:r w:rsidR="004E49B4" w:rsidRPr="56228081">
              <w:rPr>
                <w:color w:val="111239"/>
              </w:rPr>
              <w:t xml:space="preserve"> IV</w:t>
            </w:r>
            <w:r w:rsidR="007005A7" w:rsidRPr="56228081">
              <w:rPr>
                <w:color w:val="111239"/>
              </w:rPr>
              <w:t xml:space="preserve"> </w:t>
            </w:r>
            <w:r w:rsidRPr="56228081">
              <w:rPr>
                <w:color w:val="111239"/>
              </w:rPr>
              <w:t>will support women’s empowerment: (i) CARE’s Women Lead in Emergencies (W</w:t>
            </w:r>
            <w:r w:rsidR="00125C62" w:rsidRPr="56228081">
              <w:rPr>
                <w:color w:val="111239"/>
              </w:rPr>
              <w:t>l</w:t>
            </w:r>
            <w:r w:rsidRPr="56228081">
              <w:rPr>
                <w:color w:val="111239"/>
              </w:rPr>
              <w:t xml:space="preserve">iE) approach, which identifies barriers to women’s participation and creates opportunities for women to be leaders and decision-makers. Building on lessons from the successful pilot in camps 12 and 16 </w:t>
            </w:r>
            <w:r w:rsidR="009B2CBC">
              <w:rPr>
                <w:color w:val="111239"/>
              </w:rPr>
              <w:t>funded by another source,</w:t>
            </w:r>
            <w:r w:rsidRPr="56228081">
              <w:rPr>
                <w:color w:val="111239"/>
              </w:rPr>
              <w:t xml:space="preserve"> CARE will run </w:t>
            </w:r>
            <w:r w:rsidRPr="008D0902">
              <w:rPr>
                <w:color w:val="111239"/>
              </w:rPr>
              <w:t>W</w:t>
            </w:r>
            <w:r w:rsidR="00125C62" w:rsidRPr="56228081">
              <w:rPr>
                <w:color w:val="111239"/>
              </w:rPr>
              <w:t>l</w:t>
            </w:r>
            <w:r w:rsidRPr="008D0902">
              <w:rPr>
                <w:color w:val="111239"/>
              </w:rPr>
              <w:t xml:space="preserve">iE activities in 3 </w:t>
            </w:r>
            <w:r w:rsidR="00E11658" w:rsidRPr="56228081">
              <w:rPr>
                <w:color w:val="111239"/>
              </w:rPr>
              <w:t>w</w:t>
            </w:r>
            <w:r w:rsidR="00125C62" w:rsidRPr="56228081">
              <w:rPr>
                <w:color w:val="111239"/>
              </w:rPr>
              <w:t xml:space="preserve">omen and </w:t>
            </w:r>
            <w:r w:rsidR="00E11658" w:rsidRPr="56228081">
              <w:rPr>
                <w:color w:val="111239"/>
              </w:rPr>
              <w:t>g</w:t>
            </w:r>
            <w:r w:rsidR="00125C62" w:rsidRPr="56228081">
              <w:rPr>
                <w:color w:val="111239"/>
              </w:rPr>
              <w:t xml:space="preserve">irls’ </w:t>
            </w:r>
            <w:r w:rsidR="00E11658" w:rsidRPr="56228081">
              <w:rPr>
                <w:color w:val="111239"/>
              </w:rPr>
              <w:t>s</w:t>
            </w:r>
            <w:r w:rsidR="00125C62" w:rsidRPr="56228081">
              <w:rPr>
                <w:color w:val="111239"/>
              </w:rPr>
              <w:t xml:space="preserve">afe </w:t>
            </w:r>
            <w:r w:rsidR="00E11658" w:rsidRPr="56228081">
              <w:rPr>
                <w:color w:val="111239"/>
              </w:rPr>
              <w:t>s</w:t>
            </w:r>
            <w:r w:rsidR="00125C62" w:rsidRPr="56228081">
              <w:rPr>
                <w:color w:val="111239"/>
              </w:rPr>
              <w:t>paces (WGS</w:t>
            </w:r>
            <w:r w:rsidR="5881EBFC" w:rsidRPr="56228081">
              <w:rPr>
                <w:color w:val="111239"/>
              </w:rPr>
              <w:t>S</w:t>
            </w:r>
            <w:r w:rsidR="00125C62" w:rsidRPr="56228081">
              <w:rPr>
                <w:color w:val="111239"/>
              </w:rPr>
              <w:t>)</w:t>
            </w:r>
            <w:r w:rsidRPr="56228081">
              <w:rPr>
                <w:color w:val="111239"/>
              </w:rPr>
              <w:t xml:space="preserve"> (two camps and one host community location), engaging women to identify their own priorities and develop skills to influence decision-makers, and, (ii) Oxfam’s Transformative Leadership for Women’s Rights (TLWR) approach which uses collective action to advocate for </w:t>
            </w:r>
            <w:r w:rsidRPr="56228081">
              <w:rPr>
                <w:color w:val="111239"/>
              </w:rPr>
              <w:lastRenderedPageBreak/>
              <w:t>women’s rights and gender justice, and training of community leaders and community sensitisation sessions to foster dialogue and drive positive change.</w:t>
            </w:r>
          </w:p>
          <w:p w14:paraId="3F34D9D3" w14:textId="77777777" w:rsidR="001425A9" w:rsidRPr="007005A7" w:rsidRDefault="001425A9"/>
          <w:p w14:paraId="6995543C" w14:textId="68DE0D3C" w:rsidR="001425A9" w:rsidRDefault="00E11658">
            <w:r w:rsidRPr="00A325A3">
              <w:rPr>
                <w:b/>
                <w:bCs/>
              </w:rPr>
              <w:t>3.3</w:t>
            </w:r>
            <w:r>
              <w:t xml:space="preserve"> </w:t>
            </w:r>
            <w:r w:rsidR="00295A28" w:rsidRPr="007005A7">
              <w:t xml:space="preserve">Plan is supportive of </w:t>
            </w:r>
            <w:r w:rsidR="00AC50FF">
              <w:t xml:space="preserve">the concepts of </w:t>
            </w:r>
            <w:r w:rsidR="00295A28" w:rsidRPr="007005A7">
              <w:t>volunteerism</w:t>
            </w:r>
            <w:r w:rsidR="00F70B32">
              <w:t xml:space="preserve"> and</w:t>
            </w:r>
            <w:r w:rsidR="00AC50FF">
              <w:t xml:space="preserve"> </w:t>
            </w:r>
            <w:r w:rsidR="00295A28" w:rsidRPr="007005A7">
              <w:t>Rohingya participati</w:t>
            </w:r>
            <w:r w:rsidR="007840FB">
              <w:t>on</w:t>
            </w:r>
            <w:r w:rsidR="00295A28" w:rsidRPr="007005A7">
              <w:t xml:space="preserve"> </w:t>
            </w:r>
            <w:r w:rsidR="00F70B32">
              <w:t>in</w:t>
            </w:r>
            <w:r w:rsidR="00295A28" w:rsidRPr="007005A7">
              <w:t xml:space="preserve"> active leadership roles in camps including</w:t>
            </w:r>
            <w:r w:rsidR="00EC348C">
              <w:t>,</w:t>
            </w:r>
            <w:r w:rsidR="00295A28" w:rsidRPr="007005A7">
              <w:t xml:space="preserve"> but not limited to</w:t>
            </w:r>
            <w:r w:rsidR="00EC348C">
              <w:t>,</w:t>
            </w:r>
            <w:r w:rsidR="00295A28" w:rsidRPr="007005A7">
              <w:t xml:space="preserve"> decision making. However, the extent to which Rohingya can assume such roles is dependent on the endorsement of camp government authorities. For </w:t>
            </w:r>
            <w:r w:rsidR="000C069F">
              <w:t>P</w:t>
            </w:r>
            <w:r w:rsidR="00295A28" w:rsidRPr="007005A7">
              <w:t>hase</w:t>
            </w:r>
            <w:r w:rsidR="004E49B4">
              <w:t xml:space="preserve"> IV</w:t>
            </w:r>
            <w:r w:rsidR="00295A28" w:rsidRPr="007005A7">
              <w:t xml:space="preserve">, Rohingya were consulted as part of the design process. Furthermore, towards the end of </w:t>
            </w:r>
            <w:r w:rsidR="000C069F">
              <w:t>P</w:t>
            </w:r>
            <w:r w:rsidR="00295A28" w:rsidRPr="007005A7">
              <w:t xml:space="preserve">hase </w:t>
            </w:r>
            <w:r w:rsidR="004E49B4">
              <w:t>III</w:t>
            </w:r>
            <w:r w:rsidR="00295A28" w:rsidRPr="007005A7">
              <w:t>, Rohingya in camps and host communities participated in a suite of research conducted by Deakin University, an Australian academic partner of Plan International. The findings of the research will inform any necessary updates to the CARE-led AHP consortium, which includes Plan International and Oxfam.</w:t>
            </w:r>
          </w:p>
          <w:p w14:paraId="6E6C1082" w14:textId="77777777" w:rsidR="00D80605" w:rsidRDefault="00D80605"/>
          <w:p w14:paraId="326751A0" w14:textId="50323CC9" w:rsidR="00D80605" w:rsidRPr="007005A7" w:rsidRDefault="000B45D2">
            <w:r w:rsidRPr="4BC57607">
              <w:rPr>
                <w:b/>
                <w:bCs/>
              </w:rPr>
              <w:t>3.4</w:t>
            </w:r>
            <w:r>
              <w:t xml:space="preserve"> WV is a strong advocate for localization and </w:t>
            </w:r>
            <w:r w:rsidR="00884883">
              <w:t xml:space="preserve">works closely with local communities and local organizations to empower them to be able to </w:t>
            </w:r>
            <w:r w:rsidR="004938D4">
              <w:t>take a proactive role</w:t>
            </w:r>
            <w:r w:rsidR="002C502F">
              <w:t xml:space="preserve"> in their community development initiatives. </w:t>
            </w:r>
            <w:r w:rsidR="009E5AA7">
              <w:t xml:space="preserve">This </w:t>
            </w:r>
            <w:r w:rsidR="00276B2E">
              <w:t>goes beyond volunteerism</w:t>
            </w:r>
            <w:r w:rsidR="00526CEE">
              <w:t xml:space="preserve"> and</w:t>
            </w:r>
            <w:r w:rsidR="00635146">
              <w:t xml:space="preserve"> </w:t>
            </w:r>
            <w:r w:rsidR="002748D8">
              <w:t xml:space="preserve">is a part of all WV </w:t>
            </w:r>
            <w:r w:rsidR="008169C2">
              <w:t xml:space="preserve">project initiatives. </w:t>
            </w:r>
          </w:p>
          <w:p w14:paraId="38D98895" w14:textId="3804625C" w:rsidR="4BC57607" w:rsidRDefault="4BC57607" w:rsidP="4BC57607"/>
          <w:p w14:paraId="752C9174" w14:textId="1E710111" w:rsidR="43917795" w:rsidRDefault="43917795" w:rsidP="4BC57607">
            <w:r w:rsidRPr="4BC57607">
              <w:rPr>
                <w:b/>
                <w:bCs/>
              </w:rPr>
              <w:t xml:space="preserve">3.5 </w:t>
            </w:r>
            <w:r w:rsidR="2EEC659D">
              <w:t>S</w:t>
            </w:r>
            <w:r w:rsidR="00FA69A6">
              <w:rPr>
                <w:rFonts w:eastAsia="Calibri"/>
              </w:rPr>
              <w:t>ave the Children</w:t>
            </w:r>
            <w:r w:rsidRPr="4BC57607">
              <w:rPr>
                <w:rFonts w:eastAsia="Calibri"/>
              </w:rPr>
              <w:t xml:space="preserve"> engages volunteers i</w:t>
            </w:r>
            <w:r w:rsidR="00FA69A6">
              <w:rPr>
                <w:rFonts w:eastAsia="Calibri"/>
              </w:rPr>
              <w:t xml:space="preserve">n the </w:t>
            </w:r>
            <w:r w:rsidRPr="4BC57607">
              <w:rPr>
                <w:rFonts w:eastAsia="Calibri"/>
              </w:rPr>
              <w:t xml:space="preserve">Community-based Child Protection Mechanism (through Community Based Child Protection Committees) </w:t>
            </w:r>
            <w:r w:rsidR="00FA69A6">
              <w:rPr>
                <w:rFonts w:eastAsia="Calibri"/>
              </w:rPr>
              <w:t>that contributes</w:t>
            </w:r>
            <w:r w:rsidRPr="4BC57607">
              <w:rPr>
                <w:rFonts w:eastAsia="Calibri"/>
              </w:rPr>
              <w:t xml:space="preserve"> to </w:t>
            </w:r>
            <w:r w:rsidR="00902764">
              <w:rPr>
                <w:rFonts w:eastAsia="Calibri"/>
              </w:rPr>
              <w:t>the protection of</w:t>
            </w:r>
            <w:r w:rsidRPr="4BC57607">
              <w:rPr>
                <w:rFonts w:eastAsia="Calibri"/>
              </w:rPr>
              <w:t xml:space="preserve"> children from risks and violence. The education facilitators are from the refugee community and are involved in building the community through delivering the Myanmar </w:t>
            </w:r>
            <w:r w:rsidRPr="4BC57607">
              <w:rPr>
                <w:rFonts w:eastAsia="Calibri"/>
              </w:rPr>
              <w:lastRenderedPageBreak/>
              <w:t xml:space="preserve">curriculum, which is beyond traditional volunteering roles. Since SC is one of the agencies in the Refugee Operations and Coordination Team (ROCT) and a Steering Committee member of the NGO Platform, this provides an additional avenue to raise the voices of refugee communities and leaders in the advocacy agenda.   </w:t>
            </w:r>
          </w:p>
          <w:p w14:paraId="15BD2239" w14:textId="08FE7F33" w:rsidR="4BC57607" w:rsidRDefault="4BC57607" w:rsidP="4BC57607">
            <w:pPr>
              <w:rPr>
                <w:rFonts w:eastAsia="Calibri"/>
              </w:rPr>
            </w:pPr>
          </w:p>
          <w:p w14:paraId="20CD60CF" w14:textId="348E7C7D" w:rsidR="001C3B73" w:rsidRPr="001C3B73" w:rsidRDefault="001C3B73" w:rsidP="008169C2">
            <w:r w:rsidRPr="4BC57607">
              <w:rPr>
                <w:b/>
                <w:bCs/>
              </w:rPr>
              <w:t>3.</w:t>
            </w:r>
            <w:r w:rsidR="64C3371E" w:rsidRPr="4BC57607">
              <w:rPr>
                <w:b/>
                <w:bCs/>
              </w:rPr>
              <w:t>6</w:t>
            </w:r>
            <w:r>
              <w:t xml:space="preserve"> DFAT strongly supports ensuring refugee and host community leadership, voices and perspectives inform humanitarian work and prioritisation. However, </w:t>
            </w:r>
            <w:r w:rsidR="007E695D">
              <w:t>we acknowledge constraints on partners' ability to safely elevate refugees and refugee-led organisations in formal leadership positions in the camp context. P</w:t>
            </w:r>
            <w:r>
              <w:t xml:space="preserve">artners implementing the recommendation should </w:t>
            </w:r>
            <w:r w:rsidR="00EA2848">
              <w:t xml:space="preserve">take care to ensure protections are in place when working with Rohingya leaders in </w:t>
            </w:r>
            <w:r>
              <w:t>this context, being careful to apply a do-no-harm approach</w:t>
            </w:r>
            <w:r w:rsidR="00EA2848">
              <w:t xml:space="preserve"> that does not expose leaders to safety or protection risks</w:t>
            </w:r>
            <w:r>
              <w:t xml:space="preserve">. </w:t>
            </w:r>
          </w:p>
        </w:tc>
        <w:tc>
          <w:tcPr>
            <w:tcW w:w="1307" w:type="dxa"/>
          </w:tcPr>
          <w:p w14:paraId="0207A4F8" w14:textId="58FA52A9" w:rsidR="001425A9" w:rsidRDefault="00AC5E42">
            <w:pPr>
              <w:rPr>
                <w:rFonts w:ascii="Times New Roman" w:eastAsia="Times New Roman" w:hAnsi="Times New Roman" w:cs="Times New Roman"/>
                <w:sz w:val="24"/>
                <w:szCs w:val="24"/>
              </w:rPr>
            </w:pPr>
            <w:r>
              <w:lastRenderedPageBreak/>
              <w:t>July 2023 – December 2025</w:t>
            </w:r>
          </w:p>
        </w:tc>
      </w:tr>
      <w:tr w:rsidR="001425A9" w14:paraId="5550CB45" w14:textId="77777777" w:rsidTr="4BC57607">
        <w:trPr>
          <w:trHeight w:val="1035"/>
        </w:trPr>
        <w:tc>
          <w:tcPr>
            <w:tcW w:w="4536" w:type="dxa"/>
          </w:tcPr>
          <w:p w14:paraId="78B1FBC6" w14:textId="77777777" w:rsidR="001425A9" w:rsidRDefault="00295A28">
            <w:pPr>
              <w:rPr>
                <w:rFonts w:eastAsia="Calibri"/>
              </w:rPr>
            </w:pPr>
            <w:r w:rsidRPr="00A325A3">
              <w:rPr>
                <w:rFonts w:eastAsia="Calibri"/>
                <w:b/>
                <w:bCs/>
              </w:rPr>
              <w:lastRenderedPageBreak/>
              <w:t>4.</w:t>
            </w:r>
            <w:r>
              <w:rPr>
                <w:rFonts w:eastAsia="Calibri"/>
              </w:rPr>
              <w:tab/>
              <w:t xml:space="preserve">AHP demonstrated disability inclusion and inclusion more generally as a core pillar impact area. However, the congested camp environment, including narrow pathways and confined infrastructure, made it difficult to implement disability measures in line with international principles. </w:t>
            </w:r>
            <w:sdt>
              <w:sdtPr>
                <w:tag w:val="goog_rdk_3"/>
                <w:id w:val="1602763315"/>
              </w:sdtPr>
              <w:sdtEndPr/>
              <w:sdtContent/>
            </w:sdt>
            <w:sdt>
              <w:sdtPr>
                <w:tag w:val="goog_rdk_4"/>
                <w:id w:val="-52927604"/>
              </w:sdtPr>
              <w:sdtEndPr/>
              <w:sdtContent/>
            </w:sdt>
            <w:r>
              <w:rPr>
                <w:rFonts w:eastAsia="Calibri"/>
              </w:rPr>
              <w:t>It is recommended that comprehensive and locally appropriate and practical measures are taken to improve accessibility, reach and mobility, identified with the more active involvement of people with a disability.</w:t>
            </w:r>
          </w:p>
        </w:tc>
        <w:tc>
          <w:tcPr>
            <w:tcW w:w="1560" w:type="dxa"/>
          </w:tcPr>
          <w:p w14:paraId="5F14D73C" w14:textId="4181A3E9" w:rsidR="001425A9" w:rsidRDefault="00295A28">
            <w:r>
              <w:t>ANGOs</w:t>
            </w:r>
            <w:r w:rsidR="00136F61">
              <w:t xml:space="preserve"> / DFAT</w:t>
            </w:r>
          </w:p>
        </w:tc>
        <w:tc>
          <w:tcPr>
            <w:tcW w:w="1425" w:type="dxa"/>
          </w:tcPr>
          <w:p w14:paraId="3D91FFD3" w14:textId="77777777" w:rsidR="001425A9" w:rsidRDefault="00295A28">
            <w:r>
              <w:t xml:space="preserve">Partially </w:t>
            </w:r>
            <w:proofErr w:type="gramStart"/>
            <w:r>
              <w:t>agree</w:t>
            </w:r>
            <w:proofErr w:type="gramEnd"/>
          </w:p>
          <w:p w14:paraId="25101221" w14:textId="77777777" w:rsidR="001425A9" w:rsidRDefault="001425A9"/>
          <w:p w14:paraId="7494329C" w14:textId="77777777" w:rsidR="001425A9" w:rsidRDefault="001425A9"/>
          <w:p w14:paraId="74667478" w14:textId="77777777" w:rsidR="001425A9" w:rsidRDefault="001425A9"/>
          <w:p w14:paraId="198F0BB8" w14:textId="77777777" w:rsidR="001425A9" w:rsidRDefault="001425A9"/>
          <w:p w14:paraId="1FC14985" w14:textId="77777777" w:rsidR="001425A9" w:rsidRDefault="001425A9"/>
          <w:p w14:paraId="552E2538" w14:textId="77777777" w:rsidR="001425A9" w:rsidRDefault="001425A9"/>
          <w:p w14:paraId="6656AE22" w14:textId="77777777" w:rsidR="001425A9" w:rsidRDefault="001425A9"/>
          <w:p w14:paraId="2663318F" w14:textId="77777777" w:rsidR="001425A9" w:rsidRDefault="001425A9"/>
          <w:p w14:paraId="4671014F" w14:textId="77777777" w:rsidR="001425A9" w:rsidRDefault="001425A9"/>
          <w:p w14:paraId="784BFCAD" w14:textId="77777777" w:rsidR="001425A9" w:rsidRDefault="001425A9"/>
          <w:p w14:paraId="162975E8" w14:textId="77777777" w:rsidR="001425A9" w:rsidRDefault="001425A9"/>
          <w:p w14:paraId="4F9CFEE7" w14:textId="77777777" w:rsidR="001425A9" w:rsidRDefault="001425A9"/>
          <w:p w14:paraId="54EBB18B" w14:textId="77777777" w:rsidR="001425A9" w:rsidRDefault="001425A9"/>
          <w:p w14:paraId="7107023A" w14:textId="77777777" w:rsidR="001425A9" w:rsidRDefault="001425A9"/>
          <w:p w14:paraId="34ED5804" w14:textId="77777777" w:rsidR="001425A9" w:rsidRDefault="001425A9"/>
          <w:p w14:paraId="10566F7E" w14:textId="77777777" w:rsidR="001425A9" w:rsidRDefault="001425A9"/>
          <w:p w14:paraId="5EFFE6AD" w14:textId="77777777" w:rsidR="001425A9" w:rsidRDefault="001425A9"/>
          <w:p w14:paraId="67BA8208" w14:textId="77777777" w:rsidR="00D836E7" w:rsidRDefault="00D836E7"/>
          <w:p w14:paraId="2B0AAA4C" w14:textId="77777777" w:rsidR="00D836E7" w:rsidRDefault="00D836E7"/>
          <w:p w14:paraId="080D67CE" w14:textId="77777777" w:rsidR="00D836E7" w:rsidRDefault="00D836E7"/>
          <w:p w14:paraId="1A4153A4" w14:textId="5333DF61" w:rsidR="001425A9" w:rsidRDefault="00BC72AC">
            <w:r>
              <w:t>Agree</w:t>
            </w:r>
          </w:p>
          <w:p w14:paraId="5D97A31E" w14:textId="77777777" w:rsidR="001425A9" w:rsidRDefault="001425A9"/>
          <w:p w14:paraId="4476F87C" w14:textId="77777777" w:rsidR="00CF771E" w:rsidRDefault="00CF771E"/>
          <w:p w14:paraId="04E55CDF" w14:textId="77777777" w:rsidR="00CF771E" w:rsidRDefault="00CF771E"/>
          <w:p w14:paraId="6AA4C090" w14:textId="77777777" w:rsidR="00CF771E" w:rsidRDefault="00CF771E"/>
          <w:p w14:paraId="3331E1EF" w14:textId="77777777" w:rsidR="00CF771E" w:rsidRDefault="00CF771E"/>
          <w:p w14:paraId="7B848C14" w14:textId="77777777" w:rsidR="00CF771E" w:rsidRDefault="00CF771E">
            <w:r>
              <w:t>Agree</w:t>
            </w:r>
          </w:p>
          <w:p w14:paraId="17A6F9D4" w14:textId="77777777" w:rsidR="00F116A4" w:rsidRDefault="00F116A4"/>
          <w:p w14:paraId="36528AAA" w14:textId="77777777" w:rsidR="00CA7097" w:rsidRDefault="00CA7097"/>
          <w:p w14:paraId="3365F386" w14:textId="77777777" w:rsidR="00CA7097" w:rsidRDefault="00CA7097"/>
          <w:p w14:paraId="45D56160" w14:textId="77777777" w:rsidR="00CA7097" w:rsidRDefault="00CA7097"/>
          <w:p w14:paraId="3CE43E97" w14:textId="77777777" w:rsidR="00CA7097" w:rsidRDefault="00CA7097"/>
          <w:p w14:paraId="0AED07D3" w14:textId="77777777" w:rsidR="00CE744B" w:rsidRDefault="00CE744B"/>
          <w:p w14:paraId="58C5765C" w14:textId="77777777" w:rsidR="00CE744B" w:rsidRDefault="00CE744B"/>
          <w:p w14:paraId="63D6E341" w14:textId="77777777" w:rsidR="00316F64" w:rsidRDefault="00316F64"/>
          <w:p w14:paraId="7EFF9082" w14:textId="77777777" w:rsidR="00316F64" w:rsidRDefault="00316F64"/>
          <w:p w14:paraId="01AF2C35" w14:textId="77777777" w:rsidR="00316F64" w:rsidRDefault="00316F64"/>
          <w:p w14:paraId="5B0B2177" w14:textId="77777777" w:rsidR="00B42F12" w:rsidRDefault="00B42F12"/>
          <w:p w14:paraId="26083B55" w14:textId="4C224DAF" w:rsidR="00F116A4" w:rsidRDefault="00BC72AC">
            <w:r>
              <w:t>Agree</w:t>
            </w:r>
          </w:p>
          <w:p w14:paraId="1B47D7CD" w14:textId="7C4E56DA" w:rsidR="00F116A4" w:rsidRDefault="00F116A4"/>
          <w:p w14:paraId="6AFB1611" w14:textId="3AFD11E9" w:rsidR="00F116A4" w:rsidRDefault="00F116A4"/>
          <w:p w14:paraId="41888E39" w14:textId="5A6D66A1" w:rsidR="00F116A4" w:rsidRDefault="00F116A4"/>
          <w:p w14:paraId="640CD1A4" w14:textId="6B95104A" w:rsidR="00F116A4" w:rsidRDefault="00F116A4"/>
          <w:p w14:paraId="43BE8218" w14:textId="6D87ED35" w:rsidR="00F116A4" w:rsidRDefault="00F116A4"/>
          <w:p w14:paraId="4175C330" w14:textId="4C215451" w:rsidR="00F116A4" w:rsidRDefault="00F116A4"/>
          <w:p w14:paraId="34505194" w14:textId="0170D249" w:rsidR="00F116A4" w:rsidRDefault="00F116A4"/>
          <w:p w14:paraId="451BBFB5" w14:textId="64FBBF54" w:rsidR="00F116A4" w:rsidRDefault="00F116A4"/>
          <w:p w14:paraId="5A2DAC93" w14:textId="5B25BB92" w:rsidR="00F116A4" w:rsidRDefault="00F116A4"/>
          <w:p w14:paraId="27C4F37F" w14:textId="3F3E1589" w:rsidR="00F116A4" w:rsidRDefault="00F116A4"/>
          <w:p w14:paraId="4924FC2C" w14:textId="275C649E" w:rsidR="00F116A4" w:rsidRDefault="00F116A4"/>
          <w:p w14:paraId="37A1255B" w14:textId="478F9A2F" w:rsidR="00F116A4" w:rsidRDefault="00F116A4"/>
          <w:p w14:paraId="56F5CF8E" w14:textId="7160CA1C" w:rsidR="00F116A4" w:rsidRDefault="00F116A4"/>
          <w:p w14:paraId="183696A5" w14:textId="4683D6DA" w:rsidR="00F116A4" w:rsidRDefault="00F116A4" w:rsidP="4BC57607"/>
          <w:p w14:paraId="2093DCC7" w14:textId="77777777" w:rsidR="00700439" w:rsidRDefault="00700439" w:rsidP="4BC57607"/>
          <w:p w14:paraId="5732776B" w14:textId="1DDC1EBC" w:rsidR="00F116A4" w:rsidRDefault="00F116A4" w:rsidP="4BC57607">
            <w:r>
              <w:t>Agree</w:t>
            </w:r>
          </w:p>
        </w:tc>
        <w:tc>
          <w:tcPr>
            <w:tcW w:w="5662" w:type="dxa"/>
          </w:tcPr>
          <w:p w14:paraId="45790FCE" w14:textId="26144957" w:rsidR="00D836E7" w:rsidRDefault="00997BED" w:rsidP="007005A7">
            <w:r w:rsidRPr="00A325A3">
              <w:rPr>
                <w:b/>
                <w:bCs/>
              </w:rPr>
              <w:lastRenderedPageBreak/>
              <w:t>4.1</w:t>
            </w:r>
            <w:r>
              <w:t xml:space="preserve"> </w:t>
            </w:r>
            <w:r w:rsidR="007005A7">
              <w:t xml:space="preserve">CARE in consortium with Plan and Oxfam are investing in disability inclusion in </w:t>
            </w:r>
            <w:r w:rsidR="009E2655">
              <w:t xml:space="preserve">Phase </w:t>
            </w:r>
            <w:r w:rsidR="00F23C6A">
              <w:t>IV</w:t>
            </w:r>
            <w:r w:rsidR="00B1242D">
              <w:t>.</w:t>
            </w:r>
            <w:r w:rsidR="007005A7">
              <w:t xml:space="preserve"> CARE as </w:t>
            </w:r>
            <w:r w:rsidR="007005A7" w:rsidRPr="00EC286A">
              <w:t>D</w:t>
            </w:r>
            <w:r w:rsidR="0036738E">
              <w:t>isability Inclusion</w:t>
            </w:r>
            <w:r w:rsidR="007005A7" w:rsidRPr="00EC286A">
              <w:t xml:space="preserve"> </w:t>
            </w:r>
            <w:r w:rsidR="00B1242D">
              <w:t>L</w:t>
            </w:r>
            <w:r w:rsidR="007005A7" w:rsidRPr="00EC286A">
              <w:t>ead</w:t>
            </w:r>
            <w:r w:rsidR="007005A7">
              <w:t xml:space="preserve"> is partnering with CBM and </w:t>
            </w:r>
            <w:r w:rsidR="009B2CBC">
              <w:t xml:space="preserve">placing </w:t>
            </w:r>
            <w:r w:rsidR="007005A7">
              <w:t>a D</w:t>
            </w:r>
            <w:r w:rsidR="00B1242D">
              <w:t>isability Inclusion A</w:t>
            </w:r>
            <w:r w:rsidR="007005A7">
              <w:t>dvisor in</w:t>
            </w:r>
            <w:r w:rsidR="00FE480C">
              <w:t xml:space="preserve"> Cox’s Bazar</w:t>
            </w:r>
            <w:r w:rsidR="007005A7">
              <w:t xml:space="preserve"> to support staff and partners. D</w:t>
            </w:r>
            <w:r w:rsidR="00C26112">
              <w:t xml:space="preserve">isability Support Committees (DSC) </w:t>
            </w:r>
            <w:r w:rsidR="007005A7">
              <w:t xml:space="preserve">will play a key role in centring the perspectives of people with disabilities into the program’s design. </w:t>
            </w:r>
          </w:p>
          <w:p w14:paraId="14B1DAF0" w14:textId="77777777" w:rsidR="00D836E7" w:rsidRDefault="00D836E7" w:rsidP="007005A7"/>
          <w:p w14:paraId="461C3098" w14:textId="50602D2C" w:rsidR="007005A7" w:rsidRDefault="007005A7" w:rsidP="007005A7">
            <w:r>
              <w:t xml:space="preserve">While CARE agrees in principle with this recommendation, the context and feasibility also need to be </w:t>
            </w:r>
            <w:proofErr w:type="gramStart"/>
            <w:r>
              <w:t>taken into account</w:t>
            </w:r>
            <w:proofErr w:type="gramEnd"/>
            <w:r>
              <w:t xml:space="preserve">. For example, agencies face challenges in getting approvals on all infrastructure changes. RRRC has strict </w:t>
            </w:r>
            <w:r>
              <w:lastRenderedPageBreak/>
              <w:t>guidelines on types of infrastructure that can be built. Space is extremely limited so even if agencies can procure materials to build ramps etc, there is not necessarily space to do so. CARE will continue to work with partners under guidance from CBM to break down the stigma associated with disability to increase the number of families which seek support. This not only considers inclusion of physical disabilities but the diverse experiences of people with disabilities.</w:t>
            </w:r>
          </w:p>
          <w:p w14:paraId="42810033" w14:textId="77777777" w:rsidR="007005A7" w:rsidRDefault="007005A7"/>
          <w:p w14:paraId="4879882A" w14:textId="77777777" w:rsidR="001425A9" w:rsidRDefault="00FE480C">
            <w:r w:rsidRPr="00A325A3">
              <w:rPr>
                <w:b/>
                <w:bCs/>
              </w:rPr>
              <w:t>4.2</w:t>
            </w:r>
            <w:r>
              <w:t xml:space="preserve"> </w:t>
            </w:r>
            <w:r w:rsidR="007005A7">
              <w:t>Oxfam will also continue its ‘Community-Led Total Sanitation’ approach to ensure WASH interventions are adapted to meet the needs of communities, ensuring gender and disability inclusion, by engaging communities through mobilization and awareness raising.</w:t>
            </w:r>
          </w:p>
          <w:p w14:paraId="3D9C7A68" w14:textId="77777777" w:rsidR="0048793A" w:rsidRDefault="0048793A"/>
          <w:p w14:paraId="6F04DD03" w14:textId="471E3431" w:rsidR="4BC57607" w:rsidRDefault="00F116A4" w:rsidP="4BC57607">
            <w:r w:rsidRPr="4BC57607">
              <w:rPr>
                <w:b/>
                <w:bCs/>
              </w:rPr>
              <w:t>4.3</w:t>
            </w:r>
            <w:r>
              <w:t xml:space="preserve"> W</w:t>
            </w:r>
            <w:r w:rsidR="00B42F12">
              <w:t>orld Vision</w:t>
            </w:r>
            <w:r w:rsidR="00201E97">
              <w:t>,</w:t>
            </w:r>
            <w:r>
              <w:t xml:space="preserve"> together with CBM</w:t>
            </w:r>
            <w:r w:rsidR="00201E97">
              <w:t>,</w:t>
            </w:r>
            <w:r>
              <w:t xml:space="preserve"> our Disability Inclusion partner in P</w:t>
            </w:r>
            <w:r w:rsidR="008A2C9B">
              <w:t>hase III,</w:t>
            </w:r>
            <w:r w:rsidR="00316F64">
              <w:t xml:space="preserve"> support this recommendation and</w:t>
            </w:r>
            <w:r w:rsidR="008A2C9B">
              <w:t xml:space="preserve"> </w:t>
            </w:r>
            <w:r w:rsidR="003D5937">
              <w:t xml:space="preserve">observe that </w:t>
            </w:r>
            <w:r w:rsidR="0011717C">
              <w:t xml:space="preserve">disability is </w:t>
            </w:r>
            <w:r w:rsidR="00201E97">
              <w:t xml:space="preserve">varied </w:t>
            </w:r>
            <w:r w:rsidR="0011717C">
              <w:t xml:space="preserve">and what works for </w:t>
            </w:r>
            <w:r w:rsidR="003C693B">
              <w:t>one type of impairment will not work for another</w:t>
            </w:r>
            <w:r w:rsidR="00201E97">
              <w:t>. T</w:t>
            </w:r>
            <w:r w:rsidR="00FE1003">
              <w:t xml:space="preserve">echnical expertise and input from people with lived experiences is the best </w:t>
            </w:r>
            <w:r w:rsidR="00CA7097">
              <w:t>way to ensure no one is left behind.</w:t>
            </w:r>
            <w:r w:rsidR="00CE744B">
              <w:t xml:space="preserve"> The beneficiary impact </w:t>
            </w:r>
            <w:r w:rsidR="00316F64">
              <w:t>report highlighted</w:t>
            </w:r>
            <w:r w:rsidR="00CE744B">
              <w:t xml:space="preserve"> </w:t>
            </w:r>
            <w:proofErr w:type="gramStart"/>
            <w:r w:rsidR="00CE744B">
              <w:t>a number of</w:t>
            </w:r>
            <w:proofErr w:type="gramEnd"/>
            <w:r w:rsidR="00CE744B">
              <w:t xml:space="preserve"> good </w:t>
            </w:r>
            <w:r w:rsidR="00316F64">
              <w:t xml:space="preserve">practices and real benefits for beneficiaries with disabilities while at the same time drawing attention to the difficulties of meeting all accessibility requirements in such a difficult physical environment. </w:t>
            </w:r>
          </w:p>
          <w:p w14:paraId="694661C9" w14:textId="77777777" w:rsidR="00B42F12" w:rsidRDefault="00B42F12" w:rsidP="4BC57607"/>
          <w:p w14:paraId="46CF9270" w14:textId="734E4334" w:rsidR="5BB2FD81" w:rsidRDefault="5BB2FD81" w:rsidP="4BC57607">
            <w:pPr>
              <w:rPr>
                <w:rFonts w:eastAsia="Calibri"/>
              </w:rPr>
            </w:pPr>
            <w:r w:rsidRPr="4BC57607">
              <w:rPr>
                <w:rFonts w:eastAsia="Calibri"/>
                <w:b/>
                <w:bCs/>
              </w:rPr>
              <w:t xml:space="preserve">4.4 </w:t>
            </w:r>
            <w:r w:rsidRPr="4BC57607">
              <w:rPr>
                <w:rFonts w:eastAsia="Calibri"/>
              </w:rPr>
              <w:t>Disability inclusion is one of the cross-cutting mandatory approach</w:t>
            </w:r>
            <w:r w:rsidR="006C3228">
              <w:rPr>
                <w:rFonts w:eastAsia="Calibri"/>
              </w:rPr>
              <w:t>es</w:t>
            </w:r>
            <w:r w:rsidRPr="4BC57607">
              <w:rPr>
                <w:rFonts w:eastAsia="Calibri"/>
              </w:rPr>
              <w:t xml:space="preserve"> in all interventions of SC. The health facilities, </w:t>
            </w:r>
            <w:r w:rsidRPr="4BC57607">
              <w:rPr>
                <w:rFonts w:eastAsia="Calibri"/>
              </w:rPr>
              <w:lastRenderedPageBreak/>
              <w:t>learning centres and Multi-Purpose Child and Adolescent Centres (MPCAC) are</w:t>
            </w:r>
            <w:r w:rsidR="009B2CBC">
              <w:rPr>
                <w:rFonts w:eastAsia="Calibri"/>
              </w:rPr>
              <w:t>, where possible,</w:t>
            </w:r>
            <w:r w:rsidRPr="4BC57607">
              <w:rPr>
                <w:rFonts w:eastAsia="Calibri"/>
              </w:rPr>
              <w:t xml:space="preserve"> </w:t>
            </w:r>
            <w:r w:rsidR="009B2CBC">
              <w:rPr>
                <w:rFonts w:eastAsia="Calibri"/>
              </w:rPr>
              <w:t xml:space="preserve">designed </w:t>
            </w:r>
            <w:r w:rsidRPr="4BC57607">
              <w:rPr>
                <w:rFonts w:eastAsia="Calibri"/>
              </w:rPr>
              <w:t>with minimum accessibility</w:t>
            </w:r>
            <w:r w:rsidR="009B2CBC">
              <w:rPr>
                <w:rFonts w:eastAsia="Calibri"/>
              </w:rPr>
              <w:t xml:space="preserve"> requirements</w:t>
            </w:r>
            <w:r w:rsidRPr="4BC57607">
              <w:rPr>
                <w:rFonts w:eastAsia="Calibri"/>
              </w:rPr>
              <w:t xml:space="preserve">. Disability inclusive WASH and the above facilities will be continued in </w:t>
            </w:r>
            <w:r w:rsidR="42599F44" w:rsidRPr="4BC57607">
              <w:rPr>
                <w:rFonts w:eastAsia="Calibri"/>
              </w:rPr>
              <w:t>Phase IV</w:t>
            </w:r>
            <w:r w:rsidRPr="4BC57607">
              <w:rPr>
                <w:rFonts w:eastAsia="Calibri"/>
              </w:rPr>
              <w:t xml:space="preserve"> as well, with further works planned to increase physical accessibility, especially in health facilities. In addition, through SC’s partnerships in </w:t>
            </w:r>
            <w:r w:rsidR="67544709" w:rsidRPr="4BC57607">
              <w:rPr>
                <w:rFonts w:eastAsia="Calibri"/>
              </w:rPr>
              <w:t>Phase IV</w:t>
            </w:r>
            <w:r w:rsidRPr="4BC57607">
              <w:rPr>
                <w:rFonts w:eastAsia="Calibri"/>
              </w:rPr>
              <w:t>, assessments of approaches, programming, and facilities will be undertaken to improve the range of access and accommodations available for people with disabilities. These assessments will be supported by newly formed</w:t>
            </w:r>
            <w:r w:rsidR="5598CE83" w:rsidRPr="4BC57607">
              <w:rPr>
                <w:rFonts w:eastAsia="Calibri"/>
              </w:rPr>
              <w:t xml:space="preserve"> organisations of persons with disabilities (</w:t>
            </w:r>
            <w:r w:rsidRPr="4BC57607">
              <w:rPr>
                <w:rFonts w:eastAsia="Calibri"/>
              </w:rPr>
              <w:t>OPDs</w:t>
            </w:r>
            <w:r w:rsidR="05D4F3CC" w:rsidRPr="4BC57607">
              <w:rPr>
                <w:rFonts w:eastAsia="Calibri"/>
              </w:rPr>
              <w:t>)</w:t>
            </w:r>
            <w:r w:rsidRPr="4BC57607">
              <w:rPr>
                <w:rFonts w:eastAsia="Calibri"/>
              </w:rPr>
              <w:t xml:space="preserve"> established and supported through the project.</w:t>
            </w:r>
          </w:p>
          <w:p w14:paraId="499598F0" w14:textId="77777777" w:rsidR="001C3B73" w:rsidRDefault="001C3B73"/>
          <w:p w14:paraId="69F17B38" w14:textId="14865D3E" w:rsidR="001C3B73" w:rsidRDefault="001C3B73">
            <w:r w:rsidRPr="4BC57607">
              <w:rPr>
                <w:b/>
                <w:bCs/>
              </w:rPr>
              <w:t>4.</w:t>
            </w:r>
            <w:r w:rsidR="37CCAF11" w:rsidRPr="4BC57607">
              <w:rPr>
                <w:b/>
                <w:bCs/>
              </w:rPr>
              <w:t>5</w:t>
            </w:r>
            <w:r>
              <w:t xml:space="preserve"> DFAT strongly supports this recommendation </w:t>
            </w:r>
            <w:r w:rsidR="00446430">
              <w:t xml:space="preserve">in line with global disability inclusion commitments. In addition to improving focus on disability in AHP programs, DFAT </w:t>
            </w:r>
            <w:r>
              <w:t xml:space="preserve">will work to encourage AHP partners to </w:t>
            </w:r>
            <w:r w:rsidR="00EA2848">
              <w:t xml:space="preserve">link with sector-based and response-wide disability inclusion efforts, and to </w:t>
            </w:r>
            <w:r w:rsidR="00446430">
              <w:t xml:space="preserve">ensure </w:t>
            </w:r>
            <w:r>
              <w:t xml:space="preserve">disability expertise </w:t>
            </w:r>
            <w:r w:rsidR="00446430">
              <w:t xml:space="preserve">within the AHP </w:t>
            </w:r>
            <w:r>
              <w:t>is shared with other actors in the humanitarian response</w:t>
            </w:r>
            <w:r w:rsidR="00EA2848">
              <w:t xml:space="preserve"> (possibly catalysing improved approaches outside the AHP)</w:t>
            </w:r>
            <w:r>
              <w:t xml:space="preserve">. </w:t>
            </w:r>
          </w:p>
        </w:tc>
        <w:tc>
          <w:tcPr>
            <w:tcW w:w="1307" w:type="dxa"/>
          </w:tcPr>
          <w:p w14:paraId="7010F340" w14:textId="4EF38837" w:rsidR="001425A9" w:rsidRDefault="001F59FE">
            <w:r>
              <w:lastRenderedPageBreak/>
              <w:t>July 2023- December 2025</w:t>
            </w:r>
          </w:p>
        </w:tc>
      </w:tr>
      <w:tr w:rsidR="001425A9" w14:paraId="59A786D4" w14:textId="77777777" w:rsidTr="4BC57607">
        <w:trPr>
          <w:trHeight w:val="300"/>
        </w:trPr>
        <w:tc>
          <w:tcPr>
            <w:tcW w:w="4536" w:type="dxa"/>
          </w:tcPr>
          <w:p w14:paraId="1792FAFF" w14:textId="77777777" w:rsidR="001425A9" w:rsidRDefault="00295A28">
            <w:pPr>
              <w:rPr>
                <w:rFonts w:eastAsia="Calibri"/>
              </w:rPr>
            </w:pPr>
            <w:r w:rsidRPr="00A325A3">
              <w:rPr>
                <w:rFonts w:eastAsia="Calibri"/>
                <w:b/>
                <w:bCs/>
              </w:rPr>
              <w:lastRenderedPageBreak/>
              <w:t>5.</w:t>
            </w:r>
            <w:r>
              <w:rPr>
                <w:rFonts w:eastAsia="Calibri"/>
              </w:rPr>
              <w:tab/>
              <w:t xml:space="preserve">Place a special emphasis on adolescent girls in AHP programming in response to the community culture in the camps and the significant issues and barriers for this vulnerable group. All members of the displaced communities will benefit from the support provided to adolescent girls and women and </w:t>
            </w:r>
            <w:r>
              <w:rPr>
                <w:rFonts w:eastAsia="Calibri"/>
              </w:rPr>
              <w:lastRenderedPageBreak/>
              <w:t xml:space="preserve">their increased resilience. </w:t>
            </w:r>
            <w:sdt>
              <w:sdtPr>
                <w:tag w:val="goog_rdk_5"/>
                <w:id w:val="1035937996"/>
              </w:sdtPr>
              <w:sdtEndPr/>
              <w:sdtContent/>
            </w:sdt>
            <w:r>
              <w:rPr>
                <w:rFonts w:eastAsia="Calibri"/>
              </w:rPr>
              <w:t>There is evidence that adolescent girls pass the knowledge back to their mothers, which then promotes a broader impact on families and communities. Some partners have already taken initiatives, for example, creating a separate room for adolescent girls within the safe space centre, which has enabled greater voice and representation for this group, but more can be done.</w:t>
            </w:r>
          </w:p>
        </w:tc>
        <w:tc>
          <w:tcPr>
            <w:tcW w:w="1560" w:type="dxa"/>
          </w:tcPr>
          <w:p w14:paraId="7CB3D5CF" w14:textId="77777777" w:rsidR="001425A9" w:rsidRDefault="00295A28">
            <w:r>
              <w:lastRenderedPageBreak/>
              <w:t>ANGOs</w:t>
            </w:r>
          </w:p>
        </w:tc>
        <w:tc>
          <w:tcPr>
            <w:tcW w:w="1425" w:type="dxa"/>
          </w:tcPr>
          <w:p w14:paraId="234B1485" w14:textId="77777777" w:rsidR="001425A9" w:rsidRDefault="00295A28">
            <w:r>
              <w:t>Agree</w:t>
            </w:r>
          </w:p>
          <w:p w14:paraId="5EF2BF49" w14:textId="77777777" w:rsidR="00B56B54" w:rsidRDefault="00B56B54"/>
          <w:p w14:paraId="41BFF84A" w14:textId="77777777" w:rsidR="00B56B54" w:rsidRDefault="00B56B54"/>
          <w:p w14:paraId="61AE59FD" w14:textId="77777777" w:rsidR="00B56B54" w:rsidRDefault="00B56B54"/>
          <w:p w14:paraId="5B4F93EE" w14:textId="77777777" w:rsidR="00B56B54" w:rsidRDefault="00B56B54"/>
          <w:p w14:paraId="50A4945D" w14:textId="77777777" w:rsidR="00B56B54" w:rsidRDefault="00B56B54"/>
          <w:p w14:paraId="2D4BB820" w14:textId="77777777" w:rsidR="00B56B54" w:rsidRDefault="00B56B54"/>
          <w:p w14:paraId="4B37B399" w14:textId="77777777" w:rsidR="00B56B54" w:rsidRDefault="00B56B54"/>
          <w:p w14:paraId="7F722EF5" w14:textId="77777777" w:rsidR="00B56B54" w:rsidRDefault="00B56B54"/>
          <w:p w14:paraId="0BBC5E13" w14:textId="77777777" w:rsidR="00B56B54" w:rsidRDefault="00B56B54"/>
          <w:p w14:paraId="1C944306" w14:textId="77777777" w:rsidR="00B56B54" w:rsidRDefault="00B56B54">
            <w:r>
              <w:t>Agree</w:t>
            </w:r>
          </w:p>
          <w:p w14:paraId="55F436FB" w14:textId="77777777" w:rsidR="00BC72AC" w:rsidRDefault="00BC72AC"/>
          <w:p w14:paraId="0BE5E1A6" w14:textId="77777777" w:rsidR="00BC72AC" w:rsidRDefault="00BC72AC"/>
          <w:p w14:paraId="7AED06ED" w14:textId="77777777" w:rsidR="00BC72AC" w:rsidRDefault="00BC72AC"/>
          <w:p w14:paraId="2A200DFF" w14:textId="77777777" w:rsidR="00BC72AC" w:rsidRDefault="00BC72AC"/>
          <w:p w14:paraId="01141BE4" w14:textId="77777777" w:rsidR="00BC72AC" w:rsidRDefault="00BC72AC"/>
          <w:p w14:paraId="4826FFDA" w14:textId="77777777" w:rsidR="00BC72AC" w:rsidRDefault="00BC72AC"/>
          <w:p w14:paraId="6CAA04C9" w14:textId="77777777" w:rsidR="00BC72AC" w:rsidRDefault="00BC72AC"/>
          <w:p w14:paraId="31B6CFDF" w14:textId="77777777" w:rsidR="00BC72AC" w:rsidRDefault="00BC72AC"/>
          <w:p w14:paraId="1A1E69DA" w14:textId="33A4FEB9" w:rsidR="00BC72AC" w:rsidRDefault="00561D67">
            <w:r>
              <w:t>Agree</w:t>
            </w:r>
          </w:p>
        </w:tc>
        <w:tc>
          <w:tcPr>
            <w:tcW w:w="5662" w:type="dxa"/>
          </w:tcPr>
          <w:p w14:paraId="307FC759" w14:textId="067BCC01" w:rsidR="007005A7" w:rsidRPr="00505805" w:rsidRDefault="007B4472" w:rsidP="009A7F5B">
            <w:pPr>
              <w:spacing w:after="240"/>
            </w:pPr>
            <w:r w:rsidRPr="00A325A3">
              <w:rPr>
                <w:b/>
                <w:bCs/>
              </w:rPr>
              <w:lastRenderedPageBreak/>
              <w:t>5.1</w:t>
            </w:r>
            <w:r>
              <w:t xml:space="preserve"> </w:t>
            </w:r>
            <w:r w:rsidR="00295A28">
              <w:t>Under</w:t>
            </w:r>
            <w:r w:rsidR="00FE480C">
              <w:t xml:space="preserve"> Phase </w:t>
            </w:r>
            <w:r w:rsidR="00F23C6A">
              <w:t>I</w:t>
            </w:r>
            <w:r w:rsidR="00550C08">
              <w:t>V</w:t>
            </w:r>
            <w:r w:rsidR="00295A28">
              <w:t xml:space="preserve">, CARE, </w:t>
            </w:r>
            <w:proofErr w:type="gramStart"/>
            <w:r w:rsidR="00295A28">
              <w:t>Oxfam</w:t>
            </w:r>
            <w:proofErr w:type="gramEnd"/>
            <w:r w:rsidR="00295A28">
              <w:t xml:space="preserve"> and Plan along with local partners are centring women and girls in all their diversity. This includes specific interventions targeting adolescent girls with services related to education, WASH and GBV. For example, programming includes girls only sessions in </w:t>
            </w:r>
            <w:r w:rsidR="00400D00">
              <w:t>community-based</w:t>
            </w:r>
            <w:r w:rsidR="00295A28">
              <w:t xml:space="preserve"> youth clubs and </w:t>
            </w:r>
            <w:r w:rsidR="00BE5E21">
              <w:t xml:space="preserve">women and </w:t>
            </w:r>
            <w:r w:rsidR="004C4897">
              <w:t>girls’</w:t>
            </w:r>
            <w:r w:rsidR="00BE5E21">
              <w:t xml:space="preserve"> safe spaces</w:t>
            </w:r>
            <w:r w:rsidR="00295A28">
              <w:t xml:space="preserve">. Life skills training and Girls Shine activities seeks to </w:t>
            </w:r>
            <w:r w:rsidR="00295A28">
              <w:lastRenderedPageBreak/>
              <w:t>increase the self-confidence and resilience of adolescent girls with protection activities aimed at preventing child marriage</w:t>
            </w:r>
            <w:r w:rsidR="007005A7" w:rsidRPr="00505805">
              <w:t>.</w:t>
            </w:r>
          </w:p>
          <w:p w14:paraId="4C467461" w14:textId="1C750F5D" w:rsidR="00782C73" w:rsidRPr="007005A7" w:rsidRDefault="00ED64FA" w:rsidP="4BC57607">
            <w:pPr>
              <w:spacing w:after="240"/>
              <w:rPr>
                <w:rFonts w:ascii="Arial" w:eastAsia="Arial" w:hAnsi="Arial" w:cs="Arial"/>
                <w:sz w:val="20"/>
                <w:szCs w:val="20"/>
              </w:rPr>
            </w:pPr>
            <w:r w:rsidRPr="4BC57607">
              <w:rPr>
                <w:b/>
                <w:bCs/>
              </w:rPr>
              <w:t>5.2</w:t>
            </w:r>
            <w:r>
              <w:t xml:space="preserve"> </w:t>
            </w:r>
            <w:r w:rsidR="00B56B54">
              <w:t>W</w:t>
            </w:r>
            <w:r w:rsidR="007A2C91">
              <w:t>orld Vision</w:t>
            </w:r>
            <w:r w:rsidR="00B56B54">
              <w:t xml:space="preserve"> </w:t>
            </w:r>
            <w:r w:rsidR="00930614">
              <w:t xml:space="preserve">agree with this recommendation. </w:t>
            </w:r>
            <w:r w:rsidR="00CF4E97">
              <w:t xml:space="preserve">Through </w:t>
            </w:r>
            <w:r w:rsidR="009B2CBC">
              <w:t>t</w:t>
            </w:r>
            <w:r w:rsidR="00CF4E97">
              <w:t>he adolescent girls</w:t>
            </w:r>
            <w:r w:rsidR="006B4120">
              <w:t>’</w:t>
            </w:r>
            <w:r w:rsidR="00CF4E97">
              <w:t xml:space="preserve"> </w:t>
            </w:r>
            <w:r w:rsidR="003B7208">
              <w:t>program,</w:t>
            </w:r>
            <w:r w:rsidR="00E8273F">
              <w:t xml:space="preserve"> a separate room for adolescent girls</w:t>
            </w:r>
            <w:r w:rsidR="00FC6B72">
              <w:t xml:space="preserve"> </w:t>
            </w:r>
            <w:r w:rsidR="002558FA">
              <w:t xml:space="preserve">was created </w:t>
            </w:r>
            <w:r w:rsidR="00FC6B72">
              <w:t xml:space="preserve">which worked very </w:t>
            </w:r>
            <w:r w:rsidR="00AD710E">
              <w:t>well and</w:t>
            </w:r>
            <w:r w:rsidR="002558FA">
              <w:t xml:space="preserve"> enabled the girls to freely </w:t>
            </w:r>
            <w:r w:rsidR="00AD710E">
              <w:t>express themselves. Th</w:t>
            </w:r>
            <w:r w:rsidR="009E2FE1">
              <w:t xml:space="preserve">e girls also greatly influenced their </w:t>
            </w:r>
            <w:r w:rsidR="00F2466C">
              <w:t>mothers through the knowledge they passed</w:t>
            </w:r>
            <w:r w:rsidR="003B7208">
              <w:t xml:space="preserve"> back to them. This is a practice that WV will continue to uphold in all future engagem</w:t>
            </w:r>
            <w:r w:rsidR="0067749D">
              <w:t>ents with the Rohingya refugees.</w:t>
            </w:r>
          </w:p>
          <w:p w14:paraId="03B05960" w14:textId="73292002" w:rsidR="00782C73" w:rsidRPr="007005A7" w:rsidRDefault="5BA66B1D" w:rsidP="4BC57607">
            <w:pPr>
              <w:spacing w:after="160"/>
            </w:pPr>
            <w:r w:rsidRPr="4BC57607">
              <w:rPr>
                <w:rFonts w:eastAsia="Calibri"/>
                <w:b/>
                <w:bCs/>
              </w:rPr>
              <w:t xml:space="preserve">5.3 </w:t>
            </w:r>
            <w:r w:rsidRPr="4BC57607">
              <w:rPr>
                <w:rFonts w:eastAsia="Calibri"/>
              </w:rPr>
              <w:t>S</w:t>
            </w:r>
            <w:r w:rsidR="00311E1B">
              <w:rPr>
                <w:rFonts w:eastAsia="Calibri"/>
              </w:rPr>
              <w:t xml:space="preserve">ave the Children </w:t>
            </w:r>
            <w:r w:rsidRPr="4BC57607">
              <w:rPr>
                <w:rFonts w:eastAsia="Calibri"/>
              </w:rPr>
              <w:t xml:space="preserve">provided emphasis on adolescent girls as they play a change makers role in the community. There were nine Girls Friendly Spaces (GFS) in AHP </w:t>
            </w:r>
            <w:r w:rsidR="00263DEA">
              <w:rPr>
                <w:rFonts w:eastAsia="Calibri"/>
              </w:rPr>
              <w:t>Phase III</w:t>
            </w:r>
            <w:r w:rsidRPr="4BC57607">
              <w:rPr>
                <w:rFonts w:eastAsia="Calibri"/>
              </w:rPr>
              <w:t xml:space="preserve">, separate </w:t>
            </w:r>
            <w:proofErr w:type="gramStart"/>
            <w:r w:rsidRPr="4BC57607">
              <w:rPr>
                <w:rFonts w:eastAsia="Calibri"/>
              </w:rPr>
              <w:t>sessions</w:t>
            </w:r>
            <w:proofErr w:type="gramEnd"/>
            <w:r w:rsidRPr="4BC57607">
              <w:rPr>
                <w:rFonts w:eastAsia="Calibri"/>
              </w:rPr>
              <w:t xml:space="preserve"> and activities with them were conducted in the MPCAC; Adolescents Sexual and Reproductive Health (ASRH) services provided in the health centres; and Social and Emotional Learning (SEL) sessions were held in the AHP program in </w:t>
            </w:r>
            <w:r w:rsidR="00263DEA">
              <w:rPr>
                <w:rFonts w:eastAsia="Calibri"/>
              </w:rPr>
              <w:t>Phase III</w:t>
            </w:r>
            <w:r w:rsidR="00C37F74">
              <w:rPr>
                <w:rFonts w:eastAsia="Calibri"/>
              </w:rPr>
              <w:t xml:space="preserve">. They </w:t>
            </w:r>
            <w:r w:rsidRPr="4BC57607">
              <w:rPr>
                <w:rFonts w:eastAsia="Calibri"/>
              </w:rPr>
              <w:t xml:space="preserve">will be continued in AHP </w:t>
            </w:r>
            <w:r w:rsidR="00C37F74">
              <w:rPr>
                <w:rFonts w:eastAsia="Calibri"/>
              </w:rPr>
              <w:t>P</w:t>
            </w:r>
            <w:r w:rsidR="00263DEA">
              <w:rPr>
                <w:rFonts w:eastAsia="Calibri"/>
              </w:rPr>
              <w:t>hase IV</w:t>
            </w:r>
            <w:r w:rsidRPr="4BC57607">
              <w:rPr>
                <w:rFonts w:eastAsia="Calibri"/>
              </w:rPr>
              <w:t xml:space="preserve">. </w:t>
            </w:r>
          </w:p>
          <w:p w14:paraId="1BCF8938" w14:textId="0E849BCD" w:rsidR="00782C73" w:rsidRPr="007005A7" w:rsidRDefault="5BA66B1D" w:rsidP="4BC57607">
            <w:pPr>
              <w:spacing w:after="160"/>
            </w:pPr>
            <w:r w:rsidRPr="4BC57607">
              <w:rPr>
                <w:rFonts w:eastAsia="Calibri"/>
              </w:rPr>
              <w:t xml:space="preserve"> While not funded under AHP </w:t>
            </w:r>
            <w:r w:rsidR="00263DEA">
              <w:rPr>
                <w:rFonts w:eastAsia="Calibri"/>
              </w:rPr>
              <w:t xml:space="preserve">III </w:t>
            </w:r>
            <w:r w:rsidRPr="4BC57607">
              <w:rPr>
                <w:rFonts w:eastAsia="Calibri"/>
              </w:rPr>
              <w:t xml:space="preserve">or </w:t>
            </w:r>
            <w:r w:rsidR="00263DEA">
              <w:rPr>
                <w:rFonts w:eastAsia="Calibri"/>
              </w:rPr>
              <w:t>IV</w:t>
            </w:r>
            <w:r w:rsidRPr="4BC57607">
              <w:rPr>
                <w:rFonts w:eastAsia="Calibri"/>
              </w:rPr>
              <w:t>, SC also supports Community-Based Learning Facilities (CBLFs) funded through</w:t>
            </w:r>
            <w:r w:rsidR="008F4E92">
              <w:rPr>
                <w:rFonts w:eastAsia="Calibri"/>
              </w:rPr>
              <w:t xml:space="preserve"> Education Cannot Wait (</w:t>
            </w:r>
            <w:r w:rsidRPr="4BC57607">
              <w:rPr>
                <w:rFonts w:eastAsia="Calibri"/>
              </w:rPr>
              <w:t>ECW</w:t>
            </w:r>
            <w:r w:rsidR="008F4E92">
              <w:rPr>
                <w:rFonts w:eastAsia="Calibri"/>
              </w:rPr>
              <w:t>)</w:t>
            </w:r>
            <w:r w:rsidRPr="4BC57607">
              <w:rPr>
                <w:rFonts w:eastAsia="Calibri"/>
              </w:rPr>
              <w:t>, designed specifically to support the education needs of adolescent girls.</w:t>
            </w:r>
          </w:p>
        </w:tc>
        <w:tc>
          <w:tcPr>
            <w:tcW w:w="1307" w:type="dxa"/>
          </w:tcPr>
          <w:p w14:paraId="03CFE597" w14:textId="1AAC7C85" w:rsidR="001425A9" w:rsidRDefault="00BC72AC">
            <w:r>
              <w:lastRenderedPageBreak/>
              <w:t>July 2023- December 2025</w:t>
            </w:r>
          </w:p>
        </w:tc>
      </w:tr>
      <w:tr w:rsidR="001425A9" w14:paraId="60A7E0B0" w14:textId="77777777" w:rsidTr="4BC57607">
        <w:trPr>
          <w:trHeight w:val="300"/>
        </w:trPr>
        <w:tc>
          <w:tcPr>
            <w:tcW w:w="4536" w:type="dxa"/>
          </w:tcPr>
          <w:p w14:paraId="0AEC5CF8" w14:textId="77777777" w:rsidR="001425A9" w:rsidRDefault="00295A28">
            <w:pPr>
              <w:rPr>
                <w:rFonts w:eastAsia="Calibri"/>
              </w:rPr>
            </w:pPr>
            <w:r w:rsidRPr="00A325A3">
              <w:rPr>
                <w:rFonts w:eastAsia="Calibri"/>
                <w:b/>
                <w:bCs/>
              </w:rPr>
              <w:t>6.</w:t>
            </w:r>
            <w:r>
              <w:rPr>
                <w:rFonts w:eastAsia="Calibri"/>
              </w:rPr>
              <w:tab/>
              <w:t xml:space="preserve">While age-based selection criteria for cash and livelihood assistance have proven effective in targeting youth, it is crucial to acknowledge that this approach has </w:t>
            </w:r>
            <w:r>
              <w:rPr>
                <w:rFonts w:eastAsia="Calibri"/>
              </w:rPr>
              <w:lastRenderedPageBreak/>
              <w:t xml:space="preserve">inadvertently </w:t>
            </w:r>
            <w:sdt>
              <w:sdtPr>
                <w:tag w:val="goog_rdk_6"/>
                <w:id w:val="-1115442454"/>
              </w:sdtPr>
              <w:sdtEndPr/>
              <w:sdtContent/>
            </w:sdt>
            <w:r>
              <w:rPr>
                <w:rFonts w:eastAsia="Calibri"/>
              </w:rPr>
              <w:t>excluded other vulnerable segments, including orphans and widows, who are facing heightened vulnerability and are in dire need of support. As the voices of the affected people resonate, there is a strong recommendation to broaden the inclusion criteria, allowing for the selection of a wider range of vulnerable individuals within the community. By adopting a more comprehensive approach, programs can ensure that support reaches those who are most in need, fostering greater inclusivity, equity, and resilience among all members of the community.</w:t>
            </w:r>
          </w:p>
        </w:tc>
        <w:tc>
          <w:tcPr>
            <w:tcW w:w="1560" w:type="dxa"/>
          </w:tcPr>
          <w:p w14:paraId="28B7436D" w14:textId="77777777" w:rsidR="001425A9" w:rsidRDefault="00295A28">
            <w:r>
              <w:lastRenderedPageBreak/>
              <w:t>ANGOs</w:t>
            </w:r>
          </w:p>
        </w:tc>
        <w:tc>
          <w:tcPr>
            <w:tcW w:w="1425" w:type="dxa"/>
          </w:tcPr>
          <w:p w14:paraId="1B1F79F8" w14:textId="77777777" w:rsidR="001425A9" w:rsidRDefault="00295A28">
            <w:r>
              <w:t xml:space="preserve">Partially </w:t>
            </w:r>
            <w:proofErr w:type="gramStart"/>
            <w:r>
              <w:t>agree</w:t>
            </w:r>
            <w:proofErr w:type="gramEnd"/>
          </w:p>
          <w:p w14:paraId="320A9D5C" w14:textId="77777777" w:rsidR="00561D67" w:rsidRDefault="00561D67"/>
          <w:p w14:paraId="2879D771" w14:textId="77777777" w:rsidR="00561D67" w:rsidRDefault="00561D67"/>
          <w:p w14:paraId="7FDCCFA2" w14:textId="77777777" w:rsidR="00561D67" w:rsidRDefault="00561D67"/>
          <w:p w14:paraId="59FC20C4" w14:textId="77777777" w:rsidR="00561D67" w:rsidRDefault="00561D67"/>
          <w:p w14:paraId="6A44D796" w14:textId="77777777" w:rsidR="00561D67" w:rsidRDefault="00561D67"/>
          <w:p w14:paraId="63EF21DD" w14:textId="77777777" w:rsidR="00561D67" w:rsidRDefault="00561D67"/>
          <w:p w14:paraId="728F71CE" w14:textId="77777777" w:rsidR="00561D67" w:rsidRDefault="00561D67"/>
          <w:p w14:paraId="2558CB0E" w14:textId="77777777" w:rsidR="00561D67" w:rsidRDefault="00561D67"/>
          <w:p w14:paraId="78BCB555" w14:textId="77777777" w:rsidR="00561D67" w:rsidRDefault="00561D67"/>
          <w:p w14:paraId="19A28251" w14:textId="4CC0F14F" w:rsidR="00561D67" w:rsidRDefault="00561D67">
            <w:r>
              <w:t>Agree</w:t>
            </w:r>
          </w:p>
        </w:tc>
        <w:tc>
          <w:tcPr>
            <w:tcW w:w="5662" w:type="dxa"/>
          </w:tcPr>
          <w:p w14:paraId="40200AD3" w14:textId="51DB24CC" w:rsidR="007005A7" w:rsidRDefault="00BE5E21">
            <w:r w:rsidRPr="00A325A3">
              <w:rPr>
                <w:b/>
                <w:bCs/>
              </w:rPr>
              <w:lastRenderedPageBreak/>
              <w:t>6.1</w:t>
            </w:r>
            <w:r>
              <w:t xml:space="preserve"> </w:t>
            </w:r>
            <w:r w:rsidR="00295A28">
              <w:t xml:space="preserve">Women headed households </w:t>
            </w:r>
            <w:r w:rsidR="009B2CBC">
              <w:t>were</w:t>
            </w:r>
            <w:r w:rsidR="00295A28">
              <w:t xml:space="preserve"> specifically targeted throughout the </w:t>
            </w:r>
            <w:r>
              <w:t>Phase III</w:t>
            </w:r>
            <w:r w:rsidR="007005A7">
              <w:t xml:space="preserve"> </w:t>
            </w:r>
            <w:r w:rsidR="00295A28">
              <w:t xml:space="preserve">program, including widows, older </w:t>
            </w:r>
            <w:proofErr w:type="gramStart"/>
            <w:r w:rsidR="00295A28">
              <w:t>people</w:t>
            </w:r>
            <w:proofErr w:type="gramEnd"/>
            <w:r w:rsidR="00295A28">
              <w:t xml:space="preserve"> and people with disabilities. </w:t>
            </w:r>
            <w:r w:rsidR="007005A7">
              <w:t xml:space="preserve">It is unclear if this recommendation is based on </w:t>
            </w:r>
            <w:r w:rsidR="00E84660">
              <w:t>data</w:t>
            </w:r>
            <w:r w:rsidR="007005A7">
              <w:t xml:space="preserve"> that was widely reported </w:t>
            </w:r>
            <w:r w:rsidR="007005A7">
              <w:lastRenderedPageBreak/>
              <w:t>by participants or may be overstated based on a small sample size. It is also unclear if this finding applies to all sectors or is referring to specific ones. However</w:t>
            </w:r>
            <w:r w:rsidR="008D0902">
              <w:t>,</w:t>
            </w:r>
            <w:r w:rsidR="007005A7">
              <w:t xml:space="preserve"> ANGOs reaffirm commitment to devising and </w:t>
            </w:r>
            <w:r w:rsidR="00E84660">
              <w:t>executing selection criteria which prioritise inclusion, and do not exclude orphans and widows.</w:t>
            </w:r>
          </w:p>
          <w:p w14:paraId="284C20A3" w14:textId="77777777" w:rsidR="007005A7" w:rsidRDefault="007005A7"/>
          <w:p w14:paraId="683051BE" w14:textId="5762AB94" w:rsidR="3AC2A463" w:rsidRDefault="3AC2A463" w:rsidP="4BC57607">
            <w:r w:rsidRPr="4BC57607">
              <w:rPr>
                <w:b/>
                <w:bCs/>
              </w:rPr>
              <w:t xml:space="preserve">6.2 </w:t>
            </w:r>
            <w:r w:rsidR="007B45A4">
              <w:t xml:space="preserve">While we agree with the recommendation in principle, SC did not have livelihood interventions in AHP </w:t>
            </w:r>
            <w:r w:rsidR="00696C24">
              <w:t>Phase III</w:t>
            </w:r>
            <w:r w:rsidR="007B45A4">
              <w:t xml:space="preserve"> and </w:t>
            </w:r>
            <w:r w:rsidR="00673E1B">
              <w:t xml:space="preserve">will </w:t>
            </w:r>
            <w:r w:rsidR="007B45A4">
              <w:t xml:space="preserve">not </w:t>
            </w:r>
            <w:r w:rsidR="0096337C">
              <w:t xml:space="preserve">have livelihood interventions </w:t>
            </w:r>
            <w:r w:rsidR="007B45A4">
              <w:t xml:space="preserve">in AHP </w:t>
            </w:r>
            <w:r w:rsidR="00696C24">
              <w:t xml:space="preserve">Phase IV </w:t>
            </w:r>
            <w:r w:rsidR="007B45A4">
              <w:t>programming</w:t>
            </w:r>
            <w:r w:rsidR="009B2CBC">
              <w:t>, instead prioritising other critical and high</w:t>
            </w:r>
            <w:r w:rsidR="00700439">
              <w:t xml:space="preserve"> </w:t>
            </w:r>
            <w:r w:rsidR="009B2CBC">
              <w:t xml:space="preserve">priority needs. </w:t>
            </w:r>
          </w:p>
          <w:p w14:paraId="0B8CDAD8" w14:textId="77777777" w:rsidR="001425A9" w:rsidRDefault="001425A9" w:rsidP="00E84660"/>
        </w:tc>
        <w:tc>
          <w:tcPr>
            <w:tcW w:w="1307" w:type="dxa"/>
          </w:tcPr>
          <w:p w14:paraId="0D56FCA4" w14:textId="51969922" w:rsidR="001425A9" w:rsidRDefault="00B8354C">
            <w:r>
              <w:lastRenderedPageBreak/>
              <w:t>July 2023 – December 2025</w:t>
            </w:r>
          </w:p>
          <w:p w14:paraId="349B5BD9" w14:textId="77777777" w:rsidR="007B45A4" w:rsidRDefault="007B45A4"/>
          <w:p w14:paraId="181BDB10" w14:textId="77777777" w:rsidR="007B45A4" w:rsidRDefault="007B45A4"/>
          <w:p w14:paraId="0FA73E44" w14:textId="77777777" w:rsidR="007B45A4" w:rsidRDefault="007B45A4"/>
          <w:p w14:paraId="5F7A1F8D" w14:textId="77777777" w:rsidR="007B45A4" w:rsidRDefault="007B45A4"/>
          <w:p w14:paraId="4485656E" w14:textId="77777777" w:rsidR="007B45A4" w:rsidRDefault="007B45A4"/>
          <w:p w14:paraId="72CA37A0" w14:textId="77777777" w:rsidR="007B45A4" w:rsidRDefault="007B45A4"/>
          <w:p w14:paraId="667AC67D" w14:textId="77777777" w:rsidR="007B45A4" w:rsidRDefault="007B45A4"/>
          <w:p w14:paraId="7CD3424E" w14:textId="77777777" w:rsidR="007B45A4" w:rsidRDefault="007B45A4"/>
          <w:p w14:paraId="35B44AD7" w14:textId="137E6545" w:rsidR="007B45A4" w:rsidRDefault="007B45A4">
            <w:r>
              <w:t>N/A</w:t>
            </w:r>
          </w:p>
        </w:tc>
      </w:tr>
      <w:tr w:rsidR="001425A9" w14:paraId="17539330" w14:textId="77777777" w:rsidTr="4BC57607">
        <w:trPr>
          <w:trHeight w:val="300"/>
        </w:trPr>
        <w:tc>
          <w:tcPr>
            <w:tcW w:w="4536" w:type="dxa"/>
          </w:tcPr>
          <w:p w14:paraId="23639DD3" w14:textId="406E23BB" w:rsidR="001425A9" w:rsidRDefault="00295A28">
            <w:pPr>
              <w:rPr>
                <w:rFonts w:eastAsia="Calibri"/>
              </w:rPr>
            </w:pPr>
            <w:r w:rsidRPr="00A325A3">
              <w:rPr>
                <w:rFonts w:eastAsia="Calibri"/>
                <w:b/>
                <w:bCs/>
              </w:rPr>
              <w:lastRenderedPageBreak/>
              <w:t>7.</w:t>
            </w:r>
            <w:r>
              <w:rPr>
                <w:rFonts w:eastAsia="Calibri"/>
              </w:rPr>
              <w:tab/>
              <w:t>The AHP Safe Spaces were highly effective in promoting gender equality and inclusion for women and girls, and people with a disability, and provide a model that should be widely replicated in camps. With appropriately trained women staff, they provide safety for women and children and promote broader transformational change at individual and community levels. This is a critical need in the context of Cox’s Bazar.</w:t>
            </w:r>
          </w:p>
        </w:tc>
        <w:tc>
          <w:tcPr>
            <w:tcW w:w="1560" w:type="dxa"/>
          </w:tcPr>
          <w:p w14:paraId="3FAA71FB" w14:textId="5749341F" w:rsidR="001425A9" w:rsidRDefault="00295A28">
            <w:r>
              <w:t>ANGOs</w:t>
            </w:r>
            <w:r w:rsidR="00136F61">
              <w:t xml:space="preserve"> / DFAT</w:t>
            </w:r>
          </w:p>
        </w:tc>
        <w:tc>
          <w:tcPr>
            <w:tcW w:w="1425" w:type="dxa"/>
          </w:tcPr>
          <w:p w14:paraId="65AF3148" w14:textId="0F00EB9D" w:rsidR="001425A9" w:rsidRDefault="00295A28">
            <w:r>
              <w:t xml:space="preserve">Partially </w:t>
            </w:r>
            <w:proofErr w:type="gramStart"/>
            <w:r>
              <w:t>agree</w:t>
            </w:r>
            <w:proofErr w:type="gramEnd"/>
          </w:p>
          <w:p w14:paraId="027B9FE4" w14:textId="77777777" w:rsidR="00446430" w:rsidRDefault="00446430"/>
          <w:p w14:paraId="1CFAFCDA" w14:textId="77777777" w:rsidR="00446430" w:rsidRDefault="00446430"/>
          <w:p w14:paraId="38A9F415" w14:textId="77777777" w:rsidR="00446430" w:rsidRDefault="00446430"/>
          <w:p w14:paraId="3C55373E" w14:textId="77777777" w:rsidR="00446430" w:rsidRDefault="00446430"/>
          <w:p w14:paraId="42C03895" w14:textId="77777777" w:rsidR="00446430" w:rsidRDefault="00446430"/>
          <w:p w14:paraId="51F78F37" w14:textId="77777777" w:rsidR="00446430" w:rsidRDefault="00446430"/>
          <w:p w14:paraId="6B1FC262" w14:textId="1C32F25A" w:rsidR="00D75367" w:rsidRDefault="00544E65">
            <w:r>
              <w:t>Agree</w:t>
            </w:r>
          </w:p>
          <w:p w14:paraId="5894E13D" w14:textId="77777777" w:rsidR="00D75367" w:rsidRDefault="00D75367"/>
          <w:p w14:paraId="0EED3C13" w14:textId="77777777" w:rsidR="00D75367" w:rsidRDefault="00D75367"/>
          <w:p w14:paraId="35626748" w14:textId="77777777" w:rsidR="00246AA4" w:rsidRDefault="00246AA4"/>
          <w:p w14:paraId="5A274DE6" w14:textId="77777777" w:rsidR="00246AA4" w:rsidRDefault="00246AA4"/>
          <w:p w14:paraId="440373F6" w14:textId="59D550BD" w:rsidR="00246AA4" w:rsidRDefault="007B45A4">
            <w:r>
              <w:t>Agree</w:t>
            </w:r>
          </w:p>
          <w:p w14:paraId="56A8423B" w14:textId="77777777" w:rsidR="007B45A4" w:rsidRDefault="007B45A4"/>
          <w:p w14:paraId="1D5A5D22" w14:textId="77777777" w:rsidR="00161862" w:rsidRDefault="00161862"/>
          <w:p w14:paraId="3DBCD405" w14:textId="77777777" w:rsidR="00161862" w:rsidRDefault="00161862"/>
          <w:p w14:paraId="00D2705F" w14:textId="77777777" w:rsidR="00161862" w:rsidRDefault="00161862"/>
          <w:p w14:paraId="0670924D" w14:textId="77777777" w:rsidR="00161862" w:rsidRDefault="00161862"/>
          <w:p w14:paraId="24A102F4" w14:textId="77777777" w:rsidR="00161862" w:rsidRDefault="00161862"/>
          <w:p w14:paraId="7041C976" w14:textId="77777777" w:rsidR="00161862" w:rsidRDefault="00161862"/>
          <w:p w14:paraId="2DB11A14" w14:textId="77777777" w:rsidR="00161862" w:rsidRDefault="00161862"/>
          <w:p w14:paraId="152EFE72" w14:textId="77777777" w:rsidR="0056250D" w:rsidRDefault="0056250D"/>
          <w:p w14:paraId="08E38B38" w14:textId="18552311" w:rsidR="00446430" w:rsidRDefault="00446430">
            <w:r>
              <w:t>Partially agree</w:t>
            </w:r>
          </w:p>
        </w:tc>
        <w:tc>
          <w:tcPr>
            <w:tcW w:w="5662" w:type="dxa"/>
          </w:tcPr>
          <w:p w14:paraId="03C29C1A" w14:textId="75E92481" w:rsidR="00446430" w:rsidRDefault="00BE5E21" w:rsidP="009A7F5B">
            <w:pPr>
              <w:widowControl w:val="0"/>
            </w:pPr>
            <w:r w:rsidRPr="00A325A3">
              <w:rPr>
                <w:b/>
                <w:bCs/>
              </w:rPr>
              <w:lastRenderedPageBreak/>
              <w:t>7.1</w:t>
            </w:r>
            <w:r>
              <w:t xml:space="preserve"> </w:t>
            </w:r>
            <w:r w:rsidR="00295A28">
              <w:t xml:space="preserve">CARE has </w:t>
            </w:r>
            <w:hyperlink r:id="rId9">
              <w:r w:rsidR="00295A28" w:rsidRPr="00700439">
                <w:t xml:space="preserve">comprehensive guidance documents </w:t>
              </w:r>
            </w:hyperlink>
            <w:r w:rsidR="00295A28">
              <w:t xml:space="preserve">on </w:t>
            </w:r>
            <w:r>
              <w:t>w</w:t>
            </w:r>
            <w:r w:rsidR="00295A28">
              <w:t xml:space="preserve">omen and </w:t>
            </w:r>
            <w:r>
              <w:t>g</w:t>
            </w:r>
            <w:r w:rsidR="00295A28">
              <w:t xml:space="preserve">irls </w:t>
            </w:r>
            <w:r>
              <w:t>s</w:t>
            </w:r>
            <w:r w:rsidR="00295A28">
              <w:t xml:space="preserve">afe </w:t>
            </w:r>
            <w:r>
              <w:t>s</w:t>
            </w:r>
            <w:r w:rsidR="00295A28">
              <w:t xml:space="preserve">paces (WGSS) as a sector leader in this space. WGSS are a widely adopted approach by many humanitarian actors within the camp context. WGSS </w:t>
            </w:r>
            <w:proofErr w:type="gramStart"/>
            <w:r w:rsidR="00295A28">
              <w:t>are able to</w:t>
            </w:r>
            <w:proofErr w:type="gramEnd"/>
            <w:r w:rsidR="00295A28">
              <w:t xml:space="preserve"> provide GBV case management but cannot provide safety in terms of removing women from violent households and rehoming them.</w:t>
            </w:r>
            <w:r w:rsidR="003A680A">
              <w:t xml:space="preserve"> </w:t>
            </w:r>
          </w:p>
          <w:p w14:paraId="637A8BFB" w14:textId="77777777" w:rsidR="00D75367" w:rsidRDefault="00D75367" w:rsidP="009A7F5B">
            <w:pPr>
              <w:widowControl w:val="0"/>
            </w:pPr>
          </w:p>
          <w:p w14:paraId="46A60A87" w14:textId="2B1F67C8" w:rsidR="00D75367" w:rsidRDefault="00D75367" w:rsidP="009A7F5B">
            <w:pPr>
              <w:widowControl w:val="0"/>
            </w:pPr>
            <w:r w:rsidRPr="00201E97">
              <w:rPr>
                <w:b/>
                <w:bCs/>
              </w:rPr>
              <w:t>7.2</w:t>
            </w:r>
            <w:r>
              <w:t xml:space="preserve"> WV</w:t>
            </w:r>
            <w:r w:rsidR="00F267C3">
              <w:t xml:space="preserve"> </w:t>
            </w:r>
            <w:r w:rsidR="00E72DB1">
              <w:t xml:space="preserve">promotes gender equality and inclusion </w:t>
            </w:r>
            <w:r w:rsidR="00D1644F">
              <w:t>of</w:t>
            </w:r>
            <w:r w:rsidR="00E72DB1">
              <w:t xml:space="preserve"> women and girls across </w:t>
            </w:r>
            <w:r w:rsidR="00D1644F">
              <w:t>its projects.</w:t>
            </w:r>
            <w:r w:rsidR="006A304A">
              <w:t xml:space="preserve"> </w:t>
            </w:r>
            <w:r w:rsidR="00B62CE8">
              <w:t xml:space="preserve">We will be keen to </w:t>
            </w:r>
            <w:r w:rsidR="00B15BB4">
              <w:t>replicate a model that works within the community</w:t>
            </w:r>
            <w:r w:rsidR="007E3A89">
              <w:t xml:space="preserve"> in support of women and girls including </w:t>
            </w:r>
            <w:r w:rsidR="00246AA4">
              <w:t xml:space="preserve">people with disability. </w:t>
            </w:r>
            <w:r w:rsidR="00D1644F">
              <w:t xml:space="preserve"> </w:t>
            </w:r>
          </w:p>
          <w:p w14:paraId="6A62D322" w14:textId="77777777" w:rsidR="00600A0C" w:rsidRDefault="00600A0C" w:rsidP="009A7F5B">
            <w:pPr>
              <w:widowControl w:val="0"/>
            </w:pPr>
          </w:p>
          <w:p w14:paraId="46456075" w14:textId="5E8FB442" w:rsidR="0921254D" w:rsidRDefault="0921254D" w:rsidP="4BC57607">
            <w:pPr>
              <w:widowControl w:val="0"/>
            </w:pPr>
            <w:r w:rsidRPr="4BC57607">
              <w:rPr>
                <w:b/>
                <w:bCs/>
              </w:rPr>
              <w:t xml:space="preserve">7.3 </w:t>
            </w:r>
            <w:r w:rsidRPr="4BC57607">
              <w:rPr>
                <w:rFonts w:eastAsia="Calibri"/>
              </w:rPr>
              <w:t xml:space="preserve">Save the Children have one </w:t>
            </w:r>
            <w:r w:rsidR="006E15C3">
              <w:rPr>
                <w:rFonts w:eastAsia="Calibri"/>
              </w:rPr>
              <w:t>girl friendly space (</w:t>
            </w:r>
            <w:r w:rsidRPr="4BC57607">
              <w:rPr>
                <w:rFonts w:eastAsia="Calibri"/>
              </w:rPr>
              <w:t>GFS</w:t>
            </w:r>
            <w:r w:rsidR="006E15C3">
              <w:rPr>
                <w:rFonts w:eastAsia="Calibri"/>
              </w:rPr>
              <w:t>)</w:t>
            </w:r>
            <w:r w:rsidRPr="4BC57607">
              <w:rPr>
                <w:rFonts w:eastAsia="Calibri"/>
              </w:rPr>
              <w:t xml:space="preserve"> and 10 </w:t>
            </w:r>
            <w:r w:rsidR="006E15C3" w:rsidRPr="4BC57607">
              <w:rPr>
                <w:rFonts w:eastAsia="Calibri"/>
              </w:rPr>
              <w:t xml:space="preserve">Multi-Purpose Child and Adolescent Centres </w:t>
            </w:r>
            <w:r w:rsidR="006E15C3">
              <w:rPr>
                <w:rFonts w:eastAsia="Calibri"/>
              </w:rPr>
              <w:t>(</w:t>
            </w:r>
            <w:r w:rsidRPr="4BC57607">
              <w:rPr>
                <w:rFonts w:eastAsia="Calibri"/>
              </w:rPr>
              <w:t>MPCAC</w:t>
            </w:r>
            <w:r w:rsidR="006E15C3">
              <w:rPr>
                <w:rFonts w:eastAsia="Calibri"/>
              </w:rPr>
              <w:t>)</w:t>
            </w:r>
            <w:r w:rsidRPr="4BC57607">
              <w:rPr>
                <w:rFonts w:eastAsia="Calibri"/>
              </w:rPr>
              <w:t xml:space="preserve"> where female facilitators are providing activities with </w:t>
            </w:r>
            <w:r w:rsidRPr="4BC57607">
              <w:rPr>
                <w:rFonts w:eastAsia="Calibri"/>
              </w:rPr>
              <w:lastRenderedPageBreak/>
              <w:t xml:space="preserve">adolescents in AHP </w:t>
            </w:r>
            <w:r w:rsidR="00E7528A">
              <w:rPr>
                <w:rFonts w:eastAsia="Calibri"/>
              </w:rPr>
              <w:t>P</w:t>
            </w:r>
            <w:r w:rsidR="0056250D">
              <w:rPr>
                <w:rFonts w:eastAsia="Calibri"/>
              </w:rPr>
              <w:t>hase IV</w:t>
            </w:r>
            <w:r w:rsidR="00E7528A">
              <w:rPr>
                <w:rFonts w:eastAsia="Calibri"/>
              </w:rPr>
              <w:t>. I</w:t>
            </w:r>
            <w:r w:rsidRPr="4BC57607">
              <w:rPr>
                <w:rFonts w:eastAsia="Calibri"/>
              </w:rPr>
              <w:t>n addition, there are female doctors</w:t>
            </w:r>
            <w:r w:rsidR="00E7528A">
              <w:rPr>
                <w:rFonts w:eastAsia="Calibri"/>
              </w:rPr>
              <w:t xml:space="preserve"> </w:t>
            </w:r>
            <w:r w:rsidRPr="4BC57607">
              <w:rPr>
                <w:rFonts w:eastAsia="Calibri"/>
              </w:rPr>
              <w:t>/ female nurses</w:t>
            </w:r>
            <w:r w:rsidR="00E7528A">
              <w:rPr>
                <w:rFonts w:eastAsia="Calibri"/>
              </w:rPr>
              <w:t xml:space="preserve"> </w:t>
            </w:r>
            <w:r w:rsidRPr="4BC57607">
              <w:rPr>
                <w:rFonts w:eastAsia="Calibri"/>
              </w:rPr>
              <w:t>/ female clinicians</w:t>
            </w:r>
            <w:r w:rsidR="00E7528A">
              <w:rPr>
                <w:rFonts w:eastAsia="Calibri"/>
              </w:rPr>
              <w:t xml:space="preserve"> </w:t>
            </w:r>
            <w:r w:rsidRPr="4BC57607">
              <w:rPr>
                <w:rFonts w:eastAsia="Calibri"/>
              </w:rPr>
              <w:t xml:space="preserve">/ female facilitators for providing services to women, adolescents and girls which is culturally appropriate. More trainings will be provided and will be given importance in AHP </w:t>
            </w:r>
            <w:r w:rsidR="008933DE">
              <w:rPr>
                <w:rFonts w:eastAsia="Calibri"/>
              </w:rPr>
              <w:t xml:space="preserve">Phase </w:t>
            </w:r>
            <w:r w:rsidR="0056250D">
              <w:rPr>
                <w:rFonts w:eastAsia="Calibri"/>
              </w:rPr>
              <w:t>IV</w:t>
            </w:r>
            <w:r w:rsidRPr="4BC57607">
              <w:rPr>
                <w:rFonts w:eastAsia="Calibri"/>
              </w:rPr>
              <w:t xml:space="preserve"> to further facilitate promotion of gender equality and inclusion.</w:t>
            </w:r>
          </w:p>
          <w:p w14:paraId="1C609F70" w14:textId="77A7B461" w:rsidR="00446430" w:rsidRDefault="00446430">
            <w:pPr>
              <w:widowControl w:val="0"/>
              <w:spacing w:before="240"/>
            </w:pPr>
            <w:r w:rsidRPr="4BC57607">
              <w:rPr>
                <w:b/>
                <w:bCs/>
              </w:rPr>
              <w:t>7.</w:t>
            </w:r>
            <w:r w:rsidR="4E377D5E" w:rsidRPr="4BC57607">
              <w:rPr>
                <w:b/>
                <w:bCs/>
              </w:rPr>
              <w:t>4</w:t>
            </w:r>
            <w:r>
              <w:t xml:space="preserve"> DFAT agrees that safe spaces have been an effective initiative but</w:t>
            </w:r>
            <w:r w:rsidR="003A680A">
              <w:t xml:space="preserve"> will work with </w:t>
            </w:r>
            <w:r>
              <w:t xml:space="preserve">AHP </w:t>
            </w:r>
            <w:r w:rsidR="00BC66F4">
              <w:t xml:space="preserve">Phase </w:t>
            </w:r>
            <w:r w:rsidR="003A680A">
              <w:t xml:space="preserve">IV </w:t>
            </w:r>
            <w:r>
              <w:t xml:space="preserve">partners to </w:t>
            </w:r>
            <w:r w:rsidR="003A680A">
              <w:t xml:space="preserve">ensure possible </w:t>
            </w:r>
            <w:r>
              <w:t xml:space="preserve">scale-up of any safe space initiatives are in line with whole-of-response planning efforts, </w:t>
            </w:r>
            <w:proofErr w:type="gramStart"/>
            <w:r w:rsidR="003A680A">
              <w:t>in order to</w:t>
            </w:r>
            <w:proofErr w:type="gramEnd"/>
            <w:r w:rsidR="003A680A">
              <w:t xml:space="preserve"> </w:t>
            </w:r>
            <w:r>
              <w:t>avoid</w:t>
            </w:r>
            <w:r w:rsidR="003A680A">
              <w:t xml:space="preserve"> </w:t>
            </w:r>
            <w:r>
              <w:t>duplication, support</w:t>
            </w:r>
            <w:r w:rsidR="003A680A">
              <w:t xml:space="preserve"> </w:t>
            </w:r>
            <w:r>
              <w:t>rationalisation and foster</w:t>
            </w:r>
            <w:r w:rsidR="003A680A">
              <w:t xml:space="preserve"> </w:t>
            </w:r>
            <w:r>
              <w:t xml:space="preserve">a one-camp approach. </w:t>
            </w:r>
            <w:r w:rsidR="007E695D">
              <w:t>Consideration must also be given to ensuring safeguards are in place for female staff and ensuring do-no-harm for women, girls, people with a disability and other vulnerable populations.</w:t>
            </w:r>
          </w:p>
        </w:tc>
        <w:tc>
          <w:tcPr>
            <w:tcW w:w="1307" w:type="dxa"/>
          </w:tcPr>
          <w:p w14:paraId="41D15917" w14:textId="1CFD7F71" w:rsidR="001425A9" w:rsidRDefault="007B45A4">
            <w:r>
              <w:lastRenderedPageBreak/>
              <w:t>July 2023- December 2025</w:t>
            </w:r>
          </w:p>
        </w:tc>
      </w:tr>
      <w:tr w:rsidR="001425A9" w14:paraId="42E60668" w14:textId="77777777" w:rsidTr="4BC57607">
        <w:trPr>
          <w:trHeight w:val="300"/>
        </w:trPr>
        <w:tc>
          <w:tcPr>
            <w:tcW w:w="4536" w:type="dxa"/>
          </w:tcPr>
          <w:p w14:paraId="7C424504" w14:textId="77777777" w:rsidR="001425A9" w:rsidRDefault="00295A28">
            <w:pPr>
              <w:rPr>
                <w:rFonts w:eastAsia="Calibri"/>
              </w:rPr>
            </w:pPr>
            <w:r w:rsidRPr="00A325A3">
              <w:rPr>
                <w:rFonts w:eastAsia="Calibri"/>
                <w:b/>
                <w:bCs/>
              </w:rPr>
              <w:t>8.</w:t>
            </w:r>
            <w:r>
              <w:rPr>
                <w:rFonts w:eastAsia="Calibri"/>
              </w:rPr>
              <w:tab/>
            </w:r>
            <w:sdt>
              <w:sdtPr>
                <w:tag w:val="goog_rdk_7"/>
                <w:id w:val="439957863"/>
              </w:sdtPr>
              <w:sdtEndPr/>
              <w:sdtContent/>
            </w:sdt>
            <w:r>
              <w:rPr>
                <w:rFonts w:eastAsia="Calibri"/>
              </w:rPr>
              <w:t xml:space="preserve">It is recommended that both local and international organisations actively engage with affected individuals to enhance their perception and understanding of local humanitarian organisations. Presently, affected people predominantly perceive local organisations as being less capable and having limited potential to lead humanitarian responses. By fostering meaningful partnerships, promoting transparency, and showcasing the expertise and capabilities of local organisations, the perception and confidence in their ability to lead </w:t>
            </w:r>
            <w:r>
              <w:rPr>
                <w:rFonts w:eastAsia="Calibri"/>
              </w:rPr>
              <w:lastRenderedPageBreak/>
              <w:t xml:space="preserve">can be improved, resulting in more effective and </w:t>
            </w:r>
            <w:proofErr w:type="gramStart"/>
            <w:r>
              <w:rPr>
                <w:rFonts w:eastAsia="Calibri"/>
              </w:rPr>
              <w:t>locally-led</w:t>
            </w:r>
            <w:proofErr w:type="gramEnd"/>
            <w:r>
              <w:rPr>
                <w:rFonts w:eastAsia="Calibri"/>
              </w:rPr>
              <w:t xml:space="preserve"> humanitarian responses.</w:t>
            </w:r>
          </w:p>
        </w:tc>
        <w:tc>
          <w:tcPr>
            <w:tcW w:w="1560" w:type="dxa"/>
          </w:tcPr>
          <w:p w14:paraId="155EAD95" w14:textId="08CC5C10" w:rsidR="001425A9" w:rsidRDefault="00295A28">
            <w:r>
              <w:lastRenderedPageBreak/>
              <w:t>ANGOs</w:t>
            </w:r>
            <w:r w:rsidR="003F69F1">
              <w:t xml:space="preserve"> / DFAT</w:t>
            </w:r>
          </w:p>
        </w:tc>
        <w:tc>
          <w:tcPr>
            <w:tcW w:w="1425" w:type="dxa"/>
          </w:tcPr>
          <w:p w14:paraId="61B6CB68" w14:textId="77777777" w:rsidR="001425A9" w:rsidRDefault="00295A28">
            <w:r>
              <w:t xml:space="preserve">Partially </w:t>
            </w:r>
            <w:proofErr w:type="gramStart"/>
            <w:r>
              <w:t>agree</w:t>
            </w:r>
            <w:proofErr w:type="gramEnd"/>
          </w:p>
          <w:p w14:paraId="0A89C5C7" w14:textId="77777777" w:rsidR="00446430" w:rsidRDefault="00446430"/>
          <w:p w14:paraId="2DBBC0F9" w14:textId="77777777" w:rsidR="00446430" w:rsidRDefault="00446430"/>
          <w:p w14:paraId="40FEB533" w14:textId="77777777" w:rsidR="00446430" w:rsidRDefault="00446430"/>
          <w:p w14:paraId="54FE1E19" w14:textId="77777777" w:rsidR="00446430" w:rsidRDefault="00446430"/>
          <w:p w14:paraId="787C587B" w14:textId="77777777" w:rsidR="00446430" w:rsidRDefault="00446430"/>
          <w:p w14:paraId="2ABEAE41" w14:textId="77777777" w:rsidR="00446430" w:rsidRDefault="00446430"/>
          <w:p w14:paraId="50B200F6" w14:textId="77777777" w:rsidR="00446430" w:rsidRDefault="00446430"/>
          <w:p w14:paraId="71080341" w14:textId="77777777" w:rsidR="00446430" w:rsidRDefault="00446430"/>
          <w:p w14:paraId="522E89C2" w14:textId="5E0667BB" w:rsidR="00BC352B" w:rsidRDefault="00AD3303">
            <w:r>
              <w:t>Agree</w:t>
            </w:r>
          </w:p>
          <w:p w14:paraId="495DF55E" w14:textId="77777777" w:rsidR="00BC352B" w:rsidRDefault="00BC352B"/>
          <w:p w14:paraId="37134BF9" w14:textId="77777777" w:rsidR="00BC352B" w:rsidRDefault="00BC352B"/>
          <w:p w14:paraId="5C1BA7EF" w14:textId="77777777" w:rsidR="00BC352B" w:rsidRDefault="00BC352B"/>
          <w:p w14:paraId="482E27D5" w14:textId="77777777" w:rsidR="00BC137D" w:rsidRDefault="00BC137D"/>
          <w:p w14:paraId="797B908B" w14:textId="77777777" w:rsidR="00BC137D" w:rsidRDefault="00BC137D"/>
          <w:p w14:paraId="0A55520B" w14:textId="77777777" w:rsidR="0024640D" w:rsidRDefault="0024640D"/>
          <w:p w14:paraId="0D93C489" w14:textId="0168558B" w:rsidR="00446430" w:rsidRDefault="00161862">
            <w:r>
              <w:t xml:space="preserve">Partially </w:t>
            </w:r>
            <w:proofErr w:type="gramStart"/>
            <w:r w:rsidR="00AB4125">
              <w:t>a</w:t>
            </w:r>
            <w:r>
              <w:t>gree</w:t>
            </w:r>
            <w:proofErr w:type="gramEnd"/>
          </w:p>
          <w:p w14:paraId="44BF9FAA" w14:textId="627EBAE7" w:rsidR="00446430" w:rsidRDefault="00446430"/>
          <w:p w14:paraId="2A78B3AC" w14:textId="35754C16" w:rsidR="00446430" w:rsidRDefault="00446430"/>
          <w:p w14:paraId="5BD63A3A" w14:textId="4F847C50" w:rsidR="00446430" w:rsidRDefault="00446430"/>
          <w:p w14:paraId="17A565B4" w14:textId="2AFEA52F" w:rsidR="00446430" w:rsidRDefault="00446430"/>
          <w:p w14:paraId="1D125E69" w14:textId="1D39F8DA" w:rsidR="00446430" w:rsidRDefault="00446430"/>
          <w:p w14:paraId="073A670D" w14:textId="11ACB5B8" w:rsidR="00446430" w:rsidRDefault="00446430"/>
          <w:p w14:paraId="00F0AC59" w14:textId="4F0A8AD0" w:rsidR="00446430" w:rsidRDefault="00446430"/>
          <w:p w14:paraId="16ABC468" w14:textId="599F2958" w:rsidR="00446430" w:rsidRDefault="00446430"/>
          <w:p w14:paraId="6C35DBCF" w14:textId="4E347D60" w:rsidR="00446430" w:rsidRDefault="00446430" w:rsidP="4BC57607">
            <w:r>
              <w:t>Partially agree</w:t>
            </w:r>
          </w:p>
        </w:tc>
        <w:tc>
          <w:tcPr>
            <w:tcW w:w="5662" w:type="dxa"/>
          </w:tcPr>
          <w:p w14:paraId="693E7441" w14:textId="1AB95614" w:rsidR="001425A9" w:rsidRDefault="00273F83">
            <w:r w:rsidRPr="00A325A3">
              <w:rPr>
                <w:b/>
                <w:bCs/>
              </w:rPr>
              <w:lastRenderedPageBreak/>
              <w:t>8.1</w:t>
            </w:r>
            <w:r>
              <w:t xml:space="preserve"> </w:t>
            </w:r>
            <w:r w:rsidR="00295A28">
              <w:t>CARE and other AHP partners are working to build capacity of local partners, including their networks and participation within the sector. Capacity building is concentrated on supporting partners to deliver high quality services to the affected population. This will lead to increased visibility of local partners and their capabilities, rather than “engage with affected individuals to enhance their perception and understanding of local humanitarian organisations.”</w:t>
            </w:r>
          </w:p>
          <w:p w14:paraId="38D7E5A1" w14:textId="77777777" w:rsidR="00BC352B" w:rsidRDefault="00BC352B"/>
          <w:p w14:paraId="521EAAE1" w14:textId="695EA133" w:rsidR="00BC352B" w:rsidRDefault="00BC352B">
            <w:r w:rsidRPr="4BC57607">
              <w:rPr>
                <w:b/>
                <w:bCs/>
              </w:rPr>
              <w:t>8.2</w:t>
            </w:r>
            <w:r>
              <w:t xml:space="preserve"> W</w:t>
            </w:r>
            <w:r w:rsidR="0024640D">
              <w:t>orld Vision</w:t>
            </w:r>
            <w:r>
              <w:t xml:space="preserve"> </w:t>
            </w:r>
            <w:r w:rsidR="00910A66">
              <w:t>believes that localization needs to be strengthened</w:t>
            </w:r>
            <w:r w:rsidR="00ED689F">
              <w:t xml:space="preserve"> and embraced by all implementing</w:t>
            </w:r>
            <w:r w:rsidR="00AD3303">
              <w:t xml:space="preserve"> partners for the benefit of </w:t>
            </w:r>
            <w:r w:rsidR="001B25E5">
              <w:t xml:space="preserve">local organizations and </w:t>
            </w:r>
            <w:r w:rsidR="00AD3303">
              <w:t>the community.</w:t>
            </w:r>
            <w:r w:rsidR="00BD33B7">
              <w:t xml:space="preserve"> WV </w:t>
            </w:r>
            <w:r w:rsidR="00BD33B7">
              <w:lastRenderedPageBreak/>
              <w:t xml:space="preserve">applies various measures to ensure that local </w:t>
            </w:r>
            <w:r w:rsidR="00BC137D">
              <w:t>organizations</w:t>
            </w:r>
            <w:r w:rsidR="007F1C3F">
              <w:t xml:space="preserve"> benefit fully from any partnerships</w:t>
            </w:r>
            <w:r w:rsidR="00BC137D">
              <w:t xml:space="preserve"> and are empowered</w:t>
            </w:r>
            <w:r w:rsidR="002D6E89">
              <w:t xml:space="preserve"> to be equally effective</w:t>
            </w:r>
            <w:r w:rsidR="00BC137D">
              <w:t>.</w:t>
            </w:r>
            <w:r w:rsidR="00B17821">
              <w:t xml:space="preserve"> </w:t>
            </w:r>
            <w:r w:rsidR="00BC137D">
              <w:t xml:space="preserve"> </w:t>
            </w:r>
            <w:r w:rsidR="00AD3303">
              <w:t xml:space="preserve"> </w:t>
            </w:r>
            <w:r w:rsidR="00ED689F">
              <w:t xml:space="preserve"> </w:t>
            </w:r>
          </w:p>
          <w:p w14:paraId="350DC3F1" w14:textId="77777777" w:rsidR="0024640D" w:rsidRDefault="0024640D"/>
          <w:p w14:paraId="2B7581A7" w14:textId="530A4527" w:rsidR="687397E5" w:rsidRDefault="687397E5" w:rsidP="4BC57607">
            <w:r w:rsidRPr="4BC57607">
              <w:rPr>
                <w:b/>
                <w:bCs/>
              </w:rPr>
              <w:t xml:space="preserve">8.3 </w:t>
            </w:r>
            <w:r w:rsidRPr="4BC57607">
              <w:rPr>
                <w:rFonts w:eastAsia="Calibri"/>
              </w:rPr>
              <w:t>S</w:t>
            </w:r>
            <w:r w:rsidR="0024640D">
              <w:rPr>
                <w:rFonts w:eastAsia="Calibri"/>
              </w:rPr>
              <w:t>ave the Children</w:t>
            </w:r>
            <w:r w:rsidRPr="4BC57607">
              <w:rPr>
                <w:rFonts w:eastAsia="Calibri"/>
              </w:rPr>
              <w:t xml:space="preserve"> has four local partners (two local implementing partners and two local technical partners) in AHP </w:t>
            </w:r>
            <w:r w:rsidR="0056250D">
              <w:rPr>
                <w:rFonts w:eastAsia="Calibri"/>
              </w:rPr>
              <w:t>Phase IV</w:t>
            </w:r>
            <w:r w:rsidRPr="4BC57607">
              <w:rPr>
                <w:rFonts w:eastAsia="Calibri"/>
              </w:rPr>
              <w:t xml:space="preserve"> to deliver and conduct health, child protection, education and DRR interventions. SC will continue to implement its localization strategy for more effective and locally led humanitarian response, including through ongoing partner-specific capacity support and institutional strengthening measures that facilitate the increasing leadership role of local organisations in the response.   </w:t>
            </w:r>
          </w:p>
          <w:p w14:paraId="5327FB4E" w14:textId="0FF76595" w:rsidR="00446430" w:rsidRDefault="00446430"/>
          <w:p w14:paraId="1BFEDCB9" w14:textId="56A1BD44" w:rsidR="001425A9" w:rsidRDefault="00446430">
            <w:r w:rsidRPr="4BC57607">
              <w:rPr>
                <w:b/>
                <w:bCs/>
              </w:rPr>
              <w:t>8.</w:t>
            </w:r>
            <w:r w:rsidR="20B1E6B3" w:rsidRPr="4BC57607">
              <w:rPr>
                <w:b/>
                <w:bCs/>
              </w:rPr>
              <w:t>4</w:t>
            </w:r>
            <w:r>
              <w:t xml:space="preserve"> </w:t>
            </w:r>
            <w:r w:rsidR="00B7478D">
              <w:t>DFAT notes that w</w:t>
            </w:r>
            <w:r>
              <w:t xml:space="preserve">hile more can always be done to build trust between humanitarian organisations and affected populations, the evaluation and recommendation </w:t>
            </w:r>
            <w:r w:rsidR="00A32C8C">
              <w:t xml:space="preserve">does not provide clarity on the </w:t>
            </w:r>
            <w:r w:rsidR="005443FB">
              <w:t xml:space="preserve">possible </w:t>
            </w:r>
            <w:r w:rsidR="00A32C8C">
              <w:t xml:space="preserve">differing </w:t>
            </w:r>
            <w:r>
              <w:t>perception</w:t>
            </w:r>
            <w:r w:rsidR="005443FB">
              <w:t xml:space="preserve">s </w:t>
            </w:r>
            <w:r>
              <w:t>of the host communit</w:t>
            </w:r>
            <w:r w:rsidR="008E4B21">
              <w:t>ies and</w:t>
            </w:r>
            <w:r>
              <w:t xml:space="preserve"> refugees</w:t>
            </w:r>
            <w:r w:rsidR="00A32C8C">
              <w:t xml:space="preserve"> toward humanitarian organisations</w:t>
            </w:r>
            <w:r>
              <w:t xml:space="preserve">, and the differential perceptions of </w:t>
            </w:r>
            <w:r w:rsidR="00A32C8C">
              <w:t xml:space="preserve">refugees and </w:t>
            </w:r>
            <w:r w:rsidR="00B006E3">
              <w:t xml:space="preserve">host communities to </w:t>
            </w:r>
            <w:r w:rsidR="00FF4B75">
              <w:t xml:space="preserve">different </w:t>
            </w:r>
            <w:r w:rsidR="008E4B21">
              <w:t xml:space="preserve">types of </w:t>
            </w:r>
            <w:r w:rsidR="00FF4B75">
              <w:t>humanitarian actors,</w:t>
            </w:r>
            <w:r>
              <w:t xml:space="preserve"> mak</w:t>
            </w:r>
            <w:r w:rsidR="00FF4B75">
              <w:t>ing</w:t>
            </w:r>
            <w:r>
              <w:t xml:space="preserve"> it difficult to action meaningfully. </w:t>
            </w:r>
          </w:p>
        </w:tc>
        <w:tc>
          <w:tcPr>
            <w:tcW w:w="1307" w:type="dxa"/>
          </w:tcPr>
          <w:p w14:paraId="1B666965" w14:textId="0DB8B71B" w:rsidR="001425A9" w:rsidRDefault="00161862">
            <w:r>
              <w:lastRenderedPageBreak/>
              <w:t>July 2023 – December 2025</w:t>
            </w:r>
          </w:p>
        </w:tc>
      </w:tr>
      <w:tr w:rsidR="001425A9" w14:paraId="77CECA67" w14:textId="77777777" w:rsidTr="4BC57607">
        <w:trPr>
          <w:trHeight w:val="300"/>
        </w:trPr>
        <w:tc>
          <w:tcPr>
            <w:tcW w:w="4536" w:type="dxa"/>
          </w:tcPr>
          <w:p w14:paraId="0D909EE6" w14:textId="77777777" w:rsidR="001425A9" w:rsidRDefault="00295A28">
            <w:pPr>
              <w:rPr>
                <w:rFonts w:eastAsia="Calibri"/>
              </w:rPr>
            </w:pPr>
            <w:r w:rsidRPr="00A325A3">
              <w:rPr>
                <w:rFonts w:eastAsia="Calibri"/>
                <w:b/>
                <w:bCs/>
              </w:rPr>
              <w:t>9.</w:t>
            </w:r>
            <w:r>
              <w:rPr>
                <w:rFonts w:eastAsia="Calibri"/>
              </w:rPr>
              <w:tab/>
              <w:t xml:space="preserve">Enhance the effectiveness of M&amp;E by streamlining the number of indicators to a concise set of no more than 30, including indicators for collective impact and shared learning across AHP agencies. By doing so, a strategic approach to data collection and analysis can be achieved, allowing for in-depth </w:t>
            </w:r>
            <w:r>
              <w:rPr>
                <w:rFonts w:eastAsia="Calibri"/>
              </w:rPr>
              <w:lastRenderedPageBreak/>
              <w:t>qualitative reviews and a focused assessment of program interventions. This streamlined approach will not only optimise resources but also provide valuable insights for informed decision-making, leading to greater program effectiveness and meaningful impact on the lives of those we serve.</w:t>
            </w:r>
          </w:p>
        </w:tc>
        <w:tc>
          <w:tcPr>
            <w:tcW w:w="1560" w:type="dxa"/>
          </w:tcPr>
          <w:p w14:paraId="002C8C3D" w14:textId="77777777" w:rsidR="001425A9" w:rsidRDefault="00295A28">
            <w:r>
              <w:lastRenderedPageBreak/>
              <w:t>ANGOs</w:t>
            </w:r>
          </w:p>
        </w:tc>
        <w:tc>
          <w:tcPr>
            <w:tcW w:w="1425" w:type="dxa"/>
          </w:tcPr>
          <w:p w14:paraId="197EDD45" w14:textId="77777777" w:rsidR="001425A9" w:rsidRDefault="00E84660">
            <w:r>
              <w:t>A</w:t>
            </w:r>
            <w:r w:rsidR="00295A28">
              <w:t>gree</w:t>
            </w:r>
          </w:p>
          <w:p w14:paraId="10DE7D0F" w14:textId="77777777" w:rsidR="00446430" w:rsidRDefault="00446430"/>
          <w:p w14:paraId="79DB0372" w14:textId="77777777" w:rsidR="00446430" w:rsidRDefault="00446430"/>
          <w:p w14:paraId="0A403B8F" w14:textId="77777777" w:rsidR="00446430" w:rsidRDefault="00446430"/>
          <w:p w14:paraId="77B9ABF0" w14:textId="77777777" w:rsidR="00446430" w:rsidRDefault="00446430"/>
          <w:p w14:paraId="373FE1BE" w14:textId="77777777" w:rsidR="00446430" w:rsidRDefault="00446430"/>
          <w:p w14:paraId="58376435" w14:textId="77777777" w:rsidR="00446430" w:rsidRDefault="00446430"/>
          <w:p w14:paraId="6B74BC7F" w14:textId="77777777" w:rsidR="00446430" w:rsidRDefault="00446430"/>
          <w:p w14:paraId="34CB3983" w14:textId="77777777" w:rsidR="00446430" w:rsidRDefault="00446430"/>
          <w:p w14:paraId="103A4028" w14:textId="77777777" w:rsidR="00446430" w:rsidRDefault="00446430"/>
          <w:p w14:paraId="3DE35A2B" w14:textId="77777777" w:rsidR="00446430" w:rsidRDefault="00446430"/>
          <w:p w14:paraId="480CB9DB" w14:textId="7D8BC4D3" w:rsidR="00161862" w:rsidRDefault="008B397E">
            <w:r>
              <w:t xml:space="preserve">Partially </w:t>
            </w:r>
            <w:r w:rsidR="00AB4125">
              <w:t>a</w:t>
            </w:r>
            <w:r>
              <w:t>gree</w:t>
            </w:r>
          </w:p>
        </w:tc>
        <w:tc>
          <w:tcPr>
            <w:tcW w:w="5662" w:type="dxa"/>
          </w:tcPr>
          <w:p w14:paraId="04A0C0D7" w14:textId="06A0550D" w:rsidR="003A680A" w:rsidRDefault="00293352">
            <w:r w:rsidRPr="00A325A3">
              <w:rPr>
                <w:b/>
                <w:bCs/>
              </w:rPr>
              <w:lastRenderedPageBreak/>
              <w:t>9.1</w:t>
            </w:r>
            <w:r>
              <w:t xml:space="preserve"> </w:t>
            </w:r>
            <w:r w:rsidR="00295A28">
              <w:t xml:space="preserve">The </w:t>
            </w:r>
            <w:r w:rsidR="00273F83">
              <w:t xml:space="preserve">AHP Phase </w:t>
            </w:r>
            <w:r w:rsidR="00CA07C9">
              <w:t>IV</w:t>
            </w:r>
            <w:r w:rsidR="00273F83">
              <w:t xml:space="preserve"> </w:t>
            </w:r>
            <w:r w:rsidR="00295A28">
              <w:t xml:space="preserve">consortium of CARE, Oxfam and Plan is currently reviewing its </w:t>
            </w:r>
            <w:r w:rsidR="001447A0">
              <w:t>monitoring and evaluation (</w:t>
            </w:r>
            <w:r w:rsidR="00295A28">
              <w:t>M&amp;E</w:t>
            </w:r>
            <w:r w:rsidR="001447A0">
              <w:t>)</w:t>
            </w:r>
            <w:r w:rsidR="00295A28">
              <w:t xml:space="preserve"> approach as part of the inception phase. Under the</w:t>
            </w:r>
            <w:r w:rsidR="00CA07C9">
              <w:t xml:space="preserve"> Phase IV</w:t>
            </w:r>
            <w:r w:rsidR="00A27ED0">
              <w:t xml:space="preserve"> </w:t>
            </w:r>
            <w:r w:rsidR="00295A28">
              <w:t xml:space="preserve">budget, specific lines are dedicated to supporting qualitative assessments of consortium impact. A dedicated </w:t>
            </w:r>
            <w:r w:rsidR="00CA07C9">
              <w:t>Monitoring, Evaluation</w:t>
            </w:r>
            <w:r w:rsidR="002C41B4">
              <w:t>, Accountability and Learning</w:t>
            </w:r>
            <w:r>
              <w:t xml:space="preserve"> (MEAL)</w:t>
            </w:r>
            <w:r w:rsidR="00673315">
              <w:t xml:space="preserve"> </w:t>
            </w:r>
            <w:r w:rsidR="00295A28">
              <w:t xml:space="preserve">Manager is also being recruited to support the consortium to build on </w:t>
            </w:r>
            <w:r w:rsidR="00295A28">
              <w:lastRenderedPageBreak/>
              <w:t xml:space="preserve">the success of </w:t>
            </w:r>
            <w:r w:rsidR="00907427">
              <w:t>Phase III</w:t>
            </w:r>
            <w:r w:rsidR="00A27ED0">
              <w:t xml:space="preserve"> </w:t>
            </w:r>
            <w:r w:rsidR="00295A28">
              <w:t>and continue supporting a streamlined approach to MEAL through a dedicated working group.</w:t>
            </w:r>
            <w:r w:rsidR="003A680A">
              <w:t xml:space="preserve"> </w:t>
            </w:r>
          </w:p>
          <w:p w14:paraId="1D5E790C" w14:textId="02527A7B" w:rsidR="001425A9" w:rsidRDefault="001425A9" w:rsidP="4BC57607">
            <w:pPr>
              <w:rPr>
                <w:rFonts w:ascii="Arial" w:eastAsia="Arial" w:hAnsi="Arial" w:cs="Arial"/>
                <w:sz w:val="20"/>
                <w:szCs w:val="20"/>
              </w:rPr>
            </w:pPr>
          </w:p>
          <w:p w14:paraId="3EDE522A" w14:textId="4918D170" w:rsidR="001425A9" w:rsidRDefault="6AC4434E" w:rsidP="4BC57607">
            <w:r w:rsidRPr="4BC57607">
              <w:rPr>
                <w:rFonts w:eastAsia="Calibri"/>
                <w:b/>
                <w:bCs/>
              </w:rPr>
              <w:t xml:space="preserve">9.2 </w:t>
            </w:r>
            <w:r w:rsidR="00F705F9">
              <w:rPr>
                <w:rFonts w:eastAsiaTheme="majorEastAsia"/>
              </w:rPr>
              <w:t>S</w:t>
            </w:r>
            <w:r w:rsidR="00E61B98">
              <w:rPr>
                <w:rFonts w:eastAsiaTheme="majorEastAsia"/>
              </w:rPr>
              <w:t>ave the Children</w:t>
            </w:r>
            <w:r w:rsidR="00F705F9">
              <w:rPr>
                <w:rFonts w:eastAsiaTheme="majorEastAsia"/>
              </w:rPr>
              <w:t xml:space="preserve"> conducted </w:t>
            </w:r>
            <w:r w:rsidR="00E61B98">
              <w:rPr>
                <w:rFonts w:eastAsiaTheme="majorEastAsia"/>
              </w:rPr>
              <w:t>o</w:t>
            </w:r>
            <w:r w:rsidR="00F705F9">
              <w:rPr>
                <w:rFonts w:eastAsiaTheme="majorEastAsia"/>
              </w:rPr>
              <w:t xml:space="preserve">utcome </w:t>
            </w:r>
            <w:r w:rsidR="00E61B98">
              <w:rPr>
                <w:rFonts w:eastAsiaTheme="majorEastAsia"/>
              </w:rPr>
              <w:t>a</w:t>
            </w:r>
            <w:r w:rsidR="00F705F9">
              <w:rPr>
                <w:rFonts w:eastAsiaTheme="majorEastAsia"/>
              </w:rPr>
              <w:t>ssessment</w:t>
            </w:r>
            <w:r w:rsidR="00E61B98">
              <w:rPr>
                <w:rFonts w:eastAsiaTheme="majorEastAsia"/>
              </w:rPr>
              <w:t>s</w:t>
            </w:r>
            <w:r w:rsidR="00F705F9">
              <w:rPr>
                <w:rFonts w:eastAsiaTheme="majorEastAsia"/>
              </w:rPr>
              <w:t xml:space="preserve"> in AHP Phase III and will continue yearly </w:t>
            </w:r>
            <w:r w:rsidR="00E61B98">
              <w:rPr>
                <w:rFonts w:eastAsiaTheme="majorEastAsia"/>
              </w:rPr>
              <w:t>o</w:t>
            </w:r>
            <w:r w:rsidR="00F705F9">
              <w:rPr>
                <w:rFonts w:eastAsiaTheme="majorEastAsia"/>
              </w:rPr>
              <w:t xml:space="preserve">utcome </w:t>
            </w:r>
            <w:r w:rsidR="00E61B98">
              <w:rPr>
                <w:rFonts w:eastAsiaTheme="majorEastAsia"/>
              </w:rPr>
              <w:t>as</w:t>
            </w:r>
            <w:r w:rsidR="00F705F9">
              <w:rPr>
                <w:rFonts w:eastAsiaTheme="majorEastAsia"/>
              </w:rPr>
              <w:t>sessments under AHP Phase IV. While the logframe indicators have not been reduced to below 30, the MEAL approach has been reviewed and streamlined where possible. Specific budget items have been dedicated to MEAL resourcing, including key staff and field activities, and embedded in Partner budgets, to ensure robust and strategic data collection and analysis.</w:t>
            </w:r>
          </w:p>
        </w:tc>
        <w:tc>
          <w:tcPr>
            <w:tcW w:w="1307" w:type="dxa"/>
          </w:tcPr>
          <w:p w14:paraId="7202FDC8" w14:textId="7BA30E1D" w:rsidR="001425A9" w:rsidRDefault="008B397E">
            <w:r>
              <w:lastRenderedPageBreak/>
              <w:t>July 2023 – December 2025</w:t>
            </w:r>
          </w:p>
        </w:tc>
      </w:tr>
      <w:tr w:rsidR="001425A9" w14:paraId="575ADE54" w14:textId="77777777" w:rsidTr="4BC57607">
        <w:trPr>
          <w:trHeight w:val="300"/>
        </w:trPr>
        <w:tc>
          <w:tcPr>
            <w:tcW w:w="4536" w:type="dxa"/>
          </w:tcPr>
          <w:p w14:paraId="5337CF39" w14:textId="77777777" w:rsidR="001425A9" w:rsidRDefault="00295A28">
            <w:pPr>
              <w:rPr>
                <w:rFonts w:eastAsia="Calibri"/>
              </w:rPr>
            </w:pPr>
            <w:r w:rsidRPr="00A325A3">
              <w:rPr>
                <w:rFonts w:eastAsia="Calibri"/>
                <w:b/>
                <w:bCs/>
              </w:rPr>
              <w:t>10.</w:t>
            </w:r>
            <w:r>
              <w:rPr>
                <w:rFonts w:eastAsia="Calibri"/>
              </w:rPr>
              <w:tab/>
              <w:t xml:space="preserve">Assist time-poor external </w:t>
            </w:r>
            <w:proofErr w:type="spellStart"/>
            <w:r>
              <w:rPr>
                <w:rFonts w:eastAsia="Calibri"/>
              </w:rPr>
              <w:t>actors</w:t>
            </w:r>
            <w:proofErr w:type="spellEnd"/>
            <w:r>
              <w:rPr>
                <w:rFonts w:eastAsia="Calibri"/>
              </w:rPr>
              <w:t xml:space="preserve"> including DFAT and other donors to understand key progress and results quickly to ensure that impacts are recognised and valued. Ensure that reporting presents key information using easy-to-read visuals, such as the traffic light system which uses colour coding to highlight areas progressing well, those to watch, and areas of concern that require urgent action. Report on progress directly against targets and use a combination of limited quantitative output indicators to demonstrate the reach of activities, and qualitative data such as quotes and stories of change, to demonstrate depth and complexity.</w:t>
            </w:r>
          </w:p>
        </w:tc>
        <w:tc>
          <w:tcPr>
            <w:tcW w:w="1560" w:type="dxa"/>
          </w:tcPr>
          <w:p w14:paraId="1F1596A6" w14:textId="1DDBAB98" w:rsidR="001425A9" w:rsidRDefault="00295A28">
            <w:r>
              <w:t>ANGOs</w:t>
            </w:r>
            <w:r w:rsidR="003F69F1">
              <w:t xml:space="preserve"> / DFAT</w:t>
            </w:r>
          </w:p>
        </w:tc>
        <w:tc>
          <w:tcPr>
            <w:tcW w:w="1425" w:type="dxa"/>
          </w:tcPr>
          <w:p w14:paraId="793CF1D5" w14:textId="77777777" w:rsidR="001425A9" w:rsidRDefault="00295A28">
            <w:r>
              <w:t xml:space="preserve">Partially </w:t>
            </w:r>
            <w:proofErr w:type="gramStart"/>
            <w:r>
              <w:t>agree</w:t>
            </w:r>
            <w:proofErr w:type="gramEnd"/>
          </w:p>
          <w:p w14:paraId="478A59D7" w14:textId="77777777" w:rsidR="00CF771E" w:rsidRDefault="00CF771E"/>
          <w:p w14:paraId="1B519355" w14:textId="77777777" w:rsidR="00CF771E" w:rsidRDefault="00CF771E"/>
          <w:p w14:paraId="667169B1" w14:textId="77777777" w:rsidR="00CF771E" w:rsidRDefault="00CF771E"/>
          <w:p w14:paraId="224B1D05" w14:textId="77777777" w:rsidR="00CF771E" w:rsidRDefault="00CF771E"/>
          <w:p w14:paraId="4FEDDC2F" w14:textId="77777777" w:rsidR="00CF771E" w:rsidRDefault="00CF771E"/>
          <w:p w14:paraId="550AD206" w14:textId="77777777" w:rsidR="00CF771E" w:rsidRDefault="00CF771E"/>
          <w:p w14:paraId="63E3F181" w14:textId="77777777" w:rsidR="00CF771E" w:rsidRDefault="00CF771E"/>
          <w:p w14:paraId="164CCB5B" w14:textId="77777777" w:rsidR="00CF771E" w:rsidRDefault="00CF771E"/>
          <w:p w14:paraId="05C90E62" w14:textId="77777777" w:rsidR="00CF771E" w:rsidRDefault="00CF771E"/>
          <w:p w14:paraId="7C63C680" w14:textId="77777777" w:rsidR="00CF771E" w:rsidRDefault="00CF771E"/>
          <w:p w14:paraId="30FFABF9" w14:textId="77777777" w:rsidR="00CF771E" w:rsidRDefault="00CF771E"/>
          <w:p w14:paraId="7A47DD56" w14:textId="77777777" w:rsidR="00CF771E" w:rsidRDefault="00CF771E"/>
          <w:p w14:paraId="5309D3B3" w14:textId="77777777" w:rsidR="00CF771E" w:rsidRDefault="00CF771E"/>
          <w:p w14:paraId="34AB57DA" w14:textId="77777777" w:rsidR="00CF771E" w:rsidRDefault="00CF771E"/>
          <w:p w14:paraId="3E52336D" w14:textId="77777777" w:rsidR="00CF771E" w:rsidRDefault="00CF771E">
            <w:r>
              <w:lastRenderedPageBreak/>
              <w:t xml:space="preserve">Partially </w:t>
            </w:r>
            <w:proofErr w:type="gramStart"/>
            <w:r>
              <w:t>agree</w:t>
            </w:r>
            <w:proofErr w:type="gramEnd"/>
          </w:p>
          <w:p w14:paraId="73562135" w14:textId="77777777" w:rsidR="00D23619" w:rsidRDefault="00D23619"/>
          <w:p w14:paraId="4F0FEC2F" w14:textId="77777777" w:rsidR="00D23619" w:rsidRDefault="00D23619"/>
          <w:p w14:paraId="50867504" w14:textId="77777777" w:rsidR="00F705F9" w:rsidRDefault="00F705F9"/>
          <w:p w14:paraId="675466D3" w14:textId="588CC775" w:rsidR="00D23619" w:rsidRDefault="008B397E">
            <w:r>
              <w:t>Agree</w:t>
            </w:r>
          </w:p>
          <w:p w14:paraId="0E054C91" w14:textId="3B5C7A3C" w:rsidR="00D23619" w:rsidRDefault="00D23619"/>
          <w:p w14:paraId="7E6A7C18" w14:textId="34691CE8" w:rsidR="00D23619" w:rsidRDefault="00D23619"/>
          <w:p w14:paraId="2952A787" w14:textId="7FE993D3" w:rsidR="00D23619" w:rsidRDefault="00D23619"/>
          <w:p w14:paraId="1A412916" w14:textId="76ECA0CE" w:rsidR="00D23619" w:rsidRDefault="00D23619" w:rsidP="4BC57607">
            <w:r>
              <w:t>Partially agree</w:t>
            </w:r>
          </w:p>
        </w:tc>
        <w:tc>
          <w:tcPr>
            <w:tcW w:w="5662" w:type="dxa"/>
          </w:tcPr>
          <w:p w14:paraId="50D1EF1B" w14:textId="41868B88" w:rsidR="001425A9" w:rsidRDefault="00293352">
            <w:r w:rsidRPr="00A325A3">
              <w:rPr>
                <w:b/>
                <w:bCs/>
              </w:rPr>
              <w:lastRenderedPageBreak/>
              <w:t>10.1</w:t>
            </w:r>
            <w:r>
              <w:t xml:space="preserve"> </w:t>
            </w:r>
            <w:r w:rsidR="00295A28">
              <w:t xml:space="preserve">CARE, Oxfam and Plan will continue to provide high quality reports as well as other communication materials such as videos and case studies, which will be widely shared across online platforms. Building on from </w:t>
            </w:r>
            <w:r>
              <w:t>Phase III</w:t>
            </w:r>
            <w:r w:rsidR="00295A28">
              <w:t>, the consortium MEAL working group with technical support from CARE Australia, will continue to build partner capacity in qualitative impact assessments.</w:t>
            </w:r>
          </w:p>
          <w:p w14:paraId="20CECEE7" w14:textId="77777777" w:rsidR="001425A9" w:rsidRDefault="001425A9"/>
          <w:p w14:paraId="38E44391" w14:textId="1C3B1B86" w:rsidR="001425A9" w:rsidRDefault="00295A28">
            <w:r>
              <w:t xml:space="preserve">Under </w:t>
            </w:r>
            <w:r w:rsidR="00293352">
              <w:t>Phase IV</w:t>
            </w:r>
            <w:r>
              <w:t>, a strategy document is being developed on engage</w:t>
            </w:r>
            <w:r w:rsidR="006C1CFD">
              <w:t>ment</w:t>
            </w:r>
            <w:r>
              <w:t xml:space="preserve"> with DFAT </w:t>
            </w:r>
            <w:r w:rsidR="0006499E">
              <w:t>for</w:t>
            </w:r>
            <w:r>
              <w:t xml:space="preserve"> update</w:t>
            </w:r>
            <w:r w:rsidR="0006499E">
              <w:t>s</w:t>
            </w:r>
            <w:r>
              <w:t xml:space="preserve"> on consortium progress </w:t>
            </w:r>
            <w:r w:rsidR="00A93D1D">
              <w:t xml:space="preserve">at the country level </w:t>
            </w:r>
            <w:r>
              <w:t xml:space="preserve">and to provide opportunities to engage in the program. This will include meetings, </w:t>
            </w:r>
            <w:proofErr w:type="gramStart"/>
            <w:r>
              <w:t>updates</w:t>
            </w:r>
            <w:proofErr w:type="gramEnd"/>
            <w:r>
              <w:t xml:space="preserve"> and project site visits. Consortium coordination arrangements will also ensure a single line of communication with </w:t>
            </w:r>
            <w:r w:rsidR="00CF3854">
              <w:t>DFAT</w:t>
            </w:r>
            <w:r>
              <w:t xml:space="preserve"> to streamline information flow.</w:t>
            </w:r>
          </w:p>
          <w:p w14:paraId="10743CAC" w14:textId="77777777" w:rsidR="0005780B" w:rsidRDefault="0005780B"/>
          <w:p w14:paraId="023EC419" w14:textId="5CF431EF" w:rsidR="00B52C3C" w:rsidRDefault="00B52C3C">
            <w:r w:rsidRPr="00692679">
              <w:rPr>
                <w:b/>
                <w:bCs/>
              </w:rPr>
              <w:lastRenderedPageBreak/>
              <w:t>10.2</w:t>
            </w:r>
            <w:r>
              <w:t xml:space="preserve"> W</w:t>
            </w:r>
            <w:r w:rsidR="00ED2222">
              <w:t>orld Vision</w:t>
            </w:r>
            <w:r>
              <w:t xml:space="preserve"> and her partners have continued to provide </w:t>
            </w:r>
            <w:r w:rsidR="00D23619">
              <w:t>high quality reports</w:t>
            </w:r>
            <w:r w:rsidR="00CA0337">
              <w:t xml:space="preserve"> as well as other materials including case studies and videos</w:t>
            </w:r>
            <w:r w:rsidR="00C05069">
              <w:t xml:space="preserve"> to share</w:t>
            </w:r>
            <w:r w:rsidR="00201E97">
              <w:t xml:space="preserve"> the</w:t>
            </w:r>
            <w:r w:rsidR="00C05069">
              <w:t xml:space="preserve"> impact of their work. </w:t>
            </w:r>
          </w:p>
          <w:p w14:paraId="2800EEBD" w14:textId="77777777" w:rsidR="001425A9" w:rsidRDefault="00295A28">
            <w:r>
              <w:t xml:space="preserve"> </w:t>
            </w:r>
          </w:p>
          <w:p w14:paraId="5414C6BC" w14:textId="04370A2B" w:rsidR="27187D17" w:rsidRDefault="27187D17" w:rsidP="4BC57607">
            <w:r w:rsidRPr="4BC57607">
              <w:rPr>
                <w:rFonts w:eastAsia="Calibri"/>
                <w:b/>
                <w:bCs/>
                <w:lang w:val="en-GB"/>
              </w:rPr>
              <w:t xml:space="preserve">10.3 </w:t>
            </w:r>
            <w:r w:rsidRPr="4BC57607">
              <w:rPr>
                <w:rFonts w:eastAsia="Calibri"/>
                <w:lang w:val="en-GB"/>
              </w:rPr>
              <w:t>S</w:t>
            </w:r>
            <w:r w:rsidR="00AA3B95">
              <w:rPr>
                <w:rFonts w:eastAsia="Calibri"/>
                <w:lang w:val="en-GB"/>
              </w:rPr>
              <w:t xml:space="preserve">ave the Children </w:t>
            </w:r>
            <w:r w:rsidRPr="4BC57607">
              <w:rPr>
                <w:rFonts w:eastAsia="Calibri"/>
                <w:lang w:val="en-GB"/>
              </w:rPr>
              <w:t>will develop a visualized dashboard with key information to inform and update the management and DFAT on the progress and impacts.</w:t>
            </w:r>
          </w:p>
          <w:p w14:paraId="26B95F0E" w14:textId="056D02D0" w:rsidR="4BC57607" w:rsidRDefault="4BC57607" w:rsidP="4BC57607">
            <w:pPr>
              <w:rPr>
                <w:rFonts w:eastAsia="Calibri"/>
                <w:lang w:val="en-GB"/>
              </w:rPr>
            </w:pPr>
          </w:p>
          <w:p w14:paraId="3DBDB4D0" w14:textId="1A57B371" w:rsidR="001425A9" w:rsidRDefault="005E4DF8" w:rsidP="009A3268">
            <w:r w:rsidRPr="4BC57607">
              <w:rPr>
                <w:b/>
                <w:bCs/>
              </w:rPr>
              <w:t>10.</w:t>
            </w:r>
            <w:r w:rsidR="15C02045" w:rsidRPr="4BC57607">
              <w:rPr>
                <w:b/>
                <w:bCs/>
              </w:rPr>
              <w:t>4</w:t>
            </w:r>
            <w:r>
              <w:t xml:space="preserve"> </w:t>
            </w:r>
            <w:r w:rsidR="000419C9">
              <w:t>DFAT, through the AHP Support Unit, sets r</w:t>
            </w:r>
            <w:r w:rsidR="00295A28">
              <w:t xml:space="preserve">eporting templates and requirements </w:t>
            </w:r>
            <w:r w:rsidR="00C97C00">
              <w:t xml:space="preserve">to </w:t>
            </w:r>
            <w:r w:rsidR="00295A28">
              <w:t xml:space="preserve">provide comprehensive quantitative and qualitative data. </w:t>
            </w:r>
            <w:r w:rsidR="009A3268">
              <w:t>A</w:t>
            </w:r>
            <w:r w:rsidR="008F6219">
              <w:t xml:space="preserve">djustments can be </w:t>
            </w:r>
            <w:r w:rsidR="00CE58BE">
              <w:t>requested</w:t>
            </w:r>
            <w:r w:rsidR="008F6219">
              <w:t xml:space="preserve"> through the AHPSU</w:t>
            </w:r>
            <w:r w:rsidR="00793F18">
              <w:t xml:space="preserve"> </w:t>
            </w:r>
            <w:r w:rsidR="00764FFD">
              <w:t xml:space="preserve">as needed </w:t>
            </w:r>
            <w:r w:rsidR="00DF6B28">
              <w:t>to ensure efficient</w:t>
            </w:r>
            <w:r w:rsidR="00712144">
              <w:t xml:space="preserve"> and effective</w:t>
            </w:r>
            <w:r w:rsidR="00DF6B28">
              <w:t xml:space="preserve"> </w:t>
            </w:r>
            <w:r w:rsidR="00D5518E">
              <w:t>reporting</w:t>
            </w:r>
            <w:r w:rsidR="00295A28">
              <w:t xml:space="preserve">. </w:t>
            </w:r>
          </w:p>
        </w:tc>
        <w:tc>
          <w:tcPr>
            <w:tcW w:w="1307" w:type="dxa"/>
          </w:tcPr>
          <w:p w14:paraId="31CE6DE6" w14:textId="6DE7BE87" w:rsidR="001425A9" w:rsidRDefault="008B397E">
            <w:r>
              <w:lastRenderedPageBreak/>
              <w:t>July 2023 – December 2025</w:t>
            </w:r>
          </w:p>
        </w:tc>
      </w:tr>
      <w:tr w:rsidR="001425A9" w14:paraId="6C97E2FB" w14:textId="77777777" w:rsidTr="4BC57607">
        <w:trPr>
          <w:trHeight w:val="300"/>
        </w:trPr>
        <w:tc>
          <w:tcPr>
            <w:tcW w:w="4536" w:type="dxa"/>
          </w:tcPr>
          <w:p w14:paraId="54102B2F" w14:textId="77777777" w:rsidR="001425A9" w:rsidRDefault="00295A28">
            <w:pPr>
              <w:rPr>
                <w:rFonts w:eastAsia="Calibri"/>
              </w:rPr>
            </w:pPr>
            <w:r w:rsidRPr="00A325A3">
              <w:rPr>
                <w:rFonts w:eastAsia="Calibri"/>
                <w:b/>
                <w:bCs/>
              </w:rPr>
              <w:t>11.</w:t>
            </w:r>
            <w:r>
              <w:rPr>
                <w:rFonts w:eastAsia="Calibri"/>
              </w:rPr>
              <w:tab/>
              <w:t xml:space="preserve">Among AHP partners implementing activities, the consortium became a valued platform for coordination among those delivering AHP support, facilitating responsive sharing of expertise and experience. AHP should continue to resource a consortium mechanism that complements partner-specific interventions to ensure ongoing collaboration and learning between AHP partners. This will also maintain the strong practices currently seen in key areas such as monitoring and evaluation, gender and protection, disability inclusion, and WASH, as well as efficient waste management practices. The model also promotes valuable opportunities </w:t>
            </w:r>
            <w:r>
              <w:rPr>
                <w:rFonts w:eastAsia="Calibri"/>
              </w:rPr>
              <w:lastRenderedPageBreak/>
              <w:t>for staff of civil society organisations to extend their skills.</w:t>
            </w:r>
          </w:p>
        </w:tc>
        <w:tc>
          <w:tcPr>
            <w:tcW w:w="1560" w:type="dxa"/>
          </w:tcPr>
          <w:p w14:paraId="0B558EC8" w14:textId="77777777" w:rsidR="001425A9" w:rsidRDefault="00295A28">
            <w:r>
              <w:lastRenderedPageBreak/>
              <w:t>DFAT</w:t>
            </w:r>
          </w:p>
        </w:tc>
        <w:tc>
          <w:tcPr>
            <w:tcW w:w="1425" w:type="dxa"/>
          </w:tcPr>
          <w:p w14:paraId="53599AB4" w14:textId="77777777" w:rsidR="001425A9" w:rsidRDefault="00295A28">
            <w:r>
              <w:t>Agree</w:t>
            </w:r>
          </w:p>
          <w:p w14:paraId="619A66B4" w14:textId="77777777" w:rsidR="008B397E" w:rsidRDefault="008B397E"/>
          <w:p w14:paraId="206F2C2B" w14:textId="77777777" w:rsidR="008B397E" w:rsidRDefault="008B397E"/>
          <w:p w14:paraId="2C44D456" w14:textId="77777777" w:rsidR="008B397E" w:rsidRDefault="008B397E"/>
          <w:p w14:paraId="7FF5831D" w14:textId="77777777" w:rsidR="008B397E" w:rsidRDefault="008B397E"/>
          <w:p w14:paraId="7948FFAE" w14:textId="77777777" w:rsidR="008B397E" w:rsidRDefault="008B397E"/>
          <w:p w14:paraId="24F5EF5B" w14:textId="77777777" w:rsidR="008B397E" w:rsidRDefault="008B397E"/>
          <w:p w14:paraId="4912AF9E" w14:textId="77777777" w:rsidR="008B397E" w:rsidRDefault="008B397E"/>
          <w:p w14:paraId="6C5346ED" w14:textId="1E11EC1B" w:rsidR="008B397E" w:rsidRDefault="008B397E"/>
        </w:tc>
        <w:tc>
          <w:tcPr>
            <w:tcW w:w="5662" w:type="dxa"/>
          </w:tcPr>
          <w:p w14:paraId="7F0CC151" w14:textId="7DF6C8B7" w:rsidR="001425A9" w:rsidRDefault="00A24046">
            <w:r w:rsidRPr="4BC57607">
              <w:rPr>
                <w:b/>
                <w:bCs/>
              </w:rPr>
              <w:t>11.1</w:t>
            </w:r>
            <w:r>
              <w:t xml:space="preserve"> </w:t>
            </w:r>
            <w:r w:rsidR="00295A28">
              <w:t>The CARE, Oxfam</w:t>
            </w:r>
            <w:r w:rsidR="0038589E">
              <w:t>, Save the Children</w:t>
            </w:r>
            <w:r w:rsidR="00295A28">
              <w:t xml:space="preserve"> and Plan </w:t>
            </w:r>
            <w:r w:rsidR="005E4DF8">
              <w:t>Phase IV</w:t>
            </w:r>
            <w:r w:rsidR="00295A28">
              <w:t xml:space="preserve"> consortium seeks to continue best practice documented in </w:t>
            </w:r>
            <w:hyperlink r:id="rId10">
              <w:r w:rsidR="00295A28" w:rsidRPr="4BC57607">
                <w:rPr>
                  <w:color w:val="1155CC"/>
                  <w:u w:val="single"/>
                </w:rPr>
                <w:t>consortium ways of working</w:t>
              </w:r>
            </w:hyperlink>
            <w:r w:rsidR="00295A28">
              <w:t xml:space="preserve">. The consortium will have shared services and collaborate on MEAL and disability inclusion. Periodic learning and reflection workshops will bring </w:t>
            </w:r>
            <w:r w:rsidR="000A7651">
              <w:t>INGO</w:t>
            </w:r>
            <w:r w:rsidR="009A7F5B">
              <w:t xml:space="preserve"> </w:t>
            </w:r>
            <w:r w:rsidR="00295A28">
              <w:t>and local partners together to facilitate sharing of expertise and experience.</w:t>
            </w:r>
          </w:p>
          <w:p w14:paraId="51D4DBBF" w14:textId="0D375058" w:rsidR="001425A9" w:rsidRDefault="001425A9" w:rsidP="4BC57607"/>
        </w:tc>
        <w:tc>
          <w:tcPr>
            <w:tcW w:w="1307" w:type="dxa"/>
          </w:tcPr>
          <w:p w14:paraId="6DFF0CB8" w14:textId="3EC68312" w:rsidR="001425A9" w:rsidRDefault="008B397E">
            <w:r>
              <w:t>July 2023 – December 2025</w:t>
            </w:r>
          </w:p>
        </w:tc>
      </w:tr>
      <w:tr w:rsidR="001425A9" w14:paraId="2BA72FE4" w14:textId="77777777" w:rsidTr="4BC57607">
        <w:trPr>
          <w:trHeight w:val="300"/>
        </w:trPr>
        <w:tc>
          <w:tcPr>
            <w:tcW w:w="4536" w:type="dxa"/>
          </w:tcPr>
          <w:p w14:paraId="19EBA601" w14:textId="77777777" w:rsidR="001425A9" w:rsidRDefault="00295A28">
            <w:pPr>
              <w:rPr>
                <w:rFonts w:eastAsia="Calibri"/>
              </w:rPr>
            </w:pPr>
            <w:r w:rsidRPr="00A325A3">
              <w:rPr>
                <w:rFonts w:eastAsia="Calibri"/>
                <w:b/>
                <w:bCs/>
              </w:rPr>
              <w:t>12.</w:t>
            </w:r>
            <w:r>
              <w:rPr>
                <w:rFonts w:eastAsia="Calibri"/>
              </w:rPr>
              <w:tab/>
              <w:t xml:space="preserve">Some working groups proved highly effective, but the number of working groups should be limited, and more opportunities sought to engage with existing sector working groups. It is recommended to reduce the number of technical working groups to break the silos between gender, </w:t>
            </w:r>
            <w:sdt>
              <w:sdtPr>
                <w:tag w:val="goog_rdk_8"/>
                <w:id w:val="1455747154"/>
              </w:sdtPr>
              <w:sdtEndPr/>
              <w:sdtContent/>
            </w:sdt>
            <w:r>
              <w:rPr>
                <w:rFonts w:eastAsia="Calibri"/>
              </w:rPr>
              <w:t>disability, and other intersectional and crosscutting areas.</w:t>
            </w:r>
          </w:p>
        </w:tc>
        <w:tc>
          <w:tcPr>
            <w:tcW w:w="1560" w:type="dxa"/>
          </w:tcPr>
          <w:p w14:paraId="004C40B8" w14:textId="703B4B7E" w:rsidR="001425A9" w:rsidRDefault="00295A28">
            <w:r>
              <w:t>ANGOs</w:t>
            </w:r>
            <w:r w:rsidR="004E247E">
              <w:t xml:space="preserve"> / DFAT</w:t>
            </w:r>
          </w:p>
        </w:tc>
        <w:tc>
          <w:tcPr>
            <w:tcW w:w="1425" w:type="dxa"/>
          </w:tcPr>
          <w:p w14:paraId="2ABD5FA1" w14:textId="77777777" w:rsidR="001425A9" w:rsidRDefault="00E84660">
            <w:r>
              <w:t>A</w:t>
            </w:r>
            <w:r w:rsidR="00295A28">
              <w:t>gree</w:t>
            </w:r>
          </w:p>
          <w:p w14:paraId="3CBC01A4" w14:textId="77777777" w:rsidR="004E247E" w:rsidRDefault="004E247E"/>
          <w:p w14:paraId="043A6947" w14:textId="77777777" w:rsidR="004E247E" w:rsidRDefault="004E247E"/>
          <w:p w14:paraId="43576DBD" w14:textId="77777777" w:rsidR="004E247E" w:rsidRDefault="004E247E"/>
          <w:p w14:paraId="66DAB1FC" w14:textId="77777777" w:rsidR="004E247E" w:rsidRDefault="004E247E"/>
          <w:p w14:paraId="6D54666C" w14:textId="77777777" w:rsidR="004E247E" w:rsidRDefault="004E247E"/>
          <w:p w14:paraId="5E0B883E" w14:textId="77777777" w:rsidR="004E247E" w:rsidRDefault="004E247E"/>
          <w:p w14:paraId="2A7CF291" w14:textId="77777777" w:rsidR="004E247E" w:rsidRDefault="004E247E"/>
          <w:p w14:paraId="35BB41AB" w14:textId="77777777" w:rsidR="00700439" w:rsidRDefault="00700439"/>
          <w:p w14:paraId="768AB63E" w14:textId="7F5D34B0" w:rsidR="004E247E" w:rsidRDefault="004E247E">
            <w:r>
              <w:t>Agree</w:t>
            </w:r>
          </w:p>
          <w:p w14:paraId="0487B049" w14:textId="77777777" w:rsidR="00127AF9" w:rsidRDefault="00127AF9"/>
          <w:p w14:paraId="028DF721" w14:textId="77777777" w:rsidR="00127AF9" w:rsidRDefault="00127AF9"/>
          <w:p w14:paraId="2097FDC2" w14:textId="77777777" w:rsidR="00552AD1" w:rsidRDefault="00552AD1"/>
          <w:p w14:paraId="3F66B989" w14:textId="77777777" w:rsidR="00552AD1" w:rsidRDefault="00552AD1"/>
          <w:p w14:paraId="0C93EDA1" w14:textId="77777777" w:rsidR="00552AD1" w:rsidRDefault="00552AD1"/>
          <w:p w14:paraId="381F894F" w14:textId="151870B7" w:rsidR="00127AF9" w:rsidRDefault="009842B9">
            <w:r>
              <w:t>Agree</w:t>
            </w:r>
          </w:p>
          <w:p w14:paraId="5F7D222D" w14:textId="3DF406AB" w:rsidR="00127AF9" w:rsidRDefault="00127AF9"/>
          <w:p w14:paraId="1FB5B6C7" w14:textId="5C26695B" w:rsidR="00127AF9" w:rsidRDefault="00127AF9"/>
          <w:p w14:paraId="50244EF0" w14:textId="77777777" w:rsidR="009842B9" w:rsidRDefault="009842B9" w:rsidP="4BC57607"/>
          <w:p w14:paraId="085B89D8" w14:textId="43CAA4E2" w:rsidR="00127AF9" w:rsidRDefault="00127AF9" w:rsidP="4BC57607">
            <w:r>
              <w:t>Agree</w:t>
            </w:r>
          </w:p>
        </w:tc>
        <w:tc>
          <w:tcPr>
            <w:tcW w:w="5662" w:type="dxa"/>
          </w:tcPr>
          <w:p w14:paraId="63AE3743" w14:textId="535C97B2" w:rsidR="001425A9" w:rsidRDefault="003D2A17">
            <w:r w:rsidRPr="00A325A3">
              <w:rPr>
                <w:b/>
                <w:bCs/>
              </w:rPr>
              <w:t>12.1</w:t>
            </w:r>
            <w:r>
              <w:t xml:space="preserve"> </w:t>
            </w:r>
            <w:r w:rsidR="00295A28">
              <w:t xml:space="preserve">The CARE, Oxfam and Plan </w:t>
            </w:r>
            <w:r>
              <w:t>Phase IV</w:t>
            </w:r>
            <w:r w:rsidR="00295A28">
              <w:t xml:space="preserve"> consortium is more streamlined, and will have working groups for cross-cutting areas such as MEAL, disability inclusion and localisation but not per sector</w:t>
            </w:r>
            <w:r w:rsidR="008E4B21">
              <w:t>, to reduce duplication with existing whole-of-response mechanisms</w:t>
            </w:r>
            <w:r w:rsidR="00295A28">
              <w:t xml:space="preserve">. Agencies will actively engage with existing sector mechanisms for </w:t>
            </w:r>
            <w:r w:rsidR="00E84660">
              <w:t xml:space="preserve">Age and Disability, </w:t>
            </w:r>
            <w:r w:rsidR="00295A28">
              <w:t>WASH, Education, Protection, Livelihoods, DRR and Site Development, as well as the NGO Platform.</w:t>
            </w:r>
          </w:p>
          <w:p w14:paraId="1DD45F69" w14:textId="77777777" w:rsidR="00127AF9" w:rsidRDefault="00127AF9"/>
          <w:p w14:paraId="449806A4" w14:textId="51E9A5FB" w:rsidR="00127AF9" w:rsidRDefault="000E379E">
            <w:r w:rsidRPr="4BC57607">
              <w:rPr>
                <w:b/>
                <w:bCs/>
              </w:rPr>
              <w:t>12.2</w:t>
            </w:r>
            <w:r>
              <w:t xml:space="preserve"> </w:t>
            </w:r>
            <w:r w:rsidR="00127AF9">
              <w:t>W</w:t>
            </w:r>
            <w:r w:rsidR="00FE4E17">
              <w:t>orld Vision</w:t>
            </w:r>
            <w:r w:rsidR="00127AF9">
              <w:t xml:space="preserve"> and CBM </w:t>
            </w:r>
            <w:r w:rsidR="00084F1D">
              <w:t xml:space="preserve">agree with this recommendation </w:t>
            </w:r>
            <w:r w:rsidR="00897597">
              <w:t>and</w:t>
            </w:r>
            <w:r w:rsidR="00084F1D">
              <w:t xml:space="preserve"> believe that </w:t>
            </w:r>
            <w:r w:rsidR="00F73D99">
              <w:t xml:space="preserve">for disability it would be appropriate to use the Age and Disability Working Group under the </w:t>
            </w:r>
            <w:r w:rsidR="008E4B21">
              <w:t xml:space="preserve">Inter-Sector Coordination Group </w:t>
            </w:r>
            <w:r w:rsidR="00C46BF4">
              <w:t xml:space="preserve">for coordination rather than a separate AHP </w:t>
            </w:r>
            <w:r w:rsidR="00552AD1">
              <w:t>Disability Inclusion Working Group (</w:t>
            </w:r>
            <w:r w:rsidR="00C46BF4">
              <w:t>DIWG</w:t>
            </w:r>
            <w:r w:rsidR="00552AD1">
              <w:t>)</w:t>
            </w:r>
            <w:r w:rsidR="00F705F9">
              <w:t>.</w:t>
            </w:r>
          </w:p>
          <w:p w14:paraId="27BC4073" w14:textId="3E85224B" w:rsidR="4BC57607" w:rsidRDefault="4BC57607" w:rsidP="4BC57607"/>
          <w:p w14:paraId="642275D1" w14:textId="3A75EAA2" w:rsidR="6FCA053D" w:rsidRDefault="6FCA053D" w:rsidP="4BC57607">
            <w:r w:rsidRPr="4BC57607">
              <w:rPr>
                <w:b/>
                <w:bCs/>
              </w:rPr>
              <w:t xml:space="preserve">12.3 </w:t>
            </w:r>
            <w:r w:rsidRPr="4BC57607">
              <w:rPr>
                <w:rFonts w:eastAsia="Calibri"/>
              </w:rPr>
              <w:t xml:space="preserve">In AHP </w:t>
            </w:r>
            <w:r w:rsidR="00F705F9">
              <w:rPr>
                <w:rFonts w:eastAsia="Calibri"/>
              </w:rPr>
              <w:t>Phase IV</w:t>
            </w:r>
            <w:r w:rsidRPr="4BC57607">
              <w:rPr>
                <w:rFonts w:eastAsia="Calibri"/>
              </w:rPr>
              <w:t>, SC will conduct bi-monthly all</w:t>
            </w:r>
            <w:r w:rsidR="0079573E">
              <w:rPr>
                <w:rFonts w:eastAsia="Calibri"/>
              </w:rPr>
              <w:t>-</w:t>
            </w:r>
            <w:r w:rsidRPr="4BC57607">
              <w:rPr>
                <w:rFonts w:eastAsia="Calibri"/>
              </w:rPr>
              <w:t>partners meeting</w:t>
            </w:r>
            <w:r w:rsidR="0079573E">
              <w:rPr>
                <w:rFonts w:eastAsia="Calibri"/>
              </w:rPr>
              <w:t>s</w:t>
            </w:r>
            <w:r w:rsidRPr="4BC57607">
              <w:rPr>
                <w:rFonts w:eastAsia="Calibri"/>
              </w:rPr>
              <w:t xml:space="preserve"> where</w:t>
            </w:r>
            <w:r w:rsidR="0079573E">
              <w:rPr>
                <w:rFonts w:eastAsia="Calibri"/>
              </w:rPr>
              <w:t xml:space="preserve"> </w:t>
            </w:r>
            <w:r w:rsidRPr="4BC57607">
              <w:rPr>
                <w:rFonts w:eastAsia="Calibri"/>
              </w:rPr>
              <w:t xml:space="preserve">cross-thematic issues will be discussed in the same platform.   </w:t>
            </w:r>
          </w:p>
          <w:p w14:paraId="056CCC25" w14:textId="77777777" w:rsidR="003A680A" w:rsidRDefault="003A680A"/>
          <w:p w14:paraId="3AC3E362" w14:textId="0B9178E3" w:rsidR="003A680A" w:rsidRDefault="003A680A">
            <w:r w:rsidRPr="4BC57607">
              <w:rPr>
                <w:b/>
                <w:bCs/>
              </w:rPr>
              <w:t>12.</w:t>
            </w:r>
            <w:r w:rsidR="63E6831C" w:rsidRPr="4BC57607">
              <w:rPr>
                <w:b/>
                <w:bCs/>
              </w:rPr>
              <w:t>4</w:t>
            </w:r>
            <w:r>
              <w:t xml:space="preserve"> DFAT </w:t>
            </w:r>
            <w:r w:rsidR="008E4B21">
              <w:t xml:space="preserve">strongly </w:t>
            </w:r>
            <w:r>
              <w:t xml:space="preserve">agrees with this recommendation and will work with AHP </w:t>
            </w:r>
            <w:r w:rsidR="009079E3">
              <w:t xml:space="preserve">Phase </w:t>
            </w:r>
            <w:r>
              <w:t>IV partners to ensure coherence with other DFAT-funded partners</w:t>
            </w:r>
            <w:r w:rsidR="008E4B21">
              <w:t xml:space="preserve"> and whole-of-response coordination mechanisms </w:t>
            </w:r>
            <w:proofErr w:type="gramStart"/>
            <w:r w:rsidR="008E4B21">
              <w:t>with regard to</w:t>
            </w:r>
            <w:proofErr w:type="gramEnd"/>
            <w:r w:rsidR="008E4B21">
              <w:t xml:space="preserve"> </w:t>
            </w:r>
            <w:r>
              <w:t>gender, disability and other intersectional and cross-cutting issues.</w:t>
            </w:r>
          </w:p>
        </w:tc>
        <w:tc>
          <w:tcPr>
            <w:tcW w:w="1307" w:type="dxa"/>
          </w:tcPr>
          <w:p w14:paraId="07F70C80" w14:textId="53000B9F" w:rsidR="001425A9" w:rsidRDefault="009842B9">
            <w:r>
              <w:t>July 2023 – December 2025</w:t>
            </w:r>
          </w:p>
        </w:tc>
      </w:tr>
      <w:tr w:rsidR="001425A9" w14:paraId="5928189F" w14:textId="77777777" w:rsidTr="4BC57607">
        <w:trPr>
          <w:trHeight w:val="300"/>
        </w:trPr>
        <w:tc>
          <w:tcPr>
            <w:tcW w:w="4536" w:type="dxa"/>
          </w:tcPr>
          <w:p w14:paraId="47E509CE" w14:textId="77777777" w:rsidR="001425A9" w:rsidRDefault="00295A28">
            <w:pPr>
              <w:pBdr>
                <w:top w:val="nil"/>
                <w:left w:val="nil"/>
                <w:bottom w:val="nil"/>
                <w:right w:val="nil"/>
                <w:between w:val="nil"/>
              </w:pBdr>
              <w:spacing w:after="160"/>
              <w:rPr>
                <w:rFonts w:eastAsia="Calibri"/>
                <w:color w:val="000000"/>
              </w:rPr>
            </w:pPr>
            <w:r w:rsidRPr="00A325A3">
              <w:rPr>
                <w:rFonts w:eastAsia="Calibri"/>
                <w:b/>
                <w:bCs/>
                <w:color w:val="000000"/>
              </w:rPr>
              <w:lastRenderedPageBreak/>
              <w:t>13.</w:t>
            </w:r>
            <w:r>
              <w:rPr>
                <w:rFonts w:eastAsia="Calibri"/>
                <w:color w:val="000000"/>
              </w:rPr>
              <w:tab/>
              <w:t>To contribute to the localisation agenda and scale achievements, AHP implementation should build on the already comprehensive training activities, skills development and knowledge sharing under the response. This learning approach will promote technical skills development for field-level stakeholders (e.g., local NGOs and staff members) while continuing to build the leadership capability of local stakeholders to lead front-line humanitarian response.</w:t>
            </w:r>
          </w:p>
        </w:tc>
        <w:tc>
          <w:tcPr>
            <w:tcW w:w="1560" w:type="dxa"/>
          </w:tcPr>
          <w:p w14:paraId="38B604B8" w14:textId="77777777" w:rsidR="001425A9" w:rsidRDefault="00295A28">
            <w:r>
              <w:t>ANGOs</w:t>
            </w:r>
          </w:p>
        </w:tc>
        <w:tc>
          <w:tcPr>
            <w:tcW w:w="1425" w:type="dxa"/>
          </w:tcPr>
          <w:p w14:paraId="2113368C" w14:textId="77777777" w:rsidR="001425A9" w:rsidRDefault="00E84660">
            <w:r>
              <w:t>A</w:t>
            </w:r>
            <w:r w:rsidR="00295A28">
              <w:t>gree</w:t>
            </w:r>
          </w:p>
          <w:p w14:paraId="68F4BBB4" w14:textId="77777777" w:rsidR="009842B9" w:rsidRDefault="009842B9"/>
          <w:p w14:paraId="7F3D0A45" w14:textId="77777777" w:rsidR="009842B9" w:rsidRDefault="009842B9"/>
          <w:p w14:paraId="58E145C2" w14:textId="77777777" w:rsidR="009842B9" w:rsidRDefault="009842B9"/>
          <w:p w14:paraId="4742B18E" w14:textId="77777777" w:rsidR="009842B9" w:rsidRDefault="009842B9"/>
          <w:p w14:paraId="43F7D9DA" w14:textId="77777777" w:rsidR="009842B9" w:rsidRDefault="009842B9"/>
          <w:p w14:paraId="7A944EEA" w14:textId="77777777" w:rsidR="009842B9" w:rsidRDefault="009842B9"/>
          <w:p w14:paraId="0BA279BF" w14:textId="77777777" w:rsidR="009842B9" w:rsidRDefault="009842B9"/>
          <w:p w14:paraId="76DB6B1F" w14:textId="77777777" w:rsidR="009842B9" w:rsidRDefault="009842B9"/>
          <w:p w14:paraId="30F30185" w14:textId="77777777" w:rsidR="009842B9" w:rsidRDefault="009842B9"/>
          <w:p w14:paraId="647FD764" w14:textId="77777777" w:rsidR="009842B9" w:rsidRDefault="009842B9"/>
          <w:p w14:paraId="490ED04B" w14:textId="77777777" w:rsidR="009842B9" w:rsidRDefault="009842B9"/>
          <w:p w14:paraId="4E29B805" w14:textId="77777777" w:rsidR="00D97909" w:rsidRDefault="00D97909"/>
          <w:p w14:paraId="39DFDB5D" w14:textId="084EB2B0" w:rsidR="009842B9" w:rsidRDefault="00434D5B">
            <w:r>
              <w:t>Agree</w:t>
            </w:r>
          </w:p>
        </w:tc>
        <w:tc>
          <w:tcPr>
            <w:tcW w:w="5662" w:type="dxa"/>
          </w:tcPr>
          <w:p w14:paraId="5C2C0D16" w14:textId="4432ABF8" w:rsidR="001425A9" w:rsidRDefault="00F43CCB" w:rsidP="4BC57607">
            <w:r w:rsidRPr="4BC57607">
              <w:rPr>
                <w:b/>
                <w:bCs/>
              </w:rPr>
              <w:t>13.1</w:t>
            </w:r>
            <w:r>
              <w:t xml:space="preserve"> </w:t>
            </w:r>
            <w:r w:rsidR="00295A28">
              <w:t xml:space="preserve">Under the CARE, Oxfam and Plan </w:t>
            </w:r>
            <w:r>
              <w:t>Phase IV</w:t>
            </w:r>
            <w:r w:rsidR="00295A28">
              <w:t xml:space="preserve"> consortium, partnership will continue with four local partners </w:t>
            </w:r>
            <w:r w:rsidR="00E84660">
              <w:t xml:space="preserve">as well as the Bangladesh Women Humanitarian Platform (BWHP), </w:t>
            </w:r>
            <w:r w:rsidR="00295A28">
              <w:t xml:space="preserve">building on capacity from </w:t>
            </w:r>
            <w:r>
              <w:t>Phase III</w:t>
            </w:r>
            <w:r w:rsidR="00295A28">
              <w:t xml:space="preserve"> and further strengthening and maturing of the partnership. The program aims to give primacy to local voice and decision making in communities a</w:t>
            </w:r>
            <w:r w:rsidR="00E84660">
              <w:t>s a key pillar of localisation, as well as effectively addressing the unique challenges face</w:t>
            </w:r>
            <w:r w:rsidR="00C017FC">
              <w:t>d</w:t>
            </w:r>
            <w:r w:rsidR="00E84660">
              <w:t xml:space="preserve"> by women in humanitarian contexts. </w:t>
            </w:r>
            <w:r w:rsidR="00295A28">
              <w:t xml:space="preserve">The program will enhance local capacity and support local leadership with local partners, and program partners will act in ways that prioritise equitable partnership with local actors. </w:t>
            </w:r>
          </w:p>
          <w:p w14:paraId="1B1ED143" w14:textId="77777777" w:rsidR="00D97909" w:rsidRDefault="00D97909" w:rsidP="4BC57607">
            <w:pPr>
              <w:rPr>
                <w:rFonts w:ascii="Arial" w:eastAsia="Arial" w:hAnsi="Arial" w:cs="Arial"/>
                <w:sz w:val="20"/>
                <w:szCs w:val="20"/>
              </w:rPr>
            </w:pPr>
          </w:p>
          <w:p w14:paraId="5BEF546D" w14:textId="173EA99B" w:rsidR="001425A9" w:rsidRDefault="30270FFE" w:rsidP="4BC57607">
            <w:r w:rsidRPr="00123B99">
              <w:rPr>
                <w:rFonts w:asciiTheme="minorHAnsi" w:eastAsia="Arial" w:hAnsiTheme="minorHAnsi" w:cstheme="minorHAnsi"/>
                <w:b/>
                <w:bCs/>
              </w:rPr>
              <w:t>13.2</w:t>
            </w:r>
            <w:r w:rsidRPr="4BC57607">
              <w:rPr>
                <w:rFonts w:ascii="Arial" w:eastAsia="Arial" w:hAnsi="Arial" w:cs="Arial"/>
                <w:b/>
                <w:bCs/>
                <w:sz w:val="20"/>
                <w:szCs w:val="20"/>
              </w:rPr>
              <w:t xml:space="preserve"> </w:t>
            </w:r>
            <w:r w:rsidR="00123B99">
              <w:t xml:space="preserve">As mentioned above, SC will continue implementing its localization strategy which involves local partners organizational and operational capacity assessment and development with series of training activities. The lessons learned activities will also promote the field level staff members.  </w:t>
            </w:r>
          </w:p>
        </w:tc>
        <w:tc>
          <w:tcPr>
            <w:tcW w:w="1307" w:type="dxa"/>
          </w:tcPr>
          <w:p w14:paraId="0786CB0B" w14:textId="1A1DF988" w:rsidR="001425A9" w:rsidRDefault="009842B9">
            <w:r>
              <w:t>July 2023 – December 2025</w:t>
            </w:r>
          </w:p>
        </w:tc>
      </w:tr>
      <w:tr w:rsidR="001425A9" w14:paraId="18B34EB5" w14:textId="77777777" w:rsidTr="4BC57607">
        <w:trPr>
          <w:trHeight w:val="1177"/>
        </w:trPr>
        <w:tc>
          <w:tcPr>
            <w:tcW w:w="4536" w:type="dxa"/>
          </w:tcPr>
          <w:p w14:paraId="72456B5E" w14:textId="77777777" w:rsidR="001425A9" w:rsidRDefault="00295A28">
            <w:pPr>
              <w:pBdr>
                <w:top w:val="nil"/>
                <w:left w:val="nil"/>
                <w:bottom w:val="nil"/>
                <w:right w:val="nil"/>
                <w:between w:val="nil"/>
              </w:pBdr>
              <w:spacing w:after="160"/>
              <w:rPr>
                <w:rFonts w:eastAsia="Calibri"/>
                <w:color w:val="000000"/>
              </w:rPr>
            </w:pPr>
            <w:r w:rsidRPr="00A325A3">
              <w:rPr>
                <w:rFonts w:eastAsia="Calibri"/>
                <w:b/>
                <w:bCs/>
                <w:color w:val="000000"/>
              </w:rPr>
              <w:t>14.</w:t>
            </w:r>
            <w:r>
              <w:rPr>
                <w:rFonts w:eastAsia="Calibri"/>
                <w:color w:val="000000"/>
              </w:rPr>
              <w:tab/>
              <w:t>AHP should actively advocate and collaborate with other stakeholders in the sector to establish a comprehensive agenda for durable solutions. While AHP remains committed to addressing immediate humanitarian needs, it is crucial to forge connections and partnerships that facilitate sustainable, long-term solutions, breaking free from the cycle of perpetually managing ongoing humanitarian crises.</w:t>
            </w:r>
          </w:p>
        </w:tc>
        <w:tc>
          <w:tcPr>
            <w:tcW w:w="1560" w:type="dxa"/>
          </w:tcPr>
          <w:p w14:paraId="3CCD872B" w14:textId="283A99EE" w:rsidR="001425A9" w:rsidRDefault="00295A28" w:rsidP="00E92F6A">
            <w:r>
              <w:t>DFAT</w:t>
            </w:r>
            <w:r w:rsidR="00E92F6A">
              <w:t xml:space="preserve"> / </w:t>
            </w:r>
            <w:r>
              <w:t>ANGOs</w:t>
            </w:r>
          </w:p>
        </w:tc>
        <w:tc>
          <w:tcPr>
            <w:tcW w:w="1425" w:type="dxa"/>
          </w:tcPr>
          <w:p w14:paraId="6FEF05AF" w14:textId="179CE4F7" w:rsidR="001425A9" w:rsidRDefault="00295A28">
            <w:r>
              <w:t xml:space="preserve">Partially </w:t>
            </w:r>
            <w:proofErr w:type="gramStart"/>
            <w:r w:rsidR="00AB4125">
              <w:t>a</w:t>
            </w:r>
            <w:r>
              <w:t>gree</w:t>
            </w:r>
            <w:proofErr w:type="gramEnd"/>
          </w:p>
          <w:p w14:paraId="5EB24C3F" w14:textId="77777777" w:rsidR="00123B99" w:rsidRDefault="00123B99"/>
          <w:p w14:paraId="733749A4" w14:textId="77777777" w:rsidR="00123B99" w:rsidRDefault="00123B99"/>
          <w:p w14:paraId="4A3B3F0A" w14:textId="77777777" w:rsidR="00123B99" w:rsidRDefault="00123B99"/>
          <w:p w14:paraId="19BD86AC" w14:textId="77777777" w:rsidR="00123B99" w:rsidRDefault="00123B99"/>
          <w:p w14:paraId="4B566919" w14:textId="77777777" w:rsidR="00123B99" w:rsidRDefault="00123B99"/>
          <w:p w14:paraId="2FA93DF8" w14:textId="77777777" w:rsidR="00123B99" w:rsidRDefault="00123B99"/>
          <w:p w14:paraId="4775D87E" w14:textId="77777777" w:rsidR="00123B99" w:rsidRDefault="00123B99"/>
          <w:p w14:paraId="6D01DB82" w14:textId="77777777" w:rsidR="00123B99" w:rsidRDefault="00123B99"/>
          <w:p w14:paraId="22CB8A39" w14:textId="77777777" w:rsidR="00123B99" w:rsidRDefault="00123B99"/>
          <w:p w14:paraId="1AF9BA7E" w14:textId="77777777" w:rsidR="00700439" w:rsidRDefault="00700439"/>
          <w:p w14:paraId="7904090E" w14:textId="77777777" w:rsidR="00700439" w:rsidRDefault="00700439"/>
          <w:p w14:paraId="2B37A1E7" w14:textId="5A88E2A1" w:rsidR="00123B99" w:rsidRDefault="00E376DF">
            <w:r>
              <w:t xml:space="preserve">Partially </w:t>
            </w:r>
            <w:proofErr w:type="gramStart"/>
            <w:r w:rsidR="00AB4125">
              <w:t>a</w:t>
            </w:r>
            <w:r>
              <w:t>gree</w:t>
            </w:r>
            <w:proofErr w:type="gramEnd"/>
          </w:p>
          <w:p w14:paraId="21BA2068" w14:textId="77777777" w:rsidR="00E376DF" w:rsidRDefault="00E376DF"/>
          <w:p w14:paraId="70154B2F" w14:textId="77777777" w:rsidR="00E376DF" w:rsidRDefault="00E376DF"/>
          <w:p w14:paraId="169A3441" w14:textId="77777777" w:rsidR="00E376DF" w:rsidRDefault="00E376DF"/>
          <w:p w14:paraId="2A90E3BC" w14:textId="77777777" w:rsidR="00E376DF" w:rsidRDefault="00E376DF"/>
          <w:p w14:paraId="4FB7FF14" w14:textId="77777777" w:rsidR="00E376DF" w:rsidRDefault="00E376DF"/>
          <w:p w14:paraId="781F3C5C" w14:textId="77777777" w:rsidR="00E376DF" w:rsidRDefault="00E376DF"/>
          <w:p w14:paraId="0FA5029A" w14:textId="77777777" w:rsidR="00E376DF" w:rsidRDefault="00E376DF"/>
          <w:p w14:paraId="60EDEF8D" w14:textId="77777777" w:rsidR="00E376DF" w:rsidRDefault="00E376DF"/>
          <w:p w14:paraId="174BE938" w14:textId="77777777" w:rsidR="00E376DF" w:rsidRDefault="00E376DF"/>
          <w:p w14:paraId="426B189B" w14:textId="77777777" w:rsidR="00E376DF" w:rsidRDefault="00E376DF"/>
          <w:p w14:paraId="6EAC19BA" w14:textId="77777777" w:rsidR="00E376DF" w:rsidRDefault="00E376DF"/>
          <w:p w14:paraId="3FCDA1F5" w14:textId="77777777" w:rsidR="00E376DF" w:rsidRDefault="00E376DF"/>
          <w:p w14:paraId="7767EF07" w14:textId="77777777" w:rsidR="00E376DF" w:rsidRDefault="00E376DF"/>
          <w:p w14:paraId="33C74899" w14:textId="36EC2CB5" w:rsidR="00E376DF" w:rsidRDefault="00E376DF">
            <w:r>
              <w:t xml:space="preserve">Partially </w:t>
            </w:r>
            <w:r w:rsidR="00AB4125">
              <w:t>a</w:t>
            </w:r>
            <w:r>
              <w:t>gree</w:t>
            </w:r>
          </w:p>
        </w:tc>
        <w:tc>
          <w:tcPr>
            <w:tcW w:w="5662" w:type="dxa"/>
          </w:tcPr>
          <w:p w14:paraId="0EBE2800" w14:textId="0800FF83" w:rsidR="00887065" w:rsidRDefault="00F43CCB" w:rsidP="009A7F5B">
            <w:pPr>
              <w:spacing w:after="240"/>
            </w:pPr>
            <w:r w:rsidRPr="00A325A3">
              <w:rPr>
                <w:b/>
                <w:bCs/>
              </w:rPr>
              <w:lastRenderedPageBreak/>
              <w:t>14.1</w:t>
            </w:r>
            <w:r>
              <w:t xml:space="preserve"> </w:t>
            </w:r>
            <w:r w:rsidR="00295A28" w:rsidRPr="00C017FC">
              <w:t xml:space="preserve">This recommendation is outside of the control of </w:t>
            </w:r>
            <w:r w:rsidR="001A0B1E">
              <w:t>DFAT/</w:t>
            </w:r>
            <w:r w:rsidR="00887065">
              <w:t xml:space="preserve">ANGOs. </w:t>
            </w:r>
            <w:r w:rsidR="001A0B1E">
              <w:t>D</w:t>
            </w:r>
            <w:r w:rsidR="00887065">
              <w:t>FAT</w:t>
            </w:r>
            <w:r w:rsidR="001A0B1E">
              <w:t xml:space="preserve">, alongside </w:t>
            </w:r>
            <w:r w:rsidR="00887065">
              <w:t xml:space="preserve">the AHP consortium and </w:t>
            </w:r>
            <w:r w:rsidR="001A0B1E">
              <w:t xml:space="preserve">other humanitarian actors, </w:t>
            </w:r>
            <w:r w:rsidR="0035255B">
              <w:t>seizes</w:t>
            </w:r>
            <w:r w:rsidR="001A0B1E">
              <w:t xml:space="preserve"> opportunities to advocate for more</w:t>
            </w:r>
            <w:r w:rsidR="00887065">
              <w:t xml:space="preserve"> sustainable</w:t>
            </w:r>
            <w:r w:rsidR="001A0B1E">
              <w:t xml:space="preserve"> </w:t>
            </w:r>
            <w:r w:rsidR="00887065">
              <w:t xml:space="preserve">solutions with Government of Bangladesh. However, programming must occur within the existing policy parameters set by the Government. </w:t>
            </w:r>
            <w:r w:rsidR="00E65233" w:rsidRPr="00C017FC">
              <w:t xml:space="preserve">Local </w:t>
            </w:r>
            <w:r w:rsidR="009D45B2">
              <w:t>i</w:t>
            </w:r>
            <w:r w:rsidR="00E65233" w:rsidRPr="00C017FC">
              <w:t xml:space="preserve">ntegration is not </w:t>
            </w:r>
            <w:r w:rsidR="00505C2D">
              <w:t>acceptable</w:t>
            </w:r>
            <w:r w:rsidR="009D45B2">
              <w:t xml:space="preserve">, </w:t>
            </w:r>
            <w:r w:rsidR="00505C2D">
              <w:t>i</w:t>
            </w:r>
            <w:r w:rsidR="00E65233" w:rsidRPr="00C017FC">
              <w:t xml:space="preserve">nternational </w:t>
            </w:r>
            <w:r w:rsidR="00505C2D">
              <w:t>r</w:t>
            </w:r>
            <w:r w:rsidR="00E65233" w:rsidRPr="00C017FC">
              <w:t>esettlement options are severely limited, and</w:t>
            </w:r>
            <w:r w:rsidR="002D43DD">
              <w:t xml:space="preserve"> voluntary, </w:t>
            </w:r>
            <w:proofErr w:type="gramStart"/>
            <w:r w:rsidR="002D43DD">
              <w:t>safe</w:t>
            </w:r>
            <w:proofErr w:type="gramEnd"/>
            <w:r w:rsidR="002D43DD">
              <w:t xml:space="preserve"> and </w:t>
            </w:r>
            <w:r w:rsidR="002D43DD">
              <w:lastRenderedPageBreak/>
              <w:t xml:space="preserve">dignified </w:t>
            </w:r>
            <w:r w:rsidR="0052369E">
              <w:t xml:space="preserve">repatriation cannot be </w:t>
            </w:r>
            <w:r w:rsidR="001A3819">
              <w:t>assured</w:t>
            </w:r>
            <w:r w:rsidR="0052369E">
              <w:t xml:space="preserve">. </w:t>
            </w:r>
            <w:r w:rsidR="00E65233" w:rsidRPr="00C017FC">
              <w:t xml:space="preserve"> Complementary Pathway options are also severely limited.</w:t>
            </w:r>
          </w:p>
          <w:p w14:paraId="7F38F676" w14:textId="0607B1EA" w:rsidR="001425A9" w:rsidRPr="00C017FC" w:rsidRDefault="00887065">
            <w:pPr>
              <w:spacing w:before="240" w:after="240"/>
            </w:pPr>
            <w:r w:rsidRPr="00A325A3">
              <w:rPr>
                <w:b/>
                <w:bCs/>
              </w:rPr>
              <w:t>14.2</w:t>
            </w:r>
            <w:r>
              <w:t xml:space="preserve"> </w:t>
            </w:r>
            <w:r w:rsidR="00295A28" w:rsidRPr="00C017FC">
              <w:t>AHP partners consistently advocate for durable solutions in Bangladesh and in all displacement contexts. However, the barriers for AHP partners to influence GoB decision making should be taken into consideration. AHP partners continue to advocate for durable solutions, but the issue is far wider than one project or consortia of partners.</w:t>
            </w:r>
          </w:p>
          <w:p w14:paraId="777304DE" w14:textId="3AAE4439" w:rsidR="001425A9" w:rsidRDefault="00E84660" w:rsidP="00E84660">
            <w:pPr>
              <w:spacing w:before="240" w:after="240"/>
            </w:pPr>
            <w:r>
              <w:t>The CARE led consortium</w:t>
            </w:r>
            <w:r w:rsidR="00295A28">
              <w:t xml:space="preserve"> will work collectively with DFAT and other partners to advocate for durable solutions for Rohingya refugees. The </w:t>
            </w:r>
            <w:r w:rsidR="00FD6898">
              <w:t>Phase IV</w:t>
            </w:r>
            <w:r w:rsidR="00295A28">
              <w:t xml:space="preserve"> program seeks to address immediate needs as well as building the resilience of communities as much as possible within the constrained context. GoB restrictions prevent long-term development of camp conditions and repatriation is the only durable solution considered under the J</w:t>
            </w:r>
            <w:r w:rsidR="00A7743B">
              <w:t>oint Response Plan</w:t>
            </w:r>
            <w:r w:rsidR="00295A28">
              <w:t>.</w:t>
            </w:r>
          </w:p>
          <w:p w14:paraId="7DBA2664" w14:textId="66D742C0" w:rsidR="001425A9" w:rsidRDefault="76E78D4A" w:rsidP="4BC57607">
            <w:pPr>
              <w:spacing w:before="240" w:after="240"/>
            </w:pPr>
            <w:r w:rsidRPr="4BC57607">
              <w:rPr>
                <w:b/>
                <w:bCs/>
              </w:rPr>
              <w:t xml:space="preserve">14.3 </w:t>
            </w:r>
            <w:r w:rsidRPr="4BC57607">
              <w:rPr>
                <w:rFonts w:eastAsia="Calibri"/>
              </w:rPr>
              <w:t>S</w:t>
            </w:r>
            <w:r w:rsidR="00A7743B">
              <w:rPr>
                <w:rFonts w:eastAsia="Calibri"/>
              </w:rPr>
              <w:t>ave the Children</w:t>
            </w:r>
            <w:r w:rsidRPr="4BC57607">
              <w:rPr>
                <w:rFonts w:eastAsia="Calibri"/>
              </w:rPr>
              <w:t xml:space="preserve"> is currently hosting the NGO Platform in Cox’s Bazar and organized a dialogue with donors including </w:t>
            </w:r>
            <w:r w:rsidR="008E4B21">
              <w:rPr>
                <w:rFonts w:eastAsia="Calibri"/>
              </w:rPr>
              <w:t xml:space="preserve">the Australian High Commission, </w:t>
            </w:r>
            <w:proofErr w:type="gramStart"/>
            <w:r w:rsidR="008E4B21">
              <w:rPr>
                <w:rFonts w:eastAsia="Calibri"/>
              </w:rPr>
              <w:t>Dhaka</w:t>
            </w:r>
            <w:proofErr w:type="gramEnd"/>
            <w:r w:rsidR="008E4B21">
              <w:rPr>
                <w:rFonts w:eastAsia="Calibri"/>
              </w:rPr>
              <w:t xml:space="preserve"> </w:t>
            </w:r>
            <w:r w:rsidRPr="4BC57607">
              <w:rPr>
                <w:rFonts w:eastAsia="Calibri"/>
              </w:rPr>
              <w:t xml:space="preserve">and NGOs in August 2023. It was </w:t>
            </w:r>
            <w:r w:rsidR="000212EF">
              <w:rPr>
                <w:rFonts w:eastAsia="Calibri"/>
              </w:rPr>
              <w:t xml:space="preserve">a </w:t>
            </w:r>
            <w:r w:rsidRPr="4BC57607">
              <w:rPr>
                <w:rFonts w:eastAsia="Calibri"/>
              </w:rPr>
              <w:t xml:space="preserve">good initiative of </w:t>
            </w:r>
            <w:r w:rsidR="000212EF">
              <w:rPr>
                <w:rFonts w:eastAsia="Calibri"/>
              </w:rPr>
              <w:t xml:space="preserve">the </w:t>
            </w:r>
            <w:r w:rsidRPr="4BC57607">
              <w:rPr>
                <w:rFonts w:eastAsia="Calibri"/>
              </w:rPr>
              <w:t xml:space="preserve">NGO </w:t>
            </w:r>
            <w:proofErr w:type="gramStart"/>
            <w:r w:rsidRPr="4BC57607">
              <w:rPr>
                <w:rFonts w:eastAsia="Calibri"/>
              </w:rPr>
              <w:t>Platform</w:t>
            </w:r>
            <w:proofErr w:type="gramEnd"/>
            <w:r w:rsidR="000212EF">
              <w:rPr>
                <w:rFonts w:eastAsia="Calibri"/>
              </w:rPr>
              <w:t xml:space="preserve"> and it</w:t>
            </w:r>
            <w:r w:rsidRPr="4BC57607">
              <w:rPr>
                <w:rFonts w:eastAsia="Calibri"/>
              </w:rPr>
              <w:t xml:space="preserve"> is hoped</w:t>
            </w:r>
            <w:r w:rsidR="000212EF">
              <w:rPr>
                <w:rFonts w:eastAsia="Calibri"/>
              </w:rPr>
              <w:t xml:space="preserve"> that this</w:t>
            </w:r>
            <w:r w:rsidRPr="4BC57607">
              <w:rPr>
                <w:rFonts w:eastAsia="Calibri"/>
              </w:rPr>
              <w:t xml:space="preserve"> will continue in future. In addition, SC </w:t>
            </w:r>
            <w:r w:rsidR="00B44CF1">
              <w:rPr>
                <w:rFonts w:eastAsia="Calibri"/>
              </w:rPr>
              <w:t>i</w:t>
            </w:r>
            <w:r w:rsidRPr="4BC57607">
              <w:rPr>
                <w:rFonts w:eastAsia="Calibri"/>
              </w:rPr>
              <w:t xml:space="preserve">s part of the broader NGO sector coordination and </w:t>
            </w:r>
            <w:proofErr w:type="gramStart"/>
            <w:r w:rsidRPr="4BC57607">
              <w:rPr>
                <w:rFonts w:eastAsia="Calibri"/>
              </w:rPr>
              <w:t>advocacy,</w:t>
            </w:r>
            <w:r w:rsidR="00B44CF1">
              <w:rPr>
                <w:rFonts w:eastAsia="Calibri"/>
              </w:rPr>
              <w:t xml:space="preserve"> and</w:t>
            </w:r>
            <w:proofErr w:type="gramEnd"/>
            <w:r w:rsidR="00B44CF1">
              <w:rPr>
                <w:rFonts w:eastAsia="Calibri"/>
              </w:rPr>
              <w:t xml:space="preserve"> will</w:t>
            </w:r>
            <w:r w:rsidRPr="4BC57607">
              <w:rPr>
                <w:rFonts w:eastAsia="Calibri"/>
              </w:rPr>
              <w:t xml:space="preserve"> continue to work with Government and other local stakeholders towards longer-term solutions and sustainability.</w:t>
            </w:r>
          </w:p>
        </w:tc>
        <w:tc>
          <w:tcPr>
            <w:tcW w:w="1307" w:type="dxa"/>
          </w:tcPr>
          <w:p w14:paraId="695FBBC4" w14:textId="0DE9C9C6" w:rsidR="001425A9" w:rsidRDefault="00E376DF">
            <w:r>
              <w:lastRenderedPageBreak/>
              <w:t>Ongoing</w:t>
            </w:r>
          </w:p>
        </w:tc>
      </w:tr>
      <w:tr w:rsidR="001425A9" w14:paraId="4D6810E4" w14:textId="77777777" w:rsidTr="4BC57607">
        <w:trPr>
          <w:trHeight w:val="300"/>
        </w:trPr>
        <w:tc>
          <w:tcPr>
            <w:tcW w:w="4536" w:type="dxa"/>
          </w:tcPr>
          <w:p w14:paraId="31DF3CF0" w14:textId="77777777" w:rsidR="001425A9" w:rsidRDefault="00295A28">
            <w:pPr>
              <w:rPr>
                <w:rFonts w:eastAsia="Calibri"/>
              </w:rPr>
            </w:pPr>
            <w:r w:rsidRPr="00A325A3">
              <w:rPr>
                <w:rFonts w:eastAsia="Calibri"/>
                <w:b/>
                <w:bCs/>
              </w:rPr>
              <w:lastRenderedPageBreak/>
              <w:t>15.</w:t>
            </w:r>
            <w:r>
              <w:rPr>
                <w:rFonts w:eastAsia="Calibri"/>
              </w:rPr>
              <w:tab/>
              <w:t xml:space="preserve">High levels of aid are still required to manage the humanitarian needs in Cox’s Bazar. Recent reductions in resourcing have already heightened the risk of family violence, child labour and illegal and dangerous work outside the camps. Life-saving services in education, health, </w:t>
            </w:r>
            <w:proofErr w:type="gramStart"/>
            <w:r>
              <w:rPr>
                <w:rFonts w:eastAsia="Calibri"/>
              </w:rPr>
              <w:t>WASH</w:t>
            </w:r>
            <w:proofErr w:type="gramEnd"/>
            <w:r>
              <w:rPr>
                <w:rFonts w:eastAsia="Calibri"/>
              </w:rPr>
              <w:t xml:space="preserve"> and protection depend fully on external funding, and the situation remains a protracted emergency. AHP should seek opportunities to return to previous funding levels for the camps and host communities.</w:t>
            </w:r>
          </w:p>
        </w:tc>
        <w:tc>
          <w:tcPr>
            <w:tcW w:w="1560" w:type="dxa"/>
          </w:tcPr>
          <w:p w14:paraId="5C318C17" w14:textId="77777777" w:rsidR="001425A9" w:rsidRDefault="00295A28">
            <w:r>
              <w:t>DFAT</w:t>
            </w:r>
          </w:p>
        </w:tc>
        <w:tc>
          <w:tcPr>
            <w:tcW w:w="1425" w:type="dxa"/>
          </w:tcPr>
          <w:p w14:paraId="73D84471" w14:textId="0A910283" w:rsidR="001425A9" w:rsidRDefault="001819E3">
            <w:r>
              <w:t>Noted</w:t>
            </w:r>
          </w:p>
        </w:tc>
        <w:tc>
          <w:tcPr>
            <w:tcW w:w="5662" w:type="dxa"/>
          </w:tcPr>
          <w:p w14:paraId="4AC68714" w14:textId="2A9F7E86" w:rsidR="001425A9" w:rsidRDefault="00FD6898">
            <w:r w:rsidRPr="00A325A3">
              <w:rPr>
                <w:b/>
                <w:bCs/>
              </w:rPr>
              <w:t>15.1</w:t>
            </w:r>
            <w:r>
              <w:t xml:space="preserve"> </w:t>
            </w:r>
            <w:r w:rsidR="00C85284">
              <w:t xml:space="preserve">DFAT is continuing to support the </w:t>
            </w:r>
            <w:r w:rsidR="003568A3">
              <w:t xml:space="preserve">AHP </w:t>
            </w:r>
            <w:r w:rsidR="00642131">
              <w:t>Bangladesh Humanitarian Response in</w:t>
            </w:r>
            <w:r w:rsidR="00026A50">
              <w:t>to</w:t>
            </w:r>
            <w:r w:rsidR="00642131">
              <w:t xml:space="preserve"> a fourth phase</w:t>
            </w:r>
            <w:r w:rsidR="00EE7F65">
              <w:t xml:space="preserve">, while </w:t>
            </w:r>
            <w:r w:rsidR="000251EA">
              <w:t>responding to</w:t>
            </w:r>
            <w:r w:rsidR="00EE7F65">
              <w:t xml:space="preserve"> </w:t>
            </w:r>
            <w:r w:rsidR="00A56E2A">
              <w:t xml:space="preserve">significant </w:t>
            </w:r>
            <w:r w:rsidR="00B21EFC">
              <w:t xml:space="preserve">demand </w:t>
            </w:r>
            <w:r w:rsidR="00026A50">
              <w:t xml:space="preserve">for assistance </w:t>
            </w:r>
            <w:r w:rsidR="00AC7F5B">
              <w:t>and emerging crises</w:t>
            </w:r>
            <w:r w:rsidR="002742C7">
              <w:t xml:space="preserve"> globally</w:t>
            </w:r>
            <w:r w:rsidR="00AC7F5B">
              <w:t xml:space="preserve">. </w:t>
            </w:r>
            <w:r w:rsidR="00B40681">
              <w:t xml:space="preserve"> </w:t>
            </w:r>
          </w:p>
        </w:tc>
        <w:tc>
          <w:tcPr>
            <w:tcW w:w="1307" w:type="dxa"/>
          </w:tcPr>
          <w:p w14:paraId="3D38F6FD" w14:textId="069CCBB4" w:rsidR="001425A9" w:rsidRDefault="00216217">
            <w:r>
              <w:t>July 2023 – December 2025</w:t>
            </w:r>
          </w:p>
        </w:tc>
      </w:tr>
    </w:tbl>
    <w:p w14:paraId="2C5CD186" w14:textId="77777777" w:rsidR="001425A9" w:rsidRDefault="001425A9"/>
    <w:sectPr w:rsidR="001425A9" w:rsidSect="002B3C3A">
      <w:headerReference w:type="default" r:id="rId11"/>
      <w:footerReference w:type="default" r:id="rId12"/>
      <w:headerReference w:type="first" r:id="rId13"/>
      <w:pgSz w:w="16838" w:h="11906" w:orient="landscape"/>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5DE1" w14:textId="77777777" w:rsidR="006A14AE" w:rsidRDefault="006A14AE">
      <w:pPr>
        <w:spacing w:after="0"/>
      </w:pPr>
      <w:r>
        <w:separator/>
      </w:r>
    </w:p>
  </w:endnote>
  <w:endnote w:type="continuationSeparator" w:id="0">
    <w:p w14:paraId="33772033" w14:textId="77777777" w:rsidR="006A14AE" w:rsidRDefault="006A14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D303" w14:textId="77777777" w:rsidR="001425A9" w:rsidRDefault="00295A28">
    <w:pPr>
      <w:pBdr>
        <w:top w:val="nil"/>
        <w:left w:val="nil"/>
        <w:bottom w:val="nil"/>
        <w:right w:val="nil"/>
        <w:between w:val="nil"/>
      </w:pBdr>
      <w:tabs>
        <w:tab w:val="center" w:pos="4513"/>
        <w:tab w:val="right" w:pos="9026"/>
      </w:tabs>
      <w:spacing w:after="0"/>
      <w:jc w:val="right"/>
      <w:rPr>
        <w:rFonts w:eastAsia="Calibri"/>
        <w:color w:val="000000"/>
        <w:sz w:val="16"/>
        <w:szCs w:val="16"/>
      </w:rPr>
    </w:pPr>
    <w:r>
      <w:rPr>
        <w:rFonts w:eastAsia="Calibri"/>
        <w:color w:val="000000"/>
        <w:sz w:val="16"/>
        <w:szCs w:val="16"/>
      </w:rPr>
      <w:t xml:space="preserve">Page | </w:t>
    </w:r>
    <w:r>
      <w:rPr>
        <w:rFonts w:eastAsia="Calibri"/>
        <w:color w:val="000000"/>
        <w:sz w:val="16"/>
        <w:szCs w:val="16"/>
      </w:rPr>
      <w:fldChar w:fldCharType="begin"/>
    </w:r>
    <w:r>
      <w:rPr>
        <w:rFonts w:eastAsia="Calibri"/>
        <w:color w:val="000000"/>
        <w:sz w:val="16"/>
        <w:szCs w:val="16"/>
      </w:rPr>
      <w:instrText>PAGE</w:instrText>
    </w:r>
    <w:r>
      <w:rPr>
        <w:rFonts w:eastAsia="Calibri"/>
        <w:color w:val="000000"/>
        <w:sz w:val="16"/>
        <w:szCs w:val="16"/>
      </w:rPr>
      <w:fldChar w:fldCharType="separate"/>
    </w:r>
    <w:r w:rsidR="002C3A72">
      <w:rPr>
        <w:rFonts w:eastAsia="Calibri"/>
        <w:noProof/>
        <w:color w:val="000000"/>
        <w:sz w:val="16"/>
        <w:szCs w:val="16"/>
      </w:rPr>
      <w:t>12</w:t>
    </w:r>
    <w:r>
      <w:rPr>
        <w:rFonts w:eastAsia="Calibri"/>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7B692" w14:textId="77777777" w:rsidR="006A14AE" w:rsidRDefault="006A14AE">
      <w:pPr>
        <w:spacing w:after="0"/>
      </w:pPr>
      <w:r>
        <w:separator/>
      </w:r>
    </w:p>
  </w:footnote>
  <w:footnote w:type="continuationSeparator" w:id="0">
    <w:p w14:paraId="1F37D5CA" w14:textId="77777777" w:rsidR="006A14AE" w:rsidRDefault="006A14AE">
      <w:pPr>
        <w:spacing w:after="0"/>
      </w:pPr>
      <w:r>
        <w:continuationSeparator/>
      </w:r>
    </w:p>
  </w:footnote>
  <w:footnote w:id="1">
    <w:p w14:paraId="54E17637" w14:textId="242B7FD6" w:rsidR="00195FEB" w:rsidRDefault="00195FEB" w:rsidP="00195FEB">
      <w:pPr>
        <w:pBdr>
          <w:top w:val="nil"/>
          <w:left w:val="nil"/>
          <w:bottom w:val="nil"/>
          <w:right w:val="nil"/>
          <w:between w:val="nil"/>
        </w:pBdr>
        <w:spacing w:after="0"/>
        <w:rPr>
          <w:rFonts w:eastAsia="Calibri"/>
          <w:color w:val="000000"/>
          <w:sz w:val="20"/>
          <w:szCs w:val="20"/>
        </w:rPr>
      </w:pPr>
      <w:r>
        <w:rPr>
          <w:rStyle w:val="FootnoteReference"/>
        </w:rPr>
        <w:footnoteRef/>
      </w:r>
      <w:r>
        <w:rPr>
          <w:rFonts w:eastAsia="Calibri"/>
          <w:color w:val="000000"/>
          <w:sz w:val="20"/>
          <w:szCs w:val="20"/>
        </w:rPr>
        <w:t xml:space="preserve"> </w:t>
      </w:r>
      <w:r w:rsidR="00CA06DC" w:rsidRPr="00CA06DC">
        <w:rPr>
          <w:rFonts w:eastAsia="Calibri"/>
          <w:color w:val="000000"/>
          <w:sz w:val="20"/>
          <w:szCs w:val="20"/>
        </w:rPr>
        <w:t>Where matters are related to all NGO partners – Save the Children, Plan International, World Vision, Oxfam, CARE and CAN DO – will hereafter be referred to collectively as ANGOs.</w:t>
      </w:r>
    </w:p>
  </w:footnote>
  <w:footnote w:id="2">
    <w:p w14:paraId="0A534DF0" w14:textId="33D401B2" w:rsidR="001425A9" w:rsidRDefault="00295A28">
      <w:pPr>
        <w:pBdr>
          <w:top w:val="nil"/>
          <w:left w:val="nil"/>
          <w:bottom w:val="nil"/>
          <w:right w:val="nil"/>
          <w:between w:val="nil"/>
        </w:pBdr>
        <w:spacing w:after="0"/>
        <w:rPr>
          <w:rFonts w:eastAsia="Calibri"/>
          <w:color w:val="000000"/>
          <w:sz w:val="20"/>
          <w:szCs w:val="20"/>
        </w:rPr>
      </w:pPr>
      <w:r>
        <w:rPr>
          <w:rStyle w:val="FootnoteReference"/>
        </w:rPr>
        <w:footnoteRef/>
      </w:r>
      <w:r>
        <w:rPr>
          <w:rFonts w:eastAsia="Calibri"/>
          <w:color w:val="000000"/>
          <w:sz w:val="20"/>
          <w:szCs w:val="20"/>
        </w:rPr>
        <w:t xml:space="preserve"> Levels of Agreement: agree; partially agree; disagree</w:t>
      </w:r>
      <w:r w:rsidR="008E3D27">
        <w:rPr>
          <w:rFonts w:eastAsia="Calibri"/>
          <w:color w:val="000000"/>
          <w:sz w:val="20"/>
          <w:szCs w:val="20"/>
        </w:rPr>
        <w:t xml:space="preserve"> and noted</w:t>
      </w:r>
      <w:r w:rsidR="00CA06DC">
        <w:rPr>
          <w:rFonts w:eastAsia="Calibri"/>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A2A3" w14:textId="77777777" w:rsidR="001425A9" w:rsidRDefault="00295A28">
    <w:pPr>
      <w:pBdr>
        <w:top w:val="nil"/>
        <w:left w:val="nil"/>
        <w:bottom w:val="nil"/>
        <w:right w:val="nil"/>
        <w:between w:val="nil"/>
      </w:pBdr>
      <w:tabs>
        <w:tab w:val="center" w:pos="4513"/>
        <w:tab w:val="right" w:pos="9026"/>
      </w:tabs>
      <w:rPr>
        <w:rFonts w:eastAsia="Calibri"/>
        <w:color w:val="000000"/>
      </w:rPr>
    </w:pPr>
    <w:r>
      <w:rPr>
        <w:noProof/>
      </w:rPr>
      <w:drawing>
        <wp:anchor distT="0" distB="0" distL="0" distR="0" simplePos="0" relativeHeight="251658240" behindDoc="1" locked="0" layoutInCell="1" hidden="0" allowOverlap="1" wp14:anchorId="6BD9552C" wp14:editId="751DF72C">
          <wp:simplePos x="0" y="0"/>
          <wp:positionH relativeFrom="column">
            <wp:posOffset>-900429</wp:posOffset>
          </wp:positionH>
          <wp:positionV relativeFrom="paragraph">
            <wp:posOffset>-395604</wp:posOffset>
          </wp:positionV>
          <wp:extent cx="7560000" cy="732988"/>
          <wp:effectExtent l="0" t="0" r="0" b="0"/>
          <wp:wrapNone/>
          <wp:docPr id="4" name="image1.png" descr="Australian Aid and Australian Humanitarian Partnership Logos in the page header"/>
          <wp:cNvGraphicFramePr/>
          <a:graphic xmlns:a="http://schemas.openxmlformats.org/drawingml/2006/main">
            <a:graphicData uri="http://schemas.openxmlformats.org/drawingml/2006/picture">
              <pic:pic xmlns:pic="http://schemas.openxmlformats.org/drawingml/2006/picture">
                <pic:nvPicPr>
                  <pic:cNvPr id="4" name="image1.png" descr="Australian Aid and Australian Humanitarian Partnership Logos in the page header"/>
                  <pic:cNvPicPr preferRelativeResize="0"/>
                </pic:nvPicPr>
                <pic:blipFill>
                  <a:blip r:embed="rId1"/>
                  <a:srcRect/>
                  <a:stretch>
                    <a:fillRect/>
                  </a:stretch>
                </pic:blipFill>
                <pic:spPr>
                  <a:xfrm>
                    <a:off x="0" y="0"/>
                    <a:ext cx="7560000" cy="73298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8F3C" w14:textId="77777777" w:rsidR="001425A9" w:rsidRDefault="00295A28">
    <w:r>
      <w:rPr>
        <w:noProof/>
      </w:rPr>
      <w:drawing>
        <wp:anchor distT="0" distB="0" distL="0" distR="0" simplePos="0" relativeHeight="251659264" behindDoc="1" locked="0" layoutInCell="1" hidden="0" allowOverlap="1" wp14:anchorId="64F645E4" wp14:editId="384FA0C2">
          <wp:simplePos x="0" y="0"/>
          <wp:positionH relativeFrom="column">
            <wp:posOffset>-900429</wp:posOffset>
          </wp:positionH>
          <wp:positionV relativeFrom="paragraph">
            <wp:posOffset>-393699</wp:posOffset>
          </wp:positionV>
          <wp:extent cx="7560000" cy="10689857"/>
          <wp:effectExtent l="0" t="0" r="0" b="0"/>
          <wp:wrapNone/>
          <wp:docPr id="3" name="image2.png" descr="Australian Humanitarian Partnership Logo - a rectangle box with the letters AHP against an orange background on the left and the words Australian Humanitarian Partnership against a white background on the right&#10;"/>
          <wp:cNvGraphicFramePr/>
          <a:graphic xmlns:a="http://schemas.openxmlformats.org/drawingml/2006/main">
            <a:graphicData uri="http://schemas.openxmlformats.org/drawingml/2006/picture">
              <pic:pic xmlns:pic="http://schemas.openxmlformats.org/drawingml/2006/picture">
                <pic:nvPicPr>
                  <pic:cNvPr id="3" name="image2.png" descr="Australian Humanitarian Partnership Logo - a rectangle box with the letters AHP against an orange background on the left and the words Australian Humanitarian Partnership against a white background on the right&#10;"/>
                  <pic:cNvPicPr preferRelativeResize="0"/>
                </pic:nvPicPr>
                <pic:blipFill>
                  <a:blip r:embed="rId1"/>
                  <a:srcRect/>
                  <a:stretch>
                    <a:fillRect/>
                  </a:stretch>
                </pic:blipFill>
                <pic:spPr>
                  <a:xfrm>
                    <a:off x="0" y="0"/>
                    <a:ext cx="7560000" cy="1068985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57CD6"/>
    <w:multiLevelType w:val="multilevel"/>
    <w:tmpl w:val="EC44B06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ListParagraph"/>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85725992">
    <w:abstractNumId w:val="0"/>
  </w:num>
  <w:num w:numId="2" w16cid:durableId="162821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A9"/>
    <w:rsid w:val="000211B4"/>
    <w:rsid w:val="000212EF"/>
    <w:rsid w:val="000251EA"/>
    <w:rsid w:val="00026A50"/>
    <w:rsid w:val="00040911"/>
    <w:rsid w:val="000419C9"/>
    <w:rsid w:val="0005451B"/>
    <w:rsid w:val="00054A01"/>
    <w:rsid w:val="0005780B"/>
    <w:rsid w:val="0006499E"/>
    <w:rsid w:val="00082441"/>
    <w:rsid w:val="00082E86"/>
    <w:rsid w:val="0008318A"/>
    <w:rsid w:val="0008357A"/>
    <w:rsid w:val="00084F1D"/>
    <w:rsid w:val="00091491"/>
    <w:rsid w:val="00093C4F"/>
    <w:rsid w:val="000A0CE8"/>
    <w:rsid w:val="000A7651"/>
    <w:rsid w:val="000B4424"/>
    <w:rsid w:val="000B45D2"/>
    <w:rsid w:val="000C069F"/>
    <w:rsid w:val="000D544D"/>
    <w:rsid w:val="000D59E3"/>
    <w:rsid w:val="000E379E"/>
    <w:rsid w:val="000E46BE"/>
    <w:rsid w:val="000E5CDB"/>
    <w:rsid w:val="000E6977"/>
    <w:rsid w:val="000F7AC8"/>
    <w:rsid w:val="00111528"/>
    <w:rsid w:val="0011717C"/>
    <w:rsid w:val="00123B99"/>
    <w:rsid w:val="00125C62"/>
    <w:rsid w:val="00127AF9"/>
    <w:rsid w:val="00136F61"/>
    <w:rsid w:val="0013716D"/>
    <w:rsid w:val="001425A9"/>
    <w:rsid w:val="001447A0"/>
    <w:rsid w:val="00160057"/>
    <w:rsid w:val="00161862"/>
    <w:rsid w:val="00161FBF"/>
    <w:rsid w:val="00173D4F"/>
    <w:rsid w:val="00180746"/>
    <w:rsid w:val="001819E3"/>
    <w:rsid w:val="00191DEC"/>
    <w:rsid w:val="00192A78"/>
    <w:rsid w:val="00195FEB"/>
    <w:rsid w:val="001970FB"/>
    <w:rsid w:val="001A00C7"/>
    <w:rsid w:val="001A0496"/>
    <w:rsid w:val="001A0B1E"/>
    <w:rsid w:val="001A3819"/>
    <w:rsid w:val="001B25E5"/>
    <w:rsid w:val="001B3093"/>
    <w:rsid w:val="001C18BE"/>
    <w:rsid w:val="001C3B73"/>
    <w:rsid w:val="001C5B05"/>
    <w:rsid w:val="001D7CFC"/>
    <w:rsid w:val="001E01A5"/>
    <w:rsid w:val="001E288D"/>
    <w:rsid w:val="001E4764"/>
    <w:rsid w:val="001E6EAA"/>
    <w:rsid w:val="001F59FE"/>
    <w:rsid w:val="00201E97"/>
    <w:rsid w:val="0020235E"/>
    <w:rsid w:val="002062E7"/>
    <w:rsid w:val="00213636"/>
    <w:rsid w:val="00216217"/>
    <w:rsid w:val="0023699D"/>
    <w:rsid w:val="0024640D"/>
    <w:rsid w:val="00246AA4"/>
    <w:rsid w:val="002508A8"/>
    <w:rsid w:val="00252AB3"/>
    <w:rsid w:val="002558FA"/>
    <w:rsid w:val="00263DEA"/>
    <w:rsid w:val="00273F83"/>
    <w:rsid w:val="002742C7"/>
    <w:rsid w:val="002748D8"/>
    <w:rsid w:val="00276B2E"/>
    <w:rsid w:val="00293352"/>
    <w:rsid w:val="00295A28"/>
    <w:rsid w:val="002A56D4"/>
    <w:rsid w:val="002B17B2"/>
    <w:rsid w:val="002B204F"/>
    <w:rsid w:val="002B3C3A"/>
    <w:rsid w:val="002C3A72"/>
    <w:rsid w:val="002C41B4"/>
    <w:rsid w:val="002C502F"/>
    <w:rsid w:val="002D43DD"/>
    <w:rsid w:val="002D6E89"/>
    <w:rsid w:val="002E0195"/>
    <w:rsid w:val="002E1566"/>
    <w:rsid w:val="002F2BB2"/>
    <w:rsid w:val="003020A0"/>
    <w:rsid w:val="0030322A"/>
    <w:rsid w:val="003047D5"/>
    <w:rsid w:val="00311704"/>
    <w:rsid w:val="00311E1B"/>
    <w:rsid w:val="00316F64"/>
    <w:rsid w:val="0032410C"/>
    <w:rsid w:val="00324BA0"/>
    <w:rsid w:val="0035255B"/>
    <w:rsid w:val="0035551D"/>
    <w:rsid w:val="003568A3"/>
    <w:rsid w:val="003600DB"/>
    <w:rsid w:val="0036738E"/>
    <w:rsid w:val="00383F36"/>
    <w:rsid w:val="0038589E"/>
    <w:rsid w:val="00386C0B"/>
    <w:rsid w:val="003A680A"/>
    <w:rsid w:val="003A7E80"/>
    <w:rsid w:val="003B18F6"/>
    <w:rsid w:val="003B1B02"/>
    <w:rsid w:val="003B7208"/>
    <w:rsid w:val="003C693B"/>
    <w:rsid w:val="003D2A17"/>
    <w:rsid w:val="003D5937"/>
    <w:rsid w:val="003E1D7C"/>
    <w:rsid w:val="003F69F1"/>
    <w:rsid w:val="00400122"/>
    <w:rsid w:val="00400D00"/>
    <w:rsid w:val="00412FC0"/>
    <w:rsid w:val="00431452"/>
    <w:rsid w:val="0043148A"/>
    <w:rsid w:val="00434D5B"/>
    <w:rsid w:val="0044411C"/>
    <w:rsid w:val="00446430"/>
    <w:rsid w:val="004501B9"/>
    <w:rsid w:val="004566A1"/>
    <w:rsid w:val="00457B29"/>
    <w:rsid w:val="0048793A"/>
    <w:rsid w:val="00491781"/>
    <w:rsid w:val="004938D4"/>
    <w:rsid w:val="004C4897"/>
    <w:rsid w:val="004C7ECD"/>
    <w:rsid w:val="004D4744"/>
    <w:rsid w:val="004E247E"/>
    <w:rsid w:val="004E49B4"/>
    <w:rsid w:val="00505805"/>
    <w:rsid w:val="00505C2D"/>
    <w:rsid w:val="0052369E"/>
    <w:rsid w:val="00526CEE"/>
    <w:rsid w:val="005443FB"/>
    <w:rsid w:val="00544E65"/>
    <w:rsid w:val="00550C08"/>
    <w:rsid w:val="005510C1"/>
    <w:rsid w:val="00552AD1"/>
    <w:rsid w:val="00552FAF"/>
    <w:rsid w:val="0055493A"/>
    <w:rsid w:val="00561D67"/>
    <w:rsid w:val="0056250D"/>
    <w:rsid w:val="0056536C"/>
    <w:rsid w:val="00575E93"/>
    <w:rsid w:val="00576F04"/>
    <w:rsid w:val="005A3357"/>
    <w:rsid w:val="005E2D8B"/>
    <w:rsid w:val="005E3076"/>
    <w:rsid w:val="005E4DF8"/>
    <w:rsid w:val="00600A0C"/>
    <w:rsid w:val="00600E04"/>
    <w:rsid w:val="00635146"/>
    <w:rsid w:val="00642131"/>
    <w:rsid w:val="0064385E"/>
    <w:rsid w:val="006635D5"/>
    <w:rsid w:val="00673315"/>
    <w:rsid w:val="00673E1B"/>
    <w:rsid w:val="0067749D"/>
    <w:rsid w:val="00692679"/>
    <w:rsid w:val="00694CCB"/>
    <w:rsid w:val="00696C24"/>
    <w:rsid w:val="006A14AE"/>
    <w:rsid w:val="006A1686"/>
    <w:rsid w:val="006A304A"/>
    <w:rsid w:val="006A356D"/>
    <w:rsid w:val="006A668D"/>
    <w:rsid w:val="006B4120"/>
    <w:rsid w:val="006C1CFD"/>
    <w:rsid w:val="006C26EF"/>
    <w:rsid w:val="006C3228"/>
    <w:rsid w:val="006D792B"/>
    <w:rsid w:val="006E15C3"/>
    <w:rsid w:val="006E2596"/>
    <w:rsid w:val="006F0C74"/>
    <w:rsid w:val="006F2258"/>
    <w:rsid w:val="00700439"/>
    <w:rsid w:val="007005A7"/>
    <w:rsid w:val="0071030E"/>
    <w:rsid w:val="00712144"/>
    <w:rsid w:val="007258DE"/>
    <w:rsid w:val="00743F36"/>
    <w:rsid w:val="007471B1"/>
    <w:rsid w:val="00750645"/>
    <w:rsid w:val="00752545"/>
    <w:rsid w:val="00753DE3"/>
    <w:rsid w:val="007553EF"/>
    <w:rsid w:val="00764FFD"/>
    <w:rsid w:val="00782C73"/>
    <w:rsid w:val="007840FB"/>
    <w:rsid w:val="00785336"/>
    <w:rsid w:val="00793F18"/>
    <w:rsid w:val="0079573E"/>
    <w:rsid w:val="00796F2F"/>
    <w:rsid w:val="007A2C91"/>
    <w:rsid w:val="007B177C"/>
    <w:rsid w:val="007B4472"/>
    <w:rsid w:val="007B45A4"/>
    <w:rsid w:val="007C2313"/>
    <w:rsid w:val="007C61E4"/>
    <w:rsid w:val="007D2937"/>
    <w:rsid w:val="007E3A89"/>
    <w:rsid w:val="007E53E1"/>
    <w:rsid w:val="007E695D"/>
    <w:rsid w:val="007F1C3F"/>
    <w:rsid w:val="008046D6"/>
    <w:rsid w:val="00815B70"/>
    <w:rsid w:val="008169C2"/>
    <w:rsid w:val="00816C0E"/>
    <w:rsid w:val="008237F3"/>
    <w:rsid w:val="00825270"/>
    <w:rsid w:val="00826C11"/>
    <w:rsid w:val="00835ADE"/>
    <w:rsid w:val="008539BE"/>
    <w:rsid w:val="00876E00"/>
    <w:rsid w:val="0088041B"/>
    <w:rsid w:val="00881A71"/>
    <w:rsid w:val="00884883"/>
    <w:rsid w:val="00887065"/>
    <w:rsid w:val="008933DE"/>
    <w:rsid w:val="00897597"/>
    <w:rsid w:val="008A0F63"/>
    <w:rsid w:val="008A1086"/>
    <w:rsid w:val="008A10AE"/>
    <w:rsid w:val="008A2C9B"/>
    <w:rsid w:val="008A4EDB"/>
    <w:rsid w:val="008B397E"/>
    <w:rsid w:val="008B721A"/>
    <w:rsid w:val="008C42D7"/>
    <w:rsid w:val="008D0902"/>
    <w:rsid w:val="008E3D27"/>
    <w:rsid w:val="008E4B21"/>
    <w:rsid w:val="008F4E92"/>
    <w:rsid w:val="008F6219"/>
    <w:rsid w:val="00902764"/>
    <w:rsid w:val="00907427"/>
    <w:rsid w:val="009079E3"/>
    <w:rsid w:val="00910A66"/>
    <w:rsid w:val="00916B17"/>
    <w:rsid w:val="009243EB"/>
    <w:rsid w:val="00927686"/>
    <w:rsid w:val="00930614"/>
    <w:rsid w:val="00936320"/>
    <w:rsid w:val="009373D3"/>
    <w:rsid w:val="00942A2F"/>
    <w:rsid w:val="00945725"/>
    <w:rsid w:val="00946DA7"/>
    <w:rsid w:val="0095492B"/>
    <w:rsid w:val="00962C64"/>
    <w:rsid w:val="0096337C"/>
    <w:rsid w:val="00980A14"/>
    <w:rsid w:val="00982C0B"/>
    <w:rsid w:val="009842B9"/>
    <w:rsid w:val="00994132"/>
    <w:rsid w:val="00997BED"/>
    <w:rsid w:val="009A3268"/>
    <w:rsid w:val="009A6D9F"/>
    <w:rsid w:val="009A7F5B"/>
    <w:rsid w:val="009B2CBC"/>
    <w:rsid w:val="009B408E"/>
    <w:rsid w:val="009D45B2"/>
    <w:rsid w:val="009E147B"/>
    <w:rsid w:val="009E2655"/>
    <w:rsid w:val="009E2FE1"/>
    <w:rsid w:val="009E374C"/>
    <w:rsid w:val="009E5AA7"/>
    <w:rsid w:val="009F6595"/>
    <w:rsid w:val="00A06ED8"/>
    <w:rsid w:val="00A120B3"/>
    <w:rsid w:val="00A24046"/>
    <w:rsid w:val="00A27DB4"/>
    <w:rsid w:val="00A27ED0"/>
    <w:rsid w:val="00A325A3"/>
    <w:rsid w:val="00A32C8C"/>
    <w:rsid w:val="00A413A9"/>
    <w:rsid w:val="00A45B3E"/>
    <w:rsid w:val="00A544BF"/>
    <w:rsid w:val="00A56E2A"/>
    <w:rsid w:val="00A64EE1"/>
    <w:rsid w:val="00A6592F"/>
    <w:rsid w:val="00A7743B"/>
    <w:rsid w:val="00A906AD"/>
    <w:rsid w:val="00A93D1D"/>
    <w:rsid w:val="00A94BF8"/>
    <w:rsid w:val="00AA1639"/>
    <w:rsid w:val="00AA3B95"/>
    <w:rsid w:val="00AB0BF2"/>
    <w:rsid w:val="00AB4125"/>
    <w:rsid w:val="00AB6CCE"/>
    <w:rsid w:val="00AB70B2"/>
    <w:rsid w:val="00AC50FF"/>
    <w:rsid w:val="00AC5E42"/>
    <w:rsid w:val="00AC7F5B"/>
    <w:rsid w:val="00AD3303"/>
    <w:rsid w:val="00AD710E"/>
    <w:rsid w:val="00AE0828"/>
    <w:rsid w:val="00AE2454"/>
    <w:rsid w:val="00B006E3"/>
    <w:rsid w:val="00B1242D"/>
    <w:rsid w:val="00B15BB4"/>
    <w:rsid w:val="00B17821"/>
    <w:rsid w:val="00B21EFC"/>
    <w:rsid w:val="00B24555"/>
    <w:rsid w:val="00B24913"/>
    <w:rsid w:val="00B259FD"/>
    <w:rsid w:val="00B321AC"/>
    <w:rsid w:val="00B40681"/>
    <w:rsid w:val="00B42F12"/>
    <w:rsid w:val="00B44CF1"/>
    <w:rsid w:val="00B451E1"/>
    <w:rsid w:val="00B469D7"/>
    <w:rsid w:val="00B52C3C"/>
    <w:rsid w:val="00B56B54"/>
    <w:rsid w:val="00B62CE8"/>
    <w:rsid w:val="00B63F15"/>
    <w:rsid w:val="00B7478D"/>
    <w:rsid w:val="00B80A5B"/>
    <w:rsid w:val="00B8354C"/>
    <w:rsid w:val="00B94C73"/>
    <w:rsid w:val="00BA3ED4"/>
    <w:rsid w:val="00BB42A9"/>
    <w:rsid w:val="00BC137D"/>
    <w:rsid w:val="00BC352B"/>
    <w:rsid w:val="00BC35E6"/>
    <w:rsid w:val="00BC66F4"/>
    <w:rsid w:val="00BC72AC"/>
    <w:rsid w:val="00BD1419"/>
    <w:rsid w:val="00BD33B7"/>
    <w:rsid w:val="00BD3AA5"/>
    <w:rsid w:val="00BD59EF"/>
    <w:rsid w:val="00BE5E21"/>
    <w:rsid w:val="00BF047C"/>
    <w:rsid w:val="00BF07CB"/>
    <w:rsid w:val="00BF3969"/>
    <w:rsid w:val="00BF7A5C"/>
    <w:rsid w:val="00C017FC"/>
    <w:rsid w:val="00C021A2"/>
    <w:rsid w:val="00C05069"/>
    <w:rsid w:val="00C05BAE"/>
    <w:rsid w:val="00C11A3C"/>
    <w:rsid w:val="00C20663"/>
    <w:rsid w:val="00C26112"/>
    <w:rsid w:val="00C26F53"/>
    <w:rsid w:val="00C37F74"/>
    <w:rsid w:val="00C46BF4"/>
    <w:rsid w:val="00C6289E"/>
    <w:rsid w:val="00C62E55"/>
    <w:rsid w:val="00C677E1"/>
    <w:rsid w:val="00C82640"/>
    <w:rsid w:val="00C85284"/>
    <w:rsid w:val="00C85599"/>
    <w:rsid w:val="00C975D9"/>
    <w:rsid w:val="00C97C00"/>
    <w:rsid w:val="00CA0337"/>
    <w:rsid w:val="00CA06DC"/>
    <w:rsid w:val="00CA07C9"/>
    <w:rsid w:val="00CA7097"/>
    <w:rsid w:val="00CB078D"/>
    <w:rsid w:val="00CD0E2A"/>
    <w:rsid w:val="00CE58BE"/>
    <w:rsid w:val="00CE744B"/>
    <w:rsid w:val="00CF3854"/>
    <w:rsid w:val="00CF4E97"/>
    <w:rsid w:val="00CF771E"/>
    <w:rsid w:val="00D02089"/>
    <w:rsid w:val="00D11ED8"/>
    <w:rsid w:val="00D1644F"/>
    <w:rsid w:val="00D23619"/>
    <w:rsid w:val="00D543BD"/>
    <w:rsid w:val="00D5518E"/>
    <w:rsid w:val="00D75367"/>
    <w:rsid w:val="00D77C0E"/>
    <w:rsid w:val="00D80605"/>
    <w:rsid w:val="00D836E7"/>
    <w:rsid w:val="00D97909"/>
    <w:rsid w:val="00DB56D3"/>
    <w:rsid w:val="00DB6610"/>
    <w:rsid w:val="00DD0AD1"/>
    <w:rsid w:val="00DF6B28"/>
    <w:rsid w:val="00E10C5B"/>
    <w:rsid w:val="00E11658"/>
    <w:rsid w:val="00E178D6"/>
    <w:rsid w:val="00E376DF"/>
    <w:rsid w:val="00E61B98"/>
    <w:rsid w:val="00E65233"/>
    <w:rsid w:val="00E72DB1"/>
    <w:rsid w:val="00E7528A"/>
    <w:rsid w:val="00E8273F"/>
    <w:rsid w:val="00E83825"/>
    <w:rsid w:val="00E84660"/>
    <w:rsid w:val="00E91A1D"/>
    <w:rsid w:val="00E92F6A"/>
    <w:rsid w:val="00E930AA"/>
    <w:rsid w:val="00E944D4"/>
    <w:rsid w:val="00E9731E"/>
    <w:rsid w:val="00EA2848"/>
    <w:rsid w:val="00EB32E9"/>
    <w:rsid w:val="00EC286A"/>
    <w:rsid w:val="00EC348C"/>
    <w:rsid w:val="00ED2222"/>
    <w:rsid w:val="00ED2E16"/>
    <w:rsid w:val="00ED64FA"/>
    <w:rsid w:val="00ED689F"/>
    <w:rsid w:val="00ED77FE"/>
    <w:rsid w:val="00ED7C7D"/>
    <w:rsid w:val="00EE0F69"/>
    <w:rsid w:val="00EE3A82"/>
    <w:rsid w:val="00EE7F65"/>
    <w:rsid w:val="00EF1B4F"/>
    <w:rsid w:val="00F00BB6"/>
    <w:rsid w:val="00F0302A"/>
    <w:rsid w:val="00F116A4"/>
    <w:rsid w:val="00F20E2A"/>
    <w:rsid w:val="00F23C6A"/>
    <w:rsid w:val="00F2466C"/>
    <w:rsid w:val="00F267C3"/>
    <w:rsid w:val="00F43CCB"/>
    <w:rsid w:val="00F5369B"/>
    <w:rsid w:val="00F6327E"/>
    <w:rsid w:val="00F676CC"/>
    <w:rsid w:val="00F705F9"/>
    <w:rsid w:val="00F7069B"/>
    <w:rsid w:val="00F70B32"/>
    <w:rsid w:val="00F73D99"/>
    <w:rsid w:val="00F765CF"/>
    <w:rsid w:val="00F96A37"/>
    <w:rsid w:val="00FA4D0E"/>
    <w:rsid w:val="00FA69A6"/>
    <w:rsid w:val="00FB0CA0"/>
    <w:rsid w:val="00FB7C88"/>
    <w:rsid w:val="00FC6B72"/>
    <w:rsid w:val="00FD53FA"/>
    <w:rsid w:val="00FD62AF"/>
    <w:rsid w:val="00FD6898"/>
    <w:rsid w:val="00FE1003"/>
    <w:rsid w:val="00FE3F6C"/>
    <w:rsid w:val="00FE480C"/>
    <w:rsid w:val="00FE4E17"/>
    <w:rsid w:val="00FF2333"/>
    <w:rsid w:val="00FF4B75"/>
    <w:rsid w:val="05D4F3CC"/>
    <w:rsid w:val="083FFCB7"/>
    <w:rsid w:val="0921254D"/>
    <w:rsid w:val="09971E55"/>
    <w:rsid w:val="0A65EC61"/>
    <w:rsid w:val="0C62DB03"/>
    <w:rsid w:val="0CE83FD5"/>
    <w:rsid w:val="10799F4A"/>
    <w:rsid w:val="110FD34C"/>
    <w:rsid w:val="115C8D11"/>
    <w:rsid w:val="12ABA3AD"/>
    <w:rsid w:val="15C02045"/>
    <w:rsid w:val="15E3446F"/>
    <w:rsid w:val="19D55747"/>
    <w:rsid w:val="1C5A7379"/>
    <w:rsid w:val="20B1E6B3"/>
    <w:rsid w:val="2125F716"/>
    <w:rsid w:val="212DE49C"/>
    <w:rsid w:val="2299079F"/>
    <w:rsid w:val="23681C50"/>
    <w:rsid w:val="260E3A78"/>
    <w:rsid w:val="26ED2B2C"/>
    <w:rsid w:val="27187D17"/>
    <w:rsid w:val="2B91A68F"/>
    <w:rsid w:val="2BC889D5"/>
    <w:rsid w:val="2EEC659D"/>
    <w:rsid w:val="30270FFE"/>
    <w:rsid w:val="321EA2FC"/>
    <w:rsid w:val="358C727C"/>
    <w:rsid w:val="37CCAF11"/>
    <w:rsid w:val="388DE480"/>
    <w:rsid w:val="3AC2A463"/>
    <w:rsid w:val="3BC58542"/>
    <w:rsid w:val="3BF308E0"/>
    <w:rsid w:val="3C586A13"/>
    <w:rsid w:val="3E3AF4F9"/>
    <w:rsid w:val="4234C6C6"/>
    <w:rsid w:val="42599F44"/>
    <w:rsid w:val="43917795"/>
    <w:rsid w:val="456C6788"/>
    <w:rsid w:val="46417ABD"/>
    <w:rsid w:val="4BC57607"/>
    <w:rsid w:val="4D77796D"/>
    <w:rsid w:val="4E377D5E"/>
    <w:rsid w:val="50279A9D"/>
    <w:rsid w:val="542B2185"/>
    <w:rsid w:val="5598CE83"/>
    <w:rsid w:val="56228081"/>
    <w:rsid w:val="5881EBFC"/>
    <w:rsid w:val="5BA66B1D"/>
    <w:rsid w:val="5BB2FD81"/>
    <w:rsid w:val="5CCDD100"/>
    <w:rsid w:val="5DB8DB6E"/>
    <w:rsid w:val="5F56CBE4"/>
    <w:rsid w:val="5FB03A6A"/>
    <w:rsid w:val="60B8BF70"/>
    <w:rsid w:val="633BA8F0"/>
    <w:rsid w:val="63E6831C"/>
    <w:rsid w:val="64C3371E"/>
    <w:rsid w:val="67544709"/>
    <w:rsid w:val="67796CBB"/>
    <w:rsid w:val="687397E5"/>
    <w:rsid w:val="6AC4434E"/>
    <w:rsid w:val="6B4EA85B"/>
    <w:rsid w:val="6FCA053D"/>
    <w:rsid w:val="7305EC7C"/>
    <w:rsid w:val="76915B02"/>
    <w:rsid w:val="76E78D4A"/>
    <w:rsid w:val="79C8FBC4"/>
    <w:rsid w:val="79EC4C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1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983DEC"/>
    <w:rPr>
      <w:rFonts w:eastAsia="Century Gothic"/>
    </w:rPr>
  </w:style>
  <w:style w:type="paragraph" w:styleId="Heading1">
    <w:name w:val="heading 1"/>
    <w:next w:val="Normal"/>
    <w:link w:val="Heading1Char"/>
    <w:uiPriority w:val="3"/>
    <w:qFormat/>
    <w:rsid w:val="00983DEC"/>
    <w:pPr>
      <w:keepNext/>
      <w:keepLines/>
      <w:numPr>
        <w:numId w:val="1"/>
      </w:numPr>
      <w:spacing w:before="360" w:after="190" w:line="280" w:lineRule="atLeast"/>
      <w:outlineLvl w:val="0"/>
    </w:pPr>
    <w:rPr>
      <w:rFonts w:asciiTheme="majorHAnsi" w:eastAsia="Century Gothic" w:hAnsiTheme="majorHAnsi" w:cs="Century Gothic"/>
      <w:b/>
      <w:color w:val="44546A"/>
      <w:sz w:val="32"/>
    </w:rPr>
  </w:style>
  <w:style w:type="paragraph" w:styleId="Heading2">
    <w:name w:val="heading 2"/>
    <w:basedOn w:val="Normal"/>
    <w:next w:val="Normal"/>
    <w:link w:val="Heading2Char"/>
    <w:uiPriority w:val="3"/>
    <w:qFormat/>
    <w:rsid w:val="00983DEC"/>
    <w:pPr>
      <w:numPr>
        <w:ilvl w:val="1"/>
        <w:numId w:val="1"/>
      </w:numPr>
      <w:spacing w:before="360" w:after="190"/>
      <w:outlineLvl w:val="1"/>
    </w:pPr>
    <w:rPr>
      <w:b/>
      <w:color w:val="44546A"/>
      <w:sz w:val="26"/>
    </w:rPr>
  </w:style>
  <w:style w:type="paragraph" w:styleId="Heading3">
    <w:name w:val="heading 3"/>
    <w:basedOn w:val="Normal"/>
    <w:next w:val="Normal"/>
    <w:link w:val="Heading3Char"/>
    <w:uiPriority w:val="3"/>
    <w:qFormat/>
    <w:rsid w:val="00983DEC"/>
    <w:pPr>
      <w:numPr>
        <w:ilvl w:val="2"/>
        <w:numId w:val="1"/>
      </w:numPr>
      <w:spacing w:before="360" w:after="190"/>
      <w:outlineLvl w:val="2"/>
    </w:pPr>
    <w:rPr>
      <w:rFonts w:asciiTheme="majorHAnsi" w:hAnsiTheme="majorHAnsi"/>
      <w:color w:val="44546A"/>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3"/>
    <w:rsid w:val="00983DEC"/>
    <w:rPr>
      <w:rFonts w:asciiTheme="majorHAnsi" w:eastAsia="Century Gothic" w:hAnsiTheme="majorHAnsi" w:cs="Century Gothic"/>
      <w:b/>
      <w:color w:val="44546A"/>
      <w:kern w:val="0"/>
      <w:sz w:val="32"/>
    </w:rPr>
  </w:style>
  <w:style w:type="character" w:customStyle="1" w:styleId="Heading2Char">
    <w:name w:val="Heading 2 Char"/>
    <w:basedOn w:val="DefaultParagraphFont"/>
    <w:link w:val="Heading2"/>
    <w:uiPriority w:val="3"/>
    <w:rsid w:val="00983DEC"/>
    <w:rPr>
      <w:rFonts w:eastAsia="Century Gothic"/>
      <w:b/>
      <w:color w:val="44546A"/>
      <w:kern w:val="0"/>
      <w:sz w:val="26"/>
    </w:rPr>
  </w:style>
  <w:style w:type="character" w:customStyle="1" w:styleId="Heading3Char">
    <w:name w:val="Heading 3 Char"/>
    <w:basedOn w:val="DefaultParagraphFont"/>
    <w:link w:val="Heading3"/>
    <w:uiPriority w:val="3"/>
    <w:rsid w:val="00983DEC"/>
    <w:rPr>
      <w:rFonts w:asciiTheme="majorHAnsi" w:eastAsia="Century Gothic" w:hAnsiTheme="majorHAnsi"/>
      <w:color w:val="44546A"/>
      <w:kern w:val="0"/>
      <w:sz w:val="24"/>
    </w:rPr>
  </w:style>
  <w:style w:type="paragraph" w:styleId="Header">
    <w:name w:val="header"/>
    <w:basedOn w:val="Normal"/>
    <w:link w:val="HeaderChar"/>
    <w:uiPriority w:val="99"/>
    <w:semiHidden/>
    <w:rsid w:val="00983DEC"/>
    <w:pPr>
      <w:tabs>
        <w:tab w:val="center" w:pos="4513"/>
        <w:tab w:val="right" w:pos="9026"/>
      </w:tabs>
    </w:pPr>
  </w:style>
  <w:style w:type="character" w:customStyle="1" w:styleId="HeaderChar">
    <w:name w:val="Header Char"/>
    <w:basedOn w:val="DefaultParagraphFont"/>
    <w:link w:val="Header"/>
    <w:uiPriority w:val="99"/>
    <w:semiHidden/>
    <w:rsid w:val="00983DEC"/>
    <w:rPr>
      <w:rFonts w:eastAsia="Century Gothic"/>
      <w:kern w:val="0"/>
    </w:rPr>
  </w:style>
  <w:style w:type="paragraph" w:styleId="Footer">
    <w:name w:val="footer"/>
    <w:basedOn w:val="Normal"/>
    <w:link w:val="FooterChar"/>
    <w:uiPriority w:val="10"/>
    <w:semiHidden/>
    <w:rsid w:val="00983DEC"/>
    <w:pPr>
      <w:tabs>
        <w:tab w:val="center" w:pos="4513"/>
        <w:tab w:val="right" w:pos="9026"/>
      </w:tabs>
      <w:spacing w:after="0"/>
      <w:jc w:val="right"/>
    </w:pPr>
    <w:rPr>
      <w:sz w:val="16"/>
    </w:rPr>
  </w:style>
  <w:style w:type="character" w:customStyle="1" w:styleId="FooterChar">
    <w:name w:val="Footer Char"/>
    <w:basedOn w:val="DefaultParagraphFont"/>
    <w:link w:val="Footer"/>
    <w:uiPriority w:val="10"/>
    <w:semiHidden/>
    <w:rsid w:val="00983DEC"/>
    <w:rPr>
      <w:rFonts w:eastAsia="Century Gothic"/>
      <w:kern w:val="0"/>
      <w:sz w:val="16"/>
    </w:rPr>
  </w:style>
  <w:style w:type="paragraph" w:styleId="NoSpacing">
    <w:name w:val="No Spacing"/>
    <w:basedOn w:val="Normal"/>
    <w:link w:val="NoSpacingChar"/>
    <w:uiPriority w:val="1"/>
    <w:qFormat/>
    <w:rsid w:val="00983DEC"/>
    <w:rPr>
      <w:rFonts w:eastAsia="Calibri"/>
    </w:rPr>
  </w:style>
  <w:style w:type="paragraph" w:styleId="ListParagraph">
    <w:name w:val="List Paragraph"/>
    <w:aliases w:val="Table bullet,Dot pt,F5 List Paragraph,List Paragraph1,No Spacing1,List Paragraph Char Char Char,Indicator Text,Colorful List - Accent 11,Numbered Para 1,Bullet 1,Bullet Points,List Paragraph2,MAIN CONTENT,Normal numbered,Párrafo de lista"/>
    <w:basedOn w:val="Normal"/>
    <w:link w:val="ListParagraphChar"/>
    <w:uiPriority w:val="34"/>
    <w:qFormat/>
    <w:rsid w:val="00983DEC"/>
    <w:pPr>
      <w:numPr>
        <w:ilvl w:val="3"/>
        <w:numId w:val="2"/>
      </w:numPr>
      <w:ind w:left="357" w:hanging="357"/>
      <w:contextualSpacing/>
    </w:pPr>
  </w:style>
  <w:style w:type="character" w:customStyle="1" w:styleId="NoSpacingChar">
    <w:name w:val="No Spacing Char"/>
    <w:basedOn w:val="DefaultParagraphFont"/>
    <w:link w:val="NoSpacing"/>
    <w:uiPriority w:val="1"/>
    <w:rsid w:val="00983DEC"/>
    <w:rPr>
      <w:rFonts w:eastAsia="Calibri" w:cs="Calibri"/>
      <w:kern w:val="0"/>
    </w:rPr>
  </w:style>
  <w:style w:type="table" w:customStyle="1" w:styleId="PlainTable">
    <w:name w:val="Plain Table"/>
    <w:basedOn w:val="TableNormal"/>
    <w:uiPriority w:val="99"/>
    <w:rsid w:val="00983DEC"/>
    <w:pPr>
      <w:spacing w:after="0"/>
    </w:pPr>
    <w:rPr>
      <w:rFonts w:eastAsia="Century Gothic"/>
    </w:rPr>
    <w:tblPr>
      <w:tblBorders>
        <w:top w:val="single" w:sz="4" w:space="0" w:color="4472C4" w:themeColor="accent1"/>
        <w:bottom w:val="single" w:sz="4" w:space="0" w:color="4472C4" w:themeColor="accent1"/>
        <w:insideH w:val="single" w:sz="4" w:space="0" w:color="D9D9D9" w:themeColor="background1" w:themeShade="D9"/>
        <w:insideV w:val="single" w:sz="4" w:space="0" w:color="D9D9D9" w:themeColor="background1" w:themeShade="D9"/>
      </w:tblBorders>
      <w:tblCellMar>
        <w:top w:w="85" w:type="dxa"/>
        <w:left w:w="85" w:type="dxa"/>
        <w:bottom w:w="85" w:type="dxa"/>
        <w:right w:w="85" w:type="dxa"/>
      </w:tblCellMar>
    </w:tblPr>
    <w:tcPr>
      <w:shd w:val="clear" w:color="auto" w:fill="auto"/>
    </w:tcPr>
    <w:tblStylePr w:type="firstRow">
      <w:rPr>
        <w:b w:val="0"/>
        <w:color w:val="FFFFFF" w:themeColor="background1"/>
      </w:rPr>
      <w:tblPr/>
      <w:tcPr>
        <w:tcBorders>
          <w:top w:val="single" w:sz="4" w:space="0" w:color="4472C4" w:themeColor="accent1"/>
          <w:left w:val="nil"/>
          <w:bottom w:val="single" w:sz="4" w:space="0" w:color="4472C4" w:themeColor="accent1"/>
          <w:right w:val="nil"/>
          <w:insideH w:val="single" w:sz="4" w:space="0" w:color="4472C4" w:themeColor="accent1"/>
          <w:insideV w:val="single" w:sz="4" w:space="0" w:color="D9D9D9" w:themeColor="background1" w:themeShade="D9"/>
        </w:tcBorders>
        <w:shd w:val="clear" w:color="auto" w:fill="auto"/>
      </w:tcPr>
    </w:tblStylePr>
  </w:style>
  <w:style w:type="paragraph" w:customStyle="1" w:styleId="PageHeading">
    <w:name w:val="Page Heading"/>
    <w:basedOn w:val="Normal"/>
    <w:next w:val="Heading1"/>
    <w:uiPriority w:val="1"/>
    <w:qFormat/>
    <w:rsid w:val="00983DEC"/>
    <w:pPr>
      <w:pageBreakBefore/>
      <w:spacing w:after="720"/>
      <w:jc w:val="center"/>
      <w:outlineLvl w:val="0"/>
    </w:pPr>
    <w:rPr>
      <w:rFonts w:asciiTheme="majorHAnsi" w:hAnsiTheme="majorHAnsi"/>
      <w:b/>
      <w:color w:val="44546A"/>
      <w:sz w:val="40"/>
    </w:rPr>
  </w:style>
  <w:style w:type="paragraph" w:customStyle="1" w:styleId="Default">
    <w:name w:val="Default"/>
    <w:rsid w:val="00983DEC"/>
    <w:pPr>
      <w:autoSpaceDE w:val="0"/>
      <w:autoSpaceDN w:val="0"/>
      <w:adjustRightInd w:val="0"/>
      <w:spacing w:after="0"/>
    </w:pPr>
    <w:rPr>
      <w:rFonts w:ascii="Arial" w:hAnsi="Arial" w:cs="Arial"/>
      <w:color w:val="000000"/>
      <w:sz w:val="24"/>
      <w:szCs w:val="24"/>
    </w:rPr>
  </w:style>
  <w:style w:type="character" w:customStyle="1" w:styleId="ListParagraphChar">
    <w:name w:val="List Paragraph Char"/>
    <w:aliases w:val="Table bullet Char,Dot pt Char,F5 List Paragraph Char,List Paragraph1 Char,No Spacing1 Char,List Paragraph Char Char Char Char,Indicator Text Char,Colorful List - Accent 11 Char,Numbered Para 1 Char,Bullet 1 Char,Bullet Points Char"/>
    <w:basedOn w:val="DefaultParagraphFont"/>
    <w:link w:val="ListParagraph"/>
    <w:uiPriority w:val="34"/>
    <w:qFormat/>
    <w:locked/>
    <w:rsid w:val="00983DEC"/>
    <w:rPr>
      <w:rFonts w:eastAsia="Century Gothic"/>
      <w:kern w:val="0"/>
    </w:rPr>
  </w:style>
  <w:style w:type="paragraph" w:styleId="FootnoteText">
    <w:name w:val="footnote text"/>
    <w:basedOn w:val="Normal"/>
    <w:link w:val="FootnoteTextChar"/>
    <w:uiPriority w:val="99"/>
    <w:semiHidden/>
    <w:unhideWhenUsed/>
    <w:rsid w:val="00347966"/>
    <w:pPr>
      <w:spacing w:after="0"/>
    </w:pPr>
    <w:rPr>
      <w:sz w:val="20"/>
      <w:szCs w:val="20"/>
    </w:rPr>
  </w:style>
  <w:style w:type="character" w:customStyle="1" w:styleId="FootnoteTextChar">
    <w:name w:val="Footnote Text Char"/>
    <w:basedOn w:val="DefaultParagraphFont"/>
    <w:link w:val="FootnoteText"/>
    <w:uiPriority w:val="99"/>
    <w:semiHidden/>
    <w:rsid w:val="00347966"/>
    <w:rPr>
      <w:rFonts w:eastAsia="Century Gothic"/>
      <w:kern w:val="0"/>
      <w:sz w:val="20"/>
      <w:szCs w:val="20"/>
    </w:rPr>
  </w:style>
  <w:style w:type="character" w:styleId="FootnoteReference">
    <w:name w:val="footnote reference"/>
    <w:basedOn w:val="DefaultParagraphFont"/>
    <w:uiPriority w:val="99"/>
    <w:semiHidden/>
    <w:unhideWhenUsed/>
    <w:rsid w:val="00347966"/>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pPr>
    <w:tblPr>
      <w:tblStyleRowBandSize w:val="1"/>
      <w:tblStyleColBandSize w:val="1"/>
      <w:tblCellMar>
        <w:left w:w="115" w:type="dxa"/>
        <w:right w:w="115" w:type="dxa"/>
      </w:tblCellMar>
    </w:tblPr>
    <w:tcPr>
      <w:shd w:val="clear" w:color="auto" w:fill="auto"/>
    </w:tcPr>
    <w:tblStylePr w:type="firstRow">
      <w:rPr>
        <w:b w:val="0"/>
        <w:color w:val="FFFFFF"/>
      </w:rPr>
      <w:tblPr/>
      <w:tcPr>
        <w:tcBorders>
          <w:top w:val="single" w:sz="4" w:space="0" w:color="4472C4"/>
          <w:left w:val="nil"/>
          <w:bottom w:val="single" w:sz="4" w:space="0" w:color="4472C4"/>
          <w:right w:val="nil"/>
          <w:insideH w:val="single" w:sz="4" w:space="0" w:color="4472C4"/>
          <w:insideV w:val="single" w:sz="4" w:space="0" w:color="D9D9D9"/>
        </w:tcBorders>
        <w:shd w:val="clear" w:color="auto" w:fill="auto"/>
      </w:tcPr>
    </w:tblStyle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entury Gothic"/>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373D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3D3"/>
    <w:rPr>
      <w:rFonts w:ascii="Segoe UI" w:eastAsia="Century Gothic" w:hAnsi="Segoe UI" w:cs="Segoe UI"/>
      <w:sz w:val="18"/>
      <w:szCs w:val="18"/>
    </w:rPr>
  </w:style>
  <w:style w:type="paragraph" w:styleId="CommentSubject">
    <w:name w:val="annotation subject"/>
    <w:basedOn w:val="CommentText"/>
    <w:next w:val="CommentText"/>
    <w:link w:val="CommentSubjectChar"/>
    <w:uiPriority w:val="99"/>
    <w:semiHidden/>
    <w:unhideWhenUsed/>
    <w:rsid w:val="003B1B02"/>
    <w:rPr>
      <w:b/>
      <w:bCs/>
    </w:rPr>
  </w:style>
  <w:style w:type="character" w:customStyle="1" w:styleId="CommentSubjectChar">
    <w:name w:val="Comment Subject Char"/>
    <w:basedOn w:val="CommentTextChar"/>
    <w:link w:val="CommentSubject"/>
    <w:uiPriority w:val="99"/>
    <w:semiHidden/>
    <w:rsid w:val="003B1B02"/>
    <w:rPr>
      <w:rFonts w:eastAsia="Century Gothic"/>
      <w:b/>
      <w:bCs/>
      <w:sz w:val="20"/>
      <w:szCs w:val="20"/>
    </w:rPr>
  </w:style>
  <w:style w:type="paragraph" w:styleId="Revision">
    <w:name w:val="Revision"/>
    <w:hidden/>
    <w:uiPriority w:val="99"/>
    <w:semiHidden/>
    <w:rsid w:val="000C069F"/>
    <w:pPr>
      <w:spacing w:after="0"/>
    </w:pPr>
    <w:rPr>
      <w:rFonts w:eastAsia="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4974">
      <w:bodyDiv w:val="1"/>
      <w:marLeft w:val="0"/>
      <w:marRight w:val="0"/>
      <w:marTop w:val="0"/>
      <w:marBottom w:val="0"/>
      <w:divBdr>
        <w:top w:val="none" w:sz="0" w:space="0" w:color="auto"/>
        <w:left w:val="none" w:sz="0" w:space="0" w:color="auto"/>
        <w:bottom w:val="none" w:sz="0" w:space="0" w:color="auto"/>
        <w:right w:val="none" w:sz="0" w:space="0" w:color="auto"/>
      </w:divBdr>
    </w:div>
    <w:div w:id="852840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rive.google.com/file/d/1BtOL_kd7ACkiCjfhlgFER6PZJNpycxSU/view?usp=sharing" TargetMode="External"/><Relationship Id="rId4" Type="http://schemas.openxmlformats.org/officeDocument/2006/relationships/styles" Target="styles.xml"/><Relationship Id="rId9" Type="http://schemas.openxmlformats.org/officeDocument/2006/relationships/hyperlink" Target="https://www.care.org/news-and-stories/resources/women-girls-safe-spaces-a-promising-practices-gui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YYdgOH2nSdg3fteX1sAGdt1Mvw==">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</go:docsCustomData>
</go:gDocsCustomXmlDataStorage>
</file>

<file path=customXml/itemProps1.xml><?xml version="1.0" encoding="utf-8"?>
<ds:datastoreItem xmlns:ds="http://schemas.openxmlformats.org/officeDocument/2006/customXml" ds:itemID="{5FC49FC0-21EA-4978-8EAA-5C9F4C92FDB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5408</Words>
  <Characters>31459</Characters>
  <Application>Microsoft Office Word</Application>
  <DocSecurity>0</DocSecurity>
  <Lines>1232</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Australian Humanitarian Partnership’s Bangladesh Humanitarian Response Phase III: Joint Management Response</dc:title>
  <dc:subject/>
  <dc:creator/>
  <cp:keywords>[SEC=OFFICIAL]</cp:keywords>
  <dc:description/>
  <cp:lastModifiedBy/>
  <cp:revision>1</cp:revision>
  <dcterms:created xsi:type="dcterms:W3CDTF">2023-12-19T05:22:00Z</dcterms:created>
  <dcterms:modified xsi:type="dcterms:W3CDTF">2023-12-19T05:23:00Z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v=2022.1;a=SHA256;h=1AB626EC057FAA710CF35B5A274A2014127C1073F420BDA7EF43D0F0749130CF</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2023-09-24T03:08:36Z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1BC411B8D8D94590B7AF5D01C6DFB865</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521651E5EDDEEFD00B5F43591331DDF8</vt:lpwstr>
  </property>
  <property fmtid="{D5CDD505-2E9C-101B-9397-08002B2CF9AE}" pid="24" name="PM_Hash_Salt">
    <vt:lpwstr>41C6593666E81A31B94BFDB4E92A7703</vt:lpwstr>
  </property>
  <property fmtid="{D5CDD505-2E9C-101B-9397-08002B2CF9AE}" pid="25" name="PM_Hash_SHA1">
    <vt:lpwstr>C6F181CB875C25927886F620C774CCEA029EA99E</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