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76" w:rsidRPr="007451B9" w:rsidRDefault="006A0976" w:rsidP="006A0976">
      <w:pPr>
        <w:pStyle w:val="Heading1"/>
        <w:spacing w:after="300"/>
        <w:rPr>
          <w:color w:val="auto"/>
        </w:rPr>
      </w:pPr>
      <w:bookmarkStart w:id="0" w:name="_GoBack"/>
      <w:bookmarkEnd w:id="0"/>
      <w:r>
        <w:rPr>
          <w:color w:val="auto"/>
        </w:rPr>
        <w:t>2018 IndePENDENT EVALUATION – AUSTRALIA’S ELECTORAL ASSISTANCE TO PAPUA NEW GUINEA</w:t>
      </w:r>
    </w:p>
    <w:p w:rsidR="00F03FF5" w:rsidRDefault="006A0976" w:rsidP="00F03FF5">
      <w:pPr>
        <w:pStyle w:val="Heading3"/>
      </w:pPr>
      <w:r>
        <w:t>Summary of management r</w:t>
      </w:r>
      <w:r w:rsidRPr="002B1079">
        <w:t xml:space="preserve">esponse </w:t>
      </w:r>
    </w:p>
    <w:p w:rsidR="0068181F" w:rsidRDefault="00F03FF5" w:rsidP="00F03FF5">
      <w:pPr>
        <w:rPr>
          <w:lang w:val="en-AU"/>
        </w:rPr>
      </w:pPr>
      <w:r>
        <w:rPr>
          <w:lang w:val="en-AU"/>
        </w:rPr>
        <w:t xml:space="preserve">DFAT welcomes the </w:t>
      </w:r>
      <w:r w:rsidRPr="00365635">
        <w:rPr>
          <w:i/>
          <w:lang w:val="en-AU"/>
        </w:rPr>
        <w:t>Evaluation of Australia’s Electoral Assistance to Papua New Guinea 2015-2017</w:t>
      </w:r>
      <w:r w:rsidR="0068181F">
        <w:rPr>
          <w:lang w:val="en-AU"/>
        </w:rPr>
        <w:t xml:space="preserve"> as a timely and important review of our longstanding program of support </w:t>
      </w:r>
      <w:r w:rsidR="00F14EF9">
        <w:rPr>
          <w:lang w:val="en-AU"/>
        </w:rPr>
        <w:t>to elections management in PNG.</w:t>
      </w:r>
      <w:r w:rsidR="00F14EF9">
        <w:rPr>
          <w:lang w:val="en-AU"/>
        </w:rPr>
        <w:br/>
      </w:r>
      <w:r w:rsidR="00F24058">
        <w:rPr>
          <w:lang w:val="en-AU"/>
        </w:rPr>
        <w:t xml:space="preserve">We </w:t>
      </w:r>
      <w:r w:rsidR="00525A64">
        <w:rPr>
          <w:lang w:val="en-AU"/>
        </w:rPr>
        <w:t xml:space="preserve">note </w:t>
      </w:r>
      <w:r w:rsidR="0068181F">
        <w:rPr>
          <w:lang w:val="en-AU"/>
        </w:rPr>
        <w:t xml:space="preserve">the report’s </w:t>
      </w:r>
      <w:r>
        <w:rPr>
          <w:lang w:val="en-AU"/>
        </w:rPr>
        <w:t xml:space="preserve">overall finding that </w:t>
      </w:r>
      <w:r w:rsidR="0068181F">
        <w:rPr>
          <w:lang w:val="en-AU"/>
        </w:rPr>
        <w:t xml:space="preserve">Australia’s </w:t>
      </w:r>
      <w:r>
        <w:rPr>
          <w:lang w:val="en-AU"/>
        </w:rPr>
        <w:t xml:space="preserve">contribution </w:t>
      </w:r>
      <w:r w:rsidR="0068181F">
        <w:rPr>
          <w:lang w:val="en-AU"/>
        </w:rPr>
        <w:t>w</w:t>
      </w:r>
      <w:r>
        <w:rPr>
          <w:lang w:val="en-AU"/>
        </w:rPr>
        <w:t>as reasonable in difficult cir</w:t>
      </w:r>
      <w:r w:rsidR="0068181F">
        <w:rPr>
          <w:lang w:val="en-AU"/>
        </w:rPr>
        <w:t>cumstances and that our support was appreciated by the PNG Electoral Commission and aligned to its needs.</w:t>
      </w:r>
    </w:p>
    <w:p w:rsidR="003C69CA" w:rsidRDefault="00525A64" w:rsidP="00F03FF5">
      <w:pPr>
        <w:rPr>
          <w:lang w:val="en-AU"/>
        </w:rPr>
      </w:pPr>
      <w:r>
        <w:rPr>
          <w:lang w:val="en-AU"/>
        </w:rPr>
        <w:t>T</w:t>
      </w:r>
      <w:r w:rsidR="0068181F">
        <w:rPr>
          <w:lang w:val="en-AU"/>
        </w:rPr>
        <w:t xml:space="preserve">he report </w:t>
      </w:r>
      <w:r w:rsidR="00A7345F">
        <w:rPr>
          <w:lang w:val="en-AU"/>
        </w:rPr>
        <w:t>usefully recognises that o</w:t>
      </w:r>
      <w:r w:rsidR="00F14EF9">
        <w:rPr>
          <w:lang w:val="en-AU"/>
        </w:rPr>
        <w:t>ur work was constrained by factors outside the control of the Australian Government.</w:t>
      </w:r>
      <w:r w:rsidR="003C69CA">
        <w:rPr>
          <w:lang w:val="en-AU"/>
        </w:rPr>
        <w:t xml:space="preserve"> PNG elections are some of the world’s most challenging and expensive (per capita) to deliver, due to PNG’s difficult terrain, security and institutional capability issues. The evaluation report s</w:t>
      </w:r>
      <w:r>
        <w:rPr>
          <w:lang w:val="en-AU"/>
        </w:rPr>
        <w:t>t</w:t>
      </w:r>
      <w:r w:rsidR="003C69CA">
        <w:rPr>
          <w:lang w:val="en-AU"/>
        </w:rPr>
        <w:t>a</w:t>
      </w:r>
      <w:r>
        <w:rPr>
          <w:lang w:val="en-AU"/>
        </w:rPr>
        <w:t>te</w:t>
      </w:r>
      <w:r w:rsidR="003C69CA">
        <w:rPr>
          <w:lang w:val="en-AU"/>
        </w:rPr>
        <w:t>s that our program of support was delivered in an efficient and cost-effective manner in the face of these constraints.</w:t>
      </w:r>
    </w:p>
    <w:p w:rsidR="00F03FF5" w:rsidRDefault="00AD6A4F" w:rsidP="00F03FF5">
      <w:pPr>
        <w:rPr>
          <w:lang w:val="en-AU"/>
        </w:rPr>
      </w:pPr>
      <w:r>
        <w:rPr>
          <w:lang w:val="en-AU"/>
        </w:rPr>
        <w:t xml:space="preserve">DFAT broadly accepts the recommendations put forward in the evaluation report. In incorporating these findings into our </w:t>
      </w:r>
      <w:r w:rsidR="005111BE">
        <w:rPr>
          <w:lang w:val="en-AU"/>
        </w:rPr>
        <w:t xml:space="preserve">future </w:t>
      </w:r>
      <w:r>
        <w:rPr>
          <w:lang w:val="en-AU"/>
        </w:rPr>
        <w:t>strategy, an import</w:t>
      </w:r>
      <w:r w:rsidR="003F6BBF">
        <w:rPr>
          <w:lang w:val="en-AU"/>
        </w:rPr>
        <w:t xml:space="preserve">ant challenge will be to balance </w:t>
      </w:r>
      <w:r w:rsidR="00F24058">
        <w:rPr>
          <w:lang w:val="en-AU"/>
        </w:rPr>
        <w:t xml:space="preserve">our interest in </w:t>
      </w:r>
      <w:r w:rsidR="003F6BBF">
        <w:rPr>
          <w:lang w:val="en-AU"/>
        </w:rPr>
        <w:t xml:space="preserve">long-term planning and consistent support, with the need to remain responsive to PNG Government funding </w:t>
      </w:r>
      <w:r w:rsidR="00A7345F">
        <w:rPr>
          <w:lang w:val="en-AU"/>
        </w:rPr>
        <w:t xml:space="preserve">issues </w:t>
      </w:r>
      <w:r w:rsidR="003F6BBF">
        <w:rPr>
          <w:lang w:val="en-AU"/>
        </w:rPr>
        <w:t>and reform priorities.</w:t>
      </w:r>
    </w:p>
    <w:p w:rsidR="005E3E5E" w:rsidRDefault="005E3E5E" w:rsidP="005E3E5E">
      <w:pPr>
        <w:rPr>
          <w:lang w:val="en-AU"/>
        </w:rPr>
      </w:pPr>
      <w:r>
        <w:rPr>
          <w:lang w:val="en-AU"/>
        </w:rPr>
        <w:t xml:space="preserve">Where this report recommends the Australian Electoral Commission (AEC) plays a stronger coordinating role, we acknowledge the potential benefits of this approach, while noting that detailed discussions will need to be taken forward with the AEC. We also note instances where the evaluation has made recommendations that can more appropriately be addressed through other programs, such as </w:t>
      </w:r>
      <w:r w:rsidRPr="00BD36EC">
        <w:rPr>
          <w:i/>
          <w:lang w:val="en-AU"/>
        </w:rPr>
        <w:t>the Pacific Women Shaping Pacific Development</w:t>
      </w:r>
      <w:r>
        <w:rPr>
          <w:lang w:val="en-AU"/>
        </w:rPr>
        <w:t xml:space="preserve"> initiative.</w:t>
      </w:r>
    </w:p>
    <w:p w:rsidR="005E3E5E" w:rsidRDefault="005E3E5E" w:rsidP="00F03FF5">
      <w:pPr>
        <w:rPr>
          <w:lang w:val="en-AU"/>
        </w:rPr>
      </w:pPr>
      <w:r>
        <w:rPr>
          <w:lang w:val="en-AU"/>
        </w:rPr>
        <w:t xml:space="preserve">DFAT’s next priority for our program of elections support to PNG is to develop an investment design to guide our approach over the current electoral cycle (2018-2022). </w:t>
      </w:r>
      <w:r w:rsidR="00B15937">
        <w:rPr>
          <w:lang w:val="en-AU"/>
        </w:rPr>
        <w:t xml:space="preserve">This evaluation may have been </w:t>
      </w:r>
      <w:r w:rsidR="007863A0">
        <w:rPr>
          <w:lang w:val="en-AU"/>
        </w:rPr>
        <w:t>more</w:t>
      </w:r>
      <w:r w:rsidR="00B15937">
        <w:rPr>
          <w:lang w:val="en-AU"/>
        </w:rPr>
        <w:t xml:space="preserve"> useful in informing this upcoming design process if it had included a mo</w:t>
      </w:r>
      <w:r>
        <w:rPr>
          <w:lang w:val="en-AU"/>
        </w:rPr>
        <w:t>re thorough discussion of the individual contributions of each of DFAT’s delivery partners and a more detailed set of recommendations to guide future activity.</w:t>
      </w:r>
    </w:p>
    <w:p w:rsidR="00F03FF5" w:rsidRDefault="00DD279C" w:rsidP="00DD279C">
      <w:pPr>
        <w:rPr>
          <w:lang w:val="en-AU"/>
        </w:rPr>
      </w:pPr>
      <w:r>
        <w:rPr>
          <w:lang w:val="en-AU"/>
        </w:rPr>
        <w:t xml:space="preserve">Nonetheless, the broad approaches and principles recommended by this report </w:t>
      </w:r>
      <w:r w:rsidR="005E3E5E">
        <w:rPr>
          <w:lang w:val="en-AU"/>
        </w:rPr>
        <w:t xml:space="preserve">are important and </w:t>
      </w:r>
      <w:r>
        <w:rPr>
          <w:lang w:val="en-AU"/>
        </w:rPr>
        <w:t>will be a critical input to DFAT</w:t>
      </w:r>
      <w:r w:rsidR="00B15937">
        <w:rPr>
          <w:lang w:val="en-AU"/>
        </w:rPr>
        <w:t>’s</w:t>
      </w:r>
      <w:r w:rsidR="005E3E5E">
        <w:rPr>
          <w:lang w:val="en-AU"/>
        </w:rPr>
        <w:t xml:space="preserve"> future strategy for electoral support in PNG.</w:t>
      </w:r>
    </w:p>
    <w:p w:rsidR="00381643" w:rsidRDefault="00381643" w:rsidP="00F03FF5">
      <w:pPr>
        <w:rPr>
          <w:lang w:val="en-AU"/>
        </w:rPr>
      </w:pPr>
    </w:p>
    <w:p w:rsidR="00381643" w:rsidRPr="00F03FF5" w:rsidRDefault="00381643" w:rsidP="00F03FF5">
      <w:pPr>
        <w:rPr>
          <w:lang w:val="en-AU"/>
        </w:rPr>
        <w:sectPr w:rsidR="00381643" w:rsidRPr="00F03FF5" w:rsidSect="00B07D19">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567" w:footer="567" w:gutter="0"/>
          <w:cols w:space="708"/>
          <w:titlePg/>
          <w:docGrid w:linePitch="360"/>
        </w:sectPr>
      </w:pPr>
    </w:p>
    <w:p w:rsidR="006A0976" w:rsidRDefault="006A0976" w:rsidP="006A0976">
      <w:pPr>
        <w:pStyle w:val="Heading3"/>
      </w:pPr>
      <w:r>
        <w:lastRenderedPageBreak/>
        <w:t>Individual m</w:t>
      </w:r>
      <w:r w:rsidRPr="002B1079">
        <w:t xml:space="preserve">anagement response to the recommendations </w:t>
      </w:r>
    </w:p>
    <w:p w:rsidR="00D33A01" w:rsidRPr="00D33A01" w:rsidRDefault="00D33A01" w:rsidP="00D33A01">
      <w:pPr>
        <w:rPr>
          <w:lang w:val="en-AU"/>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5"/>
        <w:gridCol w:w="1663"/>
        <w:gridCol w:w="2835"/>
        <w:gridCol w:w="2835"/>
        <w:gridCol w:w="3832"/>
      </w:tblGrid>
      <w:tr w:rsidR="0030755A" w:rsidRPr="008F4A4D" w:rsidTr="00B14BD2">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4145" w:type="dxa"/>
            <w:tcBorders>
              <w:top w:val="none" w:sz="0" w:space="0" w:color="auto"/>
              <w:bottom w:val="none" w:sz="0" w:space="0" w:color="auto"/>
            </w:tcBorders>
            <w:hideMark/>
          </w:tcPr>
          <w:p w:rsidR="000B76CF" w:rsidRPr="008A0512" w:rsidRDefault="000B76CF" w:rsidP="003D6E7B">
            <w:pPr>
              <w:pStyle w:val="TableHeaderRow"/>
            </w:pPr>
            <w:r w:rsidRPr="008A0512">
              <w:t>Recommendation</w:t>
            </w:r>
          </w:p>
        </w:tc>
        <w:tc>
          <w:tcPr>
            <w:tcW w:w="1663" w:type="dxa"/>
            <w:tcBorders>
              <w:top w:val="none" w:sz="0" w:space="0" w:color="auto"/>
              <w:bottom w:val="none" w:sz="0" w:space="0" w:color="auto"/>
            </w:tcBorders>
            <w:hideMark/>
          </w:tcPr>
          <w:p w:rsidR="000B76CF" w:rsidRPr="008A0512" w:rsidRDefault="000B76CF" w:rsidP="00381643">
            <w:pPr>
              <w:pStyle w:val="TableHeaderRow"/>
              <w:cnfStyle w:val="100000000000" w:firstRow="1" w:lastRow="0" w:firstColumn="0" w:lastColumn="0" w:oddVBand="0" w:evenVBand="0" w:oddHBand="0" w:evenHBand="0" w:firstRowFirstColumn="0" w:firstRowLastColumn="0" w:lastRowFirstColumn="0" w:lastRowLastColumn="0"/>
            </w:pPr>
            <w:r w:rsidRPr="008A0512">
              <w:t>Response</w:t>
            </w:r>
          </w:p>
        </w:tc>
        <w:tc>
          <w:tcPr>
            <w:tcW w:w="2835" w:type="dxa"/>
            <w:tcBorders>
              <w:top w:val="none" w:sz="0" w:space="0" w:color="auto"/>
              <w:bottom w:val="none" w:sz="0" w:space="0" w:color="auto"/>
            </w:tcBorders>
            <w:hideMark/>
          </w:tcPr>
          <w:p w:rsidR="000B76CF" w:rsidRPr="008A0512" w:rsidRDefault="000B76CF"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0B76CF" w:rsidRPr="008A0512" w:rsidRDefault="000B76CF"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0B76CF" w:rsidRPr="005111BE" w:rsidRDefault="000B76CF" w:rsidP="005111BE">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30755A" w:rsidRPr="008A0512"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5" w:type="dxa"/>
          </w:tcPr>
          <w:p w:rsidR="000B76CF" w:rsidRPr="00381643" w:rsidRDefault="000B76CF" w:rsidP="000B76CF">
            <w:pPr>
              <w:rPr>
                <w:rFonts w:asciiTheme="minorHAnsi" w:hAnsiTheme="minorHAnsi"/>
                <w:u w:val="single"/>
              </w:rPr>
            </w:pPr>
            <w:r w:rsidRPr="00381643">
              <w:rPr>
                <w:rFonts w:asciiTheme="minorHAnsi" w:hAnsiTheme="minorHAnsi"/>
                <w:u w:val="single"/>
              </w:rPr>
              <w:t>Strategic Recommendation 1:</w:t>
            </w:r>
          </w:p>
          <w:p w:rsidR="000B76CF" w:rsidRPr="00381643" w:rsidRDefault="00F35150" w:rsidP="005111BE">
            <w:pPr>
              <w:rPr>
                <w:rFonts w:asciiTheme="minorHAnsi" w:hAnsiTheme="minorHAnsi"/>
              </w:rPr>
            </w:pPr>
            <w:r w:rsidRPr="00381643">
              <w:rPr>
                <w:rFonts w:asciiTheme="minorHAnsi" w:hAnsiTheme="minorHAnsi"/>
                <w:b/>
              </w:rPr>
              <w:t>Electoral Support Program Design</w:t>
            </w:r>
            <w:r w:rsidR="005111BE" w:rsidRPr="00381643">
              <w:rPr>
                <w:rFonts w:asciiTheme="minorHAnsi" w:hAnsiTheme="minorHAnsi"/>
                <w:b/>
              </w:rPr>
              <w:t xml:space="preserve"> </w:t>
            </w:r>
            <w:r w:rsidR="00791938">
              <w:rPr>
                <w:rFonts w:asciiTheme="minorHAnsi" w:hAnsiTheme="minorHAnsi"/>
              </w:rPr>
              <w:t>–</w:t>
            </w:r>
            <w:r w:rsidR="005111BE" w:rsidRPr="00791938">
              <w:rPr>
                <w:rFonts w:asciiTheme="minorHAnsi" w:hAnsiTheme="minorHAnsi"/>
              </w:rPr>
              <w:t xml:space="preserve"> t</w:t>
            </w:r>
            <w:r w:rsidR="000B76CF" w:rsidRPr="00791938">
              <w:rPr>
                <w:rFonts w:asciiTheme="minorHAnsi" w:hAnsiTheme="minorHAnsi"/>
              </w:rPr>
              <w:t xml:space="preserve">hat DFAT prepare a new investment design to guide its elections support to PNG over the future electoral cycle (2018-2022). </w:t>
            </w:r>
          </w:p>
          <w:p w:rsidR="000B76CF" w:rsidRPr="00381643" w:rsidRDefault="000B76CF" w:rsidP="003D6E7B">
            <w:pPr>
              <w:pStyle w:val="BodyText"/>
              <w:rPr>
                <w:rFonts w:asciiTheme="minorHAnsi" w:hAnsiTheme="minorHAnsi"/>
                <w:i/>
              </w:rPr>
            </w:pPr>
          </w:p>
          <w:p w:rsidR="000B76CF" w:rsidRPr="00381643" w:rsidRDefault="000B76CF" w:rsidP="003D6E7B">
            <w:pPr>
              <w:pStyle w:val="BodyText"/>
              <w:rPr>
                <w:rFonts w:asciiTheme="minorHAnsi" w:hAnsiTheme="minorHAnsi"/>
              </w:rPr>
            </w:pPr>
          </w:p>
        </w:tc>
        <w:tc>
          <w:tcPr>
            <w:tcW w:w="1663" w:type="dxa"/>
            <w:shd w:val="clear" w:color="auto" w:fill="92D050"/>
            <w:hideMark/>
          </w:tcPr>
          <w:p w:rsidR="000B76CF" w:rsidRPr="00381643" w:rsidRDefault="000B76CF"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81643">
              <w:rPr>
                <w:rFonts w:asciiTheme="minorHAnsi" w:hAnsiTheme="minorHAnsi"/>
                <w:sz w:val="22"/>
                <w:szCs w:val="22"/>
              </w:rPr>
              <w:t xml:space="preserve">Agree </w:t>
            </w:r>
          </w:p>
        </w:tc>
        <w:tc>
          <w:tcPr>
            <w:tcW w:w="2835" w:type="dxa"/>
          </w:tcPr>
          <w:p w:rsidR="000B76CF" w:rsidRPr="00381643" w:rsidRDefault="005111BE" w:rsidP="0075764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1643">
              <w:rPr>
                <w:rFonts w:asciiTheme="minorHAnsi" w:hAnsiTheme="minorHAnsi"/>
              </w:rPr>
              <w:t>DFAT’s current investment (INJ466 – Supporting Electoral Processes in PNG) is concluding.</w:t>
            </w:r>
            <w:r w:rsidR="00381643">
              <w:rPr>
                <w:rFonts w:asciiTheme="minorHAnsi" w:hAnsiTheme="minorHAnsi"/>
              </w:rPr>
              <w:t xml:space="preserve"> A new investment for the</w:t>
            </w:r>
            <w:r w:rsidR="0075764B">
              <w:rPr>
                <w:rFonts w:asciiTheme="minorHAnsi" w:hAnsiTheme="minorHAnsi"/>
              </w:rPr>
              <w:t xml:space="preserve"> future</w:t>
            </w:r>
            <w:r w:rsidR="00381643">
              <w:rPr>
                <w:rFonts w:asciiTheme="minorHAnsi" w:hAnsiTheme="minorHAnsi"/>
              </w:rPr>
              <w:t xml:space="preserve"> cycle is being developed.</w:t>
            </w:r>
          </w:p>
        </w:tc>
        <w:tc>
          <w:tcPr>
            <w:tcW w:w="2835" w:type="dxa"/>
          </w:tcPr>
          <w:p w:rsidR="00525A64" w:rsidRDefault="00525A64"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Investment design risk assessment, c</w:t>
            </w:r>
            <w:r w:rsidR="007863A0">
              <w:rPr>
                <w:rFonts w:asciiTheme="minorHAnsi" w:hAnsiTheme="minorHAnsi"/>
              </w:rPr>
              <w:t>oncept note and</w:t>
            </w:r>
            <w:r>
              <w:rPr>
                <w:rFonts w:asciiTheme="minorHAnsi" w:hAnsiTheme="minorHAnsi"/>
              </w:rPr>
              <w:t xml:space="preserve"> procurement of</w:t>
            </w:r>
            <w:r w:rsidR="007863A0">
              <w:rPr>
                <w:rFonts w:asciiTheme="minorHAnsi" w:hAnsiTheme="minorHAnsi"/>
              </w:rPr>
              <w:t xml:space="preserve"> </w:t>
            </w:r>
            <w:r w:rsidR="0075764B">
              <w:rPr>
                <w:rFonts w:asciiTheme="minorHAnsi" w:hAnsiTheme="minorHAnsi"/>
              </w:rPr>
              <w:t>design team underway.</w:t>
            </w:r>
          </w:p>
          <w:p w:rsidR="007863A0" w:rsidRDefault="007863A0"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Engagement planned with PNB, GFB and MPB.</w:t>
            </w:r>
          </w:p>
          <w:p w:rsidR="0075764B" w:rsidRPr="00381643" w:rsidRDefault="0075764B"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Key contracts to support continuity of assistance to the PNGEC will be extended to the end of the second quarter of 2019.</w:t>
            </w:r>
          </w:p>
        </w:tc>
        <w:tc>
          <w:tcPr>
            <w:tcW w:w="3832" w:type="dxa"/>
          </w:tcPr>
          <w:p w:rsidR="000B76CF" w:rsidRPr="00381643" w:rsidRDefault="00381643"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Finalise new investment design by </w:t>
            </w:r>
            <w:r w:rsidR="00490349">
              <w:rPr>
                <w:rFonts w:asciiTheme="minorHAnsi" w:hAnsiTheme="minorHAnsi"/>
              </w:rPr>
              <w:t xml:space="preserve">second quarter </w:t>
            </w:r>
            <w:r>
              <w:rPr>
                <w:rFonts w:asciiTheme="minorHAnsi" w:hAnsiTheme="minorHAnsi"/>
              </w:rPr>
              <w:t>2019.</w:t>
            </w:r>
            <w:r w:rsidR="0030755A" w:rsidRPr="00381643">
              <w:rPr>
                <w:rFonts w:asciiTheme="minorHAnsi" w:hAnsiTheme="minorHAnsi"/>
              </w:rPr>
              <w:t xml:space="preserve"> </w:t>
            </w:r>
          </w:p>
        </w:tc>
      </w:tr>
    </w:tbl>
    <w:p w:rsidR="000B76CF" w:rsidRDefault="000B76CF" w:rsidP="000B76CF">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44"/>
        <w:gridCol w:w="1531"/>
        <w:gridCol w:w="2868"/>
        <w:gridCol w:w="2835"/>
        <w:gridCol w:w="3832"/>
      </w:tblGrid>
      <w:tr w:rsidR="0030755A" w:rsidRPr="008F4A4D" w:rsidTr="00B14BD2">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4244" w:type="dxa"/>
            <w:tcBorders>
              <w:top w:val="none" w:sz="0" w:space="0" w:color="auto"/>
              <w:bottom w:val="none" w:sz="0" w:space="0" w:color="auto"/>
            </w:tcBorders>
            <w:hideMark/>
          </w:tcPr>
          <w:p w:rsidR="00AB4B36" w:rsidRPr="008A0512" w:rsidRDefault="00AB4B36" w:rsidP="001E1AD1">
            <w:pPr>
              <w:pStyle w:val="TableHeaderRow"/>
            </w:pPr>
            <w:r w:rsidRPr="008A0512">
              <w:t>Recommendation</w:t>
            </w:r>
          </w:p>
        </w:tc>
        <w:tc>
          <w:tcPr>
            <w:tcW w:w="1531" w:type="dxa"/>
            <w:tcBorders>
              <w:top w:val="none" w:sz="0" w:space="0" w:color="auto"/>
              <w:bottom w:val="none" w:sz="0" w:space="0" w:color="auto"/>
            </w:tcBorders>
            <w:hideMark/>
          </w:tcPr>
          <w:p w:rsidR="00AB4B36" w:rsidRPr="008A0512" w:rsidRDefault="00AB4B36" w:rsidP="00381643">
            <w:pPr>
              <w:pStyle w:val="TableHeaderRow"/>
              <w:cnfStyle w:val="100000000000" w:firstRow="1" w:lastRow="0" w:firstColumn="0" w:lastColumn="0" w:oddVBand="0" w:evenVBand="0" w:oddHBand="0" w:evenHBand="0" w:firstRowFirstColumn="0" w:firstRowLastColumn="0" w:lastRowFirstColumn="0" w:lastRowLastColumn="0"/>
            </w:pPr>
            <w:r w:rsidRPr="008A0512">
              <w:t>Response</w:t>
            </w:r>
          </w:p>
        </w:tc>
        <w:tc>
          <w:tcPr>
            <w:tcW w:w="2868" w:type="dxa"/>
            <w:tcBorders>
              <w:top w:val="none" w:sz="0" w:space="0" w:color="auto"/>
              <w:bottom w:val="none" w:sz="0" w:space="0" w:color="auto"/>
            </w:tcBorders>
            <w:hideMark/>
          </w:tcPr>
          <w:p w:rsidR="00AB4B36" w:rsidRPr="008A0512"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AB4B36" w:rsidRPr="008A0512" w:rsidRDefault="00AB4B36" w:rsidP="00381643">
            <w:pPr>
              <w:pStyle w:val="TableHeaderRow"/>
              <w:cnfStyle w:val="100000000000" w:firstRow="1" w:lastRow="0" w:firstColumn="0" w:lastColumn="0" w:oddVBand="0" w:evenVBand="0" w:oddHBand="0" w:evenHBand="0" w:firstRowFirstColumn="0" w:firstRowLastColumn="0" w:lastRowFirstColumn="0" w:lastRowLastColumn="0"/>
            </w:pPr>
            <w:r w:rsidRPr="008A0512">
              <w:t>Action</w:t>
            </w:r>
            <w:r w:rsidR="00381643">
              <w:t xml:space="preserve"> </w:t>
            </w:r>
            <w:r w:rsidRPr="008A0512">
              <w:t xml:space="preserve">plan </w:t>
            </w:r>
          </w:p>
        </w:tc>
        <w:tc>
          <w:tcPr>
            <w:tcW w:w="3832" w:type="dxa"/>
            <w:tcBorders>
              <w:top w:val="none" w:sz="0" w:space="0" w:color="auto"/>
              <w:bottom w:val="none" w:sz="0" w:space="0" w:color="auto"/>
            </w:tcBorders>
            <w:hideMark/>
          </w:tcPr>
          <w:p w:rsidR="00AB4B36" w:rsidRPr="00381643"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30755A" w:rsidRPr="008A0512"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4" w:type="dxa"/>
          </w:tcPr>
          <w:p w:rsidR="00AB4B36" w:rsidRPr="00381643" w:rsidRDefault="00AB4B36" w:rsidP="001E1AD1">
            <w:pPr>
              <w:rPr>
                <w:rFonts w:asciiTheme="minorHAnsi" w:hAnsiTheme="minorHAnsi"/>
                <w:u w:val="single"/>
              </w:rPr>
            </w:pPr>
            <w:r w:rsidRPr="00381643">
              <w:rPr>
                <w:rFonts w:asciiTheme="minorHAnsi" w:hAnsiTheme="minorHAnsi"/>
                <w:u w:val="single"/>
              </w:rPr>
              <w:t>Strategic Recommendation 2:</w:t>
            </w:r>
          </w:p>
          <w:p w:rsidR="00AB4B36" w:rsidRPr="00381643" w:rsidRDefault="00F35150" w:rsidP="00381643">
            <w:pPr>
              <w:rPr>
                <w:rFonts w:asciiTheme="minorHAnsi" w:hAnsiTheme="minorHAnsi"/>
                <w:b/>
              </w:rPr>
            </w:pPr>
            <w:r w:rsidRPr="00381643">
              <w:rPr>
                <w:rFonts w:asciiTheme="minorHAnsi" w:hAnsiTheme="minorHAnsi"/>
                <w:b/>
              </w:rPr>
              <w:t>Continued whole-of-cycle electoral support</w:t>
            </w:r>
            <w:r w:rsidR="00381643" w:rsidRPr="00381643">
              <w:rPr>
                <w:rFonts w:asciiTheme="minorHAnsi" w:hAnsiTheme="minorHAnsi"/>
                <w:b/>
              </w:rPr>
              <w:t xml:space="preserve"> </w:t>
            </w:r>
            <w:r w:rsidR="00E43AEF">
              <w:rPr>
                <w:rFonts w:asciiTheme="minorHAnsi" w:hAnsiTheme="minorHAnsi"/>
                <w:b/>
              </w:rPr>
              <w:t>–</w:t>
            </w:r>
            <w:r w:rsidR="00381643" w:rsidRPr="00381643">
              <w:rPr>
                <w:rFonts w:asciiTheme="minorHAnsi" w:hAnsiTheme="minorHAnsi"/>
                <w:b/>
              </w:rPr>
              <w:t xml:space="preserve"> </w:t>
            </w:r>
            <w:r w:rsidR="00381643" w:rsidRPr="00381643">
              <w:rPr>
                <w:rFonts w:asciiTheme="minorHAnsi" w:hAnsiTheme="minorHAnsi"/>
              </w:rPr>
              <w:t>A</w:t>
            </w:r>
            <w:r w:rsidRPr="00381643">
              <w:rPr>
                <w:rFonts w:asciiTheme="minorHAnsi" w:hAnsiTheme="minorHAnsi"/>
              </w:rPr>
              <w:t>ustralia should continue to provide electoral assistance to PNG</w:t>
            </w:r>
            <w:r w:rsidR="00381643" w:rsidRPr="00381643">
              <w:rPr>
                <w:rFonts w:asciiTheme="minorHAnsi" w:hAnsiTheme="minorHAnsi"/>
              </w:rPr>
              <w:t xml:space="preserve"> over the whole-of-cycle</w:t>
            </w:r>
            <w:r w:rsidRPr="00381643">
              <w:rPr>
                <w:rFonts w:asciiTheme="minorHAnsi" w:hAnsiTheme="minorHAnsi"/>
              </w:rPr>
              <w:t>.</w:t>
            </w:r>
          </w:p>
        </w:tc>
        <w:tc>
          <w:tcPr>
            <w:tcW w:w="1531" w:type="dxa"/>
            <w:shd w:val="clear" w:color="auto" w:fill="92D050"/>
            <w:hideMark/>
          </w:tcPr>
          <w:p w:rsidR="00AB4B36" w:rsidRPr="00381643" w:rsidRDefault="00AB4B36"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81643">
              <w:rPr>
                <w:rFonts w:asciiTheme="minorHAnsi" w:hAnsiTheme="minorHAnsi"/>
                <w:sz w:val="22"/>
                <w:szCs w:val="22"/>
              </w:rPr>
              <w:t xml:space="preserve">Agree </w:t>
            </w:r>
          </w:p>
        </w:tc>
        <w:tc>
          <w:tcPr>
            <w:tcW w:w="2868" w:type="dxa"/>
          </w:tcPr>
          <w:p w:rsidR="00AB4B36" w:rsidRPr="00381643" w:rsidRDefault="00381643"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1643">
              <w:rPr>
                <w:rFonts w:asciiTheme="minorHAnsi" w:hAnsiTheme="minorHAnsi"/>
              </w:rPr>
              <w:t xml:space="preserve">A whole-of-cycle approach will be </w:t>
            </w:r>
            <w:r w:rsidR="00525A64">
              <w:rPr>
                <w:rFonts w:asciiTheme="minorHAnsi" w:hAnsiTheme="minorHAnsi"/>
              </w:rPr>
              <w:t>maintained</w:t>
            </w:r>
            <w:r w:rsidRPr="00381643">
              <w:rPr>
                <w:rFonts w:asciiTheme="minorHAnsi" w:hAnsiTheme="minorHAnsi"/>
              </w:rPr>
              <w:t xml:space="preserve">, while also encouraging flexibility in response to PNG Government priorities. </w:t>
            </w:r>
          </w:p>
        </w:tc>
        <w:tc>
          <w:tcPr>
            <w:tcW w:w="2835" w:type="dxa"/>
          </w:tcPr>
          <w:p w:rsidR="00AB4B36" w:rsidRPr="00381643" w:rsidRDefault="00381643"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81643">
              <w:rPr>
                <w:rFonts w:asciiTheme="minorHAnsi" w:hAnsiTheme="minorHAnsi"/>
              </w:rPr>
              <w:t>To be reflected in 2018-2022 investment design</w:t>
            </w:r>
            <w:r w:rsidR="00525A64">
              <w:rPr>
                <w:rFonts w:asciiTheme="minorHAnsi" w:hAnsiTheme="minorHAnsi"/>
              </w:rPr>
              <w:t>, which will include investments on electoral support activities at appropriate points in the cycle.</w:t>
            </w:r>
          </w:p>
        </w:tc>
        <w:tc>
          <w:tcPr>
            <w:tcW w:w="3832" w:type="dxa"/>
          </w:tcPr>
          <w:p w:rsidR="00AB4B36" w:rsidRPr="00381643" w:rsidRDefault="00E43AEF"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Ongoing</w:t>
            </w:r>
          </w:p>
        </w:tc>
      </w:tr>
    </w:tbl>
    <w:p w:rsidR="00AB4B36" w:rsidRDefault="00AB4B36" w:rsidP="00AB4B36">
      <w:pPr>
        <w:pStyle w:val="BodyText"/>
        <w:rPr>
          <w:rFonts w:ascii="Franklin Gothic Book" w:hAnsi="Franklin Gothic Book"/>
          <w:color w:val="000000" w:themeColor="text1"/>
          <w:sz w:val="21"/>
        </w:rPr>
      </w:pPr>
    </w:p>
    <w:p w:rsidR="00AB4B36" w:rsidRDefault="00AB4B36" w:rsidP="00AB4B3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14"/>
        <w:gridCol w:w="1544"/>
        <w:gridCol w:w="2785"/>
        <w:gridCol w:w="2835"/>
        <w:gridCol w:w="3832"/>
      </w:tblGrid>
      <w:tr w:rsidR="00B14BD2" w:rsidRPr="008F4A4D" w:rsidTr="00B14BD2">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314" w:type="dxa"/>
            <w:hideMark/>
          </w:tcPr>
          <w:p w:rsidR="00AB4B36" w:rsidRPr="008A0512" w:rsidRDefault="00AB4B36" w:rsidP="001E1AD1">
            <w:pPr>
              <w:pStyle w:val="TableHeaderRow"/>
            </w:pPr>
            <w:r w:rsidRPr="008A0512">
              <w:lastRenderedPageBreak/>
              <w:t>Recommendation</w:t>
            </w:r>
          </w:p>
        </w:tc>
        <w:tc>
          <w:tcPr>
            <w:tcW w:w="1544" w:type="dxa"/>
            <w:hideMark/>
          </w:tcPr>
          <w:p w:rsidR="00AB4B36" w:rsidRPr="008A0512" w:rsidRDefault="00381643" w:rsidP="00381643">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785" w:type="dxa"/>
            <w:hideMark/>
          </w:tcPr>
          <w:p w:rsidR="00AB4B36" w:rsidRPr="008A0512"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hideMark/>
          </w:tcPr>
          <w:p w:rsidR="00AB4B36" w:rsidRPr="008A0512"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hideMark/>
          </w:tcPr>
          <w:p w:rsidR="00AB4B36" w:rsidRPr="00D808ED"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B14BD2" w:rsidRPr="008A0512" w:rsidTr="00B554A7">
        <w:trPr>
          <w:cnfStyle w:val="000000100000" w:firstRow="0" w:lastRow="0" w:firstColumn="0" w:lastColumn="0" w:oddVBand="0" w:evenVBand="0" w:oddHBand="1" w:evenHBand="0" w:firstRowFirstColumn="0" w:firstRowLastColumn="0" w:lastRowFirstColumn="0" w:lastRowLastColumn="0"/>
          <w:trHeight w:val="1857"/>
        </w:trPr>
        <w:tc>
          <w:tcPr>
            <w:cnfStyle w:val="001000000000" w:firstRow="0" w:lastRow="0" w:firstColumn="1" w:lastColumn="0" w:oddVBand="0" w:evenVBand="0" w:oddHBand="0" w:evenHBand="0" w:firstRowFirstColumn="0" w:firstRowLastColumn="0" w:lastRowFirstColumn="0" w:lastRowLastColumn="0"/>
            <w:tcW w:w="4314" w:type="dxa"/>
          </w:tcPr>
          <w:p w:rsidR="00AB4B36" w:rsidRPr="00D808ED" w:rsidRDefault="00AB4B36" w:rsidP="001E1AD1">
            <w:pPr>
              <w:rPr>
                <w:rFonts w:asciiTheme="minorHAnsi" w:hAnsiTheme="minorHAnsi"/>
                <w:u w:val="single"/>
              </w:rPr>
            </w:pPr>
            <w:r w:rsidRPr="00D808ED">
              <w:rPr>
                <w:rFonts w:asciiTheme="minorHAnsi" w:hAnsiTheme="minorHAnsi"/>
                <w:u w:val="single"/>
              </w:rPr>
              <w:t>Strategic Recommendation</w:t>
            </w:r>
            <w:r w:rsidR="00F35150" w:rsidRPr="00D808ED">
              <w:rPr>
                <w:rFonts w:asciiTheme="minorHAnsi" w:hAnsiTheme="minorHAnsi"/>
                <w:u w:val="single"/>
              </w:rPr>
              <w:t xml:space="preserve"> 3</w:t>
            </w:r>
            <w:r w:rsidRPr="00D808ED">
              <w:rPr>
                <w:rFonts w:asciiTheme="minorHAnsi" w:hAnsiTheme="minorHAnsi"/>
                <w:u w:val="single"/>
              </w:rPr>
              <w:t>:</w:t>
            </w:r>
          </w:p>
          <w:p w:rsidR="00AB4B36" w:rsidRPr="00D808ED" w:rsidRDefault="00F35150" w:rsidP="00D808ED">
            <w:pPr>
              <w:rPr>
                <w:rFonts w:asciiTheme="minorHAnsi" w:hAnsiTheme="minorHAnsi"/>
                <w:b/>
              </w:rPr>
            </w:pPr>
            <w:r w:rsidRPr="00D808ED">
              <w:rPr>
                <w:rFonts w:asciiTheme="minorHAnsi" w:hAnsiTheme="minorHAnsi"/>
                <w:b/>
              </w:rPr>
              <w:t>AEC-PNG Twinning Program</w:t>
            </w:r>
            <w:r w:rsidR="00D808ED" w:rsidRPr="00D808ED">
              <w:rPr>
                <w:rFonts w:asciiTheme="minorHAnsi" w:hAnsiTheme="minorHAnsi"/>
                <w:b/>
              </w:rPr>
              <w:t xml:space="preserve"> </w:t>
            </w:r>
            <w:r w:rsidR="00E43AEF">
              <w:rPr>
                <w:rFonts w:asciiTheme="minorHAnsi" w:hAnsiTheme="minorHAnsi"/>
                <w:b/>
              </w:rPr>
              <w:t>–</w:t>
            </w:r>
            <w:r w:rsidR="00D808ED" w:rsidRPr="00D808ED">
              <w:rPr>
                <w:rFonts w:asciiTheme="minorHAnsi" w:hAnsiTheme="minorHAnsi"/>
                <w:b/>
              </w:rPr>
              <w:t xml:space="preserve"> </w:t>
            </w:r>
            <w:r w:rsidR="00E43AEF" w:rsidRPr="00E43AEF">
              <w:rPr>
                <w:rFonts w:asciiTheme="minorHAnsi" w:hAnsiTheme="minorHAnsi"/>
              </w:rPr>
              <w:t>i</w:t>
            </w:r>
            <w:r w:rsidRPr="00E43AEF">
              <w:rPr>
                <w:rFonts w:asciiTheme="minorHAnsi" w:hAnsiTheme="minorHAnsi"/>
              </w:rPr>
              <w:t>nclusion of the A</w:t>
            </w:r>
            <w:r w:rsidR="00D808ED" w:rsidRPr="00E43AEF">
              <w:rPr>
                <w:rFonts w:asciiTheme="minorHAnsi" w:hAnsiTheme="minorHAnsi"/>
              </w:rPr>
              <w:t xml:space="preserve">ustralian Electoral Commission </w:t>
            </w:r>
            <w:r w:rsidRPr="00E43AEF">
              <w:rPr>
                <w:rFonts w:asciiTheme="minorHAnsi" w:hAnsiTheme="minorHAnsi"/>
              </w:rPr>
              <w:t>as a partner in the Institutional Partnersh</w:t>
            </w:r>
            <w:r w:rsidR="00D808ED" w:rsidRPr="00E43AEF">
              <w:rPr>
                <w:rFonts w:asciiTheme="minorHAnsi" w:hAnsiTheme="minorHAnsi"/>
              </w:rPr>
              <w:t>ips Program (IPP).</w:t>
            </w:r>
          </w:p>
          <w:p w:rsidR="00AB4B36" w:rsidRPr="00D808ED" w:rsidRDefault="00AB4B36" w:rsidP="001E1AD1">
            <w:pPr>
              <w:pStyle w:val="BodyText"/>
              <w:rPr>
                <w:rFonts w:asciiTheme="minorHAnsi" w:hAnsiTheme="minorHAnsi"/>
              </w:rPr>
            </w:pPr>
          </w:p>
        </w:tc>
        <w:tc>
          <w:tcPr>
            <w:tcW w:w="1544" w:type="dxa"/>
            <w:shd w:val="clear" w:color="auto" w:fill="92D050"/>
            <w:hideMark/>
          </w:tcPr>
          <w:p w:rsidR="00AB4B36" w:rsidRPr="00D808ED" w:rsidRDefault="00AB4B36"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808ED">
              <w:rPr>
                <w:rFonts w:asciiTheme="minorHAnsi" w:hAnsiTheme="minorHAnsi"/>
                <w:sz w:val="22"/>
                <w:szCs w:val="22"/>
              </w:rPr>
              <w:t xml:space="preserve">Agree </w:t>
            </w:r>
          </w:p>
        </w:tc>
        <w:tc>
          <w:tcPr>
            <w:tcW w:w="2785" w:type="dxa"/>
          </w:tcPr>
          <w:p w:rsidR="00AB4B36" w:rsidRPr="00D808ED" w:rsidRDefault="00D808ED"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808ED">
              <w:rPr>
                <w:rFonts w:asciiTheme="minorHAnsi" w:hAnsiTheme="minorHAnsi"/>
              </w:rPr>
              <w:t>DFAT agrees there would be value integrati</w:t>
            </w:r>
            <w:r w:rsidR="00525A64">
              <w:rPr>
                <w:rFonts w:asciiTheme="minorHAnsi" w:hAnsiTheme="minorHAnsi"/>
              </w:rPr>
              <w:t xml:space="preserve">ng </w:t>
            </w:r>
            <w:r w:rsidRPr="00D808ED">
              <w:rPr>
                <w:rFonts w:asciiTheme="minorHAnsi" w:hAnsiTheme="minorHAnsi"/>
              </w:rPr>
              <w:t xml:space="preserve">the twinning </w:t>
            </w:r>
            <w:r w:rsidR="00525A64">
              <w:rPr>
                <w:rFonts w:asciiTheme="minorHAnsi" w:hAnsiTheme="minorHAnsi"/>
              </w:rPr>
              <w:t xml:space="preserve">element of the </w:t>
            </w:r>
            <w:r w:rsidRPr="00D808ED">
              <w:rPr>
                <w:rFonts w:asciiTheme="minorHAnsi" w:hAnsiTheme="minorHAnsi"/>
              </w:rPr>
              <w:t xml:space="preserve">program into </w:t>
            </w:r>
            <w:r w:rsidR="00F93C0A">
              <w:rPr>
                <w:rFonts w:asciiTheme="minorHAnsi" w:hAnsiTheme="minorHAnsi"/>
              </w:rPr>
              <w:t xml:space="preserve">the </w:t>
            </w:r>
            <w:r w:rsidRPr="00D808ED">
              <w:rPr>
                <w:rFonts w:asciiTheme="minorHAnsi" w:hAnsiTheme="minorHAnsi"/>
              </w:rPr>
              <w:t>IPP</w:t>
            </w:r>
            <w:r w:rsidR="007863A0">
              <w:rPr>
                <w:rFonts w:asciiTheme="minorHAnsi" w:hAnsiTheme="minorHAnsi"/>
              </w:rPr>
              <w:t xml:space="preserve">. Coordination between DFAT and </w:t>
            </w:r>
            <w:r w:rsidRPr="00D808ED">
              <w:rPr>
                <w:rFonts w:asciiTheme="minorHAnsi" w:hAnsiTheme="minorHAnsi"/>
              </w:rPr>
              <w:t>AEC</w:t>
            </w:r>
            <w:r w:rsidR="007863A0">
              <w:rPr>
                <w:rFonts w:asciiTheme="minorHAnsi" w:hAnsiTheme="minorHAnsi"/>
              </w:rPr>
              <w:t xml:space="preserve"> </w:t>
            </w:r>
            <w:r w:rsidR="00525A64">
              <w:rPr>
                <w:rFonts w:asciiTheme="minorHAnsi" w:hAnsiTheme="minorHAnsi"/>
              </w:rPr>
              <w:t xml:space="preserve">is </w:t>
            </w:r>
            <w:r w:rsidR="007863A0">
              <w:rPr>
                <w:rFonts w:asciiTheme="minorHAnsi" w:hAnsiTheme="minorHAnsi"/>
              </w:rPr>
              <w:t>now taking place</w:t>
            </w:r>
            <w:r w:rsidRPr="00D808ED">
              <w:rPr>
                <w:rFonts w:asciiTheme="minorHAnsi" w:hAnsiTheme="minorHAnsi"/>
              </w:rPr>
              <w:t>.</w:t>
            </w:r>
          </w:p>
        </w:tc>
        <w:tc>
          <w:tcPr>
            <w:tcW w:w="2835" w:type="dxa"/>
          </w:tcPr>
          <w:p w:rsidR="00AB4B36" w:rsidRPr="00D808ED" w:rsidRDefault="00D808ED"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808ED">
              <w:rPr>
                <w:rFonts w:asciiTheme="minorHAnsi" w:hAnsiTheme="minorHAnsi"/>
              </w:rPr>
              <w:t>To be progressed by DFAT and AEC and reflected in 2018-2022 investment design</w:t>
            </w:r>
            <w:r w:rsidR="009D58BF">
              <w:rPr>
                <w:rFonts w:asciiTheme="minorHAnsi" w:hAnsiTheme="minorHAnsi"/>
              </w:rPr>
              <w:t>.</w:t>
            </w:r>
          </w:p>
        </w:tc>
        <w:tc>
          <w:tcPr>
            <w:tcW w:w="3832" w:type="dxa"/>
          </w:tcPr>
          <w:p w:rsidR="00AB4B36" w:rsidRPr="00D808ED" w:rsidRDefault="00525A64" w:rsidP="00525A6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1 July </w:t>
            </w:r>
            <w:r w:rsidR="007863A0">
              <w:rPr>
                <w:rFonts w:asciiTheme="minorHAnsi" w:hAnsiTheme="minorHAnsi"/>
              </w:rPr>
              <w:t>2019</w:t>
            </w:r>
          </w:p>
        </w:tc>
      </w:tr>
    </w:tbl>
    <w:p w:rsidR="00AB4B36" w:rsidRDefault="00AB4B36" w:rsidP="00AB4B3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14"/>
        <w:gridCol w:w="1544"/>
        <w:gridCol w:w="2785"/>
        <w:gridCol w:w="2835"/>
        <w:gridCol w:w="3832"/>
      </w:tblGrid>
      <w:tr w:rsidR="00AB4B36" w:rsidRPr="008F4A4D" w:rsidTr="00B14BD2">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314" w:type="dxa"/>
            <w:tcBorders>
              <w:top w:val="none" w:sz="0" w:space="0" w:color="auto"/>
              <w:bottom w:val="none" w:sz="0" w:space="0" w:color="auto"/>
            </w:tcBorders>
            <w:hideMark/>
          </w:tcPr>
          <w:p w:rsidR="00AB4B36" w:rsidRPr="008A0512" w:rsidRDefault="00AB4B36" w:rsidP="001E1AD1">
            <w:pPr>
              <w:pStyle w:val="TableHeaderRow"/>
            </w:pPr>
            <w:r w:rsidRPr="008A0512">
              <w:t>Recommendation</w:t>
            </w:r>
          </w:p>
        </w:tc>
        <w:tc>
          <w:tcPr>
            <w:tcW w:w="1544" w:type="dxa"/>
            <w:tcBorders>
              <w:top w:val="none" w:sz="0" w:space="0" w:color="auto"/>
              <w:bottom w:val="none" w:sz="0" w:space="0" w:color="auto"/>
            </w:tcBorders>
            <w:hideMark/>
          </w:tcPr>
          <w:p w:rsidR="00AB4B36" w:rsidRPr="008A0512" w:rsidRDefault="00D808ED" w:rsidP="00D808ED">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785" w:type="dxa"/>
            <w:tcBorders>
              <w:top w:val="none" w:sz="0" w:space="0" w:color="auto"/>
              <w:bottom w:val="none" w:sz="0" w:space="0" w:color="auto"/>
            </w:tcBorders>
            <w:hideMark/>
          </w:tcPr>
          <w:p w:rsidR="00AB4B36" w:rsidRPr="008A0512"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AB4B36" w:rsidRPr="008A0512"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AB4B36" w:rsidRPr="00D808ED" w:rsidRDefault="00AB4B36"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AB4B36" w:rsidRPr="008A0512" w:rsidTr="00525A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4" w:type="dxa"/>
          </w:tcPr>
          <w:p w:rsidR="00AB4B36" w:rsidRPr="009D58BF" w:rsidRDefault="00AB4B36" w:rsidP="001E1AD1">
            <w:pPr>
              <w:rPr>
                <w:rFonts w:asciiTheme="minorHAnsi" w:hAnsiTheme="minorHAnsi"/>
                <w:u w:val="single"/>
              </w:rPr>
            </w:pPr>
            <w:r w:rsidRPr="009D58BF">
              <w:rPr>
                <w:rFonts w:asciiTheme="minorHAnsi" w:hAnsiTheme="minorHAnsi"/>
                <w:u w:val="single"/>
              </w:rPr>
              <w:t>Strategic Recommendation</w:t>
            </w:r>
            <w:r w:rsidR="00065814" w:rsidRPr="009D58BF">
              <w:rPr>
                <w:rFonts w:asciiTheme="minorHAnsi" w:hAnsiTheme="minorHAnsi"/>
                <w:u w:val="single"/>
              </w:rPr>
              <w:t xml:space="preserve"> 4</w:t>
            </w:r>
            <w:r w:rsidRPr="009D58BF">
              <w:rPr>
                <w:rFonts w:asciiTheme="minorHAnsi" w:hAnsiTheme="minorHAnsi"/>
                <w:u w:val="single"/>
              </w:rPr>
              <w:t>:</w:t>
            </w:r>
          </w:p>
          <w:p w:rsidR="00065814" w:rsidRPr="009D58BF" w:rsidRDefault="00065814" w:rsidP="00D808ED">
            <w:pPr>
              <w:rPr>
                <w:rFonts w:asciiTheme="minorHAnsi" w:hAnsiTheme="minorHAnsi"/>
                <w:b/>
              </w:rPr>
            </w:pPr>
            <w:r w:rsidRPr="009D58BF">
              <w:rPr>
                <w:rFonts w:asciiTheme="minorHAnsi" w:hAnsiTheme="minorHAnsi"/>
                <w:b/>
              </w:rPr>
              <w:t>Specialist Election Expertise</w:t>
            </w:r>
            <w:r w:rsidR="00D808ED" w:rsidRPr="009D58BF">
              <w:rPr>
                <w:rFonts w:asciiTheme="minorHAnsi" w:hAnsiTheme="minorHAnsi"/>
                <w:b/>
              </w:rPr>
              <w:t xml:space="preserve"> </w:t>
            </w:r>
            <w:r w:rsidR="00791938">
              <w:rPr>
                <w:rFonts w:asciiTheme="minorHAnsi" w:hAnsiTheme="minorHAnsi"/>
                <w:b/>
              </w:rPr>
              <w:t>–</w:t>
            </w:r>
            <w:r w:rsidR="00D808ED" w:rsidRPr="009D58BF">
              <w:rPr>
                <w:rFonts w:asciiTheme="minorHAnsi" w:hAnsiTheme="minorHAnsi"/>
                <w:b/>
              </w:rPr>
              <w:t xml:space="preserve"> </w:t>
            </w:r>
            <w:r w:rsidRPr="00791938">
              <w:rPr>
                <w:rFonts w:asciiTheme="minorHAnsi" w:hAnsiTheme="minorHAnsi"/>
              </w:rPr>
              <w:t>DFAT should build its expertise within the governance unit in order to maintain its knowledge</w:t>
            </w:r>
            <w:r w:rsidRPr="009D58BF">
              <w:rPr>
                <w:rFonts w:asciiTheme="minorHAnsi" w:hAnsiTheme="minorHAnsi"/>
              </w:rPr>
              <w:t xml:space="preserve"> base in the area of electoral support to PNG.</w:t>
            </w:r>
            <w:r w:rsidRPr="009D58BF">
              <w:rPr>
                <w:rFonts w:asciiTheme="minorHAnsi" w:hAnsiTheme="minorHAnsi"/>
                <w:b/>
              </w:rPr>
              <w:t xml:space="preserve"> </w:t>
            </w:r>
          </w:p>
          <w:p w:rsidR="00AB4B36" w:rsidRPr="009D58BF" w:rsidRDefault="00AB4B36" w:rsidP="001E1AD1">
            <w:pPr>
              <w:pStyle w:val="BodyText"/>
              <w:rPr>
                <w:rFonts w:asciiTheme="minorHAnsi" w:hAnsiTheme="minorHAnsi"/>
              </w:rPr>
            </w:pPr>
          </w:p>
          <w:p w:rsidR="00AB4B36" w:rsidRPr="009D58BF" w:rsidRDefault="00AB4B36" w:rsidP="001E1AD1">
            <w:pPr>
              <w:pStyle w:val="BodyText"/>
              <w:rPr>
                <w:rFonts w:asciiTheme="minorHAnsi" w:hAnsiTheme="minorHAnsi"/>
              </w:rPr>
            </w:pPr>
          </w:p>
        </w:tc>
        <w:tc>
          <w:tcPr>
            <w:tcW w:w="1544" w:type="dxa"/>
            <w:shd w:val="clear" w:color="auto" w:fill="FFC000" w:themeFill="accent4"/>
            <w:hideMark/>
          </w:tcPr>
          <w:p w:rsidR="00AB4B36" w:rsidRPr="009D58BF" w:rsidRDefault="00AB4B36"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D58BF">
              <w:rPr>
                <w:rFonts w:asciiTheme="minorHAnsi" w:hAnsiTheme="minorHAnsi"/>
                <w:sz w:val="22"/>
                <w:szCs w:val="22"/>
              </w:rPr>
              <w:t xml:space="preserve">Agree </w:t>
            </w:r>
            <w:r w:rsidR="00525A64">
              <w:rPr>
                <w:rFonts w:asciiTheme="minorHAnsi" w:hAnsiTheme="minorHAnsi"/>
                <w:sz w:val="22"/>
                <w:szCs w:val="22"/>
              </w:rPr>
              <w:t>in part</w:t>
            </w:r>
          </w:p>
        </w:tc>
        <w:tc>
          <w:tcPr>
            <w:tcW w:w="2785" w:type="dxa"/>
          </w:tcPr>
          <w:p w:rsidR="00B554A7" w:rsidRPr="009D58BF" w:rsidRDefault="009D58BF" w:rsidP="0075764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58BF">
              <w:rPr>
                <w:rFonts w:asciiTheme="minorHAnsi" w:hAnsiTheme="minorHAnsi"/>
              </w:rPr>
              <w:t>DFAT</w:t>
            </w:r>
            <w:r w:rsidR="00D808ED" w:rsidRPr="009D58BF">
              <w:rPr>
                <w:rFonts w:asciiTheme="minorHAnsi" w:hAnsiTheme="minorHAnsi"/>
              </w:rPr>
              <w:t xml:space="preserve"> </w:t>
            </w:r>
            <w:r w:rsidR="00525A64">
              <w:rPr>
                <w:rFonts w:asciiTheme="minorHAnsi" w:hAnsiTheme="minorHAnsi"/>
              </w:rPr>
              <w:t xml:space="preserve">has central electoral expertise in </w:t>
            </w:r>
            <w:r w:rsidR="00B554A7">
              <w:rPr>
                <w:rFonts w:asciiTheme="minorHAnsi" w:hAnsiTheme="minorHAnsi"/>
              </w:rPr>
              <w:t xml:space="preserve">Development Policy Division, </w:t>
            </w:r>
            <w:r w:rsidR="00525A64">
              <w:rPr>
                <w:rFonts w:asciiTheme="minorHAnsi" w:hAnsiTheme="minorHAnsi"/>
              </w:rPr>
              <w:t xml:space="preserve">augmented by officers in </w:t>
            </w:r>
            <w:r w:rsidRPr="009D58BF">
              <w:rPr>
                <w:rFonts w:asciiTheme="minorHAnsi" w:hAnsiTheme="minorHAnsi"/>
              </w:rPr>
              <w:t>Pacific Division (</w:t>
            </w:r>
            <w:r w:rsidR="00D808ED" w:rsidRPr="009D58BF">
              <w:rPr>
                <w:rFonts w:asciiTheme="minorHAnsi" w:hAnsiTheme="minorHAnsi"/>
              </w:rPr>
              <w:t>Canberra</w:t>
            </w:r>
            <w:r w:rsidRPr="009D58BF">
              <w:rPr>
                <w:rFonts w:asciiTheme="minorHAnsi" w:hAnsiTheme="minorHAnsi"/>
              </w:rPr>
              <w:t>)</w:t>
            </w:r>
            <w:r w:rsidR="00D808ED" w:rsidRPr="009D58BF">
              <w:rPr>
                <w:rFonts w:asciiTheme="minorHAnsi" w:hAnsiTheme="minorHAnsi"/>
              </w:rPr>
              <w:t xml:space="preserve"> and </w:t>
            </w:r>
            <w:r w:rsidR="00525A64">
              <w:rPr>
                <w:rFonts w:asciiTheme="minorHAnsi" w:hAnsiTheme="minorHAnsi"/>
              </w:rPr>
              <w:t xml:space="preserve">at the </w:t>
            </w:r>
            <w:r w:rsidRPr="009D58BF">
              <w:rPr>
                <w:rFonts w:asciiTheme="minorHAnsi" w:hAnsiTheme="minorHAnsi"/>
              </w:rPr>
              <w:t>High Commission (</w:t>
            </w:r>
            <w:r w:rsidR="00D808ED" w:rsidRPr="009D58BF">
              <w:rPr>
                <w:rFonts w:asciiTheme="minorHAnsi" w:hAnsiTheme="minorHAnsi"/>
              </w:rPr>
              <w:t>Port Moresby</w:t>
            </w:r>
            <w:r w:rsidRPr="009D58BF">
              <w:rPr>
                <w:rFonts w:asciiTheme="minorHAnsi" w:hAnsiTheme="minorHAnsi"/>
              </w:rPr>
              <w:t>)</w:t>
            </w:r>
            <w:r w:rsidR="00525A64">
              <w:rPr>
                <w:rFonts w:asciiTheme="minorHAnsi" w:hAnsiTheme="minorHAnsi"/>
              </w:rPr>
              <w:t xml:space="preserve">. </w:t>
            </w:r>
            <w:r w:rsidR="0075764B">
              <w:rPr>
                <w:rFonts w:asciiTheme="minorHAnsi" w:hAnsiTheme="minorHAnsi"/>
              </w:rPr>
              <w:t xml:space="preserve">Our partnership with the AEC is designed to augment and enhance Australian Government expertise in this portfolio. </w:t>
            </w:r>
            <w:r w:rsidR="00B554A7">
              <w:rPr>
                <w:rFonts w:asciiTheme="minorHAnsi" w:hAnsiTheme="minorHAnsi"/>
              </w:rPr>
              <w:t xml:space="preserve">Consistent with past practice, greater staffing resources will be dedicated to </w:t>
            </w:r>
            <w:r w:rsidR="00090958">
              <w:rPr>
                <w:rFonts w:asciiTheme="minorHAnsi" w:hAnsiTheme="minorHAnsi"/>
              </w:rPr>
              <w:t xml:space="preserve">the </w:t>
            </w:r>
            <w:r w:rsidR="00B554A7">
              <w:rPr>
                <w:rFonts w:asciiTheme="minorHAnsi" w:hAnsiTheme="minorHAnsi"/>
              </w:rPr>
              <w:t>election</w:t>
            </w:r>
            <w:r w:rsidR="00090958">
              <w:rPr>
                <w:rFonts w:asciiTheme="minorHAnsi" w:hAnsiTheme="minorHAnsi"/>
              </w:rPr>
              <w:t xml:space="preserve"> </w:t>
            </w:r>
            <w:r w:rsidR="00B554A7">
              <w:rPr>
                <w:rFonts w:asciiTheme="minorHAnsi" w:hAnsiTheme="minorHAnsi"/>
              </w:rPr>
              <w:t>s</w:t>
            </w:r>
            <w:r w:rsidR="00090958">
              <w:rPr>
                <w:rFonts w:asciiTheme="minorHAnsi" w:hAnsiTheme="minorHAnsi"/>
              </w:rPr>
              <w:t>upport program</w:t>
            </w:r>
            <w:r w:rsidR="00B554A7">
              <w:rPr>
                <w:rFonts w:asciiTheme="minorHAnsi" w:hAnsiTheme="minorHAnsi"/>
              </w:rPr>
              <w:t xml:space="preserve"> in the lead up to the 2022 national election.</w:t>
            </w:r>
          </w:p>
        </w:tc>
        <w:tc>
          <w:tcPr>
            <w:tcW w:w="2835" w:type="dxa"/>
          </w:tcPr>
          <w:p w:rsidR="00AB4B36" w:rsidRPr="009D58BF" w:rsidRDefault="009D58BF" w:rsidP="00D869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58BF">
              <w:rPr>
                <w:rFonts w:asciiTheme="minorHAnsi" w:hAnsiTheme="minorHAnsi"/>
              </w:rPr>
              <w:t xml:space="preserve">Officers to continue to </w:t>
            </w:r>
            <w:r w:rsidR="00A7345F">
              <w:rPr>
                <w:rFonts w:asciiTheme="minorHAnsi" w:hAnsiTheme="minorHAnsi"/>
              </w:rPr>
              <w:t xml:space="preserve">build expertise and </w:t>
            </w:r>
            <w:r w:rsidR="00D8698A">
              <w:rPr>
                <w:rFonts w:asciiTheme="minorHAnsi" w:hAnsiTheme="minorHAnsi"/>
              </w:rPr>
              <w:t>deepen relationships with PNGEC and key stakeholders and ensure</w:t>
            </w:r>
            <w:r w:rsidRPr="009D58BF">
              <w:rPr>
                <w:rFonts w:asciiTheme="minorHAnsi" w:hAnsiTheme="minorHAnsi"/>
              </w:rPr>
              <w:t xml:space="preserve"> effective handovers to future </w:t>
            </w:r>
            <w:r w:rsidR="00D8698A">
              <w:rPr>
                <w:rFonts w:asciiTheme="minorHAnsi" w:hAnsiTheme="minorHAnsi"/>
              </w:rPr>
              <w:t>program managers</w:t>
            </w:r>
            <w:r w:rsidRPr="009D58BF">
              <w:rPr>
                <w:rFonts w:asciiTheme="minorHAnsi" w:hAnsiTheme="minorHAnsi"/>
              </w:rPr>
              <w:t>.</w:t>
            </w:r>
          </w:p>
        </w:tc>
        <w:tc>
          <w:tcPr>
            <w:tcW w:w="3832" w:type="dxa"/>
          </w:tcPr>
          <w:p w:rsidR="00AB4B36" w:rsidRPr="009D58BF" w:rsidRDefault="009D58BF"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D58BF">
              <w:rPr>
                <w:rFonts w:asciiTheme="minorHAnsi" w:hAnsiTheme="minorHAnsi"/>
              </w:rPr>
              <w:t>Ongoing</w:t>
            </w:r>
          </w:p>
        </w:tc>
      </w:tr>
    </w:tbl>
    <w:p w:rsidR="00AB4B36" w:rsidRDefault="00AB4B36" w:rsidP="00AB4B36">
      <w:pPr>
        <w:pStyle w:val="BodyText"/>
        <w:rPr>
          <w:rFonts w:ascii="Franklin Gothic Book" w:hAnsi="Franklin Gothic Book"/>
          <w:color w:val="000000" w:themeColor="text1"/>
          <w:sz w:val="21"/>
        </w:rPr>
      </w:pPr>
    </w:p>
    <w:p w:rsidR="00B14BD2" w:rsidRDefault="00B14BD2" w:rsidP="00AB4B36">
      <w:pPr>
        <w:pStyle w:val="BodyText"/>
        <w:rPr>
          <w:rFonts w:ascii="Franklin Gothic Book" w:hAnsi="Franklin Gothic Book"/>
          <w:color w:val="000000" w:themeColor="text1"/>
          <w:sz w:val="21"/>
        </w:rPr>
      </w:pPr>
    </w:p>
    <w:p w:rsidR="00B14BD2" w:rsidRDefault="00B14BD2" w:rsidP="00AB4B3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14"/>
        <w:gridCol w:w="1635"/>
        <w:gridCol w:w="2694"/>
        <w:gridCol w:w="2835"/>
        <w:gridCol w:w="3832"/>
      </w:tblGrid>
      <w:tr w:rsidR="00065814" w:rsidRPr="008F4A4D" w:rsidTr="00B14BD2">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314" w:type="dxa"/>
            <w:tcBorders>
              <w:top w:val="none" w:sz="0" w:space="0" w:color="auto"/>
              <w:bottom w:val="none" w:sz="0" w:space="0" w:color="auto"/>
            </w:tcBorders>
            <w:hideMark/>
          </w:tcPr>
          <w:p w:rsidR="00065814" w:rsidRPr="008A0512" w:rsidRDefault="00065814" w:rsidP="001E1AD1">
            <w:pPr>
              <w:pStyle w:val="TableHeaderRow"/>
            </w:pPr>
            <w:r w:rsidRPr="008A0512">
              <w:t>Recommendation</w:t>
            </w:r>
          </w:p>
        </w:tc>
        <w:tc>
          <w:tcPr>
            <w:tcW w:w="1635" w:type="dxa"/>
            <w:tcBorders>
              <w:top w:val="none" w:sz="0" w:space="0" w:color="auto"/>
              <w:bottom w:val="none" w:sz="0" w:space="0" w:color="auto"/>
            </w:tcBorders>
            <w:hideMark/>
          </w:tcPr>
          <w:p w:rsidR="00065814" w:rsidRPr="008A0512" w:rsidRDefault="00F11B3D" w:rsidP="00F11B3D">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694" w:type="dxa"/>
            <w:tcBorders>
              <w:top w:val="none" w:sz="0" w:space="0" w:color="auto"/>
              <w:bottom w:val="none" w:sz="0" w:space="0" w:color="auto"/>
            </w:tcBorders>
            <w:hideMark/>
          </w:tcPr>
          <w:p w:rsidR="00065814" w:rsidRPr="008A0512" w:rsidRDefault="00065814"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065814" w:rsidRPr="008A0512" w:rsidRDefault="00065814"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065814" w:rsidRPr="00F11B3D" w:rsidRDefault="00065814" w:rsidP="00F11B3D">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065814" w:rsidRPr="008A0512"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4" w:type="dxa"/>
          </w:tcPr>
          <w:p w:rsidR="00065814" w:rsidRPr="00F93C0A" w:rsidRDefault="00065814" w:rsidP="001E1AD1">
            <w:pPr>
              <w:rPr>
                <w:rFonts w:asciiTheme="minorHAnsi" w:hAnsiTheme="minorHAnsi"/>
                <w:u w:val="single"/>
              </w:rPr>
            </w:pPr>
            <w:r w:rsidRPr="00F93C0A">
              <w:rPr>
                <w:rFonts w:asciiTheme="minorHAnsi" w:hAnsiTheme="minorHAnsi"/>
                <w:u w:val="single"/>
              </w:rPr>
              <w:t>Strategic Recommendation 5:</w:t>
            </w:r>
          </w:p>
          <w:p w:rsidR="00065814" w:rsidRPr="00F11B3D" w:rsidRDefault="009D58BF" w:rsidP="009D58BF">
            <w:pPr>
              <w:rPr>
                <w:rFonts w:asciiTheme="minorHAnsi" w:hAnsiTheme="minorHAnsi"/>
                <w:b/>
              </w:rPr>
            </w:pPr>
            <w:r w:rsidRPr="00F11B3D">
              <w:rPr>
                <w:rFonts w:asciiTheme="minorHAnsi" w:hAnsiTheme="minorHAnsi"/>
                <w:b/>
              </w:rPr>
              <w:t>Enhanced co</w:t>
            </w:r>
            <w:r w:rsidR="00065814" w:rsidRPr="00F11B3D">
              <w:rPr>
                <w:rFonts w:asciiTheme="minorHAnsi" w:hAnsiTheme="minorHAnsi"/>
                <w:b/>
              </w:rPr>
              <w:t>ordination and consolidation</w:t>
            </w:r>
            <w:r w:rsidRPr="00F11B3D">
              <w:rPr>
                <w:rFonts w:asciiTheme="minorHAnsi" w:hAnsiTheme="minorHAnsi"/>
                <w:b/>
              </w:rPr>
              <w:t xml:space="preserve"> </w:t>
            </w:r>
            <w:r w:rsidR="00E43AEF">
              <w:rPr>
                <w:rFonts w:asciiTheme="minorHAnsi" w:hAnsiTheme="minorHAnsi"/>
                <w:b/>
              </w:rPr>
              <w:t>–</w:t>
            </w:r>
            <w:r w:rsidRPr="00F11B3D">
              <w:rPr>
                <w:rFonts w:asciiTheme="minorHAnsi" w:hAnsiTheme="minorHAnsi"/>
                <w:b/>
              </w:rPr>
              <w:t xml:space="preserve"> </w:t>
            </w:r>
            <w:r w:rsidRPr="00E43AEF">
              <w:rPr>
                <w:rFonts w:asciiTheme="minorHAnsi" w:hAnsiTheme="minorHAnsi"/>
              </w:rPr>
              <w:t>c</w:t>
            </w:r>
            <w:r w:rsidR="00065814" w:rsidRPr="00E43AEF">
              <w:rPr>
                <w:rFonts w:asciiTheme="minorHAnsi" w:hAnsiTheme="minorHAnsi"/>
              </w:rPr>
              <w:t>onsolidat</w:t>
            </w:r>
            <w:r w:rsidRPr="00E43AEF">
              <w:rPr>
                <w:rFonts w:asciiTheme="minorHAnsi" w:hAnsiTheme="minorHAnsi"/>
              </w:rPr>
              <w:t>e</w:t>
            </w:r>
            <w:r w:rsidR="00065814" w:rsidRPr="00E43AEF">
              <w:rPr>
                <w:rFonts w:asciiTheme="minorHAnsi" w:hAnsiTheme="minorHAnsi"/>
              </w:rPr>
              <w:t xml:space="preserve"> management arrangements for the various electoral support modalities</w:t>
            </w:r>
            <w:r w:rsidR="00E43AEF">
              <w:rPr>
                <w:rFonts w:asciiTheme="minorHAnsi" w:hAnsiTheme="minorHAnsi"/>
              </w:rPr>
              <w:t>.</w:t>
            </w:r>
          </w:p>
          <w:p w:rsidR="00065814" w:rsidRPr="00F11B3D" w:rsidRDefault="00065814" w:rsidP="001E1AD1">
            <w:pPr>
              <w:pStyle w:val="BodyText"/>
              <w:rPr>
                <w:rFonts w:asciiTheme="minorHAnsi" w:hAnsiTheme="minorHAnsi"/>
              </w:rPr>
            </w:pPr>
          </w:p>
        </w:tc>
        <w:tc>
          <w:tcPr>
            <w:tcW w:w="1635" w:type="dxa"/>
            <w:shd w:val="clear" w:color="auto" w:fill="FFC000"/>
            <w:hideMark/>
          </w:tcPr>
          <w:p w:rsidR="00065814" w:rsidRPr="00F11B3D" w:rsidRDefault="00065814"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F11B3D">
              <w:rPr>
                <w:rFonts w:asciiTheme="minorHAnsi" w:hAnsiTheme="minorHAnsi"/>
                <w:sz w:val="22"/>
                <w:szCs w:val="22"/>
              </w:rPr>
              <w:t xml:space="preserve">Agree </w:t>
            </w:r>
            <w:r w:rsidR="009D58BF" w:rsidRPr="00F11B3D">
              <w:rPr>
                <w:rFonts w:asciiTheme="minorHAnsi" w:hAnsiTheme="minorHAnsi"/>
                <w:sz w:val="22"/>
                <w:szCs w:val="22"/>
              </w:rPr>
              <w:t>in part</w:t>
            </w:r>
          </w:p>
        </w:tc>
        <w:tc>
          <w:tcPr>
            <w:tcW w:w="2694" w:type="dxa"/>
          </w:tcPr>
          <w:p w:rsidR="00065814" w:rsidRPr="00F11B3D" w:rsidRDefault="009D58BF"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F11B3D">
              <w:rPr>
                <w:rFonts w:asciiTheme="minorHAnsi" w:hAnsiTheme="minorHAnsi"/>
              </w:rPr>
              <w:t xml:space="preserve">DFAT </w:t>
            </w:r>
            <w:r w:rsidR="00A7345F">
              <w:rPr>
                <w:rFonts w:asciiTheme="minorHAnsi" w:hAnsiTheme="minorHAnsi"/>
              </w:rPr>
              <w:t xml:space="preserve">sees value in exploring this recommendation </w:t>
            </w:r>
            <w:r w:rsidR="00090958">
              <w:rPr>
                <w:rFonts w:asciiTheme="minorHAnsi" w:hAnsiTheme="minorHAnsi"/>
              </w:rPr>
              <w:t xml:space="preserve">through the design process. The AEC has a limited staffing profile in </w:t>
            </w:r>
            <w:r w:rsidR="00A7345F">
              <w:rPr>
                <w:rFonts w:asciiTheme="minorHAnsi" w:hAnsiTheme="minorHAnsi"/>
              </w:rPr>
              <w:t>PNG and resource constraints may limit it</w:t>
            </w:r>
            <w:r w:rsidR="00090958">
              <w:rPr>
                <w:rFonts w:asciiTheme="minorHAnsi" w:hAnsiTheme="minorHAnsi"/>
              </w:rPr>
              <w:t>s ability to play a leading coordination role.</w:t>
            </w:r>
          </w:p>
        </w:tc>
        <w:tc>
          <w:tcPr>
            <w:tcW w:w="2835" w:type="dxa"/>
          </w:tcPr>
          <w:p w:rsidR="00065814" w:rsidRPr="00F11B3D" w:rsidRDefault="00090958" w:rsidP="0009095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Include consideration of this recommendation in the terms of reference for the investment design team.</w:t>
            </w:r>
          </w:p>
        </w:tc>
        <w:tc>
          <w:tcPr>
            <w:tcW w:w="3832" w:type="dxa"/>
          </w:tcPr>
          <w:p w:rsidR="00065814" w:rsidRPr="00F11B3D" w:rsidRDefault="00090958"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Finalise n</w:t>
            </w:r>
            <w:r w:rsidR="00F11B3D" w:rsidRPr="00F11B3D">
              <w:rPr>
                <w:rFonts w:asciiTheme="minorHAnsi" w:hAnsiTheme="minorHAnsi"/>
              </w:rPr>
              <w:t xml:space="preserve">ew investment design by </w:t>
            </w:r>
            <w:r w:rsidR="00490349">
              <w:rPr>
                <w:rFonts w:asciiTheme="minorHAnsi" w:hAnsiTheme="minorHAnsi"/>
              </w:rPr>
              <w:t xml:space="preserve">second </w:t>
            </w:r>
            <w:r w:rsidR="00F11B3D" w:rsidRPr="00F11B3D">
              <w:rPr>
                <w:rFonts w:asciiTheme="minorHAnsi" w:hAnsiTheme="minorHAnsi"/>
              </w:rPr>
              <w:t>quarter 2019</w:t>
            </w:r>
          </w:p>
        </w:tc>
      </w:tr>
    </w:tbl>
    <w:p w:rsidR="00065814" w:rsidRDefault="00065814" w:rsidP="00065814">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10"/>
        <w:gridCol w:w="1639"/>
        <w:gridCol w:w="2694"/>
        <w:gridCol w:w="2835"/>
        <w:gridCol w:w="3832"/>
      </w:tblGrid>
      <w:tr w:rsidR="00130605" w:rsidRPr="008F4A4D" w:rsidTr="00B14BD2">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4310" w:type="dxa"/>
            <w:tcBorders>
              <w:top w:val="none" w:sz="0" w:space="0" w:color="auto"/>
              <w:bottom w:val="none" w:sz="0" w:space="0" w:color="auto"/>
            </w:tcBorders>
            <w:hideMark/>
          </w:tcPr>
          <w:p w:rsidR="00065814" w:rsidRPr="008A0512" w:rsidRDefault="00065814" w:rsidP="001E1AD1">
            <w:pPr>
              <w:pStyle w:val="TableHeaderRow"/>
            </w:pPr>
            <w:r w:rsidRPr="008A0512">
              <w:t>Recommendation</w:t>
            </w:r>
          </w:p>
        </w:tc>
        <w:tc>
          <w:tcPr>
            <w:tcW w:w="1639" w:type="dxa"/>
            <w:tcBorders>
              <w:top w:val="none" w:sz="0" w:space="0" w:color="auto"/>
              <w:bottom w:val="none" w:sz="0" w:space="0" w:color="auto"/>
            </w:tcBorders>
            <w:hideMark/>
          </w:tcPr>
          <w:p w:rsidR="00065814" w:rsidRPr="008A0512" w:rsidRDefault="00065814" w:rsidP="00130605">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p>
        </w:tc>
        <w:tc>
          <w:tcPr>
            <w:tcW w:w="2694" w:type="dxa"/>
            <w:tcBorders>
              <w:top w:val="none" w:sz="0" w:space="0" w:color="auto"/>
              <w:bottom w:val="none" w:sz="0" w:space="0" w:color="auto"/>
            </w:tcBorders>
            <w:hideMark/>
          </w:tcPr>
          <w:p w:rsidR="00065814" w:rsidRPr="008A0512" w:rsidRDefault="00065814"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065814" w:rsidRPr="008A0512" w:rsidRDefault="00065814"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065814" w:rsidRPr="00130605" w:rsidRDefault="00065814" w:rsidP="001E1AD1">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130605" w:rsidRPr="008A0512"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0" w:type="dxa"/>
          </w:tcPr>
          <w:p w:rsidR="00065814" w:rsidRPr="00130605" w:rsidRDefault="00065814" w:rsidP="001E1AD1">
            <w:pPr>
              <w:rPr>
                <w:rFonts w:asciiTheme="minorHAnsi" w:hAnsiTheme="minorHAnsi"/>
                <w:u w:val="single"/>
              </w:rPr>
            </w:pPr>
            <w:r w:rsidRPr="00130605">
              <w:rPr>
                <w:rFonts w:asciiTheme="minorHAnsi" w:hAnsiTheme="minorHAnsi"/>
                <w:u w:val="single"/>
              </w:rPr>
              <w:t>Strategic Recommendation 6:</w:t>
            </w:r>
          </w:p>
          <w:p w:rsidR="00065814" w:rsidRDefault="00130605" w:rsidP="00130605">
            <w:pPr>
              <w:rPr>
                <w:rFonts w:asciiTheme="minorHAnsi" w:hAnsiTheme="minorHAnsi"/>
              </w:rPr>
            </w:pPr>
            <w:r w:rsidRPr="00130605">
              <w:rPr>
                <w:rFonts w:asciiTheme="minorHAnsi" w:hAnsiTheme="minorHAnsi"/>
                <w:b/>
              </w:rPr>
              <w:t xml:space="preserve">Provincial Engagement </w:t>
            </w:r>
            <w:r w:rsidRPr="00791938">
              <w:rPr>
                <w:rFonts w:asciiTheme="minorHAnsi" w:hAnsiTheme="minorHAnsi"/>
              </w:rPr>
              <w:t>– focus on pr</w:t>
            </w:r>
            <w:r w:rsidR="00065814" w:rsidRPr="00791938">
              <w:rPr>
                <w:rFonts w:asciiTheme="minorHAnsi" w:hAnsiTheme="minorHAnsi"/>
              </w:rPr>
              <w:t xml:space="preserve">ovincial engagement </w:t>
            </w:r>
            <w:r w:rsidRPr="00791938">
              <w:rPr>
                <w:rFonts w:asciiTheme="minorHAnsi" w:hAnsiTheme="minorHAnsi"/>
              </w:rPr>
              <w:t>and ensure e</w:t>
            </w:r>
            <w:r w:rsidR="00065814" w:rsidRPr="00791938">
              <w:rPr>
                <w:rFonts w:asciiTheme="minorHAnsi" w:hAnsiTheme="minorHAnsi"/>
              </w:rPr>
              <w:t>lectoral</w:t>
            </w:r>
            <w:r w:rsidR="00065814" w:rsidRPr="00130605">
              <w:rPr>
                <w:rFonts w:asciiTheme="minorHAnsi" w:hAnsiTheme="minorHAnsi"/>
              </w:rPr>
              <w:t xml:space="preserve"> assistance </w:t>
            </w:r>
            <w:r w:rsidRPr="00130605">
              <w:rPr>
                <w:rFonts w:asciiTheme="minorHAnsi" w:hAnsiTheme="minorHAnsi"/>
              </w:rPr>
              <w:t xml:space="preserve">is </w:t>
            </w:r>
            <w:r w:rsidR="00065814" w:rsidRPr="00130605">
              <w:rPr>
                <w:rFonts w:asciiTheme="minorHAnsi" w:hAnsiTheme="minorHAnsi"/>
              </w:rPr>
              <w:t>informed by, and responsive to regional variation.</w:t>
            </w:r>
          </w:p>
          <w:p w:rsidR="00130605" w:rsidRPr="00130605" w:rsidRDefault="00130605" w:rsidP="00130605">
            <w:pPr>
              <w:rPr>
                <w:rFonts w:asciiTheme="minorHAnsi" w:hAnsiTheme="minorHAnsi"/>
              </w:rPr>
            </w:pPr>
          </w:p>
        </w:tc>
        <w:tc>
          <w:tcPr>
            <w:tcW w:w="1639" w:type="dxa"/>
            <w:shd w:val="clear" w:color="auto" w:fill="92D050"/>
            <w:hideMark/>
          </w:tcPr>
          <w:p w:rsidR="00065814" w:rsidRPr="00130605" w:rsidRDefault="00065814" w:rsidP="001E1AD1">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30605">
              <w:rPr>
                <w:rFonts w:asciiTheme="minorHAnsi" w:hAnsiTheme="minorHAnsi"/>
                <w:sz w:val="22"/>
                <w:szCs w:val="22"/>
              </w:rPr>
              <w:t xml:space="preserve">Agree </w:t>
            </w:r>
          </w:p>
        </w:tc>
        <w:tc>
          <w:tcPr>
            <w:tcW w:w="2694" w:type="dxa"/>
          </w:tcPr>
          <w:p w:rsidR="00065814" w:rsidRPr="00130605" w:rsidRDefault="00130605"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0605">
              <w:rPr>
                <w:rFonts w:asciiTheme="minorHAnsi" w:hAnsiTheme="minorHAnsi"/>
              </w:rPr>
              <w:t>DFAT’s program will continue to support the PNGEC’s decentralisation efforts and focus engagement at the provincial level.</w:t>
            </w:r>
          </w:p>
        </w:tc>
        <w:tc>
          <w:tcPr>
            <w:tcW w:w="2835" w:type="dxa"/>
          </w:tcPr>
          <w:p w:rsidR="00065814" w:rsidRPr="00130605" w:rsidRDefault="00130605"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0605">
              <w:rPr>
                <w:rFonts w:asciiTheme="minorHAnsi" w:hAnsiTheme="minorHAnsi"/>
              </w:rPr>
              <w:t>To be ref</w:t>
            </w:r>
            <w:r w:rsidR="006D4B8C">
              <w:rPr>
                <w:rFonts w:asciiTheme="minorHAnsi" w:hAnsiTheme="minorHAnsi"/>
              </w:rPr>
              <w:t>lected in new investment design</w:t>
            </w:r>
            <w:r w:rsidR="006D4B8C">
              <w:rPr>
                <w:rFonts w:asciiTheme="minorHAnsi" w:hAnsiTheme="minorHAnsi"/>
              </w:rPr>
              <w:br/>
            </w:r>
            <w:r w:rsidRPr="00130605">
              <w:rPr>
                <w:rFonts w:asciiTheme="minorHAnsi" w:hAnsiTheme="minorHAnsi"/>
              </w:rPr>
              <w:t>(2018-2022).</w:t>
            </w:r>
          </w:p>
        </w:tc>
        <w:tc>
          <w:tcPr>
            <w:tcW w:w="3832" w:type="dxa"/>
          </w:tcPr>
          <w:p w:rsidR="00065814" w:rsidRPr="00130605" w:rsidRDefault="00130605" w:rsidP="001E1AD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0605">
              <w:rPr>
                <w:rFonts w:asciiTheme="minorHAnsi" w:hAnsiTheme="minorHAnsi"/>
              </w:rPr>
              <w:t>Ongoing</w:t>
            </w:r>
          </w:p>
        </w:tc>
      </w:tr>
    </w:tbl>
    <w:p w:rsidR="00065814" w:rsidRDefault="00065814" w:rsidP="00065814">
      <w:pPr>
        <w:pStyle w:val="BodyText"/>
        <w:rPr>
          <w:rFonts w:ascii="Franklin Gothic Book" w:hAnsi="Franklin Gothic Book"/>
          <w:color w:val="000000" w:themeColor="text1"/>
          <w:sz w:val="21"/>
        </w:rPr>
      </w:pPr>
    </w:p>
    <w:p w:rsidR="00B14BD2" w:rsidRDefault="00B14BD2" w:rsidP="00065814">
      <w:pPr>
        <w:pStyle w:val="BodyText"/>
        <w:rPr>
          <w:rFonts w:ascii="Franklin Gothic Book" w:hAnsi="Franklin Gothic Book"/>
          <w:color w:val="000000" w:themeColor="text1"/>
          <w:sz w:val="21"/>
        </w:rPr>
      </w:pPr>
    </w:p>
    <w:p w:rsidR="00B14BD2" w:rsidRDefault="00B14BD2" w:rsidP="00065814">
      <w:pPr>
        <w:pStyle w:val="BodyText"/>
        <w:rPr>
          <w:rFonts w:ascii="Franklin Gothic Book" w:hAnsi="Franklin Gothic Book"/>
          <w:color w:val="000000" w:themeColor="text1"/>
          <w:sz w:val="21"/>
        </w:rPr>
      </w:pPr>
    </w:p>
    <w:p w:rsidR="00B14BD2" w:rsidRDefault="00B14BD2" w:rsidP="00065814">
      <w:pPr>
        <w:pStyle w:val="BodyText"/>
        <w:rPr>
          <w:rFonts w:ascii="Franklin Gothic Book" w:hAnsi="Franklin Gothic Book"/>
          <w:color w:val="000000" w:themeColor="text1"/>
          <w:sz w:val="21"/>
        </w:rPr>
      </w:pPr>
    </w:p>
    <w:tbl>
      <w:tblPr>
        <w:tblStyle w:val="DFATTable1"/>
        <w:tblW w:w="15457" w:type="dxa"/>
        <w:tblInd w:w="-8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14"/>
        <w:gridCol w:w="1640"/>
        <w:gridCol w:w="2694"/>
        <w:gridCol w:w="2835"/>
        <w:gridCol w:w="3974"/>
      </w:tblGrid>
      <w:tr w:rsidR="003B1B42" w:rsidRPr="008F4A4D" w:rsidTr="00B14BD2">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314" w:type="dxa"/>
            <w:tcBorders>
              <w:top w:val="none" w:sz="0" w:space="0" w:color="auto"/>
              <w:bottom w:val="none" w:sz="0" w:space="0" w:color="auto"/>
            </w:tcBorders>
            <w:hideMark/>
          </w:tcPr>
          <w:p w:rsidR="003B1B42" w:rsidRPr="008A0512" w:rsidRDefault="003B1B42" w:rsidP="003D6E7B">
            <w:pPr>
              <w:pStyle w:val="TableHeaderRow"/>
            </w:pPr>
            <w:r w:rsidRPr="008A0512">
              <w:lastRenderedPageBreak/>
              <w:t>Recommendation</w:t>
            </w:r>
          </w:p>
        </w:tc>
        <w:tc>
          <w:tcPr>
            <w:tcW w:w="1640" w:type="dxa"/>
            <w:tcBorders>
              <w:top w:val="none" w:sz="0" w:space="0" w:color="auto"/>
              <w:bottom w:val="none" w:sz="0" w:space="0" w:color="auto"/>
            </w:tcBorders>
            <w:hideMark/>
          </w:tcPr>
          <w:p w:rsidR="003B1B42" w:rsidRPr="008A0512" w:rsidRDefault="0076091B" w:rsidP="0076091B">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694" w:type="dxa"/>
            <w:tcBorders>
              <w:top w:val="none" w:sz="0" w:space="0" w:color="auto"/>
              <w:bottom w:val="none" w:sz="0" w:space="0" w:color="auto"/>
            </w:tcBorders>
            <w:hideMark/>
          </w:tcPr>
          <w:p w:rsidR="003B1B42" w:rsidRPr="008A0512" w:rsidRDefault="003B1B42"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3B1B42" w:rsidRPr="008A0512" w:rsidRDefault="003B1B42"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974" w:type="dxa"/>
            <w:tcBorders>
              <w:top w:val="none" w:sz="0" w:space="0" w:color="auto"/>
              <w:bottom w:val="none" w:sz="0" w:space="0" w:color="auto"/>
            </w:tcBorders>
            <w:hideMark/>
          </w:tcPr>
          <w:p w:rsidR="003B1B42" w:rsidRPr="0076091B" w:rsidRDefault="003B1B42"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8B0D3A" w:rsidRPr="008A0512" w:rsidTr="00B14BD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314" w:type="dxa"/>
          </w:tcPr>
          <w:p w:rsidR="007C275D" w:rsidRPr="0076091B" w:rsidRDefault="0008435D" w:rsidP="00F047DD">
            <w:pPr>
              <w:rPr>
                <w:rFonts w:asciiTheme="minorHAnsi" w:hAnsiTheme="minorHAnsi"/>
                <w:u w:val="single"/>
              </w:rPr>
            </w:pPr>
            <w:r w:rsidRPr="0076091B">
              <w:rPr>
                <w:rFonts w:asciiTheme="minorHAnsi" w:hAnsiTheme="minorHAnsi"/>
                <w:u w:val="single"/>
              </w:rPr>
              <w:t xml:space="preserve">Operational </w:t>
            </w:r>
            <w:r w:rsidR="008B0D3A" w:rsidRPr="0076091B">
              <w:rPr>
                <w:rFonts w:asciiTheme="minorHAnsi" w:hAnsiTheme="minorHAnsi"/>
                <w:u w:val="single"/>
              </w:rPr>
              <w:t>Recommendation Grouping 1</w:t>
            </w:r>
          </w:p>
          <w:p w:rsidR="008B0D3A" w:rsidRPr="0076091B" w:rsidRDefault="00F773C8" w:rsidP="00F047DD">
            <w:pPr>
              <w:rPr>
                <w:rFonts w:asciiTheme="minorHAnsi" w:hAnsiTheme="minorHAnsi"/>
                <w:b/>
              </w:rPr>
            </w:pPr>
            <w:r w:rsidRPr="0076091B">
              <w:rPr>
                <w:rFonts w:asciiTheme="minorHAnsi" w:hAnsiTheme="minorHAnsi"/>
                <w:b/>
              </w:rPr>
              <w:t>Capacity Building of PNGEC</w:t>
            </w:r>
          </w:p>
          <w:p w:rsidR="008B0D3A" w:rsidRPr="0076091B" w:rsidRDefault="008B0D3A" w:rsidP="00F773C8">
            <w:pPr>
              <w:pStyle w:val="ListParagraph"/>
              <w:numPr>
                <w:ilvl w:val="0"/>
                <w:numId w:val="10"/>
              </w:numPr>
              <w:ind w:left="453"/>
              <w:rPr>
                <w:rFonts w:asciiTheme="minorHAnsi" w:hAnsiTheme="minorHAnsi"/>
              </w:rPr>
            </w:pPr>
            <w:r w:rsidRPr="0076091B">
              <w:rPr>
                <w:rFonts w:asciiTheme="minorHAnsi" w:hAnsiTheme="minorHAnsi"/>
              </w:rPr>
              <w:t>Ongoing technical assistance associated with the PNGEC’s capacity should be continued.</w:t>
            </w:r>
          </w:p>
          <w:p w:rsidR="008B0D3A" w:rsidRPr="0076091B" w:rsidRDefault="008B0D3A" w:rsidP="00F047DD">
            <w:pPr>
              <w:pStyle w:val="ListParagraph"/>
              <w:numPr>
                <w:ilvl w:val="0"/>
                <w:numId w:val="10"/>
              </w:numPr>
              <w:ind w:left="453"/>
              <w:rPr>
                <w:rFonts w:asciiTheme="minorHAnsi" w:hAnsiTheme="minorHAnsi"/>
              </w:rPr>
            </w:pPr>
            <w:r w:rsidRPr="0076091B">
              <w:rPr>
                <w:rFonts w:asciiTheme="minorHAnsi" w:hAnsiTheme="minorHAnsi"/>
              </w:rPr>
              <w:t>A diagnostic assessment should also be undertaken to ascertain areas where assistance can most usefully be targeted.</w:t>
            </w:r>
          </w:p>
          <w:p w:rsidR="008B0D3A" w:rsidRDefault="008B0D3A" w:rsidP="0076091B">
            <w:pPr>
              <w:pStyle w:val="ListParagraph"/>
              <w:numPr>
                <w:ilvl w:val="0"/>
                <w:numId w:val="10"/>
              </w:numPr>
              <w:ind w:left="453"/>
              <w:rPr>
                <w:rFonts w:asciiTheme="minorHAnsi" w:hAnsiTheme="minorHAnsi"/>
              </w:rPr>
            </w:pPr>
            <w:r w:rsidRPr="0076091B">
              <w:rPr>
                <w:rFonts w:asciiTheme="minorHAnsi" w:hAnsiTheme="minorHAnsi"/>
              </w:rPr>
              <w:t xml:space="preserve">Capacity building should be designed to strengthen ongoing relationships between implementing partners, </w:t>
            </w:r>
            <w:r w:rsidR="006C5B84">
              <w:rPr>
                <w:rFonts w:asciiTheme="minorHAnsi" w:hAnsiTheme="minorHAnsi"/>
              </w:rPr>
              <w:t xml:space="preserve">the </w:t>
            </w:r>
            <w:r w:rsidR="00A7345F">
              <w:rPr>
                <w:rFonts w:asciiTheme="minorHAnsi" w:hAnsiTheme="minorHAnsi"/>
              </w:rPr>
              <w:t xml:space="preserve">development cooperation </w:t>
            </w:r>
            <w:r w:rsidR="006C5B84">
              <w:rPr>
                <w:rFonts w:asciiTheme="minorHAnsi" w:hAnsiTheme="minorHAnsi"/>
              </w:rPr>
              <w:t>program, and the PNGEC.</w:t>
            </w:r>
          </w:p>
          <w:p w:rsidR="008B0D3A" w:rsidRPr="0076091B" w:rsidRDefault="006C5B84" w:rsidP="006C5B84">
            <w:pPr>
              <w:pStyle w:val="ListParagraph"/>
              <w:numPr>
                <w:ilvl w:val="0"/>
                <w:numId w:val="10"/>
              </w:numPr>
              <w:ind w:left="453"/>
              <w:rPr>
                <w:rFonts w:asciiTheme="minorHAnsi" w:hAnsiTheme="minorHAnsi"/>
              </w:rPr>
            </w:pPr>
            <w:r>
              <w:rPr>
                <w:rFonts w:asciiTheme="minorHAnsi" w:hAnsiTheme="minorHAnsi"/>
              </w:rPr>
              <w:t>Capacity building work should be designed in a manner that ensures provincial needs are met.</w:t>
            </w:r>
          </w:p>
        </w:tc>
        <w:tc>
          <w:tcPr>
            <w:tcW w:w="1640" w:type="dxa"/>
            <w:shd w:val="clear" w:color="auto" w:fill="92D050"/>
            <w:hideMark/>
          </w:tcPr>
          <w:p w:rsidR="008B0D3A" w:rsidRPr="0076091B" w:rsidRDefault="0076091B"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6091B">
              <w:rPr>
                <w:rFonts w:asciiTheme="minorHAnsi" w:hAnsiTheme="minorHAnsi"/>
                <w:sz w:val="22"/>
                <w:szCs w:val="22"/>
              </w:rPr>
              <w:t>Agree</w:t>
            </w:r>
          </w:p>
        </w:tc>
        <w:tc>
          <w:tcPr>
            <w:tcW w:w="2694" w:type="dxa"/>
          </w:tcPr>
          <w:p w:rsidR="008B0D3A" w:rsidRPr="0076091B" w:rsidRDefault="0076091B" w:rsidP="008B30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6091B">
              <w:rPr>
                <w:rFonts w:asciiTheme="minorHAnsi" w:hAnsiTheme="minorHAnsi"/>
              </w:rPr>
              <w:t xml:space="preserve">DFAT agrees technical assistance should be focused on critical areas of PNGEC operation. A diagnostic assessment will be undertaken </w:t>
            </w:r>
            <w:r w:rsidR="008B308A">
              <w:rPr>
                <w:rFonts w:asciiTheme="minorHAnsi" w:hAnsiTheme="minorHAnsi"/>
              </w:rPr>
              <w:t>prior to the</w:t>
            </w:r>
            <w:r w:rsidRPr="0076091B">
              <w:rPr>
                <w:rFonts w:asciiTheme="minorHAnsi" w:hAnsiTheme="minorHAnsi"/>
              </w:rPr>
              <w:t xml:space="preserve"> AEC join</w:t>
            </w:r>
            <w:r w:rsidR="008B308A">
              <w:rPr>
                <w:rFonts w:asciiTheme="minorHAnsi" w:hAnsiTheme="minorHAnsi"/>
              </w:rPr>
              <w:t xml:space="preserve">ing </w:t>
            </w:r>
            <w:r w:rsidRPr="0076091B">
              <w:rPr>
                <w:rFonts w:asciiTheme="minorHAnsi" w:hAnsiTheme="minorHAnsi"/>
              </w:rPr>
              <w:t>the IPP.</w:t>
            </w:r>
          </w:p>
        </w:tc>
        <w:tc>
          <w:tcPr>
            <w:tcW w:w="2835" w:type="dxa"/>
          </w:tcPr>
          <w:p w:rsidR="008B0D3A" w:rsidRPr="0076091B" w:rsidRDefault="0076091B"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6091B">
              <w:rPr>
                <w:rFonts w:asciiTheme="minorHAnsi" w:hAnsiTheme="minorHAnsi"/>
              </w:rPr>
              <w:t>To be ref</w:t>
            </w:r>
            <w:r w:rsidR="006D4B8C">
              <w:rPr>
                <w:rFonts w:asciiTheme="minorHAnsi" w:hAnsiTheme="minorHAnsi"/>
              </w:rPr>
              <w:t>lected in new investment design</w:t>
            </w:r>
            <w:r w:rsidR="006D4B8C">
              <w:rPr>
                <w:rFonts w:asciiTheme="minorHAnsi" w:hAnsiTheme="minorHAnsi"/>
              </w:rPr>
              <w:br/>
            </w:r>
            <w:r w:rsidRPr="0076091B">
              <w:rPr>
                <w:rFonts w:asciiTheme="minorHAnsi" w:hAnsiTheme="minorHAnsi"/>
              </w:rPr>
              <w:t>(2018-2022)</w:t>
            </w:r>
          </w:p>
        </w:tc>
        <w:tc>
          <w:tcPr>
            <w:tcW w:w="3974" w:type="dxa"/>
          </w:tcPr>
          <w:p w:rsidR="008B0D3A" w:rsidRPr="0076091B" w:rsidRDefault="0076091B"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76091B">
              <w:rPr>
                <w:rFonts w:asciiTheme="minorHAnsi" w:hAnsiTheme="minorHAnsi"/>
              </w:rPr>
              <w:t>Ongoing</w:t>
            </w:r>
          </w:p>
        </w:tc>
      </w:tr>
    </w:tbl>
    <w:p w:rsidR="003B1B42" w:rsidRDefault="003B1B4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p w:rsidR="00B14BD2" w:rsidRDefault="00B14BD2" w:rsidP="003B1B42">
      <w:pPr>
        <w:pStyle w:val="BodyText"/>
        <w:rPr>
          <w:rFonts w:ascii="Franklin Gothic Book" w:hAnsi="Franklin Gothic Book"/>
          <w:color w:val="000000" w:themeColor="text1"/>
          <w:sz w:val="21"/>
        </w:rPr>
      </w:pPr>
    </w:p>
    <w:tbl>
      <w:tblPr>
        <w:tblStyle w:val="DFATTable1"/>
        <w:tblW w:w="15315" w:type="dxa"/>
        <w:tblInd w:w="-85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258"/>
        <w:gridCol w:w="1696"/>
        <w:gridCol w:w="2694"/>
        <w:gridCol w:w="2835"/>
        <w:gridCol w:w="3832"/>
      </w:tblGrid>
      <w:tr w:rsidR="006A0976" w:rsidTr="00B14BD2">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4258" w:type="dxa"/>
            <w:tcBorders>
              <w:top w:val="none" w:sz="0" w:space="0" w:color="auto"/>
              <w:bottom w:val="none" w:sz="0" w:space="0" w:color="auto"/>
            </w:tcBorders>
            <w:hideMark/>
          </w:tcPr>
          <w:p w:rsidR="006A0976" w:rsidRPr="008A0512" w:rsidRDefault="006A0976" w:rsidP="003D6E7B">
            <w:pPr>
              <w:pStyle w:val="TableHeaderRow"/>
            </w:pPr>
            <w:r w:rsidRPr="008A0512">
              <w:lastRenderedPageBreak/>
              <w:t>Recommendation</w:t>
            </w:r>
          </w:p>
        </w:tc>
        <w:tc>
          <w:tcPr>
            <w:tcW w:w="1696" w:type="dxa"/>
            <w:tcBorders>
              <w:top w:val="none" w:sz="0" w:space="0" w:color="auto"/>
              <w:bottom w:val="none" w:sz="0" w:space="0" w:color="auto"/>
            </w:tcBorders>
            <w:hideMark/>
          </w:tcPr>
          <w:p w:rsidR="006A0976" w:rsidRPr="008A0512" w:rsidRDefault="0076091B" w:rsidP="0076091B">
            <w:pPr>
              <w:pStyle w:val="TableHeaderRow"/>
              <w:cnfStyle w:val="100000000000" w:firstRow="1" w:lastRow="0" w:firstColumn="0" w:lastColumn="0" w:oddVBand="0" w:evenVBand="0" w:oddHBand="0" w:evenHBand="0" w:firstRowFirstColumn="0" w:firstRowLastColumn="0" w:lastRowFirstColumn="0" w:lastRowLastColumn="0"/>
            </w:pPr>
            <w:r>
              <w:t>Response</w:t>
            </w:r>
          </w:p>
        </w:tc>
        <w:tc>
          <w:tcPr>
            <w:tcW w:w="2694"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6A0976" w:rsidRPr="0076091B" w:rsidRDefault="006A0976" w:rsidP="0076091B">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6A0976"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rsidR="006A0976" w:rsidRPr="00A342D9" w:rsidRDefault="0008435D" w:rsidP="00F047DD">
            <w:pPr>
              <w:rPr>
                <w:rFonts w:asciiTheme="minorHAnsi" w:hAnsiTheme="minorHAnsi"/>
                <w:u w:val="single"/>
              </w:rPr>
            </w:pPr>
            <w:r w:rsidRPr="00A342D9">
              <w:rPr>
                <w:rFonts w:asciiTheme="minorHAnsi" w:hAnsiTheme="minorHAnsi"/>
                <w:u w:val="single"/>
              </w:rPr>
              <w:t xml:space="preserve">Operational </w:t>
            </w:r>
            <w:r w:rsidR="006A0976" w:rsidRPr="00A342D9">
              <w:rPr>
                <w:rFonts w:asciiTheme="minorHAnsi" w:hAnsiTheme="minorHAnsi"/>
                <w:u w:val="single"/>
              </w:rPr>
              <w:t>Recommendation Grouping</w:t>
            </w:r>
            <w:r w:rsidR="00F047DD" w:rsidRPr="00A342D9">
              <w:rPr>
                <w:rFonts w:asciiTheme="minorHAnsi" w:hAnsiTheme="minorHAnsi"/>
                <w:u w:val="single"/>
              </w:rPr>
              <w:t xml:space="preserve"> 2</w:t>
            </w:r>
          </w:p>
          <w:p w:rsidR="00F047DD" w:rsidRPr="00A342D9" w:rsidRDefault="00F047DD" w:rsidP="00F047DD">
            <w:pPr>
              <w:rPr>
                <w:rFonts w:asciiTheme="minorHAnsi" w:hAnsiTheme="minorHAnsi"/>
                <w:b/>
              </w:rPr>
            </w:pPr>
            <w:r w:rsidRPr="00A342D9">
              <w:rPr>
                <w:rFonts w:asciiTheme="minorHAnsi" w:hAnsiTheme="minorHAnsi"/>
                <w:b/>
              </w:rPr>
              <w:t>Support</w:t>
            </w:r>
            <w:r w:rsidR="0076091B" w:rsidRPr="00A342D9">
              <w:rPr>
                <w:rFonts w:asciiTheme="minorHAnsi" w:hAnsiTheme="minorHAnsi"/>
                <w:b/>
              </w:rPr>
              <w:t xml:space="preserve"> to </w:t>
            </w:r>
            <w:r w:rsidRPr="00A342D9">
              <w:rPr>
                <w:rFonts w:asciiTheme="minorHAnsi" w:hAnsiTheme="minorHAnsi"/>
                <w:b/>
              </w:rPr>
              <w:t>Election Delivery</w:t>
            </w:r>
          </w:p>
          <w:p w:rsidR="00F047DD" w:rsidRPr="00A342D9" w:rsidRDefault="00F047DD" w:rsidP="0076091B">
            <w:pPr>
              <w:pStyle w:val="ListParagraph"/>
              <w:numPr>
                <w:ilvl w:val="0"/>
                <w:numId w:val="10"/>
              </w:numPr>
              <w:ind w:left="453"/>
              <w:rPr>
                <w:rFonts w:asciiTheme="minorHAnsi" w:hAnsiTheme="minorHAnsi"/>
              </w:rPr>
            </w:pPr>
            <w:r w:rsidRPr="00A342D9">
              <w:rPr>
                <w:rFonts w:asciiTheme="minorHAnsi" w:hAnsiTheme="minorHAnsi"/>
              </w:rPr>
              <w:t xml:space="preserve">Australia should continue to provide short-term logistical support through the Australian Civilian Corps (and ADF) in </w:t>
            </w:r>
            <w:r w:rsidR="0076091B" w:rsidRPr="00A342D9">
              <w:rPr>
                <w:rFonts w:asciiTheme="minorHAnsi" w:hAnsiTheme="minorHAnsi"/>
              </w:rPr>
              <w:t xml:space="preserve">the </w:t>
            </w:r>
            <w:r w:rsidRPr="00A342D9">
              <w:rPr>
                <w:rFonts w:asciiTheme="minorHAnsi" w:hAnsiTheme="minorHAnsi"/>
              </w:rPr>
              <w:t>lead up to and conduct of elections.</w:t>
            </w:r>
          </w:p>
          <w:p w:rsidR="006A0976" w:rsidRPr="00A342D9" w:rsidRDefault="00F047DD" w:rsidP="00A342D9">
            <w:pPr>
              <w:pStyle w:val="ListParagraph"/>
              <w:numPr>
                <w:ilvl w:val="0"/>
                <w:numId w:val="10"/>
              </w:numPr>
              <w:ind w:left="453"/>
              <w:rPr>
                <w:rFonts w:asciiTheme="minorHAnsi" w:hAnsiTheme="minorHAnsi"/>
              </w:rPr>
            </w:pPr>
            <w:r w:rsidRPr="00A342D9">
              <w:rPr>
                <w:rFonts w:asciiTheme="minorHAnsi" w:hAnsiTheme="minorHAnsi"/>
              </w:rPr>
              <w:t>R</w:t>
            </w:r>
            <w:r w:rsidR="00A342D9" w:rsidRPr="00A342D9">
              <w:rPr>
                <w:rFonts w:asciiTheme="minorHAnsi" w:hAnsiTheme="minorHAnsi"/>
              </w:rPr>
              <w:t>esults r</w:t>
            </w:r>
            <w:r w:rsidRPr="00A342D9">
              <w:rPr>
                <w:rFonts w:asciiTheme="minorHAnsi" w:hAnsiTheme="minorHAnsi"/>
              </w:rPr>
              <w:t>eporting tools should be designed to provide ease of use and maximum electoral transparency</w:t>
            </w:r>
            <w:r w:rsidR="00A342D9" w:rsidRPr="00A342D9">
              <w:rPr>
                <w:rFonts w:asciiTheme="minorHAnsi" w:hAnsiTheme="minorHAnsi"/>
              </w:rPr>
              <w:t>.</w:t>
            </w:r>
          </w:p>
        </w:tc>
        <w:tc>
          <w:tcPr>
            <w:tcW w:w="1696" w:type="dxa"/>
            <w:shd w:val="clear" w:color="auto" w:fill="92D050"/>
            <w:hideMark/>
          </w:tcPr>
          <w:p w:rsidR="006A0976" w:rsidRPr="00A342D9" w:rsidRDefault="006A0976"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A342D9">
              <w:rPr>
                <w:rFonts w:asciiTheme="minorHAnsi" w:hAnsiTheme="minorHAnsi"/>
                <w:sz w:val="22"/>
                <w:szCs w:val="22"/>
              </w:rPr>
              <w:t xml:space="preserve">Agree </w:t>
            </w:r>
          </w:p>
        </w:tc>
        <w:tc>
          <w:tcPr>
            <w:tcW w:w="2694" w:type="dxa"/>
          </w:tcPr>
          <w:p w:rsidR="006A0976" w:rsidRPr="00A342D9" w:rsidRDefault="006C5B84"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Support to election delivery will remain a core part of Australia’s support. </w:t>
            </w:r>
            <w:r w:rsidR="00A342D9" w:rsidRPr="00A342D9">
              <w:rPr>
                <w:rFonts w:asciiTheme="minorHAnsi" w:hAnsiTheme="minorHAnsi"/>
              </w:rPr>
              <w:t>DFAT will continue to engage Australia Assists</w:t>
            </w:r>
            <w:r w:rsidR="0075764B">
              <w:rPr>
                <w:rFonts w:asciiTheme="minorHAnsi" w:hAnsiTheme="minorHAnsi"/>
              </w:rPr>
              <w:t xml:space="preserve"> (the successor program to the Australian Civilian Corps)</w:t>
            </w:r>
            <w:r w:rsidR="00A342D9" w:rsidRPr="00A342D9">
              <w:rPr>
                <w:rFonts w:asciiTheme="minorHAnsi" w:hAnsiTheme="minorHAnsi"/>
              </w:rPr>
              <w:t xml:space="preserve"> a</w:t>
            </w:r>
            <w:r>
              <w:rPr>
                <w:rFonts w:asciiTheme="minorHAnsi" w:hAnsiTheme="minorHAnsi"/>
              </w:rPr>
              <w:t xml:space="preserve">nd the ADF on elections </w:t>
            </w:r>
            <w:r w:rsidR="00A342D9" w:rsidRPr="00A342D9">
              <w:rPr>
                <w:rFonts w:asciiTheme="minorHAnsi" w:hAnsiTheme="minorHAnsi"/>
              </w:rPr>
              <w:t>in PNG.</w:t>
            </w:r>
          </w:p>
        </w:tc>
        <w:tc>
          <w:tcPr>
            <w:tcW w:w="2835" w:type="dxa"/>
          </w:tcPr>
          <w:p w:rsidR="006A0976" w:rsidRPr="00A342D9" w:rsidRDefault="00A342D9"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342D9">
              <w:rPr>
                <w:rFonts w:asciiTheme="minorHAnsi" w:hAnsiTheme="minorHAnsi"/>
              </w:rPr>
              <w:t>To be ref</w:t>
            </w:r>
            <w:r w:rsidR="006D4B8C">
              <w:rPr>
                <w:rFonts w:asciiTheme="minorHAnsi" w:hAnsiTheme="minorHAnsi"/>
              </w:rPr>
              <w:t>lected in new investment design</w:t>
            </w:r>
            <w:r w:rsidR="006D4B8C">
              <w:rPr>
                <w:rFonts w:asciiTheme="minorHAnsi" w:hAnsiTheme="minorHAnsi"/>
              </w:rPr>
              <w:br/>
            </w:r>
            <w:r w:rsidRPr="00A342D9">
              <w:rPr>
                <w:rFonts w:asciiTheme="minorHAnsi" w:hAnsiTheme="minorHAnsi"/>
              </w:rPr>
              <w:t>(2018-2022).</w:t>
            </w:r>
          </w:p>
        </w:tc>
        <w:tc>
          <w:tcPr>
            <w:tcW w:w="3832" w:type="dxa"/>
          </w:tcPr>
          <w:p w:rsidR="006A0976" w:rsidRPr="00A342D9" w:rsidRDefault="00A342D9"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342D9">
              <w:rPr>
                <w:rFonts w:asciiTheme="minorHAnsi" w:hAnsiTheme="minorHAnsi"/>
              </w:rPr>
              <w:t>Ongoing</w:t>
            </w:r>
          </w:p>
        </w:tc>
      </w:tr>
    </w:tbl>
    <w:p w:rsidR="006A0976" w:rsidRDefault="006A0976" w:rsidP="006A0976">
      <w:pPr>
        <w:pStyle w:val="BodyText"/>
        <w:rPr>
          <w:rFonts w:ascii="Franklin Gothic Book" w:hAnsi="Franklin Gothic Book"/>
          <w:color w:val="000000" w:themeColor="text1"/>
          <w:sz w:val="21"/>
        </w:rPr>
      </w:pPr>
    </w:p>
    <w:p w:rsidR="006A0976" w:rsidRDefault="006A0976"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p w:rsidR="00B14BD2" w:rsidRDefault="00B14BD2" w:rsidP="006A097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53"/>
        <w:gridCol w:w="1696"/>
        <w:gridCol w:w="2694"/>
        <w:gridCol w:w="2840"/>
        <w:gridCol w:w="3827"/>
      </w:tblGrid>
      <w:tr w:rsidR="006A0976" w:rsidRPr="008F4A4D" w:rsidTr="00B14BD2">
        <w:trPr>
          <w:cnfStyle w:val="100000000000" w:firstRow="1" w:lastRow="0" w:firstColumn="0" w:lastColumn="0" w:oddVBand="0" w:evenVBand="0" w:oddHBand="0"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tcBorders>
            <w:hideMark/>
          </w:tcPr>
          <w:p w:rsidR="006A0976" w:rsidRPr="008A0512" w:rsidRDefault="000B76CF" w:rsidP="003D6E7B">
            <w:pPr>
              <w:pStyle w:val="TableHeaderRow"/>
            </w:pPr>
            <w:r>
              <w:t>Recommendation</w:t>
            </w:r>
          </w:p>
        </w:tc>
        <w:tc>
          <w:tcPr>
            <w:tcW w:w="1696" w:type="dxa"/>
            <w:tcBorders>
              <w:top w:val="none" w:sz="0" w:space="0" w:color="auto"/>
              <w:bottom w:val="none" w:sz="0" w:space="0" w:color="auto"/>
            </w:tcBorders>
            <w:hideMark/>
          </w:tcPr>
          <w:p w:rsidR="006A0976" w:rsidRPr="008A0512" w:rsidRDefault="006A0976" w:rsidP="000B76C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694"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40"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27" w:type="dxa"/>
            <w:tcBorders>
              <w:top w:val="none" w:sz="0" w:space="0" w:color="auto"/>
              <w:bottom w:val="none" w:sz="0" w:space="0" w:color="auto"/>
            </w:tcBorders>
            <w:hideMark/>
          </w:tcPr>
          <w:p w:rsidR="006A0976" w:rsidRPr="006358D6" w:rsidRDefault="006A0976" w:rsidP="000B76CF">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6A0976" w:rsidRPr="008A0512" w:rsidTr="00B14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rsidR="00A342D9" w:rsidRPr="006358D6" w:rsidRDefault="0008435D" w:rsidP="00D33A01">
            <w:pPr>
              <w:rPr>
                <w:rFonts w:asciiTheme="minorHAnsi" w:hAnsiTheme="minorHAnsi"/>
                <w:u w:val="single"/>
                <w:lang w:val="en-AU"/>
              </w:rPr>
            </w:pPr>
            <w:r w:rsidRPr="006358D6">
              <w:rPr>
                <w:rFonts w:asciiTheme="minorHAnsi" w:hAnsiTheme="minorHAnsi"/>
                <w:u w:val="single"/>
                <w:lang w:val="en-AU"/>
              </w:rPr>
              <w:t xml:space="preserve">Operational </w:t>
            </w:r>
            <w:r w:rsidR="006A0976" w:rsidRPr="006358D6">
              <w:rPr>
                <w:rFonts w:asciiTheme="minorHAnsi" w:hAnsiTheme="minorHAnsi"/>
                <w:u w:val="single"/>
                <w:lang w:val="en-AU"/>
              </w:rPr>
              <w:t>Recommendation Grouping</w:t>
            </w:r>
            <w:r w:rsidR="00D33A01" w:rsidRPr="006358D6">
              <w:rPr>
                <w:rFonts w:asciiTheme="minorHAnsi" w:hAnsiTheme="minorHAnsi"/>
                <w:u w:val="single"/>
                <w:lang w:val="en-AU"/>
              </w:rPr>
              <w:t xml:space="preserve"> 3</w:t>
            </w:r>
          </w:p>
          <w:p w:rsidR="00D33A01" w:rsidRPr="006358D6" w:rsidRDefault="00D33A01" w:rsidP="00D33A01">
            <w:pPr>
              <w:rPr>
                <w:rFonts w:asciiTheme="minorHAnsi" w:hAnsiTheme="minorHAnsi"/>
                <w:b/>
                <w:lang w:val="en-AU"/>
              </w:rPr>
            </w:pPr>
            <w:r w:rsidRPr="006358D6">
              <w:rPr>
                <w:rFonts w:asciiTheme="minorHAnsi" w:hAnsiTheme="minorHAnsi"/>
                <w:b/>
                <w:lang w:val="en-AU"/>
              </w:rPr>
              <w:t>Gender &amp; Social Inclusion</w:t>
            </w:r>
          </w:p>
          <w:p w:rsidR="00D33A01" w:rsidRPr="006358D6" w:rsidRDefault="00A342D9" w:rsidP="00A342D9">
            <w:pPr>
              <w:pStyle w:val="ListParagraph"/>
              <w:numPr>
                <w:ilvl w:val="0"/>
                <w:numId w:val="10"/>
              </w:numPr>
              <w:ind w:left="453"/>
              <w:rPr>
                <w:rFonts w:asciiTheme="minorHAnsi" w:hAnsiTheme="minorHAnsi"/>
                <w:lang w:val="en-AU"/>
              </w:rPr>
            </w:pPr>
            <w:r w:rsidRPr="006358D6">
              <w:rPr>
                <w:rFonts w:asciiTheme="minorHAnsi" w:hAnsiTheme="minorHAnsi"/>
              </w:rPr>
              <w:lastRenderedPageBreak/>
              <w:t>G</w:t>
            </w:r>
            <w:r w:rsidR="00D33A01" w:rsidRPr="006358D6">
              <w:rPr>
                <w:rFonts w:asciiTheme="minorHAnsi" w:hAnsiTheme="minorHAnsi"/>
              </w:rPr>
              <w:t>ender</w:t>
            </w:r>
            <w:r w:rsidR="00D33A01" w:rsidRPr="006358D6">
              <w:rPr>
                <w:rFonts w:asciiTheme="minorHAnsi" w:hAnsiTheme="minorHAnsi"/>
                <w:lang w:val="en-AU"/>
              </w:rPr>
              <w:t xml:space="preserve"> and inclusivity should be prioritised in the new Electoral Support Design Document.</w:t>
            </w:r>
          </w:p>
          <w:p w:rsidR="00A342D9" w:rsidRPr="006358D6" w:rsidRDefault="00A342D9" w:rsidP="00A342D9">
            <w:pPr>
              <w:pStyle w:val="ListParagraph"/>
              <w:numPr>
                <w:ilvl w:val="0"/>
                <w:numId w:val="10"/>
              </w:numPr>
              <w:ind w:left="453"/>
              <w:rPr>
                <w:rFonts w:asciiTheme="minorHAnsi" w:hAnsiTheme="minorHAnsi"/>
                <w:lang w:val="en-AU"/>
              </w:rPr>
            </w:pPr>
            <w:r w:rsidRPr="006358D6">
              <w:rPr>
                <w:rFonts w:asciiTheme="minorHAnsi" w:hAnsiTheme="minorHAnsi"/>
                <w:lang w:val="en-AU"/>
              </w:rPr>
              <w:t>Opportunities to advance the case for Temporary Special Measures should be identified and capitalised as they arise.</w:t>
            </w:r>
          </w:p>
          <w:p w:rsidR="00D33A01" w:rsidRPr="006358D6" w:rsidRDefault="00D33A01" w:rsidP="00A342D9">
            <w:pPr>
              <w:pStyle w:val="ListParagraph"/>
              <w:numPr>
                <w:ilvl w:val="0"/>
                <w:numId w:val="10"/>
              </w:numPr>
              <w:ind w:left="453"/>
              <w:rPr>
                <w:rFonts w:asciiTheme="minorHAnsi" w:hAnsiTheme="minorHAnsi"/>
                <w:lang w:val="en-AU"/>
              </w:rPr>
            </w:pPr>
            <w:r w:rsidRPr="006358D6">
              <w:rPr>
                <w:rFonts w:asciiTheme="minorHAnsi" w:hAnsiTheme="minorHAnsi"/>
                <w:lang w:val="en-AU"/>
              </w:rPr>
              <w:t xml:space="preserve">Candidate training funding should continue across the coming electoral cycle. </w:t>
            </w:r>
            <w:r w:rsidR="00A342D9" w:rsidRPr="006358D6">
              <w:rPr>
                <w:rFonts w:asciiTheme="minorHAnsi" w:hAnsiTheme="minorHAnsi"/>
                <w:lang w:val="en-AU"/>
              </w:rPr>
              <w:t>The program s</w:t>
            </w:r>
            <w:r w:rsidRPr="006358D6">
              <w:rPr>
                <w:rFonts w:asciiTheme="minorHAnsi" w:hAnsiTheme="minorHAnsi"/>
                <w:lang w:val="en-AU"/>
              </w:rPr>
              <w:t xml:space="preserve">hould gather evidence of </w:t>
            </w:r>
            <w:r w:rsidR="00A342D9" w:rsidRPr="006358D6">
              <w:rPr>
                <w:rFonts w:asciiTheme="minorHAnsi" w:hAnsiTheme="minorHAnsi"/>
                <w:lang w:val="en-AU"/>
              </w:rPr>
              <w:t xml:space="preserve">the </w:t>
            </w:r>
            <w:r w:rsidRPr="006358D6">
              <w:rPr>
                <w:rFonts w:asciiTheme="minorHAnsi" w:hAnsiTheme="minorHAnsi"/>
                <w:lang w:val="en-AU"/>
              </w:rPr>
              <w:t xml:space="preserve">benefits </w:t>
            </w:r>
            <w:r w:rsidR="00A342D9" w:rsidRPr="006358D6">
              <w:rPr>
                <w:rFonts w:asciiTheme="minorHAnsi" w:hAnsiTheme="minorHAnsi"/>
                <w:lang w:val="en-AU"/>
              </w:rPr>
              <w:t>of participation</w:t>
            </w:r>
            <w:r w:rsidRPr="006358D6">
              <w:rPr>
                <w:rFonts w:asciiTheme="minorHAnsi" w:hAnsiTheme="minorHAnsi"/>
                <w:lang w:val="en-AU"/>
              </w:rPr>
              <w:t>.</w:t>
            </w:r>
          </w:p>
          <w:p w:rsidR="00D33A01" w:rsidRPr="006358D6" w:rsidRDefault="00D33A01" w:rsidP="00A342D9">
            <w:pPr>
              <w:pStyle w:val="ListParagraph"/>
              <w:numPr>
                <w:ilvl w:val="0"/>
                <w:numId w:val="10"/>
              </w:numPr>
              <w:ind w:left="453"/>
              <w:rPr>
                <w:rFonts w:asciiTheme="minorHAnsi" w:hAnsiTheme="minorHAnsi"/>
                <w:lang w:val="en-AU"/>
              </w:rPr>
            </w:pPr>
            <w:r w:rsidRPr="006358D6">
              <w:rPr>
                <w:rFonts w:asciiTheme="minorHAnsi" w:hAnsiTheme="minorHAnsi"/>
                <w:lang w:val="en-AU"/>
              </w:rPr>
              <w:t>Consideration should be given to identifying and supporting women candidates at the sub-national level.</w:t>
            </w:r>
          </w:p>
          <w:p w:rsidR="00A342D9" w:rsidRPr="006358D6" w:rsidRDefault="00A342D9" w:rsidP="00A342D9">
            <w:pPr>
              <w:pStyle w:val="ListParagraph"/>
              <w:numPr>
                <w:ilvl w:val="0"/>
                <w:numId w:val="10"/>
              </w:numPr>
              <w:ind w:left="453"/>
              <w:rPr>
                <w:rFonts w:asciiTheme="minorHAnsi" w:hAnsiTheme="minorHAnsi"/>
                <w:lang w:val="en-AU"/>
              </w:rPr>
            </w:pPr>
            <w:r w:rsidRPr="006358D6">
              <w:rPr>
                <w:rFonts w:asciiTheme="minorHAnsi" w:hAnsiTheme="minorHAnsi"/>
                <w:lang w:val="en-AU"/>
              </w:rPr>
              <w:t xml:space="preserve">Linkages with </w:t>
            </w:r>
            <w:r w:rsidRPr="006358D6">
              <w:rPr>
                <w:rFonts w:asciiTheme="minorHAnsi" w:hAnsiTheme="minorHAnsi"/>
                <w:i/>
                <w:lang w:val="en-AU"/>
              </w:rPr>
              <w:t>Pacific Women</w:t>
            </w:r>
            <w:r w:rsidRPr="006358D6">
              <w:rPr>
                <w:rFonts w:asciiTheme="minorHAnsi" w:hAnsiTheme="minorHAnsi"/>
                <w:lang w:val="en-AU"/>
              </w:rPr>
              <w:t xml:space="preserve"> and other relevant programs should be identified and built upon.</w:t>
            </w:r>
          </w:p>
          <w:p w:rsidR="000B76CF" w:rsidRDefault="00D33A01" w:rsidP="006358D6">
            <w:pPr>
              <w:pStyle w:val="ListParagraph"/>
              <w:numPr>
                <w:ilvl w:val="0"/>
                <w:numId w:val="10"/>
              </w:numPr>
              <w:ind w:left="453"/>
              <w:rPr>
                <w:rFonts w:asciiTheme="minorHAnsi" w:hAnsiTheme="minorHAnsi"/>
                <w:lang w:val="en-AU"/>
              </w:rPr>
            </w:pPr>
            <w:r w:rsidRPr="006358D6">
              <w:rPr>
                <w:rFonts w:asciiTheme="minorHAnsi" w:hAnsiTheme="minorHAnsi"/>
                <w:lang w:val="en-AU"/>
              </w:rPr>
              <w:t>Further strategies to support women in the PNGEC should continue to be explored</w:t>
            </w:r>
            <w:r w:rsidR="006358D6" w:rsidRPr="006358D6">
              <w:rPr>
                <w:rFonts w:asciiTheme="minorHAnsi" w:hAnsiTheme="minorHAnsi"/>
                <w:lang w:val="en-AU"/>
              </w:rPr>
              <w:t>.</w:t>
            </w:r>
          </w:p>
          <w:p w:rsidR="0010271C" w:rsidRPr="006358D6" w:rsidRDefault="0010271C" w:rsidP="006358D6">
            <w:pPr>
              <w:pStyle w:val="ListParagraph"/>
              <w:numPr>
                <w:ilvl w:val="0"/>
                <w:numId w:val="10"/>
              </w:numPr>
              <w:ind w:left="453"/>
              <w:rPr>
                <w:rFonts w:asciiTheme="minorHAnsi" w:hAnsiTheme="minorHAnsi"/>
                <w:lang w:val="en-AU"/>
              </w:rPr>
            </w:pPr>
            <w:r>
              <w:rPr>
                <w:rFonts w:asciiTheme="minorHAnsi" w:hAnsiTheme="minorHAnsi"/>
                <w:lang w:val="en-AU"/>
              </w:rPr>
              <w:t>Efforts should be made to explore ways of ensuring women’s safety during polling.</w:t>
            </w:r>
          </w:p>
        </w:tc>
        <w:tc>
          <w:tcPr>
            <w:tcW w:w="1696" w:type="dxa"/>
            <w:shd w:val="clear" w:color="auto" w:fill="FFC000"/>
            <w:hideMark/>
          </w:tcPr>
          <w:p w:rsidR="006A0976" w:rsidRPr="006358D6" w:rsidRDefault="006A0976"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58D6">
              <w:rPr>
                <w:rFonts w:asciiTheme="minorHAnsi" w:hAnsiTheme="minorHAnsi"/>
                <w:sz w:val="22"/>
                <w:szCs w:val="22"/>
              </w:rPr>
              <w:lastRenderedPageBreak/>
              <w:t>A</w:t>
            </w:r>
            <w:r w:rsidR="006358D6" w:rsidRPr="006358D6">
              <w:rPr>
                <w:rFonts w:asciiTheme="minorHAnsi" w:hAnsiTheme="minorHAnsi"/>
                <w:sz w:val="22"/>
                <w:szCs w:val="22"/>
              </w:rPr>
              <w:t>gree in part</w:t>
            </w:r>
          </w:p>
        </w:tc>
        <w:tc>
          <w:tcPr>
            <w:tcW w:w="2694" w:type="dxa"/>
          </w:tcPr>
          <w:p w:rsidR="006A0976" w:rsidRPr="006358D6" w:rsidRDefault="006358D6" w:rsidP="00792010">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358D6">
              <w:rPr>
                <w:rFonts w:asciiTheme="minorHAnsi" w:hAnsiTheme="minorHAnsi"/>
              </w:rPr>
              <w:t xml:space="preserve">Additional steps to support gender inclusivity will be a high priority for </w:t>
            </w:r>
            <w:r w:rsidRPr="006358D6">
              <w:rPr>
                <w:rFonts w:asciiTheme="minorHAnsi" w:hAnsiTheme="minorHAnsi"/>
              </w:rPr>
              <w:lastRenderedPageBreak/>
              <w:t xml:space="preserve">consideration in the new program design (2018-2022). Additionally, DFAT’s electoral support program will look to improve linkages with </w:t>
            </w:r>
            <w:r w:rsidRPr="00B14BD2">
              <w:rPr>
                <w:rFonts w:asciiTheme="minorHAnsi" w:hAnsiTheme="minorHAnsi"/>
                <w:i/>
              </w:rPr>
              <w:t>Pacific Women</w:t>
            </w:r>
            <w:r w:rsidRPr="006358D6">
              <w:rPr>
                <w:rFonts w:asciiTheme="minorHAnsi" w:hAnsiTheme="minorHAnsi"/>
              </w:rPr>
              <w:t xml:space="preserve"> and related initiatives. Specific support to female candidates in PNG more appropriately falls under</w:t>
            </w:r>
            <w:r w:rsidR="0010271C">
              <w:rPr>
                <w:rFonts w:asciiTheme="minorHAnsi" w:hAnsiTheme="minorHAnsi"/>
              </w:rPr>
              <w:t xml:space="preserve"> </w:t>
            </w:r>
            <w:r w:rsidR="00792010">
              <w:rPr>
                <w:rFonts w:asciiTheme="minorHAnsi" w:hAnsiTheme="minorHAnsi"/>
              </w:rPr>
              <w:t xml:space="preserve">the </w:t>
            </w:r>
            <w:r w:rsidR="0010271C" w:rsidRPr="00792010">
              <w:rPr>
                <w:rFonts w:asciiTheme="minorHAnsi" w:hAnsiTheme="minorHAnsi"/>
                <w:i/>
              </w:rPr>
              <w:t>Pacific Women</w:t>
            </w:r>
            <w:r w:rsidR="00792010">
              <w:rPr>
                <w:rFonts w:asciiTheme="minorHAnsi" w:hAnsiTheme="minorHAnsi"/>
              </w:rPr>
              <w:t xml:space="preserve"> initiative, including the </w:t>
            </w:r>
            <w:r w:rsidR="0010271C">
              <w:rPr>
                <w:rFonts w:asciiTheme="minorHAnsi" w:hAnsiTheme="minorHAnsi"/>
              </w:rPr>
              <w:t>Women in Leadership Support Program.</w:t>
            </w:r>
          </w:p>
        </w:tc>
        <w:tc>
          <w:tcPr>
            <w:tcW w:w="2840" w:type="dxa"/>
          </w:tcPr>
          <w:p w:rsidR="006A0976" w:rsidRPr="006358D6" w:rsidRDefault="006358D6"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358D6">
              <w:rPr>
                <w:rFonts w:asciiTheme="minorHAnsi" w:hAnsiTheme="minorHAnsi"/>
              </w:rPr>
              <w:lastRenderedPageBreak/>
              <w:t>To be ref</w:t>
            </w:r>
            <w:r w:rsidR="006D4B8C">
              <w:rPr>
                <w:rFonts w:asciiTheme="minorHAnsi" w:hAnsiTheme="minorHAnsi"/>
              </w:rPr>
              <w:t>lected in new investment design</w:t>
            </w:r>
            <w:r w:rsidR="006D4B8C">
              <w:rPr>
                <w:rFonts w:asciiTheme="minorHAnsi" w:hAnsiTheme="minorHAnsi"/>
              </w:rPr>
              <w:br/>
            </w:r>
            <w:r w:rsidR="0075764B">
              <w:rPr>
                <w:rFonts w:asciiTheme="minorHAnsi" w:hAnsiTheme="minorHAnsi"/>
              </w:rPr>
              <w:lastRenderedPageBreak/>
              <w:t xml:space="preserve">(2018-2022) and DFAT’s </w:t>
            </w:r>
            <w:r w:rsidR="0075764B" w:rsidRPr="0075764B">
              <w:rPr>
                <w:rFonts w:asciiTheme="minorHAnsi" w:hAnsiTheme="minorHAnsi"/>
                <w:i/>
              </w:rPr>
              <w:t>Pacific Women</w:t>
            </w:r>
            <w:r w:rsidR="0075764B">
              <w:rPr>
                <w:rFonts w:asciiTheme="minorHAnsi" w:hAnsiTheme="minorHAnsi"/>
              </w:rPr>
              <w:t xml:space="preserve"> initiative.</w:t>
            </w:r>
          </w:p>
        </w:tc>
        <w:tc>
          <w:tcPr>
            <w:tcW w:w="3827" w:type="dxa"/>
          </w:tcPr>
          <w:p w:rsidR="006A0976" w:rsidRPr="006358D6" w:rsidRDefault="006358D6"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358D6">
              <w:rPr>
                <w:rFonts w:asciiTheme="minorHAnsi" w:hAnsiTheme="minorHAnsi"/>
              </w:rPr>
              <w:lastRenderedPageBreak/>
              <w:t xml:space="preserve">Finalise new investment design by </w:t>
            </w:r>
            <w:r w:rsidR="00490349">
              <w:rPr>
                <w:rFonts w:asciiTheme="minorHAnsi" w:hAnsiTheme="minorHAnsi"/>
              </w:rPr>
              <w:t xml:space="preserve">second </w:t>
            </w:r>
            <w:r w:rsidRPr="006358D6">
              <w:rPr>
                <w:rFonts w:asciiTheme="minorHAnsi" w:hAnsiTheme="minorHAnsi"/>
              </w:rPr>
              <w:t>quarter 2019.</w:t>
            </w:r>
          </w:p>
        </w:tc>
      </w:tr>
    </w:tbl>
    <w:p w:rsidR="006A0976" w:rsidRDefault="006A0976" w:rsidP="006A0976">
      <w:pPr>
        <w:pStyle w:val="BodyText"/>
        <w:rPr>
          <w:rFonts w:ascii="Franklin Gothic Book" w:hAnsi="Franklin Gothic Book"/>
          <w:color w:val="000000" w:themeColor="text1"/>
          <w:sz w:val="21"/>
        </w:rPr>
      </w:pPr>
    </w:p>
    <w:p w:rsidR="006A0976" w:rsidRDefault="006A0976" w:rsidP="006A097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5"/>
        <w:gridCol w:w="1920"/>
        <w:gridCol w:w="2758"/>
        <w:gridCol w:w="2835"/>
        <w:gridCol w:w="3832"/>
      </w:tblGrid>
      <w:tr w:rsidR="006A0976" w:rsidRPr="008F4A4D" w:rsidTr="00334FE5">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3965" w:type="dxa"/>
            <w:tcBorders>
              <w:top w:val="none" w:sz="0" w:space="0" w:color="auto"/>
              <w:bottom w:val="none" w:sz="0" w:space="0" w:color="auto"/>
            </w:tcBorders>
            <w:hideMark/>
          </w:tcPr>
          <w:p w:rsidR="006A0976" w:rsidRPr="008A0512" w:rsidRDefault="006A0976" w:rsidP="003D6E7B">
            <w:pPr>
              <w:pStyle w:val="TableHeaderRow"/>
            </w:pPr>
            <w:r w:rsidRPr="008A0512">
              <w:lastRenderedPageBreak/>
              <w:t>Recommendation</w:t>
            </w:r>
          </w:p>
        </w:tc>
        <w:tc>
          <w:tcPr>
            <w:tcW w:w="1920" w:type="dxa"/>
            <w:tcBorders>
              <w:top w:val="none" w:sz="0" w:space="0" w:color="auto"/>
              <w:bottom w:val="none" w:sz="0" w:space="0" w:color="auto"/>
            </w:tcBorders>
            <w:hideMark/>
          </w:tcPr>
          <w:p w:rsidR="006A0976" w:rsidRPr="008A0512" w:rsidRDefault="006A0976" w:rsidP="00AD4C4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758"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6A0976" w:rsidRPr="008F4A4D" w:rsidRDefault="006A0976" w:rsidP="00E52404">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A0512">
              <w:t>Timeframe</w:t>
            </w:r>
          </w:p>
        </w:tc>
      </w:tr>
      <w:tr w:rsidR="00792010" w:rsidRPr="008A0512" w:rsidTr="00334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dxa"/>
          </w:tcPr>
          <w:p w:rsidR="00792010" w:rsidRPr="001B58BF" w:rsidRDefault="00792010" w:rsidP="00792010">
            <w:pPr>
              <w:rPr>
                <w:rFonts w:asciiTheme="minorHAnsi" w:hAnsiTheme="minorHAnsi"/>
                <w:bCs/>
                <w:u w:val="single"/>
              </w:rPr>
            </w:pPr>
            <w:r w:rsidRPr="001B58BF">
              <w:rPr>
                <w:rFonts w:asciiTheme="minorHAnsi" w:hAnsiTheme="minorHAnsi"/>
                <w:u w:val="single"/>
                <w:lang w:val="en-AU"/>
              </w:rPr>
              <w:t>Operational</w:t>
            </w:r>
            <w:r w:rsidRPr="001B58BF">
              <w:rPr>
                <w:rFonts w:asciiTheme="minorHAnsi" w:hAnsiTheme="minorHAnsi"/>
                <w:u w:val="single"/>
              </w:rPr>
              <w:t xml:space="preserve"> Recommendation Grouping 4</w:t>
            </w:r>
          </w:p>
          <w:p w:rsidR="00792010" w:rsidRPr="001B58BF" w:rsidRDefault="00D74D0F" w:rsidP="00792010">
            <w:pPr>
              <w:pStyle w:val="BodyText"/>
              <w:rPr>
                <w:rFonts w:asciiTheme="minorHAnsi" w:hAnsiTheme="minorHAnsi"/>
                <w:b/>
                <w:lang w:val="en-AU"/>
              </w:rPr>
            </w:pPr>
            <w:r>
              <w:rPr>
                <w:rFonts w:asciiTheme="minorHAnsi" w:hAnsiTheme="minorHAnsi"/>
                <w:b/>
                <w:lang w:val="en-AU"/>
              </w:rPr>
              <w:t>Electoral Roll</w:t>
            </w:r>
          </w:p>
          <w:p w:rsidR="00792010" w:rsidRPr="001B58BF" w:rsidRDefault="00792010" w:rsidP="00792010">
            <w:pPr>
              <w:pStyle w:val="ListParagraph"/>
              <w:numPr>
                <w:ilvl w:val="0"/>
                <w:numId w:val="10"/>
              </w:numPr>
              <w:ind w:left="453"/>
              <w:rPr>
                <w:rFonts w:asciiTheme="minorHAnsi" w:hAnsiTheme="minorHAnsi"/>
              </w:rPr>
            </w:pPr>
            <w:r w:rsidRPr="001B58BF">
              <w:rPr>
                <w:rFonts w:asciiTheme="minorHAnsi" w:hAnsiTheme="minorHAnsi"/>
                <w:lang w:val="en-AU"/>
              </w:rPr>
              <w:t>Continue to engage with roll-related issues, but Australia should not lead efforts to improve the roll.</w:t>
            </w:r>
          </w:p>
        </w:tc>
        <w:tc>
          <w:tcPr>
            <w:tcW w:w="1920" w:type="dxa"/>
            <w:shd w:val="clear" w:color="auto" w:fill="92D050"/>
            <w:hideMark/>
          </w:tcPr>
          <w:p w:rsidR="00792010" w:rsidRPr="001B58BF" w:rsidRDefault="00792010" w:rsidP="00792010">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1B58BF">
              <w:rPr>
                <w:rFonts w:asciiTheme="minorHAnsi" w:hAnsiTheme="minorHAnsi"/>
                <w:sz w:val="22"/>
                <w:szCs w:val="22"/>
              </w:rPr>
              <w:t xml:space="preserve">Agree </w:t>
            </w:r>
          </w:p>
        </w:tc>
        <w:tc>
          <w:tcPr>
            <w:tcW w:w="2758" w:type="dxa"/>
          </w:tcPr>
          <w:p w:rsidR="00792010" w:rsidRPr="001B58BF" w:rsidRDefault="008B308A" w:rsidP="008B30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agrees</w:t>
            </w:r>
            <w:r w:rsidR="00792010" w:rsidRPr="001B58BF">
              <w:rPr>
                <w:rFonts w:asciiTheme="minorHAnsi" w:hAnsiTheme="minorHAnsi"/>
              </w:rPr>
              <w:t xml:space="preserve"> roll </w:t>
            </w:r>
            <w:r>
              <w:rPr>
                <w:rFonts w:asciiTheme="minorHAnsi" w:hAnsiTheme="minorHAnsi"/>
              </w:rPr>
              <w:t xml:space="preserve">improvement </w:t>
            </w:r>
            <w:r w:rsidR="00792010" w:rsidRPr="001B58BF">
              <w:rPr>
                <w:rFonts w:asciiTheme="minorHAnsi" w:hAnsiTheme="minorHAnsi"/>
              </w:rPr>
              <w:t xml:space="preserve">is a high priority, but </w:t>
            </w:r>
            <w:r>
              <w:rPr>
                <w:rFonts w:asciiTheme="minorHAnsi" w:hAnsiTheme="minorHAnsi"/>
              </w:rPr>
              <w:t xml:space="preserve">recognises this is an </w:t>
            </w:r>
            <w:r w:rsidR="001B58BF" w:rsidRPr="001B58BF">
              <w:rPr>
                <w:rFonts w:asciiTheme="minorHAnsi" w:hAnsiTheme="minorHAnsi"/>
              </w:rPr>
              <w:t>issue</w:t>
            </w:r>
            <w:r>
              <w:rPr>
                <w:rFonts w:asciiTheme="minorHAnsi" w:hAnsiTheme="minorHAnsi"/>
              </w:rPr>
              <w:t xml:space="preserve"> that requires PNG Government leadership</w:t>
            </w:r>
            <w:r w:rsidR="00792010" w:rsidRPr="001B58BF">
              <w:rPr>
                <w:rFonts w:asciiTheme="minorHAnsi" w:hAnsiTheme="minorHAnsi"/>
              </w:rPr>
              <w:t>.</w:t>
            </w:r>
          </w:p>
        </w:tc>
        <w:tc>
          <w:tcPr>
            <w:tcW w:w="2835" w:type="dxa"/>
          </w:tcPr>
          <w:p w:rsidR="00792010" w:rsidRPr="001B58BF" w:rsidRDefault="00792010" w:rsidP="006D4B8C">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B58BF">
              <w:rPr>
                <w:rFonts w:asciiTheme="minorHAnsi" w:hAnsiTheme="minorHAnsi"/>
              </w:rPr>
              <w:t>To be reflected in new investment design</w:t>
            </w:r>
            <w:r w:rsidR="006D4B8C">
              <w:rPr>
                <w:rFonts w:asciiTheme="minorHAnsi" w:hAnsiTheme="minorHAnsi"/>
              </w:rPr>
              <w:br/>
            </w:r>
            <w:r w:rsidRPr="001B58BF">
              <w:rPr>
                <w:rFonts w:asciiTheme="minorHAnsi" w:hAnsiTheme="minorHAnsi"/>
              </w:rPr>
              <w:t>(2018-2022).</w:t>
            </w:r>
          </w:p>
        </w:tc>
        <w:tc>
          <w:tcPr>
            <w:tcW w:w="3832" w:type="dxa"/>
          </w:tcPr>
          <w:p w:rsidR="00792010" w:rsidRPr="001B58BF" w:rsidRDefault="00792010"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B58BF">
              <w:rPr>
                <w:rFonts w:asciiTheme="minorHAnsi" w:hAnsiTheme="minorHAnsi"/>
              </w:rPr>
              <w:t xml:space="preserve">Finalise new investment design by </w:t>
            </w:r>
            <w:r w:rsidR="00490349">
              <w:rPr>
                <w:rFonts w:asciiTheme="minorHAnsi" w:hAnsiTheme="minorHAnsi"/>
              </w:rPr>
              <w:t xml:space="preserve">second </w:t>
            </w:r>
            <w:r w:rsidRPr="001B58BF">
              <w:rPr>
                <w:rFonts w:asciiTheme="minorHAnsi" w:hAnsiTheme="minorHAnsi"/>
              </w:rPr>
              <w:t>quarter 2019.</w:t>
            </w:r>
          </w:p>
        </w:tc>
      </w:tr>
    </w:tbl>
    <w:p w:rsidR="006A0976" w:rsidRDefault="006A0976" w:rsidP="006A097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70"/>
        <w:gridCol w:w="1984"/>
        <w:gridCol w:w="2689"/>
        <w:gridCol w:w="2835"/>
        <w:gridCol w:w="3832"/>
      </w:tblGrid>
      <w:tr w:rsidR="006A0976" w:rsidRPr="008F4A4D" w:rsidTr="00E52404">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970" w:type="dxa"/>
            <w:tcBorders>
              <w:top w:val="none" w:sz="0" w:space="0" w:color="auto"/>
              <w:bottom w:val="none" w:sz="0" w:space="0" w:color="auto"/>
            </w:tcBorders>
            <w:hideMark/>
          </w:tcPr>
          <w:p w:rsidR="006A0976" w:rsidRPr="008A0512" w:rsidRDefault="006A0976" w:rsidP="003D6E7B">
            <w:pPr>
              <w:pStyle w:val="TableHeaderRow"/>
            </w:pPr>
            <w:r w:rsidRPr="008A0512">
              <w:t>Recommendation</w:t>
            </w:r>
          </w:p>
        </w:tc>
        <w:tc>
          <w:tcPr>
            <w:tcW w:w="1984" w:type="dxa"/>
            <w:tcBorders>
              <w:top w:val="none" w:sz="0" w:space="0" w:color="auto"/>
              <w:bottom w:val="none" w:sz="0" w:space="0" w:color="auto"/>
            </w:tcBorders>
            <w:hideMark/>
          </w:tcPr>
          <w:p w:rsidR="006A0976" w:rsidRPr="008A0512" w:rsidRDefault="006A0976" w:rsidP="00AD4C41">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689"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835"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6A0976" w:rsidRPr="008F4A4D" w:rsidRDefault="006A0976" w:rsidP="00E52404">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A0512">
              <w:t>Timeframe</w:t>
            </w:r>
          </w:p>
        </w:tc>
      </w:tr>
      <w:tr w:rsidR="006A0976" w:rsidRPr="008A0512" w:rsidTr="001B5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Pr>
          <w:p w:rsidR="006A0976" w:rsidRPr="00792010" w:rsidRDefault="0008435D" w:rsidP="00792010">
            <w:pPr>
              <w:rPr>
                <w:bCs/>
                <w:u w:val="single"/>
              </w:rPr>
            </w:pPr>
            <w:r w:rsidRPr="00792010">
              <w:rPr>
                <w:rFonts w:asciiTheme="minorHAnsi" w:hAnsiTheme="minorHAnsi"/>
                <w:u w:val="single"/>
                <w:lang w:val="en-AU"/>
              </w:rPr>
              <w:t>Operational</w:t>
            </w:r>
            <w:r w:rsidRPr="00792010">
              <w:rPr>
                <w:u w:val="single"/>
              </w:rPr>
              <w:t xml:space="preserve"> </w:t>
            </w:r>
            <w:r w:rsidR="006A0976" w:rsidRPr="00792010">
              <w:rPr>
                <w:u w:val="single"/>
              </w:rPr>
              <w:t>Recommendation Grouping</w:t>
            </w:r>
            <w:r w:rsidR="003B1B42" w:rsidRPr="00792010">
              <w:rPr>
                <w:u w:val="single"/>
              </w:rPr>
              <w:t xml:space="preserve"> 5</w:t>
            </w:r>
          </w:p>
          <w:p w:rsidR="006A0976" w:rsidRPr="00792010" w:rsidRDefault="00AD4C41" w:rsidP="003D6E7B">
            <w:pPr>
              <w:pStyle w:val="BodyText"/>
              <w:rPr>
                <w:b/>
                <w:lang w:val="en-AU"/>
              </w:rPr>
            </w:pPr>
            <w:r w:rsidRPr="00792010">
              <w:rPr>
                <w:b/>
                <w:lang w:val="en-AU"/>
              </w:rPr>
              <w:t>Voter Awareness</w:t>
            </w:r>
          </w:p>
          <w:p w:rsidR="00792010" w:rsidRDefault="00792010" w:rsidP="00792010">
            <w:pPr>
              <w:pStyle w:val="ListParagraph"/>
              <w:numPr>
                <w:ilvl w:val="0"/>
                <w:numId w:val="10"/>
              </w:numPr>
              <w:ind w:left="453"/>
              <w:rPr>
                <w:lang w:val="en-AU"/>
              </w:rPr>
            </w:pPr>
            <w:r>
              <w:rPr>
                <w:lang w:val="en-AU"/>
              </w:rPr>
              <w:t>There should be testing of varying approaches to voter awareness.</w:t>
            </w:r>
          </w:p>
          <w:p w:rsidR="00AD4C41" w:rsidRDefault="00792010" w:rsidP="00792010">
            <w:pPr>
              <w:pStyle w:val="ListParagraph"/>
              <w:numPr>
                <w:ilvl w:val="0"/>
                <w:numId w:val="10"/>
              </w:numPr>
              <w:ind w:left="453"/>
              <w:rPr>
                <w:lang w:val="en-AU"/>
              </w:rPr>
            </w:pPr>
            <w:r>
              <w:rPr>
                <w:lang w:val="en-AU"/>
              </w:rPr>
              <w:t>T</w:t>
            </w:r>
            <w:r w:rsidR="00AD4C41" w:rsidRPr="007C275D">
              <w:rPr>
                <w:lang w:val="en-AU"/>
              </w:rPr>
              <w:t>he overall objectives of voter</w:t>
            </w:r>
            <w:bookmarkStart w:id="1" w:name="_Hlk517716621"/>
            <w:bookmarkStart w:id="2" w:name="_Hlk517716070"/>
            <w:r>
              <w:rPr>
                <w:lang w:val="en-AU"/>
              </w:rPr>
              <w:t xml:space="preserve"> awareness need to be sharpened.</w:t>
            </w:r>
          </w:p>
          <w:p w:rsidR="006A0976" w:rsidRDefault="00792010" w:rsidP="00792010">
            <w:pPr>
              <w:pStyle w:val="ListParagraph"/>
              <w:numPr>
                <w:ilvl w:val="0"/>
                <w:numId w:val="10"/>
              </w:numPr>
              <w:ind w:left="453"/>
              <w:rPr>
                <w:lang w:val="en-AU"/>
              </w:rPr>
            </w:pPr>
            <w:r>
              <w:rPr>
                <w:lang w:val="en-AU"/>
              </w:rPr>
              <w:t>Strategies to promote voter awareness should be clearly articulated and customised to the context.</w:t>
            </w:r>
            <w:bookmarkEnd w:id="1"/>
            <w:bookmarkEnd w:id="2"/>
          </w:p>
          <w:p w:rsidR="00792010" w:rsidRPr="00792010" w:rsidRDefault="00792010" w:rsidP="00792010">
            <w:pPr>
              <w:pStyle w:val="ListParagraph"/>
              <w:numPr>
                <w:ilvl w:val="0"/>
                <w:numId w:val="10"/>
              </w:numPr>
              <w:ind w:left="453"/>
              <w:rPr>
                <w:lang w:val="en-AU"/>
              </w:rPr>
            </w:pPr>
            <w:r>
              <w:rPr>
                <w:lang w:val="en-AU"/>
              </w:rPr>
              <w:t>Operational funding for the dissemination of voter awareness products should be well-scoped.</w:t>
            </w:r>
          </w:p>
        </w:tc>
        <w:tc>
          <w:tcPr>
            <w:tcW w:w="1984" w:type="dxa"/>
            <w:shd w:val="clear" w:color="auto" w:fill="92D050"/>
            <w:hideMark/>
          </w:tcPr>
          <w:p w:rsidR="006A0976" w:rsidRPr="008A0512" w:rsidRDefault="006A0976" w:rsidP="003D6E7B">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A0512">
              <w:rPr>
                <w:sz w:val="24"/>
                <w:szCs w:val="24"/>
              </w:rPr>
              <w:t xml:space="preserve">Agree </w:t>
            </w:r>
          </w:p>
        </w:tc>
        <w:tc>
          <w:tcPr>
            <w:tcW w:w="2689" w:type="dxa"/>
          </w:tcPr>
          <w:p w:rsidR="006A0976" w:rsidRDefault="001B58BF" w:rsidP="003D6E7B">
            <w:pPr>
              <w:pStyle w:val="BodyText"/>
              <w:cnfStyle w:val="000000100000" w:firstRow="0" w:lastRow="0" w:firstColumn="0" w:lastColumn="0" w:oddVBand="0" w:evenVBand="0" w:oddHBand="1" w:evenHBand="0" w:firstRowFirstColumn="0" w:firstRowLastColumn="0" w:lastRowFirstColumn="0" w:lastRowLastColumn="0"/>
            </w:pPr>
            <w:r w:rsidRPr="001B58BF">
              <w:t>Options to expand voter awareness efforts will be considered through the new investment design process.</w:t>
            </w:r>
          </w:p>
          <w:p w:rsidR="0075764B" w:rsidRPr="001B58BF" w:rsidRDefault="0075764B" w:rsidP="003D6E7B">
            <w:pPr>
              <w:pStyle w:val="BodyText"/>
              <w:cnfStyle w:val="000000100000" w:firstRow="0" w:lastRow="0" w:firstColumn="0" w:lastColumn="0" w:oddVBand="0" w:evenVBand="0" w:oddHBand="1" w:evenHBand="0" w:firstRowFirstColumn="0" w:firstRowLastColumn="0" w:lastRowFirstColumn="0" w:lastRowLastColumn="0"/>
            </w:pPr>
            <w:r>
              <w:t>Support to voter awareness could also be considered under the broader PNG-Australia Governance Partnership.</w:t>
            </w:r>
          </w:p>
        </w:tc>
        <w:tc>
          <w:tcPr>
            <w:tcW w:w="2835" w:type="dxa"/>
          </w:tcPr>
          <w:p w:rsidR="006A0976" w:rsidRPr="001B58BF" w:rsidRDefault="001B58BF" w:rsidP="003D6E7B">
            <w:pPr>
              <w:pStyle w:val="BodyText"/>
              <w:cnfStyle w:val="000000100000" w:firstRow="0" w:lastRow="0" w:firstColumn="0" w:lastColumn="0" w:oddVBand="0" w:evenVBand="0" w:oddHBand="1" w:evenHBand="0" w:firstRowFirstColumn="0" w:firstRowLastColumn="0" w:lastRowFirstColumn="0" w:lastRowLastColumn="0"/>
            </w:pPr>
            <w:r w:rsidRPr="001B58BF">
              <w:t>To be reflect</w:t>
            </w:r>
            <w:r w:rsidR="006D4B8C">
              <w:t>ed in the new investment design</w:t>
            </w:r>
            <w:r w:rsidR="006D4B8C">
              <w:br/>
            </w:r>
            <w:r w:rsidRPr="001B58BF">
              <w:t>(2018-2022).</w:t>
            </w:r>
          </w:p>
        </w:tc>
        <w:tc>
          <w:tcPr>
            <w:tcW w:w="3832" w:type="dxa"/>
          </w:tcPr>
          <w:p w:rsidR="006A0976" w:rsidRPr="001B58BF" w:rsidRDefault="001B58BF" w:rsidP="00490349">
            <w:pPr>
              <w:pStyle w:val="BodyText"/>
              <w:cnfStyle w:val="000000100000" w:firstRow="0" w:lastRow="0" w:firstColumn="0" w:lastColumn="0" w:oddVBand="0" w:evenVBand="0" w:oddHBand="1" w:evenHBand="0" w:firstRowFirstColumn="0" w:firstRowLastColumn="0" w:lastRowFirstColumn="0" w:lastRowLastColumn="0"/>
            </w:pPr>
            <w:r w:rsidRPr="001B58BF">
              <w:t xml:space="preserve">Finalise new investment design by </w:t>
            </w:r>
            <w:r w:rsidR="00490349">
              <w:t xml:space="preserve">second </w:t>
            </w:r>
            <w:r w:rsidRPr="001B58BF">
              <w:t>quarter 2019.</w:t>
            </w:r>
          </w:p>
        </w:tc>
      </w:tr>
    </w:tbl>
    <w:p w:rsidR="006A0976" w:rsidRDefault="006A0976" w:rsidP="006A0976">
      <w:pPr>
        <w:pStyle w:val="BodyText"/>
        <w:rPr>
          <w:rFonts w:ascii="Franklin Gothic Book" w:hAnsi="Franklin Gothic Book"/>
          <w:color w:val="000000" w:themeColor="text1"/>
          <w:sz w:val="21"/>
        </w:rPr>
      </w:pP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5"/>
        <w:gridCol w:w="1989"/>
        <w:gridCol w:w="2830"/>
        <w:gridCol w:w="2699"/>
        <w:gridCol w:w="3827"/>
      </w:tblGrid>
      <w:tr w:rsidR="00952768" w:rsidRPr="008F4A4D" w:rsidTr="00952768">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965" w:type="dxa"/>
            <w:hideMark/>
          </w:tcPr>
          <w:p w:rsidR="006A0976" w:rsidRPr="008A0512" w:rsidRDefault="006A0976" w:rsidP="003D6E7B">
            <w:pPr>
              <w:pStyle w:val="TableHeaderRow"/>
            </w:pPr>
            <w:r w:rsidRPr="008A0512">
              <w:lastRenderedPageBreak/>
              <w:t>Recommendation</w:t>
            </w:r>
          </w:p>
        </w:tc>
        <w:tc>
          <w:tcPr>
            <w:tcW w:w="1989" w:type="dxa"/>
            <w:hideMark/>
          </w:tcPr>
          <w:p w:rsidR="006A0976" w:rsidRPr="008A0512" w:rsidRDefault="006A0976" w:rsidP="00F87499">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830" w:type="dxa"/>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699" w:type="dxa"/>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27" w:type="dxa"/>
            <w:hideMark/>
          </w:tcPr>
          <w:p w:rsidR="006A0976" w:rsidRPr="006D4B8C"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tc>
      </w:tr>
      <w:tr w:rsidR="00952768" w:rsidRPr="008A0512" w:rsidTr="009527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dxa"/>
          </w:tcPr>
          <w:p w:rsidR="006A0976" w:rsidRPr="00952768" w:rsidRDefault="0008435D" w:rsidP="001B58BF">
            <w:pPr>
              <w:rPr>
                <w:rFonts w:asciiTheme="minorHAnsi" w:hAnsiTheme="minorHAnsi"/>
                <w:u w:val="single"/>
              </w:rPr>
            </w:pPr>
            <w:r w:rsidRPr="00952768">
              <w:rPr>
                <w:rFonts w:asciiTheme="minorHAnsi" w:hAnsiTheme="minorHAnsi"/>
                <w:u w:val="single"/>
                <w:lang w:val="en-AU"/>
              </w:rPr>
              <w:t>Operational</w:t>
            </w:r>
            <w:r w:rsidRPr="00952768">
              <w:rPr>
                <w:rFonts w:asciiTheme="minorHAnsi" w:hAnsiTheme="minorHAnsi"/>
                <w:u w:val="single"/>
              </w:rPr>
              <w:t xml:space="preserve"> </w:t>
            </w:r>
            <w:r w:rsidR="00F87499" w:rsidRPr="00952768">
              <w:rPr>
                <w:rFonts w:asciiTheme="minorHAnsi" w:hAnsiTheme="minorHAnsi"/>
                <w:u w:val="single"/>
              </w:rPr>
              <w:t>R</w:t>
            </w:r>
            <w:r w:rsidR="006A0976" w:rsidRPr="00952768">
              <w:rPr>
                <w:rFonts w:asciiTheme="minorHAnsi" w:hAnsiTheme="minorHAnsi"/>
                <w:u w:val="single"/>
              </w:rPr>
              <w:t>ecommendation Grouping</w:t>
            </w:r>
            <w:r w:rsidR="00AD4C41" w:rsidRPr="00952768">
              <w:rPr>
                <w:rFonts w:asciiTheme="minorHAnsi" w:hAnsiTheme="minorHAnsi"/>
                <w:u w:val="single"/>
              </w:rPr>
              <w:t xml:space="preserve"> 6</w:t>
            </w:r>
          </w:p>
          <w:p w:rsidR="00AD4C41" w:rsidRPr="00952768" w:rsidRDefault="00AD4C41" w:rsidP="00AD4C41">
            <w:pPr>
              <w:rPr>
                <w:rFonts w:asciiTheme="minorHAnsi" w:hAnsiTheme="minorHAnsi"/>
                <w:b/>
                <w:lang w:val="en-AU"/>
              </w:rPr>
            </w:pPr>
            <w:r w:rsidRPr="00952768">
              <w:rPr>
                <w:rFonts w:asciiTheme="minorHAnsi" w:hAnsiTheme="minorHAnsi"/>
                <w:b/>
                <w:lang w:val="en-AU"/>
              </w:rPr>
              <w:t>Electoral Reform</w:t>
            </w:r>
          </w:p>
          <w:p w:rsidR="00AD4C41" w:rsidRPr="00952768" w:rsidRDefault="00D74D0F" w:rsidP="00D74D0F">
            <w:pPr>
              <w:pStyle w:val="ListParagraph"/>
              <w:numPr>
                <w:ilvl w:val="0"/>
                <w:numId w:val="10"/>
              </w:numPr>
              <w:ind w:left="453"/>
              <w:rPr>
                <w:rFonts w:asciiTheme="minorHAnsi" w:hAnsiTheme="minorHAnsi"/>
                <w:lang w:val="en-AU"/>
              </w:rPr>
            </w:pPr>
            <w:r w:rsidRPr="00952768">
              <w:rPr>
                <w:rFonts w:asciiTheme="minorHAnsi" w:hAnsiTheme="minorHAnsi"/>
                <w:lang w:val="en-AU"/>
              </w:rPr>
              <w:t>I</w:t>
            </w:r>
            <w:r w:rsidR="00AD4C41" w:rsidRPr="00952768">
              <w:rPr>
                <w:rFonts w:asciiTheme="minorHAnsi" w:hAnsiTheme="minorHAnsi"/>
                <w:lang w:val="en-AU"/>
              </w:rPr>
              <w:t xml:space="preserve">dentify the principles and objectives of Australia’s influence </w:t>
            </w:r>
            <w:r w:rsidRPr="00952768">
              <w:rPr>
                <w:rFonts w:asciiTheme="minorHAnsi" w:hAnsiTheme="minorHAnsi"/>
                <w:lang w:val="en-AU"/>
              </w:rPr>
              <w:t>on PNG electoral reform.</w:t>
            </w:r>
          </w:p>
          <w:p w:rsidR="00AD4C41" w:rsidRPr="00952768" w:rsidRDefault="00AD4C41" w:rsidP="00D74D0F">
            <w:pPr>
              <w:pStyle w:val="ListParagraph"/>
              <w:numPr>
                <w:ilvl w:val="0"/>
                <w:numId w:val="10"/>
              </w:numPr>
              <w:ind w:left="453"/>
              <w:rPr>
                <w:rFonts w:asciiTheme="minorHAnsi" w:hAnsiTheme="minorHAnsi"/>
                <w:lang w:val="en-AU"/>
              </w:rPr>
            </w:pPr>
            <w:r w:rsidRPr="00952768">
              <w:rPr>
                <w:rFonts w:asciiTheme="minorHAnsi" w:hAnsiTheme="minorHAnsi"/>
                <w:lang w:val="en-AU"/>
              </w:rPr>
              <w:t xml:space="preserve">Continue to look for opportunities to support PNG-led electoral reforms with strong prospects of </w:t>
            </w:r>
            <w:r w:rsidR="00D74D0F" w:rsidRPr="00952768">
              <w:rPr>
                <w:rFonts w:asciiTheme="minorHAnsi" w:hAnsiTheme="minorHAnsi"/>
                <w:lang w:val="en-AU"/>
              </w:rPr>
              <w:t>success.</w:t>
            </w:r>
          </w:p>
          <w:p w:rsidR="006A0976" w:rsidRPr="00952768" w:rsidRDefault="00AD4C41" w:rsidP="00D74D0F">
            <w:pPr>
              <w:pStyle w:val="ListParagraph"/>
              <w:numPr>
                <w:ilvl w:val="0"/>
                <w:numId w:val="10"/>
              </w:numPr>
              <w:ind w:left="453"/>
              <w:rPr>
                <w:rFonts w:asciiTheme="minorHAnsi" w:hAnsiTheme="minorHAnsi"/>
                <w:lang w:val="en-AU"/>
              </w:rPr>
            </w:pPr>
            <w:r w:rsidRPr="00952768">
              <w:rPr>
                <w:rFonts w:asciiTheme="minorHAnsi" w:hAnsiTheme="minorHAnsi"/>
                <w:lang w:val="en-AU"/>
              </w:rPr>
              <w:t>Support the development of feasible reform options in areas of mutual interest and continue to advocate for improved electoral processes.</w:t>
            </w:r>
          </w:p>
        </w:tc>
        <w:tc>
          <w:tcPr>
            <w:tcW w:w="1989" w:type="dxa"/>
            <w:shd w:val="clear" w:color="auto" w:fill="92D050"/>
            <w:hideMark/>
          </w:tcPr>
          <w:p w:rsidR="006A0976" w:rsidRPr="00952768" w:rsidRDefault="006A0976"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52768">
              <w:rPr>
                <w:rFonts w:asciiTheme="minorHAnsi" w:hAnsiTheme="minorHAnsi"/>
                <w:sz w:val="22"/>
                <w:szCs w:val="22"/>
              </w:rPr>
              <w:t xml:space="preserve">Agree </w:t>
            </w:r>
          </w:p>
        </w:tc>
        <w:tc>
          <w:tcPr>
            <w:tcW w:w="2830" w:type="dxa"/>
          </w:tcPr>
          <w:p w:rsidR="00952768" w:rsidRPr="008B308A" w:rsidRDefault="00565133" w:rsidP="008B30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52768">
              <w:rPr>
                <w:rFonts w:asciiTheme="minorHAnsi" w:hAnsiTheme="minorHAnsi"/>
              </w:rPr>
              <w:t>PNG is considering significant reforms of its electoral system over the current cycle. DFAT is closely f</w:t>
            </w:r>
            <w:r w:rsidR="008B308A">
              <w:rPr>
                <w:rFonts w:asciiTheme="minorHAnsi" w:hAnsiTheme="minorHAnsi"/>
              </w:rPr>
              <w:t>ollowing developments and support for agreed reforms will be reflected in the new investment design.</w:t>
            </w:r>
          </w:p>
        </w:tc>
        <w:tc>
          <w:tcPr>
            <w:tcW w:w="2699" w:type="dxa"/>
          </w:tcPr>
          <w:p w:rsidR="006A0976" w:rsidRPr="00952768" w:rsidRDefault="00565133"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52768">
              <w:rPr>
                <w:rFonts w:asciiTheme="minorHAnsi" w:hAnsiTheme="minorHAnsi"/>
              </w:rPr>
              <w:t xml:space="preserve">Retain focus on supporting PNG electoral reform in new investment design and use forums such as </w:t>
            </w:r>
            <w:r w:rsidR="00952768">
              <w:rPr>
                <w:rFonts w:asciiTheme="minorHAnsi" w:hAnsiTheme="minorHAnsi"/>
              </w:rPr>
              <w:t xml:space="preserve">the </w:t>
            </w:r>
            <w:r w:rsidRPr="00952768">
              <w:rPr>
                <w:rFonts w:asciiTheme="minorHAnsi" w:hAnsiTheme="minorHAnsi"/>
              </w:rPr>
              <w:t>Development Partners Electoral Support Steering Committee to advocate for sound policy.</w:t>
            </w:r>
          </w:p>
        </w:tc>
        <w:tc>
          <w:tcPr>
            <w:tcW w:w="3827" w:type="dxa"/>
          </w:tcPr>
          <w:p w:rsidR="006A0976" w:rsidRPr="00952768" w:rsidRDefault="00952768"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Ongoing</w:t>
            </w:r>
          </w:p>
        </w:tc>
      </w:tr>
    </w:tbl>
    <w:p w:rsidR="008B308A" w:rsidRDefault="008B308A" w:rsidP="006A0976">
      <w:pPr>
        <w:pStyle w:val="BodyText"/>
        <w:rPr>
          <w:rFonts w:ascii="Franklin Gothic Book" w:hAnsi="Franklin Gothic Book"/>
          <w:color w:val="000000" w:themeColor="text1"/>
          <w:sz w:val="21"/>
        </w:rPr>
      </w:pPr>
    </w:p>
    <w:p w:rsidR="008B308A" w:rsidRDefault="008B308A" w:rsidP="008B308A">
      <w:r>
        <w:br w:type="page"/>
      </w:r>
    </w:p>
    <w:tbl>
      <w:tblPr>
        <w:tblStyle w:val="DFATTable1"/>
        <w:tblW w:w="15310" w:type="dxa"/>
        <w:tblInd w:w="-85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5"/>
        <w:gridCol w:w="1984"/>
        <w:gridCol w:w="2835"/>
        <w:gridCol w:w="2694"/>
        <w:gridCol w:w="3832"/>
      </w:tblGrid>
      <w:tr w:rsidR="006A0976" w:rsidRPr="008F4A4D" w:rsidTr="006D4B8C">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965" w:type="dxa"/>
            <w:tcBorders>
              <w:top w:val="none" w:sz="0" w:space="0" w:color="auto"/>
              <w:bottom w:val="none" w:sz="0" w:space="0" w:color="auto"/>
            </w:tcBorders>
            <w:hideMark/>
          </w:tcPr>
          <w:p w:rsidR="006A0976" w:rsidRPr="008A0512" w:rsidRDefault="006A0976" w:rsidP="003D6E7B">
            <w:pPr>
              <w:pStyle w:val="TableHeaderRow"/>
            </w:pPr>
            <w:r w:rsidRPr="008A0512">
              <w:lastRenderedPageBreak/>
              <w:t>Recommendation</w:t>
            </w:r>
          </w:p>
        </w:tc>
        <w:tc>
          <w:tcPr>
            <w:tcW w:w="1984" w:type="dxa"/>
            <w:tcBorders>
              <w:top w:val="none" w:sz="0" w:space="0" w:color="auto"/>
              <w:bottom w:val="none" w:sz="0" w:space="0" w:color="auto"/>
            </w:tcBorders>
            <w:hideMark/>
          </w:tcPr>
          <w:p w:rsidR="006A0976" w:rsidRPr="008A0512" w:rsidRDefault="006A0976" w:rsidP="00F87499">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p>
        </w:tc>
        <w:tc>
          <w:tcPr>
            <w:tcW w:w="2835"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2694" w:type="dxa"/>
            <w:tcBorders>
              <w:top w:val="none" w:sz="0" w:space="0" w:color="auto"/>
              <w:bottom w:val="none" w:sz="0" w:space="0" w:color="auto"/>
            </w:tcBorders>
            <w:hideMark/>
          </w:tcPr>
          <w:p w:rsidR="006A0976" w:rsidRPr="008A0512" w:rsidRDefault="006A0976" w:rsidP="003D6E7B">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3832" w:type="dxa"/>
            <w:tcBorders>
              <w:top w:val="none" w:sz="0" w:space="0" w:color="auto"/>
              <w:bottom w:val="none" w:sz="0" w:space="0" w:color="auto"/>
            </w:tcBorders>
            <w:hideMark/>
          </w:tcPr>
          <w:p w:rsidR="006A0976" w:rsidRPr="00E52404" w:rsidRDefault="00E52404" w:rsidP="003D6E7B">
            <w:pPr>
              <w:pStyle w:val="TableHeaderRow"/>
              <w:cnfStyle w:val="100000000000" w:firstRow="1" w:lastRow="0" w:firstColumn="0" w:lastColumn="0" w:oddVBand="0" w:evenVBand="0" w:oddHBand="0" w:evenHBand="0" w:firstRowFirstColumn="0" w:firstRowLastColumn="0" w:lastRowFirstColumn="0" w:lastRowLastColumn="0"/>
            </w:pPr>
            <w:r>
              <w:t>Timeframe</w:t>
            </w:r>
          </w:p>
        </w:tc>
      </w:tr>
      <w:tr w:rsidR="006A0976" w:rsidRPr="008A0512" w:rsidTr="006D4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5" w:type="dxa"/>
          </w:tcPr>
          <w:p w:rsidR="006A0976" w:rsidRPr="006D4B8C" w:rsidRDefault="0008435D" w:rsidP="007C275D">
            <w:pPr>
              <w:pStyle w:val="BodyText"/>
              <w:rPr>
                <w:rFonts w:asciiTheme="minorHAnsi" w:hAnsiTheme="minorHAnsi"/>
                <w:u w:val="single"/>
                <w:lang w:val="en-AU"/>
              </w:rPr>
            </w:pPr>
            <w:r w:rsidRPr="006D4B8C">
              <w:rPr>
                <w:rFonts w:asciiTheme="minorHAnsi" w:hAnsiTheme="minorHAnsi"/>
                <w:u w:val="single"/>
                <w:lang w:val="en-AU"/>
              </w:rPr>
              <w:t xml:space="preserve">Operational </w:t>
            </w:r>
            <w:r w:rsidR="006A0976" w:rsidRPr="006D4B8C">
              <w:rPr>
                <w:rFonts w:asciiTheme="minorHAnsi" w:hAnsiTheme="minorHAnsi"/>
                <w:u w:val="single"/>
                <w:lang w:val="en-AU"/>
              </w:rPr>
              <w:t>Recommendation Grouping</w:t>
            </w:r>
            <w:r w:rsidR="00F87499" w:rsidRPr="006D4B8C">
              <w:rPr>
                <w:rFonts w:asciiTheme="minorHAnsi" w:hAnsiTheme="minorHAnsi"/>
                <w:u w:val="single"/>
                <w:lang w:val="en-AU"/>
              </w:rPr>
              <w:t xml:space="preserve"> 7</w:t>
            </w:r>
          </w:p>
          <w:p w:rsidR="006A0976" w:rsidRPr="006D4B8C" w:rsidRDefault="00F87499" w:rsidP="007C275D">
            <w:pPr>
              <w:pStyle w:val="BodyText"/>
              <w:rPr>
                <w:rFonts w:asciiTheme="minorHAnsi" w:hAnsiTheme="minorHAnsi"/>
                <w:lang w:val="en-AU"/>
              </w:rPr>
            </w:pPr>
            <w:r w:rsidRPr="006D4B8C">
              <w:rPr>
                <w:rFonts w:asciiTheme="minorHAnsi" w:hAnsiTheme="minorHAnsi"/>
                <w:lang w:val="en-AU"/>
              </w:rPr>
              <w:t>Implementing Partners:</w:t>
            </w:r>
          </w:p>
          <w:p w:rsidR="006A0976" w:rsidRPr="006D4B8C" w:rsidRDefault="00E52404"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 xml:space="preserve">Outline the roles of the </w:t>
            </w:r>
            <w:r w:rsidR="00F87499" w:rsidRPr="006D4B8C">
              <w:rPr>
                <w:rFonts w:asciiTheme="minorHAnsi" w:hAnsiTheme="minorHAnsi"/>
                <w:lang w:val="en-AU"/>
              </w:rPr>
              <w:t xml:space="preserve">various implementing partners and </w:t>
            </w:r>
            <w:r w:rsidRPr="006D4B8C">
              <w:rPr>
                <w:rFonts w:asciiTheme="minorHAnsi" w:hAnsiTheme="minorHAnsi"/>
                <w:lang w:val="en-AU"/>
              </w:rPr>
              <w:t xml:space="preserve">clearly </w:t>
            </w:r>
            <w:r w:rsidR="00F87499" w:rsidRPr="006D4B8C">
              <w:rPr>
                <w:rFonts w:asciiTheme="minorHAnsi" w:hAnsiTheme="minorHAnsi"/>
                <w:lang w:val="en-AU"/>
              </w:rPr>
              <w:t>structure their coordination.</w:t>
            </w:r>
          </w:p>
          <w:p w:rsidR="00F87499" w:rsidRPr="006D4B8C" w:rsidRDefault="00F87499"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AEC engagement</w:t>
            </w:r>
            <w:r w:rsidR="00E52404" w:rsidRPr="006D4B8C">
              <w:rPr>
                <w:rFonts w:asciiTheme="minorHAnsi" w:hAnsiTheme="minorHAnsi"/>
                <w:lang w:val="en-AU"/>
              </w:rPr>
              <w:t xml:space="preserve"> should be continued and its role should form the centrepiece of the electoral assistance partnership.</w:t>
            </w:r>
          </w:p>
          <w:p w:rsidR="00F87499" w:rsidRPr="006D4B8C" w:rsidRDefault="00F87499"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 xml:space="preserve">IFES’s role should be driven by demand for electoral support </w:t>
            </w:r>
            <w:r w:rsidR="00E52404" w:rsidRPr="006D4B8C">
              <w:rPr>
                <w:rFonts w:asciiTheme="minorHAnsi" w:hAnsiTheme="minorHAnsi"/>
                <w:lang w:val="en-AU"/>
              </w:rPr>
              <w:t xml:space="preserve">from the PNGEC and </w:t>
            </w:r>
            <w:r w:rsidRPr="006D4B8C">
              <w:rPr>
                <w:rFonts w:asciiTheme="minorHAnsi" w:hAnsiTheme="minorHAnsi"/>
                <w:lang w:val="en-AU"/>
              </w:rPr>
              <w:t xml:space="preserve">fit with </w:t>
            </w:r>
            <w:r w:rsidR="00E52404" w:rsidRPr="006D4B8C">
              <w:rPr>
                <w:rFonts w:asciiTheme="minorHAnsi" w:hAnsiTheme="minorHAnsi"/>
                <w:lang w:val="en-AU"/>
              </w:rPr>
              <w:t xml:space="preserve">Australia’s </w:t>
            </w:r>
            <w:r w:rsidRPr="006D4B8C">
              <w:rPr>
                <w:rFonts w:asciiTheme="minorHAnsi" w:hAnsiTheme="minorHAnsi"/>
                <w:lang w:val="en-AU"/>
              </w:rPr>
              <w:t xml:space="preserve">broader </w:t>
            </w:r>
            <w:r w:rsidR="00E52404" w:rsidRPr="006D4B8C">
              <w:rPr>
                <w:rFonts w:asciiTheme="minorHAnsi" w:hAnsiTheme="minorHAnsi"/>
                <w:lang w:val="en-AU"/>
              </w:rPr>
              <w:t>strategy for the program</w:t>
            </w:r>
            <w:r w:rsidRPr="006D4B8C">
              <w:rPr>
                <w:rFonts w:asciiTheme="minorHAnsi" w:hAnsiTheme="minorHAnsi"/>
                <w:lang w:val="en-AU"/>
              </w:rPr>
              <w:t>.</w:t>
            </w:r>
          </w:p>
          <w:p w:rsidR="00F87499" w:rsidRPr="006D4B8C" w:rsidRDefault="00F87499"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The Governance Partnership facility advisers should be maintained in an ongoing manner on finance and ICT work.</w:t>
            </w:r>
          </w:p>
          <w:p w:rsidR="00F87499" w:rsidRPr="006D4B8C" w:rsidRDefault="00F87499"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 xml:space="preserve">Barring exceptional circumstances, support provided by the Australian Civilian Corps should be of a similar magnitude to that provided in 2017.  </w:t>
            </w:r>
          </w:p>
          <w:p w:rsidR="00F87499" w:rsidRPr="006D4B8C" w:rsidRDefault="00E52404" w:rsidP="00E52404">
            <w:pPr>
              <w:pStyle w:val="ListParagraph"/>
              <w:numPr>
                <w:ilvl w:val="0"/>
                <w:numId w:val="10"/>
              </w:numPr>
              <w:ind w:left="453"/>
              <w:rPr>
                <w:rFonts w:asciiTheme="minorHAnsi" w:hAnsiTheme="minorHAnsi"/>
                <w:lang w:val="en-AU"/>
              </w:rPr>
            </w:pPr>
            <w:r w:rsidRPr="006D4B8C">
              <w:rPr>
                <w:rFonts w:asciiTheme="minorHAnsi" w:hAnsiTheme="minorHAnsi"/>
                <w:lang w:val="en-AU"/>
              </w:rPr>
              <w:t>I</w:t>
            </w:r>
            <w:r w:rsidR="00F87499" w:rsidRPr="006D4B8C">
              <w:rPr>
                <w:rFonts w:asciiTheme="minorHAnsi" w:hAnsiTheme="minorHAnsi"/>
                <w:lang w:val="en-AU"/>
              </w:rPr>
              <w:t>mplementing partners work</w:t>
            </w:r>
            <w:r w:rsidRPr="006D4B8C">
              <w:rPr>
                <w:rFonts w:asciiTheme="minorHAnsi" w:hAnsiTheme="minorHAnsi"/>
                <w:lang w:val="en-AU"/>
              </w:rPr>
              <w:t xml:space="preserve">ing on areas of relevance to upcoming local level government </w:t>
            </w:r>
            <w:r w:rsidR="00F87499" w:rsidRPr="006D4B8C">
              <w:rPr>
                <w:rFonts w:asciiTheme="minorHAnsi" w:hAnsiTheme="minorHAnsi"/>
                <w:lang w:val="en-AU"/>
              </w:rPr>
              <w:t>elections should be maintained.</w:t>
            </w:r>
          </w:p>
        </w:tc>
        <w:tc>
          <w:tcPr>
            <w:tcW w:w="1984" w:type="dxa"/>
            <w:shd w:val="clear" w:color="auto" w:fill="FFC000"/>
            <w:hideMark/>
          </w:tcPr>
          <w:p w:rsidR="006A0976" w:rsidRPr="006D4B8C" w:rsidRDefault="006A0976" w:rsidP="003D6E7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D4B8C">
              <w:rPr>
                <w:rFonts w:asciiTheme="minorHAnsi" w:hAnsiTheme="minorHAnsi"/>
                <w:sz w:val="22"/>
                <w:szCs w:val="22"/>
              </w:rPr>
              <w:t xml:space="preserve">Agree </w:t>
            </w:r>
            <w:r w:rsidR="00E52404" w:rsidRPr="006D4B8C">
              <w:rPr>
                <w:rFonts w:asciiTheme="minorHAnsi" w:hAnsiTheme="minorHAnsi"/>
                <w:sz w:val="22"/>
                <w:szCs w:val="22"/>
              </w:rPr>
              <w:t>in part</w:t>
            </w:r>
          </w:p>
        </w:tc>
        <w:tc>
          <w:tcPr>
            <w:tcW w:w="2835" w:type="dxa"/>
          </w:tcPr>
          <w:p w:rsidR="008B308A" w:rsidRDefault="006A1007" w:rsidP="008B30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6D4B8C">
              <w:rPr>
                <w:rFonts w:asciiTheme="minorHAnsi" w:hAnsiTheme="minorHAnsi"/>
              </w:rPr>
              <w:t>Improving coordination between implementing partners is a priority for DFAT’s management of the program and will be considered in the new investment design</w:t>
            </w:r>
            <w:r w:rsidR="006D4B8C">
              <w:rPr>
                <w:rFonts w:asciiTheme="minorHAnsi" w:hAnsiTheme="minorHAnsi"/>
              </w:rPr>
              <w:br/>
            </w:r>
            <w:r w:rsidR="008B308A">
              <w:rPr>
                <w:rFonts w:asciiTheme="minorHAnsi" w:hAnsiTheme="minorHAnsi"/>
              </w:rPr>
              <w:t>(2018-2022).</w:t>
            </w:r>
          </w:p>
          <w:p w:rsidR="004F67DB" w:rsidRPr="006D4B8C" w:rsidRDefault="004F67DB" w:rsidP="008B308A">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DFAT will retain discretion to deploy short-term technical advisers in response to specific requests from the PNGEC.</w:t>
            </w:r>
          </w:p>
        </w:tc>
        <w:tc>
          <w:tcPr>
            <w:tcW w:w="2694" w:type="dxa"/>
          </w:tcPr>
          <w:p w:rsidR="006A0976" w:rsidRPr="006D4B8C" w:rsidRDefault="004F67DB" w:rsidP="003D6E7B">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To be clarified and </w:t>
            </w:r>
            <w:r w:rsidRPr="001B58BF">
              <w:t>reflect</w:t>
            </w:r>
            <w:r>
              <w:t>ed in the new investment design</w:t>
            </w:r>
            <w:r>
              <w:br/>
            </w:r>
            <w:r w:rsidRPr="001B58BF">
              <w:t>(2018-2022).</w:t>
            </w:r>
          </w:p>
        </w:tc>
        <w:tc>
          <w:tcPr>
            <w:tcW w:w="3832" w:type="dxa"/>
          </w:tcPr>
          <w:p w:rsidR="006A0976" w:rsidRPr="006D4B8C" w:rsidRDefault="004F67DB" w:rsidP="00490349">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B58BF">
              <w:t xml:space="preserve">Finalise new investment design by </w:t>
            </w:r>
            <w:r w:rsidR="00490349">
              <w:t xml:space="preserve">second </w:t>
            </w:r>
            <w:r w:rsidRPr="001B58BF">
              <w:t>quarter 2019.</w:t>
            </w:r>
          </w:p>
        </w:tc>
      </w:tr>
    </w:tbl>
    <w:p w:rsidR="006A0976" w:rsidRDefault="006A0976" w:rsidP="006A0976">
      <w:pPr>
        <w:pStyle w:val="BodyText"/>
        <w:rPr>
          <w:rFonts w:ascii="Franklin Gothic Book" w:hAnsi="Franklin Gothic Book"/>
          <w:color w:val="000000" w:themeColor="text1"/>
          <w:sz w:val="21"/>
        </w:rPr>
      </w:pPr>
    </w:p>
    <w:p w:rsidR="006A0976" w:rsidRDefault="006A0976" w:rsidP="006A0976">
      <w:pPr>
        <w:pStyle w:val="BodyText"/>
        <w:rPr>
          <w:rFonts w:ascii="Franklin Gothic Book" w:hAnsi="Franklin Gothic Book"/>
          <w:color w:val="000000" w:themeColor="text1"/>
          <w:sz w:val="21"/>
        </w:rPr>
      </w:pPr>
    </w:p>
    <w:sectPr w:rsidR="006A0976" w:rsidSect="006A0976">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D5" w:rsidRDefault="001118D5" w:rsidP="001118D5">
      <w:pPr>
        <w:spacing w:before="0" w:after="0" w:line="240" w:lineRule="auto"/>
      </w:pPr>
      <w:r>
        <w:separator/>
      </w:r>
    </w:p>
  </w:endnote>
  <w:endnote w:type="continuationSeparator" w:id="0">
    <w:p w:rsidR="001118D5" w:rsidRDefault="001118D5" w:rsidP="001118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D5" w:rsidRDefault="001118D5" w:rsidP="001118D5">
      <w:pPr>
        <w:spacing w:before="0" w:after="0" w:line="240" w:lineRule="auto"/>
      </w:pPr>
      <w:r>
        <w:separator/>
      </w:r>
    </w:p>
  </w:footnote>
  <w:footnote w:type="continuationSeparator" w:id="0">
    <w:p w:rsidR="001118D5" w:rsidRDefault="001118D5" w:rsidP="001118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D5" w:rsidRDefault="00111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7B61"/>
    <w:multiLevelType w:val="hybridMultilevel"/>
    <w:tmpl w:val="F9409990"/>
    <w:lvl w:ilvl="0" w:tplc="131C6B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C4334"/>
    <w:multiLevelType w:val="hybridMultilevel"/>
    <w:tmpl w:val="3444A65C"/>
    <w:lvl w:ilvl="0" w:tplc="0F9073F6">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B971D7"/>
    <w:multiLevelType w:val="hybridMultilevel"/>
    <w:tmpl w:val="1E2603B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56043A"/>
    <w:multiLevelType w:val="multilevel"/>
    <w:tmpl w:val="69AEB596"/>
    <w:numStyleLink w:val="BulletsList"/>
  </w:abstractNum>
  <w:abstractNum w:abstractNumId="4" w15:restartNumberingAfterBreak="0">
    <w:nsid w:val="63B571E2"/>
    <w:multiLevelType w:val="hybridMultilevel"/>
    <w:tmpl w:val="5F66634E"/>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D6735F"/>
    <w:multiLevelType w:val="hybridMultilevel"/>
    <w:tmpl w:val="9F3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044A9B"/>
    <w:multiLevelType w:val="hybridMultilevel"/>
    <w:tmpl w:val="8A8CBF4A"/>
    <w:lvl w:ilvl="0" w:tplc="A268EF56">
      <w:start w:val="1"/>
      <w:numFmt w:val="decimal"/>
      <w:lvlText w:val="%1."/>
      <w:lvlJc w:val="left"/>
      <w:pPr>
        <w:ind w:left="360" w:hanging="360"/>
      </w:pPr>
      <w:rPr>
        <w:rFonts w:ascii="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 w15:restartNumberingAfterBreak="0">
    <w:nsid w:val="7A9A3069"/>
    <w:multiLevelType w:val="hybridMultilevel"/>
    <w:tmpl w:val="BBE018FE"/>
    <w:lvl w:ilvl="0" w:tplc="6D96A36A">
      <w:start w:val="20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E4207B"/>
    <w:multiLevelType w:val="hybridMultilevel"/>
    <w:tmpl w:val="9550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
  </w:num>
  <w:num w:numId="6">
    <w:abstractNumId w:val="4"/>
  </w:num>
  <w:num w:numId="7">
    <w:abstractNumId w:val="6"/>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76"/>
    <w:rsid w:val="00022925"/>
    <w:rsid w:val="00065814"/>
    <w:rsid w:val="0008435D"/>
    <w:rsid w:val="00090958"/>
    <w:rsid w:val="000B5E65"/>
    <w:rsid w:val="000B76CF"/>
    <w:rsid w:val="0010271C"/>
    <w:rsid w:val="001118D5"/>
    <w:rsid w:val="00130605"/>
    <w:rsid w:val="001B58BF"/>
    <w:rsid w:val="0026210C"/>
    <w:rsid w:val="00295568"/>
    <w:rsid w:val="0030755A"/>
    <w:rsid w:val="00312F24"/>
    <w:rsid w:val="00334FE5"/>
    <w:rsid w:val="00365635"/>
    <w:rsid w:val="00381643"/>
    <w:rsid w:val="003B1B42"/>
    <w:rsid w:val="003C69CA"/>
    <w:rsid w:val="003F6BBF"/>
    <w:rsid w:val="00490349"/>
    <w:rsid w:val="004F67DB"/>
    <w:rsid w:val="005111BE"/>
    <w:rsid w:val="00525A64"/>
    <w:rsid w:val="00565133"/>
    <w:rsid w:val="005B5C6D"/>
    <w:rsid w:val="005E3E5E"/>
    <w:rsid w:val="006358D6"/>
    <w:rsid w:val="0068181F"/>
    <w:rsid w:val="006A0976"/>
    <w:rsid w:val="006A1007"/>
    <w:rsid w:val="006C5B84"/>
    <w:rsid w:val="006D4B8C"/>
    <w:rsid w:val="0075764B"/>
    <w:rsid w:val="0076091B"/>
    <w:rsid w:val="007863A0"/>
    <w:rsid w:val="00791938"/>
    <w:rsid w:val="00792010"/>
    <w:rsid w:val="007C275D"/>
    <w:rsid w:val="007D5440"/>
    <w:rsid w:val="008B0D3A"/>
    <w:rsid w:val="008B308A"/>
    <w:rsid w:val="009241A0"/>
    <w:rsid w:val="00952768"/>
    <w:rsid w:val="009D58BF"/>
    <w:rsid w:val="00A342D9"/>
    <w:rsid w:val="00A7345F"/>
    <w:rsid w:val="00AB4B36"/>
    <w:rsid w:val="00AD4C41"/>
    <w:rsid w:val="00AD6A4F"/>
    <w:rsid w:val="00B07D19"/>
    <w:rsid w:val="00B14BD2"/>
    <w:rsid w:val="00B15937"/>
    <w:rsid w:val="00B554A7"/>
    <w:rsid w:val="00BD36EC"/>
    <w:rsid w:val="00C579D8"/>
    <w:rsid w:val="00C644E7"/>
    <w:rsid w:val="00CC1304"/>
    <w:rsid w:val="00D33A01"/>
    <w:rsid w:val="00D36591"/>
    <w:rsid w:val="00D74D0F"/>
    <w:rsid w:val="00D808ED"/>
    <w:rsid w:val="00D8698A"/>
    <w:rsid w:val="00DD279C"/>
    <w:rsid w:val="00DE03E8"/>
    <w:rsid w:val="00E43AEF"/>
    <w:rsid w:val="00E52404"/>
    <w:rsid w:val="00F03FF5"/>
    <w:rsid w:val="00F047DD"/>
    <w:rsid w:val="00F11B3D"/>
    <w:rsid w:val="00F14EF9"/>
    <w:rsid w:val="00F24058"/>
    <w:rsid w:val="00F35150"/>
    <w:rsid w:val="00F773C8"/>
    <w:rsid w:val="00F87499"/>
    <w:rsid w:val="00F93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76"/>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6A097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6A09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6A0976"/>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0976"/>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6A0976"/>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6A0976"/>
    <w:pPr>
      <w:numPr>
        <w:numId w:val="2"/>
      </w:numPr>
      <w:tabs>
        <w:tab w:val="left" w:pos="567"/>
      </w:tabs>
      <w:spacing w:before="60"/>
    </w:pPr>
  </w:style>
  <w:style w:type="paragraph" w:customStyle="1" w:styleId="Bullet2">
    <w:name w:val="Bullet 2"/>
    <w:basedOn w:val="Bullet1"/>
    <w:qFormat/>
    <w:rsid w:val="006A0976"/>
    <w:pPr>
      <w:numPr>
        <w:ilvl w:val="1"/>
      </w:numPr>
      <w:tabs>
        <w:tab w:val="clear" w:pos="568"/>
        <w:tab w:val="left" w:pos="851"/>
      </w:tabs>
    </w:pPr>
  </w:style>
  <w:style w:type="paragraph" w:customStyle="1" w:styleId="Bullet3">
    <w:name w:val="Bullet 3"/>
    <w:basedOn w:val="Bullet2"/>
    <w:qFormat/>
    <w:rsid w:val="006A0976"/>
    <w:pPr>
      <w:numPr>
        <w:ilvl w:val="2"/>
      </w:numPr>
      <w:tabs>
        <w:tab w:val="clear" w:pos="852"/>
        <w:tab w:val="left" w:pos="1134"/>
      </w:tabs>
    </w:pPr>
  </w:style>
  <w:style w:type="numbering" w:customStyle="1" w:styleId="BulletsList">
    <w:name w:val="Bullets List"/>
    <w:uiPriority w:val="99"/>
    <w:rsid w:val="006A0976"/>
    <w:pPr>
      <w:numPr>
        <w:numId w:val="1"/>
      </w:numPr>
    </w:pPr>
  </w:style>
  <w:style w:type="paragraph" w:customStyle="1" w:styleId="TableHeaderRow">
    <w:name w:val="Table Header Row"/>
    <w:basedOn w:val="Normal"/>
    <w:qFormat/>
    <w:rsid w:val="006A0976"/>
    <w:pPr>
      <w:spacing w:before="60"/>
    </w:pPr>
    <w:rPr>
      <w:rFonts w:ascii="Calibri" w:hAnsi="Calibri"/>
      <w:b/>
      <w:color w:val="FFFFFF" w:themeColor="background1"/>
      <w:szCs w:val="21"/>
    </w:rPr>
  </w:style>
  <w:style w:type="table" w:customStyle="1" w:styleId="DFATTable1">
    <w:name w:val="DFAT Table 1"/>
    <w:basedOn w:val="TableNormal"/>
    <w:uiPriority w:val="99"/>
    <w:rsid w:val="006A0976"/>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6A0976"/>
  </w:style>
  <w:style w:type="character" w:customStyle="1" w:styleId="BodyTextChar">
    <w:name w:val="Body Text Char"/>
    <w:basedOn w:val="DefaultParagraphFont"/>
    <w:link w:val="BodyText"/>
    <w:uiPriority w:val="99"/>
    <w:rsid w:val="006A0976"/>
    <w:rPr>
      <w:color w:val="44546A" w:themeColor="text2"/>
      <w:lang w:val="en-GB"/>
    </w:rPr>
  </w:style>
  <w:style w:type="character" w:customStyle="1" w:styleId="Heading2Char">
    <w:name w:val="Heading 2 Char"/>
    <w:basedOn w:val="DefaultParagraphFont"/>
    <w:link w:val="Heading2"/>
    <w:uiPriority w:val="9"/>
    <w:semiHidden/>
    <w:rsid w:val="006A0976"/>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link w:val="ListParagraphChar"/>
    <w:uiPriority w:val="34"/>
    <w:qFormat/>
    <w:rsid w:val="003B1B42"/>
    <w:pPr>
      <w:ind w:left="720"/>
      <w:contextualSpacing/>
    </w:pPr>
  </w:style>
  <w:style w:type="character" w:customStyle="1" w:styleId="ListParagraphChar">
    <w:name w:val="List Paragraph Char"/>
    <w:link w:val="ListParagraph"/>
    <w:uiPriority w:val="34"/>
    <w:rsid w:val="000B76CF"/>
    <w:rPr>
      <w:color w:val="44546A" w:themeColor="text2"/>
      <w:lang w:val="en-GB"/>
    </w:rPr>
  </w:style>
  <w:style w:type="paragraph" w:styleId="BalloonText">
    <w:name w:val="Balloon Text"/>
    <w:basedOn w:val="Normal"/>
    <w:link w:val="BalloonTextChar"/>
    <w:uiPriority w:val="99"/>
    <w:semiHidden/>
    <w:unhideWhenUsed/>
    <w:rsid w:val="00D8698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98A"/>
    <w:rPr>
      <w:rFonts w:ascii="Segoe UI" w:hAnsi="Segoe UI" w:cs="Segoe UI"/>
      <w:color w:val="44546A" w:themeColor="text2"/>
      <w:sz w:val="18"/>
      <w:szCs w:val="18"/>
      <w:lang w:val="en-GB"/>
    </w:rPr>
  </w:style>
  <w:style w:type="paragraph" w:styleId="Header">
    <w:name w:val="header"/>
    <w:basedOn w:val="Normal"/>
    <w:link w:val="HeaderChar"/>
    <w:uiPriority w:val="99"/>
    <w:unhideWhenUsed/>
    <w:rsid w:val="001118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18D5"/>
    <w:rPr>
      <w:color w:val="44546A" w:themeColor="text2"/>
      <w:lang w:val="en-GB"/>
    </w:rPr>
  </w:style>
  <w:style w:type="paragraph" w:styleId="Footer">
    <w:name w:val="footer"/>
    <w:basedOn w:val="Normal"/>
    <w:link w:val="FooterChar"/>
    <w:uiPriority w:val="99"/>
    <w:unhideWhenUsed/>
    <w:rsid w:val="001118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18D5"/>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8D6CD-47BD-4FE4-8BD4-FE45FB8A5B8E}"/>
</file>

<file path=customXml/itemProps2.xml><?xml version="1.0" encoding="utf-8"?>
<ds:datastoreItem xmlns:ds="http://schemas.openxmlformats.org/officeDocument/2006/customXml" ds:itemID="{6D504B46-7583-4311-90B0-DA32F528A0D5}"/>
</file>

<file path=customXml/itemProps3.xml><?xml version="1.0" encoding="utf-8"?>
<ds:datastoreItem xmlns:ds="http://schemas.openxmlformats.org/officeDocument/2006/customXml" ds:itemID="{94F25F43-99C1-4E9E-9F21-B32CD73F8C81}"/>
</file>

<file path=docProps/app.xml><?xml version="1.0" encoding="utf-8"?>
<Properties xmlns="http://schemas.openxmlformats.org/officeDocument/2006/extended-properties" xmlns:vt="http://schemas.openxmlformats.org/officeDocument/2006/docPropsVTypes">
  <Template>Normal.dotm</Template>
  <TotalTime>0</TotalTime>
  <Pages>10</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 evaluation of electoral assistance to PNG 2015-17</dc:title>
  <dc:subject/>
  <dc:creator/>
  <cp:keywords/>
  <dc:description/>
  <cp:lastModifiedBy/>
  <cp:revision>1</cp:revision>
  <dcterms:created xsi:type="dcterms:W3CDTF">2018-09-21T00:58:00Z</dcterms:created>
  <dcterms:modified xsi:type="dcterms:W3CDTF">2018-09-21T00:58:00Z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10974f71-ce7d-4d6b-a33d-b5559d0d5e68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1196600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