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A2C96" w14:textId="77777777" w:rsidR="00375E80" w:rsidRDefault="00375E80" w:rsidP="00D37B04">
      <w:pPr>
        <w:pStyle w:val="Title"/>
      </w:pPr>
    </w:p>
    <w:p w14:paraId="12BD9A8E" w14:textId="71BF0D33" w:rsidR="00CD0E4B" w:rsidRDefault="00B050C0" w:rsidP="00B050C0">
      <w:pPr>
        <w:pStyle w:val="Title"/>
      </w:pPr>
      <w:r>
        <w:rPr>
          <w:caps w:val="0"/>
        </w:rPr>
        <w:t>Management response - Malaysia and Thailand reform partnerships mid-term evaluation</w:t>
      </w:r>
    </w:p>
    <w:p w14:paraId="714B84A9" w14:textId="1D42AADA" w:rsidR="0061483A" w:rsidRPr="004C7403" w:rsidRDefault="0061483A" w:rsidP="0061483A">
      <w:pPr>
        <w:pStyle w:val="IntroPara"/>
        <w:rPr>
          <w:color w:val="3DA18F" w:themeColor="accent1" w:themeShade="BF"/>
        </w:rPr>
      </w:pPr>
      <w:r w:rsidRPr="004C7403">
        <w:rPr>
          <w:color w:val="3DA18F" w:themeColor="accent1" w:themeShade="BF"/>
        </w:rPr>
        <w:t xml:space="preserve">The Malaysia and Thailand Reform Partnerships is a collaboration between the Department of Foreign Affairs and Trade (DFAT) and The Asia Foundation (TAF) to support </w:t>
      </w:r>
      <w:r w:rsidR="0017462C" w:rsidRPr="004C7403">
        <w:rPr>
          <w:color w:val="3DA18F" w:themeColor="accent1" w:themeShade="BF"/>
        </w:rPr>
        <w:t xml:space="preserve">critical </w:t>
      </w:r>
      <w:r w:rsidRPr="004C7403">
        <w:rPr>
          <w:color w:val="3DA18F" w:themeColor="accent1" w:themeShade="BF"/>
        </w:rPr>
        <w:t>reform</w:t>
      </w:r>
      <w:r w:rsidR="0017462C" w:rsidRPr="004C7403">
        <w:rPr>
          <w:color w:val="3DA18F" w:themeColor="accent1" w:themeShade="BF"/>
        </w:rPr>
        <w:t>s for growth</w:t>
      </w:r>
      <w:r w:rsidR="0093693A" w:rsidRPr="004C7403">
        <w:rPr>
          <w:color w:val="3DA18F" w:themeColor="accent1" w:themeShade="BF"/>
        </w:rPr>
        <w:t xml:space="preserve"> and stability</w:t>
      </w:r>
      <w:r w:rsidR="0017462C" w:rsidRPr="004C7403">
        <w:rPr>
          <w:color w:val="3DA18F" w:themeColor="accent1" w:themeShade="BF"/>
        </w:rPr>
        <w:t xml:space="preserve"> </w:t>
      </w:r>
      <w:r w:rsidRPr="004C7403">
        <w:rPr>
          <w:color w:val="3DA18F" w:themeColor="accent1" w:themeShade="BF"/>
        </w:rPr>
        <w:t xml:space="preserve">in Malaysia and Thailand. It is a three-year program </w:t>
      </w:r>
      <w:r w:rsidR="0017462C" w:rsidRPr="004C7403">
        <w:rPr>
          <w:color w:val="3DA18F" w:themeColor="accent1" w:themeShade="BF"/>
        </w:rPr>
        <w:t>(August 2019-July 2022)</w:t>
      </w:r>
      <w:r w:rsidRPr="004C7403">
        <w:rPr>
          <w:color w:val="3DA18F" w:themeColor="accent1" w:themeShade="BF"/>
        </w:rPr>
        <w:t xml:space="preserve"> valued at AUD 2.7 million. </w:t>
      </w:r>
    </w:p>
    <w:p w14:paraId="35420545" w14:textId="7DF6AEEB" w:rsidR="0061483A" w:rsidRPr="004C7403" w:rsidRDefault="0017462C" w:rsidP="0061483A">
      <w:pPr>
        <w:pStyle w:val="IntroPara"/>
        <w:rPr>
          <w:color w:val="3DA18F" w:themeColor="accent1" w:themeShade="BF"/>
        </w:rPr>
      </w:pPr>
      <w:r w:rsidRPr="004C7403">
        <w:rPr>
          <w:color w:val="3DA18F" w:themeColor="accent1" w:themeShade="BF"/>
        </w:rPr>
        <w:t>The program is linked to broader policy work on growth and development trajectories in Advanced Middle-Income Countries</w:t>
      </w:r>
      <w:r w:rsidR="00860259" w:rsidRPr="004C7403">
        <w:rPr>
          <w:color w:val="3DA18F" w:themeColor="accent1" w:themeShade="BF"/>
        </w:rPr>
        <w:t xml:space="preserve"> (AMIC</w:t>
      </w:r>
      <w:r w:rsidR="0093693A" w:rsidRPr="004C7403">
        <w:rPr>
          <w:color w:val="3DA18F" w:themeColor="accent1" w:themeShade="BF"/>
        </w:rPr>
        <w:t>s</w:t>
      </w:r>
      <w:r w:rsidR="00860259" w:rsidRPr="004C7403">
        <w:rPr>
          <w:color w:val="3DA18F" w:themeColor="accent1" w:themeShade="BF"/>
        </w:rPr>
        <w:t>)</w:t>
      </w:r>
      <w:r w:rsidRPr="004C7403">
        <w:rPr>
          <w:color w:val="3DA18F" w:themeColor="accent1" w:themeShade="BF"/>
        </w:rPr>
        <w:t xml:space="preserve"> as part of the DFAT-TAF Strategic Partnership. </w:t>
      </w:r>
      <w:r w:rsidR="0093693A" w:rsidRPr="004C7403">
        <w:rPr>
          <w:color w:val="3DA18F" w:themeColor="accent1" w:themeShade="BF"/>
        </w:rPr>
        <w:t>MTRP</w:t>
      </w:r>
      <w:r w:rsidRPr="004C7403">
        <w:rPr>
          <w:color w:val="3DA18F" w:themeColor="accent1" w:themeShade="BF"/>
        </w:rPr>
        <w:t xml:space="preserve"> is the first practical application of this policy work, and therefore warrants evaluation to support continuous improvement and </w:t>
      </w:r>
      <w:r w:rsidR="00860259" w:rsidRPr="004C7403">
        <w:rPr>
          <w:color w:val="3DA18F" w:themeColor="accent1" w:themeShade="BF"/>
        </w:rPr>
        <w:t>understanding of how Australia can contribute to growth and stability as part of our bilateral engagement in AMIC</w:t>
      </w:r>
      <w:r w:rsidR="0093693A" w:rsidRPr="004C7403">
        <w:rPr>
          <w:color w:val="3DA18F" w:themeColor="accent1" w:themeShade="BF"/>
        </w:rPr>
        <w:t>s</w:t>
      </w:r>
      <w:r w:rsidR="00860259" w:rsidRPr="004C7403">
        <w:rPr>
          <w:color w:val="3DA18F" w:themeColor="accent1" w:themeShade="BF"/>
        </w:rPr>
        <w:t xml:space="preserve">. </w:t>
      </w:r>
    </w:p>
    <w:p w14:paraId="4ABBA617" w14:textId="2E2441AD" w:rsidR="00375E80" w:rsidRDefault="0061483A" w:rsidP="00375E80">
      <w:pPr>
        <w:pStyle w:val="IntroPara"/>
        <w:rPr>
          <w:color w:val="3DA18F" w:themeColor="accent1" w:themeShade="BF"/>
        </w:rPr>
      </w:pPr>
      <w:r w:rsidRPr="004C7403">
        <w:rPr>
          <w:color w:val="3DA18F" w:themeColor="accent1" w:themeShade="BF"/>
        </w:rPr>
        <w:t>A</w:t>
      </w:r>
      <w:r w:rsidR="0017462C" w:rsidRPr="004C7403">
        <w:rPr>
          <w:color w:val="3DA18F" w:themeColor="accent1" w:themeShade="BF"/>
        </w:rPr>
        <w:t xml:space="preserve">n independent </w:t>
      </w:r>
      <w:r w:rsidRPr="004C7403">
        <w:rPr>
          <w:color w:val="3DA18F" w:themeColor="accent1" w:themeShade="BF"/>
        </w:rPr>
        <w:t xml:space="preserve">mid-term evaluation was conducted by strategic development consultant, Richard Moore, between March and May 2021. </w:t>
      </w:r>
      <w:r w:rsidR="0017462C" w:rsidRPr="004C7403">
        <w:rPr>
          <w:color w:val="3DA18F" w:themeColor="accent1" w:themeShade="BF"/>
        </w:rPr>
        <w:t xml:space="preserve">Mr Moore will conduct a second evaluation in mid-2022 to </w:t>
      </w:r>
      <w:proofErr w:type="gramStart"/>
      <w:r w:rsidR="0017462C" w:rsidRPr="004C7403">
        <w:rPr>
          <w:color w:val="3DA18F" w:themeColor="accent1" w:themeShade="BF"/>
        </w:rPr>
        <w:t>more closely examine the impact of the reform initiatives</w:t>
      </w:r>
      <w:proofErr w:type="gramEnd"/>
      <w:r w:rsidR="0017462C" w:rsidRPr="004C7403">
        <w:rPr>
          <w:color w:val="3DA18F" w:themeColor="accent1" w:themeShade="BF"/>
        </w:rPr>
        <w:t xml:space="preserve">. </w:t>
      </w:r>
    </w:p>
    <w:p w14:paraId="3FF857C6" w14:textId="77777777" w:rsidR="00375E80" w:rsidRPr="00375E80" w:rsidRDefault="00375E80" w:rsidP="00375E80">
      <w:pPr>
        <w:pStyle w:val="IntroPara"/>
        <w:rPr>
          <w:color w:val="3DA18F" w:themeColor="accent1" w:themeShade="BF"/>
        </w:rPr>
      </w:pPr>
    </w:p>
    <w:p w14:paraId="12BD9A91" w14:textId="7B3C1341" w:rsidR="000854FD" w:rsidRDefault="0061483A" w:rsidP="000854FD">
      <w:pPr>
        <w:pStyle w:val="Heading1smallspaceafter"/>
      </w:pPr>
      <w:r>
        <w:t>DFAT-TAF Joint Response to the Evaluation</w:t>
      </w:r>
    </w:p>
    <w:p w14:paraId="12BD9A92" w14:textId="1FFF31AF" w:rsidR="00F37AE3" w:rsidRPr="0017462C" w:rsidRDefault="0061483A" w:rsidP="0061483A">
      <w:pPr>
        <w:rPr>
          <w:sz w:val="24"/>
          <w:szCs w:val="24"/>
        </w:rPr>
      </w:pPr>
      <w:r w:rsidRPr="0017462C">
        <w:rPr>
          <w:sz w:val="24"/>
          <w:szCs w:val="24"/>
        </w:rPr>
        <w:t xml:space="preserve">DFAT and TAF welcome the mid-term evaluation of the Malaysia and Thailand Reform Partnerships. We consider it to be a robust and fair assessment of the strengths and challenges of the program. The evaluation provides valuable insights to sharpen program performance going forward and guide </w:t>
      </w:r>
      <w:r w:rsidRPr="0017462C">
        <w:rPr>
          <w:sz w:val="24"/>
          <w:szCs w:val="24"/>
        </w:rPr>
        <w:lastRenderedPageBreak/>
        <w:t xml:space="preserve">the direction of the program. </w:t>
      </w:r>
      <w:r w:rsidR="00860259">
        <w:rPr>
          <w:sz w:val="24"/>
          <w:szCs w:val="24"/>
        </w:rPr>
        <w:t xml:space="preserve">We </w:t>
      </w:r>
      <w:r w:rsidR="00860259" w:rsidRPr="00E60DD3">
        <w:rPr>
          <w:sz w:val="24"/>
          <w:szCs w:val="24"/>
        </w:rPr>
        <w:t>agree</w:t>
      </w:r>
      <w:r w:rsidR="00513D04" w:rsidRPr="00E60DD3">
        <w:rPr>
          <w:sz w:val="24"/>
          <w:szCs w:val="24"/>
        </w:rPr>
        <w:t xml:space="preserve"> </w:t>
      </w:r>
      <w:r w:rsidR="00860259">
        <w:rPr>
          <w:sz w:val="24"/>
          <w:szCs w:val="24"/>
        </w:rPr>
        <w:t xml:space="preserve">to </w:t>
      </w:r>
      <w:r w:rsidR="001D3248">
        <w:rPr>
          <w:sz w:val="24"/>
          <w:szCs w:val="24"/>
        </w:rPr>
        <w:t>seven</w:t>
      </w:r>
      <w:r w:rsidR="00860259">
        <w:rPr>
          <w:sz w:val="24"/>
          <w:szCs w:val="24"/>
        </w:rPr>
        <w:t xml:space="preserve"> recommendations of the mid-term evaluation</w:t>
      </w:r>
      <w:r w:rsidR="001D3248">
        <w:rPr>
          <w:sz w:val="24"/>
          <w:szCs w:val="24"/>
        </w:rPr>
        <w:t>, and partially-agree with one recommendation. The program activities will be extended for two years in line with the evaluation recommendations. These recommendations will continue to be implemented over that time.</w:t>
      </w:r>
    </w:p>
    <w:p w14:paraId="12BD9A93" w14:textId="358B724C" w:rsidR="00F37AE3" w:rsidRDefault="00F37AE3" w:rsidP="000020C1">
      <w:pPr>
        <w:pStyle w:val="BodyText"/>
      </w:pPr>
    </w:p>
    <w:p w14:paraId="41ACA9C5" w14:textId="4C1C2F21" w:rsidR="00781673" w:rsidRDefault="0061483A" w:rsidP="00781673">
      <w:pPr>
        <w:pStyle w:val="Heading1smallspaceafter"/>
      </w:pPr>
      <w:r>
        <w:t xml:space="preserve">DFAT-TAF Joint </w:t>
      </w:r>
      <w:r w:rsidR="00781673">
        <w:t>Response to the Recommendations</w:t>
      </w:r>
    </w:p>
    <w:tbl>
      <w:tblPr>
        <w:tblStyle w:val="GridTable4-Accent1"/>
        <w:tblW w:w="0" w:type="auto"/>
        <w:tblLook w:val="04A0" w:firstRow="1" w:lastRow="0" w:firstColumn="1" w:lastColumn="0" w:noHBand="0" w:noVBand="1"/>
      </w:tblPr>
      <w:tblGrid>
        <w:gridCol w:w="5240"/>
        <w:gridCol w:w="1985"/>
        <w:gridCol w:w="7335"/>
      </w:tblGrid>
      <w:tr w:rsidR="00781673" w14:paraId="04918285" w14:textId="77777777" w:rsidTr="00375E80">
        <w:trPr>
          <w:cnfStyle w:val="100000000000" w:firstRow="1" w:lastRow="0" w:firstColumn="0" w:lastColumn="0" w:oddVBand="0" w:evenVBand="0" w:oddHBand="0" w:evenHBand="0" w:firstRowFirstColumn="0" w:firstRowLastColumn="0" w:lastRowFirstColumn="0" w:lastRowLastColumn="0"/>
          <w:trHeight w:val="562"/>
          <w:tblHeader/>
        </w:trPr>
        <w:tc>
          <w:tcPr>
            <w:cnfStyle w:val="001000000000" w:firstRow="0" w:lastRow="0" w:firstColumn="1" w:lastColumn="0" w:oddVBand="0" w:evenVBand="0" w:oddHBand="0" w:evenHBand="0" w:firstRowFirstColumn="0" w:firstRowLastColumn="0" w:lastRowFirstColumn="0" w:lastRowLastColumn="0"/>
            <w:tcW w:w="5240" w:type="dxa"/>
          </w:tcPr>
          <w:p w14:paraId="525CCF98" w14:textId="5E2CCFD4" w:rsidR="00781673" w:rsidRDefault="00781673" w:rsidP="00781673">
            <w:pPr>
              <w:pStyle w:val="Heading1smallspaceafter"/>
            </w:pPr>
            <w:r>
              <w:t>Recommendation</w:t>
            </w:r>
          </w:p>
        </w:tc>
        <w:tc>
          <w:tcPr>
            <w:tcW w:w="1985" w:type="dxa"/>
          </w:tcPr>
          <w:p w14:paraId="4D94E12B" w14:textId="25A22E76" w:rsidR="00781673" w:rsidRDefault="00781673" w:rsidP="00781673">
            <w:pPr>
              <w:pStyle w:val="Heading1smallspaceafter"/>
              <w:cnfStyle w:val="100000000000" w:firstRow="1" w:lastRow="0" w:firstColumn="0" w:lastColumn="0" w:oddVBand="0" w:evenVBand="0" w:oddHBand="0" w:evenHBand="0" w:firstRowFirstColumn="0" w:firstRowLastColumn="0" w:lastRowFirstColumn="0" w:lastRowLastColumn="0"/>
            </w:pPr>
            <w:r>
              <w:t>Response</w:t>
            </w:r>
          </w:p>
        </w:tc>
        <w:tc>
          <w:tcPr>
            <w:tcW w:w="7335" w:type="dxa"/>
          </w:tcPr>
          <w:p w14:paraId="638F1E7D" w14:textId="40D7C5ED" w:rsidR="00781673" w:rsidRDefault="0093693A" w:rsidP="00781673">
            <w:pPr>
              <w:pStyle w:val="Heading1smallspaceafter"/>
              <w:cnfStyle w:val="100000000000" w:firstRow="1" w:lastRow="0" w:firstColumn="0" w:lastColumn="0" w:oddVBand="0" w:evenVBand="0" w:oddHBand="0" w:evenHBand="0" w:firstRowFirstColumn="0" w:firstRowLastColumn="0" w:lastRowFirstColumn="0" w:lastRowLastColumn="0"/>
            </w:pPr>
            <w:r>
              <w:t>who/what/when</w:t>
            </w:r>
          </w:p>
        </w:tc>
      </w:tr>
      <w:tr w:rsidR="00781673" w:rsidRPr="00781673" w14:paraId="6EA248BD" w14:textId="77777777" w:rsidTr="00375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5D48EB60" w14:textId="65C22F95" w:rsidR="00781673" w:rsidRPr="00781673" w:rsidRDefault="00781673" w:rsidP="00781673">
            <w:pPr>
              <w:pStyle w:val="TableNumberedList1"/>
              <w:rPr>
                <w:sz w:val="22"/>
              </w:rPr>
            </w:pPr>
            <w:r w:rsidRPr="00781673">
              <w:rPr>
                <w:sz w:val="22"/>
              </w:rPr>
              <w:t>DFAT and TAF should collaborate to distil existing good practice</w:t>
            </w:r>
            <w:r>
              <w:rPr>
                <w:sz w:val="22"/>
              </w:rPr>
              <w:t xml:space="preserve"> across programs and partners into a short guidance note </w:t>
            </w:r>
            <w:r>
              <w:rPr>
                <w:b w:val="0"/>
                <w:bCs w:val="0"/>
                <w:sz w:val="22"/>
              </w:rPr>
              <w:t>on ‘strategic approaches to working in Advanced Middle-Income Countries’, to be completed as part of the MTRP project.</w:t>
            </w:r>
          </w:p>
        </w:tc>
        <w:tc>
          <w:tcPr>
            <w:tcW w:w="1985" w:type="dxa"/>
          </w:tcPr>
          <w:p w14:paraId="517AB184" w14:textId="651C7084" w:rsidR="00781673" w:rsidRPr="00781673" w:rsidRDefault="0024171F" w:rsidP="00860259">
            <w:pPr>
              <w:pStyle w:val="TableHeaderRow"/>
              <w:framePr w:wrap="around"/>
              <w:cnfStyle w:val="000000100000" w:firstRow="0" w:lastRow="0" w:firstColumn="0" w:lastColumn="0" w:oddVBand="0" w:evenVBand="0" w:oddHBand="1" w:evenHBand="0" w:firstRowFirstColumn="0" w:firstRowLastColumn="0" w:lastRowFirstColumn="0" w:lastRowLastColumn="0"/>
            </w:pPr>
            <w:r>
              <w:t>A</w:t>
            </w:r>
            <w:r w:rsidR="00860259">
              <w:t>GREED</w:t>
            </w:r>
          </w:p>
        </w:tc>
        <w:tc>
          <w:tcPr>
            <w:tcW w:w="7335" w:type="dxa"/>
          </w:tcPr>
          <w:p w14:paraId="59E704CF" w14:textId="1C311191" w:rsidR="00781673" w:rsidRDefault="0061483A" w:rsidP="00860259">
            <w:pPr>
              <w:pStyle w:val="TableHeaderRow"/>
              <w:framePr w:wrap="around"/>
              <w:cnfStyle w:val="000000100000" w:firstRow="0" w:lastRow="0" w:firstColumn="0" w:lastColumn="0" w:oddVBand="0" w:evenVBand="0" w:oddHBand="1" w:evenHBand="0" w:firstRowFirstColumn="0" w:firstRowLastColumn="0" w:lastRowFirstColumn="0" w:lastRowLastColumn="0"/>
            </w:pPr>
            <w:r>
              <w:t>L</w:t>
            </w:r>
            <w:r w:rsidR="00860259">
              <w:t>EAD</w:t>
            </w:r>
            <w:r>
              <w:t xml:space="preserve">: </w:t>
            </w:r>
            <w:r w:rsidR="005C4FF7">
              <w:t>The Asia Foundation</w:t>
            </w:r>
          </w:p>
          <w:p w14:paraId="08B4CF4D" w14:textId="603FC962" w:rsidR="00AF5321" w:rsidRPr="00AF5321" w:rsidRDefault="00513D04" w:rsidP="00AF5321">
            <w:pPr>
              <w:pStyle w:val="TableHeaderRow"/>
              <w:framePr w:hSpace="0" w:wrap="auto" w:vAnchor="margin" w:hAnchor="text" w:yAlign="inline"/>
              <w:cnfStyle w:val="000000100000" w:firstRow="0" w:lastRow="0" w:firstColumn="0" w:lastColumn="0" w:oddVBand="0" w:evenVBand="0" w:oddHBand="1" w:evenHBand="0" w:firstRowFirstColumn="0" w:firstRowLastColumn="0" w:lastRowFirstColumn="0" w:lastRowLastColumn="0"/>
            </w:pPr>
            <w:r>
              <w:t xml:space="preserve">BY: </w:t>
            </w:r>
            <w:r w:rsidR="00AF5321" w:rsidRPr="00AF5321">
              <w:t>May 2022</w:t>
            </w:r>
          </w:p>
          <w:p w14:paraId="6AF90784" w14:textId="6D7203B0" w:rsidR="0093693A" w:rsidRPr="00781673" w:rsidRDefault="00AF5321" w:rsidP="00AF5321">
            <w:pPr>
              <w:pStyle w:val="TableHeaderRow"/>
              <w:framePr w:wrap="around"/>
              <w:cnfStyle w:val="000000100000" w:firstRow="0" w:lastRow="0" w:firstColumn="0" w:lastColumn="0" w:oddVBand="0" w:evenVBand="0" w:oddHBand="1" w:evenHBand="0" w:firstRowFirstColumn="0" w:firstRowLastColumn="0" w:lastRowFirstColumn="0" w:lastRowLastColumn="0"/>
            </w:pPr>
            <w:r>
              <w:rPr>
                <w:b w:val="0"/>
                <w:bCs/>
              </w:rPr>
              <w:t xml:space="preserve">TAF will prepare a guidance note on </w:t>
            </w:r>
            <w:r w:rsidR="00B77D28" w:rsidRPr="00B77D28">
              <w:rPr>
                <w:b w:val="0"/>
                <w:bCs/>
                <w:i/>
                <w:iCs/>
              </w:rPr>
              <w:t>S</w:t>
            </w:r>
            <w:r w:rsidRPr="00B77D28">
              <w:rPr>
                <w:b w:val="0"/>
                <w:bCs/>
                <w:i/>
                <w:iCs/>
              </w:rPr>
              <w:t xml:space="preserve">trategic </w:t>
            </w:r>
            <w:r w:rsidR="00B77D28" w:rsidRPr="00B77D28">
              <w:rPr>
                <w:b w:val="0"/>
                <w:bCs/>
                <w:i/>
                <w:iCs/>
              </w:rPr>
              <w:t>A</w:t>
            </w:r>
            <w:r w:rsidRPr="00B77D28">
              <w:rPr>
                <w:b w:val="0"/>
                <w:bCs/>
                <w:i/>
                <w:iCs/>
              </w:rPr>
              <w:t xml:space="preserve">pproaches to </w:t>
            </w:r>
            <w:r w:rsidR="00B77D28" w:rsidRPr="00B77D28">
              <w:rPr>
                <w:b w:val="0"/>
                <w:bCs/>
                <w:i/>
                <w:iCs/>
              </w:rPr>
              <w:t>W</w:t>
            </w:r>
            <w:r w:rsidRPr="00B77D28">
              <w:rPr>
                <w:b w:val="0"/>
                <w:bCs/>
                <w:i/>
                <w:iCs/>
              </w:rPr>
              <w:t>orking in AMICS</w:t>
            </w:r>
            <w:r>
              <w:rPr>
                <w:b w:val="0"/>
                <w:bCs/>
              </w:rPr>
              <w:t>. The draft will be reviewed by DFAT and jointly revised as needed.</w:t>
            </w:r>
          </w:p>
        </w:tc>
      </w:tr>
      <w:tr w:rsidR="00781673" w:rsidRPr="00781673" w14:paraId="5040C41B" w14:textId="77777777" w:rsidTr="00375E80">
        <w:tc>
          <w:tcPr>
            <w:cnfStyle w:val="001000000000" w:firstRow="0" w:lastRow="0" w:firstColumn="1" w:lastColumn="0" w:oddVBand="0" w:evenVBand="0" w:oddHBand="0" w:evenHBand="0" w:firstRowFirstColumn="0" w:firstRowLastColumn="0" w:lastRowFirstColumn="0" w:lastRowLastColumn="0"/>
            <w:tcW w:w="5240" w:type="dxa"/>
          </w:tcPr>
          <w:p w14:paraId="62CD692D" w14:textId="1B5F95EE" w:rsidR="00781673" w:rsidRPr="00781673" w:rsidRDefault="00781673" w:rsidP="00781673">
            <w:pPr>
              <w:pStyle w:val="NumberedList1"/>
            </w:pPr>
            <w:r>
              <w:t xml:space="preserve">There should be an early, in-principle decision to extend the program by two years, </w:t>
            </w:r>
            <w:r>
              <w:rPr>
                <w:b w:val="0"/>
                <w:bCs w:val="0"/>
              </w:rPr>
              <w:t>to make the most of what has been started and to avoid premature winding down of activity.</w:t>
            </w:r>
          </w:p>
        </w:tc>
        <w:tc>
          <w:tcPr>
            <w:tcW w:w="1985" w:type="dxa"/>
          </w:tcPr>
          <w:p w14:paraId="7D48E08D" w14:textId="0FA464AE" w:rsidR="00781673" w:rsidRPr="00860259" w:rsidRDefault="0024171F" w:rsidP="00860259">
            <w:pPr>
              <w:pStyle w:val="TableHeaderRow"/>
              <w:framePr w:wrap="around"/>
              <w:cnfStyle w:val="000000000000" w:firstRow="0" w:lastRow="0" w:firstColumn="0" w:lastColumn="0" w:oddVBand="0" w:evenVBand="0" w:oddHBand="0" w:evenHBand="0" w:firstRowFirstColumn="0" w:firstRowLastColumn="0" w:lastRowFirstColumn="0" w:lastRowLastColumn="0"/>
            </w:pPr>
            <w:r w:rsidRPr="00860259">
              <w:t>A</w:t>
            </w:r>
            <w:r w:rsidR="00860259">
              <w:t>GREED</w:t>
            </w:r>
          </w:p>
        </w:tc>
        <w:tc>
          <w:tcPr>
            <w:tcW w:w="7335" w:type="dxa"/>
          </w:tcPr>
          <w:p w14:paraId="754A8160" w14:textId="77777777" w:rsidR="00781673" w:rsidRDefault="0061483A" w:rsidP="00860259">
            <w:pPr>
              <w:pStyle w:val="TableHeaderRow"/>
              <w:framePr w:wrap="around"/>
              <w:cnfStyle w:val="000000000000" w:firstRow="0" w:lastRow="0" w:firstColumn="0" w:lastColumn="0" w:oddVBand="0" w:evenVBand="0" w:oddHBand="0" w:evenHBand="0" w:firstRowFirstColumn="0" w:firstRowLastColumn="0" w:lastRowFirstColumn="0" w:lastRowLastColumn="0"/>
            </w:pPr>
            <w:r w:rsidRPr="00860259">
              <w:t>LEAD: Southeast Asia Division</w:t>
            </w:r>
          </w:p>
          <w:p w14:paraId="352D1765" w14:textId="36D3D395" w:rsidR="0093693A" w:rsidRDefault="0093693A" w:rsidP="00860259">
            <w:pPr>
              <w:pStyle w:val="TableHeaderRow"/>
              <w:framePr w:wrap="around"/>
              <w:cnfStyle w:val="000000000000" w:firstRow="0" w:lastRow="0" w:firstColumn="0" w:lastColumn="0" w:oddVBand="0" w:evenVBand="0" w:oddHBand="0" w:evenHBand="0" w:firstRowFirstColumn="0" w:firstRowLastColumn="0" w:lastRowFirstColumn="0" w:lastRowLastColumn="0"/>
            </w:pPr>
            <w:r>
              <w:t>BY:</w:t>
            </w:r>
            <w:r w:rsidR="00513D04">
              <w:t xml:space="preserve"> </w:t>
            </w:r>
            <w:r w:rsidR="005C4FF7">
              <w:t>July 2022</w:t>
            </w:r>
          </w:p>
          <w:p w14:paraId="63F4C573" w14:textId="4CA46C6D" w:rsidR="005C4FF7" w:rsidRDefault="0093693A" w:rsidP="00860259">
            <w:pPr>
              <w:pStyle w:val="TableHeaderRow"/>
              <w:framePr w:wrap="around"/>
              <w:cnfStyle w:val="000000000000" w:firstRow="0" w:lastRow="0" w:firstColumn="0" w:lastColumn="0" w:oddVBand="0" w:evenVBand="0" w:oddHBand="0" w:evenHBand="0" w:firstRowFirstColumn="0" w:firstRowLastColumn="0" w:lastRowFirstColumn="0" w:lastRowLastColumn="0"/>
              <w:rPr>
                <w:b w:val="0"/>
                <w:bCs/>
              </w:rPr>
            </w:pPr>
            <w:r w:rsidRPr="0093693A">
              <w:rPr>
                <w:b w:val="0"/>
                <w:bCs/>
              </w:rPr>
              <w:t>DFAT and TAF agree a</w:t>
            </w:r>
            <w:r w:rsidR="005C4FF7">
              <w:rPr>
                <w:b w:val="0"/>
                <w:bCs/>
              </w:rPr>
              <w:t xml:space="preserve">n additional </w:t>
            </w:r>
            <w:r w:rsidRPr="0093693A">
              <w:rPr>
                <w:b w:val="0"/>
                <w:bCs/>
              </w:rPr>
              <w:t>two</w:t>
            </w:r>
            <w:r w:rsidR="005C4FF7">
              <w:rPr>
                <w:b w:val="0"/>
                <w:bCs/>
              </w:rPr>
              <w:t xml:space="preserve"> </w:t>
            </w:r>
            <w:r w:rsidRPr="0093693A">
              <w:rPr>
                <w:b w:val="0"/>
                <w:bCs/>
              </w:rPr>
              <w:t>year</w:t>
            </w:r>
            <w:r w:rsidR="005C4FF7">
              <w:rPr>
                <w:b w:val="0"/>
                <w:bCs/>
              </w:rPr>
              <w:t>s is necessary to implement the reform initiatives</w:t>
            </w:r>
            <w:r w:rsidR="00DA422A">
              <w:rPr>
                <w:b w:val="0"/>
                <w:bCs/>
              </w:rPr>
              <w:t xml:space="preserve"> to maximise potential for impact.</w:t>
            </w:r>
            <w:r w:rsidR="005C4FF7">
              <w:rPr>
                <w:b w:val="0"/>
                <w:bCs/>
              </w:rPr>
              <w:t xml:space="preserve"> </w:t>
            </w:r>
          </w:p>
          <w:p w14:paraId="6FDB6F11" w14:textId="177787E2" w:rsidR="0093693A" w:rsidRPr="0093693A" w:rsidRDefault="005C4FF7" w:rsidP="00860259">
            <w:pPr>
              <w:pStyle w:val="TableHeaderRow"/>
              <w:framePr w:wrap="around"/>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MTRP will be succeeded by separate investments for Thailand and Malaysia modelled on MTRP which will continue the existing reform initiatives and </w:t>
            </w:r>
            <w:r w:rsidR="00431986">
              <w:rPr>
                <w:b w:val="0"/>
                <w:bCs/>
              </w:rPr>
              <w:t>possibly add new</w:t>
            </w:r>
            <w:r>
              <w:rPr>
                <w:b w:val="0"/>
                <w:bCs/>
              </w:rPr>
              <w:t xml:space="preserve"> reform initiatives. </w:t>
            </w:r>
          </w:p>
        </w:tc>
      </w:tr>
      <w:tr w:rsidR="00781673" w:rsidRPr="00781673" w14:paraId="0A64C9DB" w14:textId="77777777" w:rsidTr="00375E80">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5240" w:type="dxa"/>
          </w:tcPr>
          <w:p w14:paraId="3028052A" w14:textId="77777777" w:rsidR="00781673" w:rsidRDefault="00C33DC0" w:rsidP="00C33DC0">
            <w:pPr>
              <w:pStyle w:val="NumberedList1"/>
            </w:pPr>
            <w:r>
              <w:t xml:space="preserve">A revised budget – including departmental resources – should be prepared </w:t>
            </w:r>
            <w:r>
              <w:rPr>
                <w:b w:val="0"/>
                <w:bCs w:val="0"/>
              </w:rPr>
              <w:t>for the extended activity that takes account of and supplements spending to date.</w:t>
            </w:r>
          </w:p>
          <w:p w14:paraId="5FB00D0F" w14:textId="60132F1E" w:rsidR="00C33DC0" w:rsidRPr="00C86225" w:rsidRDefault="004B6964" w:rsidP="00C86225">
            <w:pPr>
              <w:pStyle w:val="TableBullet1"/>
              <w:numPr>
                <w:ilvl w:val="0"/>
                <w:numId w:val="34"/>
              </w:numPr>
              <w:rPr>
                <w:b w:val="0"/>
                <w:bCs w:val="0"/>
              </w:rPr>
            </w:pPr>
            <w:r w:rsidRPr="00C86225">
              <w:rPr>
                <w:sz w:val="22"/>
              </w:rPr>
              <w:t xml:space="preserve">DFAT should also consider the pros and cons of building </w:t>
            </w:r>
            <w:r w:rsidR="00C86225">
              <w:rPr>
                <w:sz w:val="22"/>
              </w:rPr>
              <w:t xml:space="preserve">in a modest contingency fund </w:t>
            </w:r>
            <w:r w:rsidR="00C86225">
              <w:rPr>
                <w:b w:val="0"/>
                <w:bCs w:val="0"/>
                <w:sz w:val="22"/>
              </w:rPr>
              <w:t xml:space="preserve">that can be accessed under stringent conditions, where </w:t>
            </w:r>
            <w:r w:rsidR="00C86225">
              <w:rPr>
                <w:b w:val="0"/>
                <w:bCs w:val="0"/>
                <w:sz w:val="22"/>
              </w:rPr>
              <w:lastRenderedPageBreak/>
              <w:t>reforms are tracking well and there is opportunity for substantial additional gains by extending what is being done.</w:t>
            </w:r>
          </w:p>
        </w:tc>
        <w:tc>
          <w:tcPr>
            <w:tcW w:w="1985" w:type="dxa"/>
          </w:tcPr>
          <w:p w14:paraId="7FF1DCB3" w14:textId="24E07A7D" w:rsidR="0017462C" w:rsidRPr="005C4FF7" w:rsidRDefault="005C4FF7" w:rsidP="005C4FF7">
            <w:pPr>
              <w:pStyle w:val="TableHeaderRow"/>
              <w:framePr w:wrap="around"/>
              <w:cnfStyle w:val="000000100000" w:firstRow="0" w:lastRow="0" w:firstColumn="0" w:lastColumn="0" w:oddVBand="0" w:evenVBand="0" w:oddHBand="1" w:evenHBand="0" w:firstRowFirstColumn="0" w:firstRowLastColumn="0" w:lastRowFirstColumn="0" w:lastRowLastColumn="0"/>
            </w:pPr>
            <w:r>
              <w:lastRenderedPageBreak/>
              <w:t>AGREED</w:t>
            </w:r>
          </w:p>
        </w:tc>
        <w:tc>
          <w:tcPr>
            <w:tcW w:w="7335" w:type="dxa"/>
          </w:tcPr>
          <w:p w14:paraId="1D72542A" w14:textId="77777777" w:rsidR="00781673" w:rsidRDefault="0061483A" w:rsidP="00860259">
            <w:pPr>
              <w:pStyle w:val="TableHeaderRow"/>
              <w:framePr w:wrap="around"/>
              <w:cnfStyle w:val="000000100000" w:firstRow="0" w:lastRow="0" w:firstColumn="0" w:lastColumn="0" w:oddVBand="0" w:evenVBand="0" w:oddHBand="1" w:evenHBand="0" w:firstRowFirstColumn="0" w:firstRowLastColumn="0" w:lastRowFirstColumn="0" w:lastRowLastColumn="0"/>
            </w:pPr>
            <w:r>
              <w:t>LEAD: Southeast Asia Division</w:t>
            </w:r>
          </w:p>
          <w:p w14:paraId="02E36922" w14:textId="32FD261E" w:rsidR="0093693A" w:rsidRDefault="0093693A" w:rsidP="00860259">
            <w:pPr>
              <w:pStyle w:val="TableHeaderRow"/>
              <w:framePr w:wrap="around"/>
              <w:cnfStyle w:val="000000100000" w:firstRow="0" w:lastRow="0" w:firstColumn="0" w:lastColumn="0" w:oddVBand="0" w:evenVBand="0" w:oddHBand="1" w:evenHBand="0" w:firstRowFirstColumn="0" w:firstRowLastColumn="0" w:lastRowFirstColumn="0" w:lastRowLastColumn="0"/>
              <w:rPr>
                <w:b w:val="0"/>
                <w:bCs/>
              </w:rPr>
            </w:pPr>
            <w:r>
              <w:t>BY:</w:t>
            </w:r>
            <w:r w:rsidR="005C4FF7">
              <w:t xml:space="preserve"> </w:t>
            </w:r>
            <w:r w:rsidR="005C4FF7" w:rsidRPr="005C4FF7">
              <w:t>July 2022</w:t>
            </w:r>
          </w:p>
          <w:p w14:paraId="3441D9E6" w14:textId="77777777" w:rsidR="00AF5321" w:rsidRDefault="00AF5321" w:rsidP="00860259">
            <w:pPr>
              <w:pStyle w:val="TableHeaderRow"/>
              <w:framePr w:wrap="around"/>
              <w:cnfStyle w:val="000000100000" w:firstRow="0" w:lastRow="0" w:firstColumn="0" w:lastColumn="0" w:oddVBand="0" w:evenVBand="0" w:oddHBand="1" w:evenHBand="0" w:firstRowFirstColumn="0" w:firstRowLastColumn="0" w:lastRowFirstColumn="0" w:lastRowLastColumn="0"/>
              <w:rPr>
                <w:b w:val="0"/>
                <w:bCs/>
              </w:rPr>
            </w:pPr>
            <w:r w:rsidRPr="00AF5321">
              <w:rPr>
                <w:b w:val="0"/>
                <w:bCs/>
              </w:rPr>
              <w:t>Sufficient budget will be allocated</w:t>
            </w:r>
            <w:r>
              <w:rPr>
                <w:b w:val="0"/>
                <w:bCs/>
              </w:rPr>
              <w:t xml:space="preserve"> for the extended reform initiatives. Funding flexibility within MTRP allocations to each country will continue to enable strategic adaptions as needed.</w:t>
            </w:r>
          </w:p>
          <w:p w14:paraId="7CACC093" w14:textId="400054C5" w:rsidR="00AF5321" w:rsidRPr="00AF5321" w:rsidRDefault="00AF5321" w:rsidP="00860259">
            <w:pPr>
              <w:pStyle w:val="TableHeaderRow"/>
              <w:framePr w:wrap="around"/>
              <w:cnfStyle w:val="000000100000" w:firstRow="0" w:lastRow="0" w:firstColumn="0" w:lastColumn="0" w:oddVBand="0" w:evenVBand="0" w:oddHBand="1" w:evenHBand="0" w:firstRowFirstColumn="0" w:firstRowLastColumn="0" w:lastRowFirstColumn="0" w:lastRowLastColumn="0"/>
              <w:rPr>
                <w:b w:val="0"/>
                <w:bCs/>
              </w:rPr>
            </w:pPr>
            <w:r>
              <w:rPr>
                <w:b w:val="0"/>
                <w:bCs/>
              </w:rPr>
              <w:lastRenderedPageBreak/>
              <w:t>A contingency fund will be considered as part of a longer-term approach to AMIC engagement within DFAT.</w:t>
            </w:r>
          </w:p>
        </w:tc>
      </w:tr>
      <w:tr w:rsidR="00781673" w:rsidRPr="00781673" w14:paraId="3BF02E84" w14:textId="77777777" w:rsidTr="00375E80">
        <w:trPr>
          <w:cantSplit/>
        </w:trPr>
        <w:tc>
          <w:tcPr>
            <w:cnfStyle w:val="001000000000" w:firstRow="0" w:lastRow="0" w:firstColumn="1" w:lastColumn="0" w:oddVBand="0" w:evenVBand="0" w:oddHBand="0" w:evenHBand="0" w:firstRowFirstColumn="0" w:firstRowLastColumn="0" w:lastRowFirstColumn="0" w:lastRowLastColumn="0"/>
            <w:tcW w:w="5240" w:type="dxa"/>
          </w:tcPr>
          <w:p w14:paraId="57A0932D" w14:textId="5725BE80" w:rsidR="0024171F" w:rsidRPr="00781673" w:rsidRDefault="0024171F" w:rsidP="0024171F">
            <w:pPr>
              <w:pStyle w:val="NumberedList1"/>
            </w:pPr>
            <w:r w:rsidRPr="0024171F">
              <w:rPr>
                <w:b w:val="0"/>
                <w:bCs w:val="0"/>
              </w:rPr>
              <w:lastRenderedPageBreak/>
              <w:t xml:space="preserve">When considering reform priorities, </w:t>
            </w:r>
            <w:r>
              <w:t>explicit attention should be given to how TAF will accomplish initiative-specific, ‘technically sound, politically possibl</w:t>
            </w:r>
            <w:r w:rsidR="002A2EF4">
              <w:t>e</w:t>
            </w:r>
            <w:r>
              <w:t xml:space="preserve"> </w:t>
            </w:r>
            <w:proofErr w:type="gramStart"/>
            <w:r>
              <w:t>solutions’</w:t>
            </w:r>
            <w:proofErr w:type="gramEnd"/>
            <w:r>
              <w:t>.</w:t>
            </w:r>
          </w:p>
        </w:tc>
        <w:tc>
          <w:tcPr>
            <w:tcW w:w="1985" w:type="dxa"/>
          </w:tcPr>
          <w:p w14:paraId="463AFD2A" w14:textId="0B6A4536" w:rsidR="00781673" w:rsidRPr="00781673" w:rsidRDefault="0061483A" w:rsidP="00860259">
            <w:pPr>
              <w:pStyle w:val="TableHeaderRow"/>
              <w:framePr w:wrap="around"/>
              <w:cnfStyle w:val="000000000000" w:firstRow="0" w:lastRow="0" w:firstColumn="0" w:lastColumn="0" w:oddVBand="0" w:evenVBand="0" w:oddHBand="0" w:evenHBand="0" w:firstRowFirstColumn="0" w:firstRowLastColumn="0" w:lastRowFirstColumn="0" w:lastRowLastColumn="0"/>
            </w:pPr>
            <w:r>
              <w:t>AGREED</w:t>
            </w:r>
          </w:p>
        </w:tc>
        <w:tc>
          <w:tcPr>
            <w:tcW w:w="7335" w:type="dxa"/>
          </w:tcPr>
          <w:p w14:paraId="0210A728" w14:textId="77777777" w:rsidR="00781673" w:rsidRDefault="0061483A" w:rsidP="00860259">
            <w:pPr>
              <w:pStyle w:val="TableHeaderRow"/>
              <w:framePr w:wrap="around"/>
              <w:cnfStyle w:val="000000000000" w:firstRow="0" w:lastRow="0" w:firstColumn="0" w:lastColumn="0" w:oddVBand="0" w:evenVBand="0" w:oddHBand="0" w:evenHBand="0" w:firstRowFirstColumn="0" w:firstRowLastColumn="0" w:lastRowFirstColumn="0" w:lastRowLastColumn="0"/>
            </w:pPr>
            <w:r>
              <w:t>L</w:t>
            </w:r>
            <w:r w:rsidR="00860259">
              <w:t>EAD</w:t>
            </w:r>
            <w:r>
              <w:t>: The Asia Foundation</w:t>
            </w:r>
          </w:p>
          <w:p w14:paraId="6031AB07" w14:textId="7820FBA4" w:rsidR="0093693A" w:rsidRDefault="0093693A" w:rsidP="00860259">
            <w:pPr>
              <w:pStyle w:val="TableHeaderRow"/>
              <w:framePr w:wrap="around"/>
              <w:cnfStyle w:val="000000000000" w:firstRow="0" w:lastRow="0" w:firstColumn="0" w:lastColumn="0" w:oddVBand="0" w:evenVBand="0" w:oddHBand="0" w:evenHBand="0" w:firstRowFirstColumn="0" w:firstRowLastColumn="0" w:lastRowFirstColumn="0" w:lastRowLastColumn="0"/>
            </w:pPr>
            <w:r>
              <w:t xml:space="preserve">BY: </w:t>
            </w:r>
            <w:r w:rsidR="00AF5321" w:rsidRPr="00AF5321">
              <w:t>September 2021</w:t>
            </w:r>
          </w:p>
          <w:p w14:paraId="4274EA39" w14:textId="3232471A" w:rsidR="00573BDC" w:rsidRDefault="00573BDC" w:rsidP="00860259">
            <w:pPr>
              <w:pStyle w:val="TableHeaderRow"/>
              <w:framePr w:wrap="around"/>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As part of the program’s </w:t>
            </w:r>
            <w:r w:rsidR="00B77D28">
              <w:rPr>
                <w:b w:val="0"/>
                <w:bCs/>
              </w:rPr>
              <w:t>adaptive approach</w:t>
            </w:r>
            <w:r>
              <w:rPr>
                <w:b w:val="0"/>
                <w:bCs/>
              </w:rPr>
              <w:t>,</w:t>
            </w:r>
            <w:r w:rsidR="00B77D28">
              <w:rPr>
                <w:b w:val="0"/>
                <w:bCs/>
              </w:rPr>
              <w:t xml:space="preserve"> the first </w:t>
            </w:r>
            <w:r>
              <w:rPr>
                <w:b w:val="0"/>
                <w:bCs/>
              </w:rPr>
              <w:t xml:space="preserve">working </w:t>
            </w:r>
            <w:r w:rsidR="00B77D28">
              <w:rPr>
                <w:b w:val="0"/>
                <w:bCs/>
              </w:rPr>
              <w:t>T</w:t>
            </w:r>
            <w:r>
              <w:rPr>
                <w:b w:val="0"/>
                <w:bCs/>
              </w:rPr>
              <w:t xml:space="preserve">heory of Change for a reform initiative </w:t>
            </w:r>
            <w:r w:rsidR="00B77D28">
              <w:rPr>
                <w:b w:val="0"/>
                <w:bCs/>
              </w:rPr>
              <w:t>outlines TAF</w:t>
            </w:r>
            <w:r>
              <w:rPr>
                <w:b w:val="0"/>
                <w:bCs/>
              </w:rPr>
              <w:t>’s</w:t>
            </w:r>
            <w:r w:rsidR="00B77D28">
              <w:rPr>
                <w:b w:val="0"/>
                <w:bCs/>
              </w:rPr>
              <w:t xml:space="preserve"> initial understanding of the development problem and </w:t>
            </w:r>
            <w:r>
              <w:rPr>
                <w:b w:val="0"/>
                <w:bCs/>
              </w:rPr>
              <w:t xml:space="preserve">preliminary </w:t>
            </w:r>
            <w:r w:rsidR="00B77D28">
              <w:rPr>
                <w:b w:val="0"/>
                <w:bCs/>
              </w:rPr>
              <w:t xml:space="preserve">strategy </w:t>
            </w:r>
            <w:r>
              <w:rPr>
                <w:b w:val="0"/>
                <w:bCs/>
              </w:rPr>
              <w:t>to</w:t>
            </w:r>
            <w:r w:rsidR="00B77D28">
              <w:rPr>
                <w:b w:val="0"/>
                <w:bCs/>
              </w:rPr>
              <w:t xml:space="preserve"> accomplish </w:t>
            </w:r>
            <w:r>
              <w:rPr>
                <w:b w:val="0"/>
                <w:bCs/>
              </w:rPr>
              <w:t xml:space="preserve">the desired </w:t>
            </w:r>
            <w:r w:rsidR="00B77D28">
              <w:rPr>
                <w:b w:val="0"/>
                <w:bCs/>
              </w:rPr>
              <w:t xml:space="preserve">outcomes. </w:t>
            </w:r>
            <w:r>
              <w:rPr>
                <w:b w:val="0"/>
                <w:bCs/>
              </w:rPr>
              <w:t xml:space="preserve">This informs understanding of the </w:t>
            </w:r>
            <w:r w:rsidR="00B77D28">
              <w:rPr>
                <w:b w:val="0"/>
                <w:bCs/>
              </w:rPr>
              <w:t xml:space="preserve">technical and political capacity </w:t>
            </w:r>
            <w:r>
              <w:rPr>
                <w:b w:val="0"/>
                <w:bCs/>
              </w:rPr>
              <w:t xml:space="preserve">needed </w:t>
            </w:r>
            <w:r w:rsidR="00B77D28">
              <w:rPr>
                <w:b w:val="0"/>
                <w:bCs/>
              </w:rPr>
              <w:t>to implement the strategy</w:t>
            </w:r>
            <w:r>
              <w:rPr>
                <w:b w:val="0"/>
                <w:bCs/>
              </w:rPr>
              <w:t xml:space="preserve">. </w:t>
            </w:r>
            <w:r w:rsidR="00B77D28">
              <w:rPr>
                <w:b w:val="0"/>
                <w:bCs/>
              </w:rPr>
              <w:t xml:space="preserve">TAF typically establishes a </w:t>
            </w:r>
            <w:r w:rsidR="00B77D28" w:rsidRPr="00344AA4">
              <w:rPr>
                <w:b w:val="0"/>
                <w:bCs/>
                <w:i/>
                <w:iCs/>
              </w:rPr>
              <w:t>team</w:t>
            </w:r>
            <w:r w:rsidR="00B77D28">
              <w:rPr>
                <w:b w:val="0"/>
                <w:bCs/>
              </w:rPr>
              <w:t xml:space="preserve"> </w:t>
            </w:r>
            <w:r>
              <w:rPr>
                <w:b w:val="0"/>
                <w:bCs/>
              </w:rPr>
              <w:t xml:space="preserve">to provide this capacity </w:t>
            </w:r>
            <w:r w:rsidR="00B77D28">
              <w:rPr>
                <w:b w:val="0"/>
                <w:bCs/>
              </w:rPr>
              <w:t xml:space="preserve">combining existing staff, newly contracted staff with specialized expertise, and external partners.  </w:t>
            </w:r>
          </w:p>
          <w:p w14:paraId="600F0999" w14:textId="013C52E8" w:rsidR="00B77D28" w:rsidRPr="0093693A" w:rsidRDefault="00573BDC" w:rsidP="00860259">
            <w:pPr>
              <w:pStyle w:val="TableHeaderRow"/>
              <w:framePr w:wrap="around"/>
              <w:cnfStyle w:val="000000000000" w:firstRow="0" w:lastRow="0" w:firstColumn="0" w:lastColumn="0" w:oddVBand="0" w:evenVBand="0" w:oddHBand="0" w:evenHBand="0" w:firstRowFirstColumn="0" w:firstRowLastColumn="0" w:lastRowFirstColumn="0" w:lastRowLastColumn="0"/>
              <w:rPr>
                <w:b w:val="0"/>
                <w:bCs/>
              </w:rPr>
            </w:pPr>
            <w:r>
              <w:rPr>
                <w:b w:val="0"/>
                <w:bCs/>
              </w:rPr>
              <w:t>As an additional to existing process, a</w:t>
            </w:r>
            <w:r w:rsidR="00B77D28">
              <w:rPr>
                <w:b w:val="0"/>
                <w:bCs/>
              </w:rPr>
              <w:t>t the beginning of any new initiative TAF will prepare a brief document (1-2 pages) that clarifies what skills it believes will be critical to implementing the initiative an</w:t>
            </w:r>
            <w:r w:rsidR="00AB5B1A">
              <w:rPr>
                <w:b w:val="0"/>
                <w:bCs/>
              </w:rPr>
              <w:t>d</w:t>
            </w:r>
            <w:r w:rsidR="00B77D28">
              <w:rPr>
                <w:b w:val="0"/>
                <w:bCs/>
              </w:rPr>
              <w:t xml:space="preserve"> how it plans to meet those skill requirement</w:t>
            </w:r>
            <w:r w:rsidR="00AB5B1A">
              <w:rPr>
                <w:b w:val="0"/>
                <w:bCs/>
              </w:rPr>
              <w:t>s</w:t>
            </w:r>
            <w:r>
              <w:rPr>
                <w:b w:val="0"/>
                <w:bCs/>
              </w:rPr>
              <w:t>.</w:t>
            </w:r>
          </w:p>
        </w:tc>
      </w:tr>
      <w:tr w:rsidR="00781673" w:rsidRPr="00781673" w14:paraId="4FACAFD6" w14:textId="77777777" w:rsidTr="00375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08354211" w14:textId="71892B3A" w:rsidR="00781673" w:rsidRPr="00781673" w:rsidRDefault="0024171F" w:rsidP="0024171F">
            <w:pPr>
              <w:pStyle w:val="NumberedList1"/>
            </w:pPr>
            <w:r>
              <w:t xml:space="preserve">Partners need to explicitly think through exit options, </w:t>
            </w:r>
            <w:r>
              <w:rPr>
                <w:b w:val="0"/>
                <w:bCs w:val="0"/>
              </w:rPr>
              <w:t>as most reform programs will continue over many years, and in some cases decades, and there is the risk of loose ends and fractured relations if initiatives end abruptly.</w:t>
            </w:r>
          </w:p>
        </w:tc>
        <w:tc>
          <w:tcPr>
            <w:tcW w:w="1985" w:type="dxa"/>
          </w:tcPr>
          <w:p w14:paraId="7E343DEB" w14:textId="19ED01A1" w:rsidR="00781673" w:rsidRPr="00781673" w:rsidRDefault="0017462C" w:rsidP="00860259">
            <w:pPr>
              <w:pStyle w:val="TableHeaderRow"/>
              <w:framePr w:wrap="around"/>
              <w:cnfStyle w:val="000000100000" w:firstRow="0" w:lastRow="0" w:firstColumn="0" w:lastColumn="0" w:oddVBand="0" w:evenVBand="0" w:oddHBand="1" w:evenHBand="0" w:firstRowFirstColumn="0" w:firstRowLastColumn="0" w:lastRowFirstColumn="0" w:lastRowLastColumn="0"/>
            </w:pPr>
            <w:r>
              <w:t>AGREED</w:t>
            </w:r>
          </w:p>
        </w:tc>
        <w:tc>
          <w:tcPr>
            <w:tcW w:w="7335" w:type="dxa"/>
          </w:tcPr>
          <w:p w14:paraId="7CD28E1D" w14:textId="4D178DD7" w:rsidR="0093693A" w:rsidRDefault="0061483A" w:rsidP="00860259">
            <w:pPr>
              <w:pStyle w:val="TableHeaderRow"/>
              <w:framePr w:wrap="around"/>
              <w:cnfStyle w:val="000000100000" w:firstRow="0" w:lastRow="0" w:firstColumn="0" w:lastColumn="0" w:oddVBand="0" w:evenVBand="0" w:oddHBand="1" w:evenHBand="0" w:firstRowFirstColumn="0" w:firstRowLastColumn="0" w:lastRowFirstColumn="0" w:lastRowLastColumn="0"/>
            </w:pPr>
            <w:r>
              <w:t>LEAD: T</w:t>
            </w:r>
            <w:r w:rsidR="00860259">
              <w:t>he</w:t>
            </w:r>
            <w:r>
              <w:t xml:space="preserve"> Asia Foundation</w:t>
            </w:r>
            <w:r w:rsidR="00FB2FDE">
              <w:t xml:space="preserve"> </w:t>
            </w:r>
            <w:r w:rsidR="00AB5B1A">
              <w:t>and Posts</w:t>
            </w:r>
          </w:p>
          <w:p w14:paraId="34A2E0F4" w14:textId="387593D4" w:rsidR="00513D04" w:rsidRDefault="00513D04" w:rsidP="00513D04">
            <w:pPr>
              <w:pStyle w:val="TableHeaderRow"/>
              <w:framePr w:hSpace="0" w:wrap="auto" w:vAnchor="margin" w:hAnchor="text" w:yAlign="inline"/>
              <w:cnfStyle w:val="000000100000" w:firstRow="0" w:lastRow="0" w:firstColumn="0" w:lastColumn="0" w:oddVBand="0" w:evenVBand="0" w:oddHBand="1" w:evenHBand="0" w:firstRowFirstColumn="0" w:firstRowLastColumn="0" w:lastRowFirstColumn="0" w:lastRowLastColumn="0"/>
            </w:pPr>
            <w:r>
              <w:t xml:space="preserve">BY: </w:t>
            </w:r>
            <w:r w:rsidR="00AF5321" w:rsidRPr="00AF5321">
              <w:t>September 2021</w:t>
            </w:r>
          </w:p>
          <w:p w14:paraId="6596279E" w14:textId="1B5F47F7" w:rsidR="00344AA4" w:rsidRDefault="00344AA4" w:rsidP="00B77D28">
            <w:pPr>
              <w:pStyle w:val="TableHeaderRow"/>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b w:val="0"/>
              </w:rPr>
            </w:pPr>
            <w:r>
              <w:rPr>
                <w:b w:val="0"/>
              </w:rPr>
              <w:t xml:space="preserve">For all reform initiatives, </w:t>
            </w:r>
            <w:proofErr w:type="gramStart"/>
            <w:r>
              <w:rPr>
                <w:b w:val="0"/>
              </w:rPr>
              <w:t>whether or not</w:t>
            </w:r>
            <w:proofErr w:type="gramEnd"/>
            <w:r>
              <w:rPr>
                <w:b w:val="0"/>
              </w:rPr>
              <w:t xml:space="preserve"> the intended policy outcome is in place, DFAT and TAF will want to achieve as great a sustainable impact as possible. </w:t>
            </w:r>
            <w:r w:rsidR="00AB5B1A">
              <w:rPr>
                <w:b w:val="0"/>
              </w:rPr>
              <w:t>At</w:t>
            </w:r>
            <w:r w:rsidR="00B77D28">
              <w:rPr>
                <w:b w:val="0"/>
              </w:rPr>
              <w:t xml:space="preserve"> the beginning of the final year for each </w:t>
            </w:r>
            <w:r w:rsidR="00AB5B1A">
              <w:rPr>
                <w:b w:val="0"/>
              </w:rPr>
              <w:t xml:space="preserve">reform </w:t>
            </w:r>
            <w:r w:rsidR="00B77D28">
              <w:rPr>
                <w:b w:val="0"/>
              </w:rPr>
              <w:t xml:space="preserve">initiative  TAF will prepare a </w:t>
            </w:r>
            <w:r w:rsidR="00B77D28">
              <w:rPr>
                <w:b w:val="0"/>
                <w:i/>
                <w:iCs/>
              </w:rPr>
              <w:t>P</w:t>
            </w:r>
            <w:r w:rsidR="00B77D28" w:rsidRPr="00344AA4">
              <w:rPr>
                <w:b w:val="0"/>
                <w:i/>
                <w:iCs/>
              </w:rPr>
              <w:t xml:space="preserve">rojected </w:t>
            </w:r>
            <w:r w:rsidR="00B77D28">
              <w:rPr>
                <w:b w:val="0"/>
                <w:i/>
                <w:iCs/>
              </w:rPr>
              <w:t>E</w:t>
            </w:r>
            <w:r w:rsidR="00B77D28" w:rsidRPr="00344AA4">
              <w:rPr>
                <w:b w:val="0"/>
                <w:i/>
                <w:iCs/>
              </w:rPr>
              <w:t xml:space="preserve">xit </w:t>
            </w:r>
            <w:r w:rsidR="00B77D28">
              <w:rPr>
                <w:b w:val="0"/>
                <w:i/>
                <w:iCs/>
              </w:rPr>
              <w:t>S</w:t>
            </w:r>
            <w:r w:rsidR="00B77D28" w:rsidRPr="00344AA4">
              <w:rPr>
                <w:b w:val="0"/>
                <w:i/>
                <w:iCs/>
              </w:rPr>
              <w:t>trategy</w:t>
            </w:r>
            <w:r w:rsidR="00B77D28">
              <w:rPr>
                <w:b w:val="0"/>
              </w:rPr>
              <w:t xml:space="preserve"> document (1-2 pages) that </w:t>
            </w:r>
            <w:r w:rsidR="00B77D28" w:rsidRPr="00573BDC">
              <w:rPr>
                <w:b w:val="0"/>
              </w:rPr>
              <w:t xml:space="preserve">will clarify what host country forms, capacities, coalitions, and (where relevant) ongoing funding will be left behind and what steps need to be taken to ensure that these end conditions in place by project end. </w:t>
            </w:r>
          </w:p>
          <w:p w14:paraId="353865F8" w14:textId="03260B8F" w:rsidR="00B77D28" w:rsidRPr="0019456F" w:rsidRDefault="00B77D28" w:rsidP="00B77D28">
            <w:pPr>
              <w:pStyle w:val="TableHeaderRow"/>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b w:val="0"/>
              </w:rPr>
            </w:pPr>
            <w:r>
              <w:rPr>
                <w:b w:val="0"/>
              </w:rPr>
              <w:lastRenderedPageBreak/>
              <w:t>The Projected Exit Strategy will be discussed as part of the Strategy Testing sessions during that final year, and the document will be revised as needed over the course of the year to reflect any on-the-ground changes in context, options, or constraints that may emerge.</w:t>
            </w:r>
          </w:p>
        </w:tc>
      </w:tr>
      <w:tr w:rsidR="00781673" w:rsidRPr="00781673" w14:paraId="63C6F9BA" w14:textId="77777777" w:rsidTr="00375E80">
        <w:tc>
          <w:tcPr>
            <w:cnfStyle w:val="001000000000" w:firstRow="0" w:lastRow="0" w:firstColumn="1" w:lastColumn="0" w:oddVBand="0" w:evenVBand="0" w:oddHBand="0" w:evenHBand="0" w:firstRowFirstColumn="0" w:firstRowLastColumn="0" w:lastRowFirstColumn="0" w:lastRowLastColumn="0"/>
            <w:tcW w:w="5240" w:type="dxa"/>
          </w:tcPr>
          <w:p w14:paraId="2EE28F4B" w14:textId="617B8D8F" w:rsidR="00781673" w:rsidRPr="00781673" w:rsidRDefault="0024171F" w:rsidP="0024171F">
            <w:pPr>
              <w:pStyle w:val="NumberedList1"/>
            </w:pPr>
            <w:r>
              <w:lastRenderedPageBreak/>
              <w:t xml:space="preserve">The strategy testing process should be enhanced </w:t>
            </w:r>
            <w:r>
              <w:rPr>
                <w:b w:val="0"/>
                <w:bCs w:val="0"/>
              </w:rPr>
              <w:t xml:space="preserve">to maximise interrogation of performance data, tighten outcomes, clarify </w:t>
            </w:r>
            <w:proofErr w:type="gramStart"/>
            <w:r>
              <w:rPr>
                <w:b w:val="0"/>
                <w:bCs w:val="0"/>
              </w:rPr>
              <w:t>strategies</w:t>
            </w:r>
            <w:proofErr w:type="gramEnd"/>
            <w:r>
              <w:rPr>
                <w:b w:val="0"/>
                <w:bCs w:val="0"/>
              </w:rPr>
              <w:t xml:space="preserve"> and expand management responses.</w:t>
            </w:r>
          </w:p>
        </w:tc>
        <w:tc>
          <w:tcPr>
            <w:tcW w:w="1985" w:type="dxa"/>
          </w:tcPr>
          <w:p w14:paraId="449FEEF6" w14:textId="0876BF91" w:rsidR="00781673" w:rsidRPr="00781673" w:rsidRDefault="0017462C" w:rsidP="00860259">
            <w:pPr>
              <w:pStyle w:val="TableHeaderRow"/>
              <w:framePr w:wrap="around"/>
              <w:cnfStyle w:val="000000000000" w:firstRow="0" w:lastRow="0" w:firstColumn="0" w:lastColumn="0" w:oddVBand="0" w:evenVBand="0" w:oddHBand="0" w:evenHBand="0" w:firstRowFirstColumn="0" w:firstRowLastColumn="0" w:lastRowFirstColumn="0" w:lastRowLastColumn="0"/>
            </w:pPr>
            <w:r>
              <w:t>AGREED</w:t>
            </w:r>
          </w:p>
        </w:tc>
        <w:tc>
          <w:tcPr>
            <w:tcW w:w="7335" w:type="dxa"/>
          </w:tcPr>
          <w:p w14:paraId="06311FB1" w14:textId="77777777" w:rsidR="00781673" w:rsidRDefault="0061483A" w:rsidP="00860259">
            <w:pPr>
              <w:pStyle w:val="TableHeaderRow"/>
              <w:framePr w:wrap="around"/>
              <w:cnfStyle w:val="000000000000" w:firstRow="0" w:lastRow="0" w:firstColumn="0" w:lastColumn="0" w:oddVBand="0" w:evenVBand="0" w:oddHBand="0" w:evenHBand="0" w:firstRowFirstColumn="0" w:firstRowLastColumn="0" w:lastRowFirstColumn="0" w:lastRowLastColumn="0"/>
            </w:pPr>
            <w:r>
              <w:t xml:space="preserve">LEAD: The </w:t>
            </w:r>
            <w:r w:rsidR="00860259">
              <w:t>A</w:t>
            </w:r>
            <w:r>
              <w:t>sia Foundation</w:t>
            </w:r>
          </w:p>
          <w:p w14:paraId="25996B78" w14:textId="655E65AA" w:rsidR="00513D04" w:rsidRDefault="00513D04" w:rsidP="00513D04">
            <w:pPr>
              <w:pStyle w:val="TableHeaderRow"/>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t xml:space="preserve">BY: </w:t>
            </w:r>
            <w:r w:rsidR="00B77D28">
              <w:t>September</w:t>
            </w:r>
            <w:r w:rsidR="00E60DD3" w:rsidRPr="00E60DD3">
              <w:t xml:space="preserve"> 2021</w:t>
            </w:r>
          </w:p>
          <w:p w14:paraId="5F2B6427" w14:textId="68DB56FF" w:rsidR="00431986" w:rsidRDefault="00431986" w:rsidP="00513D04">
            <w:pPr>
              <w:pStyle w:val="TableHeaderRow"/>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b w:val="0"/>
                <w:bCs/>
              </w:rPr>
            </w:pPr>
            <w:r>
              <w:rPr>
                <w:b w:val="0"/>
                <w:bCs/>
              </w:rPr>
              <w:t>Updates to working Theory of Changes (</w:t>
            </w:r>
            <w:proofErr w:type="spellStart"/>
            <w:r>
              <w:rPr>
                <w:b w:val="0"/>
                <w:bCs/>
              </w:rPr>
              <w:t>wTOCs</w:t>
            </w:r>
            <w:proofErr w:type="spellEnd"/>
            <w:r>
              <w:rPr>
                <w:b w:val="0"/>
                <w:bCs/>
              </w:rPr>
              <w:t xml:space="preserve">) for each reform initiative will be complemented by initiative timelines and documentation of what changes are being made to </w:t>
            </w:r>
            <w:proofErr w:type="spellStart"/>
            <w:r>
              <w:rPr>
                <w:b w:val="0"/>
                <w:bCs/>
              </w:rPr>
              <w:t>wTOCs</w:t>
            </w:r>
            <w:proofErr w:type="spellEnd"/>
            <w:r>
              <w:rPr>
                <w:b w:val="0"/>
                <w:bCs/>
              </w:rPr>
              <w:t xml:space="preserve"> and why – as the basis for discussion </w:t>
            </w:r>
            <w:r w:rsidR="003623FC">
              <w:rPr>
                <w:b w:val="0"/>
                <w:bCs/>
              </w:rPr>
              <w:t>in Strategy Testing sessions.</w:t>
            </w:r>
          </w:p>
          <w:p w14:paraId="2D7878AD" w14:textId="551B2CC4" w:rsidR="00431986" w:rsidRPr="00431986" w:rsidRDefault="00431986" w:rsidP="00513D04">
            <w:pPr>
              <w:pStyle w:val="TableHeaderRow"/>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b w:val="0"/>
                <w:bCs/>
              </w:rPr>
            </w:pPr>
            <w:r>
              <w:rPr>
                <w:b w:val="0"/>
                <w:bCs/>
              </w:rPr>
              <w:t>DFAT and TAF acknowledge the need to reduce briefing in strategy testing meetings and focus more on critical thinking and contestability. This will be a focus for Chairs, acknowledging that it also relies on ongoing building of program logic skills in the DFAT and TAF teams.</w:t>
            </w:r>
          </w:p>
          <w:p w14:paraId="469F2E7B" w14:textId="5110E51E" w:rsidR="00513D04" w:rsidRPr="00781673" w:rsidRDefault="002A2EF4" w:rsidP="00513D04">
            <w:pPr>
              <w:pStyle w:val="TableHeaderRow"/>
              <w:framePr w:wrap="around"/>
              <w:cnfStyle w:val="000000000000" w:firstRow="0" w:lastRow="0" w:firstColumn="0" w:lastColumn="0" w:oddVBand="0" w:evenVBand="0" w:oddHBand="0" w:evenHBand="0" w:firstRowFirstColumn="0" w:firstRowLastColumn="0" w:lastRowFirstColumn="0" w:lastRowLastColumn="0"/>
            </w:pPr>
            <w:r>
              <w:rPr>
                <w:b w:val="0"/>
                <w:bCs/>
              </w:rPr>
              <w:t>TAF will prepare n</w:t>
            </w:r>
            <w:r w:rsidR="00B77D28">
              <w:rPr>
                <w:b w:val="0"/>
                <w:bCs/>
              </w:rPr>
              <w:t>ew guidelines outlining the purpose and content of all documents and processes, including the Strategy Testing sessions.</w:t>
            </w:r>
          </w:p>
        </w:tc>
      </w:tr>
      <w:tr w:rsidR="0024171F" w:rsidRPr="00781673" w14:paraId="35C554A7" w14:textId="77777777" w:rsidTr="00375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11A38693" w14:textId="77777777" w:rsidR="0024171F" w:rsidRPr="0024171F" w:rsidRDefault="0024171F" w:rsidP="00862906">
            <w:pPr>
              <w:pStyle w:val="NumberedList1"/>
            </w:pPr>
            <w:r>
              <w:t xml:space="preserve">The performance management system should be sharpened </w:t>
            </w:r>
            <w:r w:rsidRPr="0024171F">
              <w:rPr>
                <w:b w:val="0"/>
                <w:bCs w:val="0"/>
              </w:rPr>
              <w:t>in the following ways</w:t>
            </w:r>
            <w:r>
              <w:t>:</w:t>
            </w:r>
          </w:p>
          <w:p w14:paraId="496E72D8" w14:textId="77777777" w:rsidR="0024171F" w:rsidRPr="0024171F" w:rsidRDefault="0024171F" w:rsidP="00862906">
            <w:pPr>
              <w:pStyle w:val="NumberedList1"/>
              <w:numPr>
                <w:ilvl w:val="0"/>
                <w:numId w:val="35"/>
              </w:numPr>
              <w:rPr>
                <w:b w:val="0"/>
                <w:bCs w:val="0"/>
              </w:rPr>
            </w:pPr>
            <w:r w:rsidRPr="0024171F">
              <w:rPr>
                <w:b w:val="0"/>
                <w:bCs w:val="0"/>
              </w:rPr>
              <w:t xml:space="preserve">The </w:t>
            </w:r>
            <w:r w:rsidRPr="0024171F">
              <w:t>Monitoring and Evaluation Plan</w:t>
            </w:r>
            <w:r w:rsidRPr="0024171F">
              <w:rPr>
                <w:b w:val="0"/>
                <w:bCs w:val="0"/>
              </w:rPr>
              <w:t xml:space="preserve"> should be updated and integrated into management processes to deliver progressively more specific objectives and strategies.</w:t>
            </w:r>
          </w:p>
          <w:p w14:paraId="2D38A036" w14:textId="77777777" w:rsidR="0024171F" w:rsidRPr="0024171F" w:rsidRDefault="0024171F" w:rsidP="00862906">
            <w:pPr>
              <w:pStyle w:val="NumberedList1"/>
              <w:numPr>
                <w:ilvl w:val="0"/>
                <w:numId w:val="35"/>
              </w:numPr>
              <w:rPr>
                <w:b w:val="0"/>
                <w:bCs w:val="0"/>
              </w:rPr>
            </w:pPr>
            <w:r w:rsidRPr="0024171F">
              <w:rPr>
                <w:b w:val="0"/>
                <w:bCs w:val="0"/>
              </w:rPr>
              <w:t xml:space="preserve">Management processes should formally extend monitoring, reporting and management response to </w:t>
            </w:r>
            <w:r w:rsidRPr="0024171F">
              <w:t>all three objectives</w:t>
            </w:r>
            <w:r w:rsidRPr="0024171F">
              <w:rPr>
                <w:b w:val="0"/>
                <w:bCs w:val="0"/>
              </w:rPr>
              <w:t>, not just the reform process, central as it is.</w:t>
            </w:r>
          </w:p>
          <w:p w14:paraId="706705FD" w14:textId="77777777" w:rsidR="0024171F" w:rsidRPr="0024171F" w:rsidRDefault="0024171F" w:rsidP="00862906">
            <w:pPr>
              <w:pStyle w:val="NumberedList1"/>
              <w:numPr>
                <w:ilvl w:val="0"/>
                <w:numId w:val="35"/>
              </w:numPr>
              <w:rPr>
                <w:b w:val="0"/>
                <w:bCs w:val="0"/>
              </w:rPr>
            </w:pPr>
            <w:r w:rsidRPr="0024171F">
              <w:lastRenderedPageBreak/>
              <w:t>Traffic lights</w:t>
            </w:r>
            <w:r w:rsidRPr="0024171F">
              <w:rPr>
                <w:b w:val="0"/>
                <w:bCs w:val="0"/>
              </w:rPr>
              <w:t xml:space="preserve"> should be used to indicate progress against each reform initiative and objective.</w:t>
            </w:r>
          </w:p>
          <w:p w14:paraId="3B5DBAF7" w14:textId="77777777" w:rsidR="0024171F" w:rsidRPr="00781673" w:rsidRDefault="0024171F" w:rsidP="00862906">
            <w:pPr>
              <w:pStyle w:val="NumberedList1"/>
              <w:numPr>
                <w:ilvl w:val="0"/>
                <w:numId w:val="35"/>
              </w:numPr>
            </w:pPr>
            <w:r w:rsidRPr="0024171F">
              <w:rPr>
                <w:b w:val="0"/>
                <w:bCs w:val="0"/>
              </w:rPr>
              <w:t>Performance data</w:t>
            </w:r>
            <w:r>
              <w:t xml:space="preserve"> </w:t>
            </w:r>
            <w:r w:rsidRPr="0024171F">
              <w:rPr>
                <w:b w:val="0"/>
                <w:bCs w:val="0"/>
              </w:rPr>
              <w:t>should be summarised in a table showing</w:t>
            </w:r>
            <w:r>
              <w:t xml:space="preserve"> program performance on a page.</w:t>
            </w:r>
          </w:p>
        </w:tc>
        <w:tc>
          <w:tcPr>
            <w:tcW w:w="1985" w:type="dxa"/>
          </w:tcPr>
          <w:p w14:paraId="15DA598B" w14:textId="5D459D47" w:rsidR="0024171F" w:rsidRPr="00781673" w:rsidRDefault="0017462C" w:rsidP="00860259">
            <w:pPr>
              <w:pStyle w:val="TableHeaderRow"/>
              <w:framePr w:wrap="around"/>
              <w:cnfStyle w:val="000000100000" w:firstRow="0" w:lastRow="0" w:firstColumn="0" w:lastColumn="0" w:oddVBand="0" w:evenVBand="0" w:oddHBand="1" w:evenHBand="0" w:firstRowFirstColumn="0" w:firstRowLastColumn="0" w:lastRowFirstColumn="0" w:lastRowLastColumn="0"/>
            </w:pPr>
            <w:r>
              <w:lastRenderedPageBreak/>
              <w:t>AGREED</w:t>
            </w:r>
          </w:p>
        </w:tc>
        <w:tc>
          <w:tcPr>
            <w:tcW w:w="7335" w:type="dxa"/>
          </w:tcPr>
          <w:p w14:paraId="57413D77" w14:textId="77777777" w:rsidR="0024171F" w:rsidRDefault="0061483A" w:rsidP="00860259">
            <w:pPr>
              <w:pStyle w:val="TableHeaderRow"/>
              <w:framePr w:wrap="around"/>
              <w:cnfStyle w:val="000000100000" w:firstRow="0" w:lastRow="0" w:firstColumn="0" w:lastColumn="0" w:oddVBand="0" w:evenVBand="0" w:oddHBand="1" w:evenHBand="0" w:firstRowFirstColumn="0" w:firstRowLastColumn="0" w:lastRowFirstColumn="0" w:lastRowLastColumn="0"/>
            </w:pPr>
            <w:r>
              <w:t>LEAD: The Asia Foundation</w:t>
            </w:r>
          </w:p>
          <w:p w14:paraId="7CDFD0DF" w14:textId="5843EFDB" w:rsidR="00513D04" w:rsidRPr="00E60DD3" w:rsidRDefault="00513D04" w:rsidP="00513D04">
            <w:pPr>
              <w:pStyle w:val="TableHeaderRow"/>
              <w:framePr w:hSpace="0" w:wrap="auto" w:vAnchor="margin" w:hAnchor="text" w:yAlign="inline"/>
              <w:cnfStyle w:val="000000100000" w:firstRow="0" w:lastRow="0" w:firstColumn="0" w:lastColumn="0" w:oddVBand="0" w:evenVBand="0" w:oddHBand="1" w:evenHBand="0" w:firstRowFirstColumn="0" w:firstRowLastColumn="0" w:lastRowFirstColumn="0" w:lastRowLastColumn="0"/>
            </w:pPr>
            <w:r>
              <w:t xml:space="preserve">BY: </w:t>
            </w:r>
            <w:r w:rsidR="00B77D28">
              <w:t>August</w:t>
            </w:r>
            <w:r w:rsidR="00E60DD3" w:rsidRPr="00E60DD3">
              <w:t xml:space="preserve"> 202</w:t>
            </w:r>
            <w:r w:rsidR="001D3248">
              <w:t>1</w:t>
            </w:r>
          </w:p>
          <w:p w14:paraId="74A9EBBB" w14:textId="0289D545" w:rsidR="00513D04" w:rsidRPr="00781673" w:rsidRDefault="00B77D28" w:rsidP="00513D04">
            <w:pPr>
              <w:pStyle w:val="TableHeaderRow"/>
              <w:framePr w:wrap="around"/>
              <w:cnfStyle w:val="000000100000" w:firstRow="0" w:lastRow="0" w:firstColumn="0" w:lastColumn="0" w:oddVBand="0" w:evenVBand="0" w:oddHBand="1" w:evenHBand="0" w:firstRowFirstColumn="0" w:firstRowLastColumn="0" w:lastRowFirstColumn="0" w:lastRowLastColumn="0"/>
            </w:pPr>
            <w:r>
              <w:rPr>
                <w:b w:val="0"/>
                <w:bCs/>
              </w:rPr>
              <w:t>The Monitoring and Evaluation Plan will be updated to enhance monitoring, reporting and response to all three objectives. All three objectives will continue to be discussed in six-monthly Joint Working Group meetings. Traffic lights and ‘performance on a page’ will be incorporated into Semi-Annual Reports and Annual Reports.</w:t>
            </w:r>
          </w:p>
        </w:tc>
      </w:tr>
      <w:tr w:rsidR="00781673" w:rsidRPr="00781673" w14:paraId="21BC2C7C" w14:textId="77777777" w:rsidTr="00375E80">
        <w:tc>
          <w:tcPr>
            <w:cnfStyle w:val="001000000000" w:firstRow="0" w:lastRow="0" w:firstColumn="1" w:lastColumn="0" w:oddVBand="0" w:evenVBand="0" w:oddHBand="0" w:evenHBand="0" w:firstRowFirstColumn="0" w:firstRowLastColumn="0" w:lastRowFirstColumn="0" w:lastRowLastColumn="0"/>
            <w:tcW w:w="5240" w:type="dxa"/>
          </w:tcPr>
          <w:p w14:paraId="512D58CE" w14:textId="77777777" w:rsidR="0024171F" w:rsidRPr="0024171F" w:rsidRDefault="0024171F" w:rsidP="0024171F">
            <w:pPr>
              <w:pStyle w:val="NumberedList1"/>
            </w:pPr>
            <w:r>
              <w:t>DFAT should determine how it wants to position in AMICs in the medium-longer term.</w:t>
            </w:r>
          </w:p>
          <w:p w14:paraId="31B74777" w14:textId="77777777" w:rsidR="0024171F" w:rsidRPr="0024171F" w:rsidRDefault="0024171F" w:rsidP="0024171F">
            <w:pPr>
              <w:pStyle w:val="NumberedList1"/>
              <w:numPr>
                <w:ilvl w:val="0"/>
                <w:numId w:val="34"/>
              </w:numPr>
            </w:pPr>
            <w:r w:rsidRPr="0024171F">
              <w:rPr>
                <w:b w:val="0"/>
                <w:bCs w:val="0"/>
              </w:rPr>
              <w:t>An</w:t>
            </w:r>
            <w:r>
              <w:t xml:space="preserve"> expanded, more proactive approach is recommended,</w:t>
            </w:r>
            <w:r w:rsidRPr="0024171F">
              <w:rPr>
                <w:b w:val="0"/>
                <w:bCs w:val="0"/>
              </w:rPr>
              <w:t xml:space="preserve"> based on Australian national interests. This would require a policy decision and a commensurate resource commitment.</w:t>
            </w:r>
          </w:p>
          <w:p w14:paraId="4E9D7D58" w14:textId="0ADE79A1" w:rsidR="0024171F" w:rsidRPr="0024171F" w:rsidRDefault="0024171F" w:rsidP="0024171F">
            <w:pPr>
              <w:pStyle w:val="NumberedList1"/>
              <w:numPr>
                <w:ilvl w:val="0"/>
                <w:numId w:val="34"/>
              </w:numPr>
            </w:pPr>
            <w:r w:rsidRPr="0024171F">
              <w:rPr>
                <w:b w:val="0"/>
                <w:bCs w:val="0"/>
              </w:rPr>
              <w:t>A detailed</w:t>
            </w:r>
            <w:r>
              <w:t xml:space="preserve"> survey of ‘who is doing what’ </w:t>
            </w:r>
            <w:r w:rsidRPr="0024171F">
              <w:rPr>
                <w:b w:val="0"/>
                <w:bCs w:val="0"/>
              </w:rPr>
              <w:t>is needed to help illuminate options.</w:t>
            </w:r>
          </w:p>
          <w:p w14:paraId="636734A0" w14:textId="002F7A38" w:rsidR="0024171F" w:rsidRPr="0024171F" w:rsidRDefault="0024171F" w:rsidP="0024171F">
            <w:pPr>
              <w:pStyle w:val="NumberedList1"/>
              <w:numPr>
                <w:ilvl w:val="0"/>
                <w:numId w:val="34"/>
              </w:numPr>
              <w:rPr>
                <w:b w:val="0"/>
                <w:bCs w:val="0"/>
              </w:rPr>
            </w:pPr>
            <w:r w:rsidRPr="00860259">
              <w:rPr>
                <w:b w:val="0"/>
                <w:bCs w:val="0"/>
              </w:rPr>
              <w:t xml:space="preserve">The </w:t>
            </w:r>
            <w:r w:rsidRPr="00860259">
              <w:t>capability of alternative commercial, civil society and government organisations</w:t>
            </w:r>
            <w:r w:rsidRPr="0024171F">
              <w:rPr>
                <w:b w:val="0"/>
                <w:bCs w:val="0"/>
              </w:rPr>
              <w:t xml:space="preserve"> to ‘think and work politically’ needs to be tested and should not be assumed.</w:t>
            </w:r>
          </w:p>
        </w:tc>
        <w:tc>
          <w:tcPr>
            <w:tcW w:w="1985" w:type="dxa"/>
          </w:tcPr>
          <w:p w14:paraId="2A634180" w14:textId="3216D38E" w:rsidR="00781673" w:rsidRDefault="001D3248" w:rsidP="00860259">
            <w:pPr>
              <w:pStyle w:val="TableHeaderRow"/>
              <w:framePr w:wrap="around"/>
              <w:cnfStyle w:val="000000000000" w:firstRow="0" w:lastRow="0" w:firstColumn="0" w:lastColumn="0" w:oddVBand="0" w:evenVBand="0" w:oddHBand="0" w:evenHBand="0" w:firstRowFirstColumn="0" w:firstRowLastColumn="0" w:lastRowFirstColumn="0" w:lastRowLastColumn="0"/>
            </w:pPr>
            <w:r>
              <w:t xml:space="preserve">PARTIALLY </w:t>
            </w:r>
            <w:r w:rsidR="003623FC">
              <w:t>AGREE</w:t>
            </w:r>
          </w:p>
          <w:p w14:paraId="095AD916" w14:textId="5B88CE68" w:rsidR="00860259" w:rsidRPr="00781673" w:rsidRDefault="00860259" w:rsidP="00860259">
            <w:pPr>
              <w:pStyle w:val="TableHeaderRow"/>
              <w:framePr w:wrap="around"/>
              <w:cnfStyle w:val="000000000000" w:firstRow="0" w:lastRow="0" w:firstColumn="0" w:lastColumn="0" w:oddVBand="0" w:evenVBand="0" w:oddHBand="0" w:evenHBand="0" w:firstRowFirstColumn="0" w:firstRowLastColumn="0" w:lastRowFirstColumn="0" w:lastRowLastColumn="0"/>
            </w:pPr>
          </w:p>
        </w:tc>
        <w:tc>
          <w:tcPr>
            <w:tcW w:w="7335" w:type="dxa"/>
          </w:tcPr>
          <w:p w14:paraId="5744229D" w14:textId="443960E0" w:rsidR="00781673" w:rsidRPr="001D3248" w:rsidRDefault="0061483A" w:rsidP="00860259">
            <w:pPr>
              <w:pStyle w:val="TableHeaderRow"/>
              <w:framePr w:wrap="around"/>
              <w:cnfStyle w:val="000000000000" w:firstRow="0" w:lastRow="0" w:firstColumn="0" w:lastColumn="0" w:oddVBand="0" w:evenVBand="0" w:oddHBand="0" w:evenHBand="0" w:firstRowFirstColumn="0" w:firstRowLastColumn="0" w:lastRowFirstColumn="0" w:lastRowLastColumn="0"/>
            </w:pPr>
            <w:bookmarkStart w:id="0" w:name="_Hlk78184997"/>
            <w:r w:rsidRPr="001D3248">
              <w:t>LEAD: H</w:t>
            </w:r>
            <w:r w:rsidR="00860259" w:rsidRPr="001D3248">
              <w:t>uman Development and Governance Division</w:t>
            </w:r>
          </w:p>
          <w:p w14:paraId="0BAE31AD" w14:textId="2E7DE721" w:rsidR="00513D04" w:rsidRPr="001D3248" w:rsidRDefault="00513D04" w:rsidP="00513D04">
            <w:pPr>
              <w:pStyle w:val="TableHeaderRow"/>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1D3248">
              <w:t xml:space="preserve">BY: </w:t>
            </w:r>
            <w:r w:rsidR="00431986" w:rsidRPr="001D3248">
              <w:t>Ongoing</w:t>
            </w:r>
          </w:p>
          <w:p w14:paraId="0C0667D5" w14:textId="21A11BA9" w:rsidR="00E60DD3" w:rsidRPr="00431986" w:rsidRDefault="003623FC" w:rsidP="00513D04">
            <w:pPr>
              <w:pStyle w:val="TableHeaderRow"/>
              <w:framePr w:wrap="around"/>
              <w:cnfStyle w:val="000000000000" w:firstRow="0" w:lastRow="0" w:firstColumn="0" w:lastColumn="0" w:oddVBand="0" w:evenVBand="0" w:oddHBand="0" w:evenHBand="0" w:firstRowFirstColumn="0" w:firstRowLastColumn="0" w:lastRowFirstColumn="0" w:lastRowLastColumn="0"/>
              <w:rPr>
                <w:b w:val="0"/>
                <w:bCs/>
              </w:rPr>
            </w:pPr>
            <w:r w:rsidRPr="001D3248">
              <w:rPr>
                <w:b w:val="0"/>
                <w:bCs/>
              </w:rPr>
              <w:t xml:space="preserve">DFAT recognises the importance of a long-term engagement in middle income countries in Southeast Asia encompassing foreign policy, </w:t>
            </w:r>
            <w:proofErr w:type="gramStart"/>
            <w:r w:rsidRPr="001D3248">
              <w:rPr>
                <w:b w:val="0"/>
                <w:bCs/>
              </w:rPr>
              <w:t>trade</w:t>
            </w:r>
            <w:proofErr w:type="gramEnd"/>
            <w:r w:rsidRPr="001D3248">
              <w:rPr>
                <w:b w:val="0"/>
                <w:bCs/>
              </w:rPr>
              <w:t xml:space="preserve"> and development. </w:t>
            </w:r>
            <w:r w:rsidR="00E60DD3" w:rsidRPr="001D3248">
              <w:rPr>
                <w:b w:val="0"/>
                <w:bCs/>
              </w:rPr>
              <w:t xml:space="preserve">DFAT will </w:t>
            </w:r>
            <w:r w:rsidRPr="001D3248">
              <w:rPr>
                <w:b w:val="0"/>
                <w:bCs/>
              </w:rPr>
              <w:t xml:space="preserve">further </w:t>
            </w:r>
            <w:r w:rsidR="00E60DD3" w:rsidRPr="001D3248">
              <w:rPr>
                <w:b w:val="0"/>
                <w:bCs/>
              </w:rPr>
              <w:t xml:space="preserve">consider </w:t>
            </w:r>
            <w:r w:rsidR="00431986" w:rsidRPr="001D3248">
              <w:rPr>
                <w:b w:val="0"/>
                <w:bCs/>
              </w:rPr>
              <w:t>its engagement in AMIC countries as part of development strateg</w:t>
            </w:r>
            <w:r w:rsidRPr="001D3248">
              <w:rPr>
                <w:b w:val="0"/>
                <w:bCs/>
              </w:rPr>
              <w:t>ies</w:t>
            </w:r>
            <w:r w:rsidR="00431986" w:rsidRPr="001D3248">
              <w:rPr>
                <w:b w:val="0"/>
                <w:bCs/>
              </w:rPr>
              <w:t xml:space="preserve"> going forward</w:t>
            </w:r>
            <w:r w:rsidR="00E60DD3" w:rsidRPr="001D3248">
              <w:rPr>
                <w:b w:val="0"/>
                <w:bCs/>
              </w:rPr>
              <w:t xml:space="preserve">, building on earlier policy work under the DFAT-TAF Strategic Partnership and </w:t>
            </w:r>
            <w:r w:rsidR="00431986" w:rsidRPr="001D3248">
              <w:rPr>
                <w:b w:val="0"/>
                <w:bCs/>
              </w:rPr>
              <w:t>the practical experience in Thailand and Malaysia.</w:t>
            </w:r>
          </w:p>
          <w:p w14:paraId="7D46D73D" w14:textId="2315E405" w:rsidR="00E60DD3" w:rsidRPr="001D3248" w:rsidRDefault="00E60DD3" w:rsidP="00E60DD3">
            <w:pPr>
              <w:pStyle w:val="TableHeaderRow"/>
              <w:framePr w:wrap="around"/>
              <w:cnfStyle w:val="000000000000" w:firstRow="0" w:lastRow="0" w:firstColumn="0" w:lastColumn="0" w:oddVBand="0" w:evenVBand="0" w:oddHBand="0" w:evenHBand="0" w:firstRowFirstColumn="0" w:firstRowLastColumn="0" w:lastRowFirstColumn="0" w:lastRowLastColumn="0"/>
              <w:rPr>
                <w:b w:val="0"/>
              </w:rPr>
            </w:pPr>
            <w:r>
              <w:rPr>
                <w:b w:val="0"/>
              </w:rPr>
              <w:t>TAF will undertake a separate, complementary process to build on understanding of AMIC engagement in Southeast Asia (fund</w:t>
            </w:r>
            <w:r w:rsidR="00DA422A">
              <w:rPr>
                <w:b w:val="0"/>
              </w:rPr>
              <w:t>ed</w:t>
            </w:r>
            <w:r>
              <w:rPr>
                <w:b w:val="0"/>
              </w:rPr>
              <w:t xml:space="preserve"> by TAF). TAF will prepare policy relevant research on AMIC economic and governance challenges and the implications for Australia’s engagement in key countries in Southeast Asia. </w:t>
            </w:r>
            <w:bookmarkEnd w:id="0"/>
          </w:p>
        </w:tc>
      </w:tr>
    </w:tbl>
    <w:p w14:paraId="0AAD3AEF" w14:textId="77777777" w:rsidR="00781673" w:rsidRDefault="00781673" w:rsidP="00781673">
      <w:pPr>
        <w:pStyle w:val="Heading1smallspaceafter"/>
      </w:pPr>
    </w:p>
    <w:sectPr w:rsidR="00781673" w:rsidSect="00AA4C78">
      <w:headerReference w:type="default" r:id="rId8"/>
      <w:footerReference w:type="default" r:id="rId9"/>
      <w:headerReference w:type="first" r:id="rId10"/>
      <w:footerReference w:type="first" r:id="rId11"/>
      <w:pgSz w:w="16838" w:h="11906" w:orient="landscape" w:code="9"/>
      <w:pgMar w:top="1701" w:right="1134" w:bottom="1418" w:left="1134" w:header="284" w:footer="319"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D9A98" w14:textId="77777777" w:rsidR="00637520" w:rsidRDefault="00637520" w:rsidP="00D37B04">
      <w:r>
        <w:separator/>
      </w:r>
    </w:p>
  </w:endnote>
  <w:endnote w:type="continuationSeparator" w:id="0">
    <w:p w14:paraId="12BD9A99" w14:textId="77777777" w:rsidR="00637520" w:rsidRDefault="00637520"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58C6E" w14:textId="77777777" w:rsidR="00375E80" w:rsidRDefault="00375E80" w:rsidP="00AA4C78">
    <w:pPr>
      <w:pStyle w:val="Footer"/>
      <w:tabs>
        <w:tab w:val="left" w:pos="14286"/>
      </w:tabs>
    </w:pPr>
    <w:r w:rsidRPr="00375E80">
      <w:rPr>
        <w:rStyle w:val="Green"/>
        <w:b/>
        <w:noProof/>
        <w:color w:val="495965" w:themeColor="text2"/>
      </w:rPr>
      <w:drawing>
        <wp:anchor distT="0" distB="0" distL="114300" distR="114300" simplePos="0" relativeHeight="251661312" behindDoc="1" locked="0" layoutInCell="1" allowOverlap="1" wp14:anchorId="1E991421" wp14:editId="1CB7D28A">
          <wp:simplePos x="0" y="0"/>
          <wp:positionH relativeFrom="margin">
            <wp:posOffset>32385</wp:posOffset>
          </wp:positionH>
          <wp:positionV relativeFrom="paragraph">
            <wp:posOffset>-208280</wp:posOffset>
          </wp:positionV>
          <wp:extent cx="9246870" cy="438150"/>
          <wp:effectExtent l="0" t="0" r="0" b="0"/>
          <wp:wrapNone/>
          <wp:docPr id="389" name="Picture 38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S-LS-Granite-Footer.png"/>
                  <pic:cNvPicPr/>
                </pic:nvPicPr>
                <pic:blipFill>
                  <a:blip r:embed="rId1">
                    <a:extLst>
                      <a:ext uri="{28A0092B-C50C-407E-A947-70E740481C1C}">
                        <a14:useLocalDpi xmlns:a14="http://schemas.microsoft.com/office/drawing/2010/main" val="0"/>
                      </a:ext>
                    </a:extLst>
                  </a:blip>
                  <a:stretch>
                    <a:fillRect/>
                  </a:stretch>
                </pic:blipFill>
                <pic:spPr>
                  <a:xfrm>
                    <a:off x="0" y="0"/>
                    <a:ext cx="9246870" cy="438150"/>
                  </a:xfrm>
                  <a:prstGeom prst="rect">
                    <a:avLst/>
                  </a:prstGeom>
                </pic:spPr>
              </pic:pic>
            </a:graphicData>
          </a:graphic>
          <wp14:sizeRelV relativeFrom="margin">
            <wp14:pctHeight>0</wp14:pctHeight>
          </wp14:sizeRelV>
        </wp:anchor>
      </w:drawing>
    </w:r>
    <w:r w:rsidRPr="00375E80">
      <w:rPr>
        <w:rStyle w:val="Green"/>
        <w:b/>
        <w:noProof/>
        <w:color w:val="495965" w:themeColor="text2"/>
      </w:rPr>
      <w:drawing>
        <wp:anchor distT="0" distB="0" distL="114300" distR="114300" simplePos="0" relativeHeight="251662336" behindDoc="0" locked="0" layoutInCell="1" allowOverlap="1" wp14:anchorId="09E83322" wp14:editId="2BFE4C63">
          <wp:simplePos x="0" y="0"/>
          <wp:positionH relativeFrom="column">
            <wp:posOffset>7576185</wp:posOffset>
          </wp:positionH>
          <wp:positionV relativeFrom="paragraph">
            <wp:posOffset>-31115</wp:posOffset>
          </wp:positionV>
          <wp:extent cx="182982" cy="152400"/>
          <wp:effectExtent l="0" t="0" r="7620" b="0"/>
          <wp:wrapNone/>
          <wp:docPr id="390" name="Picture 390"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182982" cy="15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5E80">
      <w:rPr>
        <w:rStyle w:val="Green"/>
        <w:b/>
        <w:color w:val="495965" w:themeColor="text2"/>
      </w:rPr>
      <w:t>@</w:t>
    </w:r>
    <w:proofErr w:type="gramStart"/>
    <w:r w:rsidRPr="00375E80">
      <w:rPr>
        <w:rStyle w:val="Green"/>
        <w:b/>
        <w:color w:val="495965" w:themeColor="text2"/>
      </w:rPr>
      <w:t>DFAT</w:t>
    </w:r>
    <w:r>
      <w:rPr>
        <w:b/>
      </w:rPr>
      <w:t xml:space="preserve">  </w:t>
    </w:r>
    <w:r w:rsidRPr="00A5013C">
      <w:rPr>
        <w:rStyle w:val="Green"/>
        <w:b/>
        <w:color w:val="495965" w:themeColor="text2"/>
      </w:rPr>
      <w:t>DFAT.GOV.AU</w:t>
    </w:r>
    <w:proofErr w:type="gramEnd"/>
  </w:p>
  <w:p w14:paraId="12BD9A9B" w14:textId="25112999" w:rsidR="007D283B" w:rsidRPr="00375E80" w:rsidRDefault="007D283B" w:rsidP="0037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9A9E" w14:textId="7EA98FDD" w:rsidR="007D283B" w:rsidRDefault="00375E80">
    <w:pPr>
      <w:pStyle w:val="Footer"/>
    </w:pPr>
    <w:r w:rsidRPr="00375E80">
      <w:rPr>
        <w:rStyle w:val="Green"/>
        <w:b/>
        <w:bCs/>
        <w:noProof/>
        <w:color w:val="495965" w:themeColor="text2"/>
      </w:rPr>
      <w:drawing>
        <wp:anchor distT="0" distB="0" distL="114300" distR="114300" simplePos="0" relativeHeight="251658240" behindDoc="1" locked="0" layoutInCell="1" allowOverlap="1" wp14:anchorId="12BD9AA9" wp14:editId="7337D198">
          <wp:simplePos x="0" y="0"/>
          <wp:positionH relativeFrom="margin">
            <wp:posOffset>175259</wp:posOffset>
          </wp:positionH>
          <wp:positionV relativeFrom="paragraph">
            <wp:posOffset>-204470</wp:posOffset>
          </wp:positionV>
          <wp:extent cx="9223375" cy="438150"/>
          <wp:effectExtent l="0" t="0" r="0" b="0"/>
          <wp:wrapNone/>
          <wp:docPr id="393" name="Picture 39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S-LS-Granite-Footer.png"/>
                  <pic:cNvPicPr/>
                </pic:nvPicPr>
                <pic:blipFill>
                  <a:blip r:embed="rId1">
                    <a:extLst>
                      <a:ext uri="{28A0092B-C50C-407E-A947-70E740481C1C}">
                        <a14:useLocalDpi xmlns:a14="http://schemas.microsoft.com/office/drawing/2010/main" val="0"/>
                      </a:ext>
                    </a:extLst>
                  </a:blip>
                  <a:stretch>
                    <a:fillRect/>
                  </a:stretch>
                </pic:blipFill>
                <pic:spPr>
                  <a:xfrm>
                    <a:off x="0" y="0"/>
                    <a:ext cx="9223375" cy="438150"/>
                  </a:xfrm>
                  <a:prstGeom prst="rect">
                    <a:avLst/>
                  </a:prstGeom>
                </pic:spPr>
              </pic:pic>
            </a:graphicData>
          </a:graphic>
          <wp14:sizeRelH relativeFrom="margin">
            <wp14:pctWidth>0</wp14:pctWidth>
          </wp14:sizeRelH>
          <wp14:sizeRelV relativeFrom="margin">
            <wp14:pctHeight>0</wp14:pctHeight>
          </wp14:sizeRelV>
        </wp:anchor>
      </w:drawing>
    </w:r>
    <w:r w:rsidRPr="00375E80">
      <w:rPr>
        <w:rStyle w:val="Green"/>
        <w:b/>
        <w:bCs/>
        <w:noProof/>
        <w:color w:val="495965" w:themeColor="text2"/>
      </w:rPr>
      <w:drawing>
        <wp:anchor distT="0" distB="0" distL="114300" distR="114300" simplePos="0" relativeHeight="251659264" behindDoc="0" locked="0" layoutInCell="1" allowOverlap="1" wp14:anchorId="12BD9AAB" wp14:editId="4C4D8521">
          <wp:simplePos x="0" y="0"/>
          <wp:positionH relativeFrom="column">
            <wp:posOffset>7576185</wp:posOffset>
          </wp:positionH>
          <wp:positionV relativeFrom="paragraph">
            <wp:posOffset>-31115</wp:posOffset>
          </wp:positionV>
          <wp:extent cx="182982" cy="152400"/>
          <wp:effectExtent l="0" t="0" r="7620" b="0"/>
          <wp:wrapNone/>
          <wp:docPr id="394" name="Picture 394"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182982" cy="15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283B" w:rsidRPr="00375E80">
      <w:rPr>
        <w:rStyle w:val="Green"/>
        <w:b/>
        <w:bCs/>
        <w:color w:val="495965" w:themeColor="text2"/>
      </w:rPr>
      <w:t>@</w:t>
    </w:r>
    <w:proofErr w:type="gramStart"/>
    <w:r w:rsidR="007D283B" w:rsidRPr="00375E80">
      <w:rPr>
        <w:rStyle w:val="Green"/>
        <w:b/>
        <w:bCs/>
        <w:color w:val="495965" w:themeColor="text2"/>
      </w:rPr>
      <w:t>DFAT</w:t>
    </w:r>
    <w:r w:rsidR="007D283B" w:rsidRPr="00375E80">
      <w:rPr>
        <w:b/>
        <w:color w:val="F2F2F2" w:themeColor="background1" w:themeShade="F2"/>
      </w:rPr>
      <w:t xml:space="preserve">  </w:t>
    </w:r>
    <w:r w:rsidR="007D283B" w:rsidRPr="00A5013C">
      <w:rPr>
        <w:rStyle w:val="Green"/>
        <w:b/>
        <w:color w:val="495965" w:themeColor="text2"/>
      </w:rPr>
      <w:t>DFAT.GOV.AU</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D9A96" w14:textId="77777777" w:rsidR="00637520" w:rsidRPr="008C5A0E" w:rsidRDefault="00637520" w:rsidP="00D37B04">
      <w:pPr>
        <w:pStyle w:val="Footer"/>
      </w:pPr>
    </w:p>
  </w:footnote>
  <w:footnote w:type="continuationSeparator" w:id="0">
    <w:p w14:paraId="12BD9A97" w14:textId="77777777" w:rsidR="00637520" w:rsidRDefault="00637520"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9A9A" w14:textId="77777777" w:rsidR="002D5B25" w:rsidRPr="000854FD" w:rsidRDefault="00F35099" w:rsidP="00AA4C78">
    <w:pPr>
      <w:pStyle w:val="Header"/>
      <w:ind w:left="0"/>
    </w:pPr>
    <w:r>
      <w:rPr>
        <w:noProof/>
        <w:lang w:val="en-AU" w:eastAsia="en-AU"/>
      </w:rPr>
      <w:drawing>
        <wp:inline distT="0" distB="0" distL="0" distR="0" wp14:anchorId="12BD9A9F" wp14:editId="03376088">
          <wp:extent cx="9249445" cy="754560"/>
          <wp:effectExtent l="0" t="0" r="0" b="7620"/>
          <wp:docPr id="388" name="Picture 38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S-Granite-Header-PT.png"/>
                  <pic:cNvPicPr/>
                </pic:nvPicPr>
                <pic:blipFill>
                  <a:blip r:embed="rId1">
                    <a:extLst>
                      <a:ext uri="{28A0092B-C50C-407E-A947-70E740481C1C}">
                        <a14:useLocalDpi xmlns:a14="http://schemas.microsoft.com/office/drawing/2010/main" val="0"/>
                      </a:ext>
                    </a:extLst>
                  </a:blip>
                  <a:stretch>
                    <a:fillRect/>
                  </a:stretch>
                </pic:blipFill>
                <pic:spPr>
                  <a:xfrm>
                    <a:off x="0" y="0"/>
                    <a:ext cx="9249445" cy="7545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9A9C" w14:textId="77777777" w:rsidR="002D5B25" w:rsidRDefault="002D5B25" w:rsidP="002D5B25">
    <w:pPr>
      <w:pStyle w:val="Header"/>
    </w:pPr>
  </w:p>
  <w:p w14:paraId="3F4A6F32" w14:textId="77777777" w:rsidR="00375E80" w:rsidRDefault="00A5013C" w:rsidP="00943730">
    <w:pPr>
      <w:pStyle w:val="Header"/>
    </w:pPr>
    <w:r>
      <w:rPr>
        <w:noProof/>
        <w:lang w:val="en-AU" w:eastAsia="en-AU"/>
      </w:rPr>
      <w:drawing>
        <wp:inline distT="0" distB="0" distL="0" distR="0" wp14:anchorId="12BD9AA5" wp14:editId="662AC263">
          <wp:extent cx="9252000" cy="754560"/>
          <wp:effectExtent l="0" t="0" r="6350" b="7620"/>
          <wp:docPr id="391" name="Picture 39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S-Granite-Header-PT.png"/>
                  <pic:cNvPicPr/>
                </pic:nvPicPr>
                <pic:blipFill>
                  <a:blip r:embed="rId1">
                    <a:extLst>
                      <a:ext uri="{28A0092B-C50C-407E-A947-70E740481C1C}">
                        <a14:useLocalDpi xmlns:a14="http://schemas.microsoft.com/office/drawing/2010/main" val="0"/>
                      </a:ext>
                    </a:extLst>
                  </a:blip>
                  <a:stretch>
                    <a:fillRect/>
                  </a:stretch>
                </pic:blipFill>
                <pic:spPr>
                  <a:xfrm>
                    <a:off x="0" y="0"/>
                    <a:ext cx="9252000" cy="754560"/>
                  </a:xfrm>
                  <a:prstGeom prst="rect">
                    <a:avLst/>
                  </a:prstGeom>
                </pic:spPr>
              </pic:pic>
            </a:graphicData>
          </a:graphic>
        </wp:inline>
      </w:drawing>
    </w:r>
  </w:p>
  <w:p w14:paraId="6C4CBDE3" w14:textId="59E88E5D" w:rsidR="00375E80" w:rsidRDefault="00375E80" w:rsidP="00943730">
    <w:pPr>
      <w:pStyle w:val="Header"/>
    </w:pPr>
    <w:r w:rsidRPr="00943730">
      <w:rPr>
        <w:noProof/>
        <w:lang w:val="en-AU" w:eastAsia="en-AU"/>
      </w:rPr>
      <w:drawing>
        <wp:inline distT="0" distB="0" distL="0" distR="0" wp14:anchorId="49AA7C19" wp14:editId="2C679DA8">
          <wp:extent cx="3166745" cy="554355"/>
          <wp:effectExtent l="0" t="0" r="0" b="0"/>
          <wp:docPr id="392" name="Picture 392"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inline>
      </w:drawing>
    </w:r>
  </w:p>
  <w:p w14:paraId="301094D6" w14:textId="77777777" w:rsidR="00375E80" w:rsidRDefault="00375E80" w:rsidP="00943730">
    <w:pPr>
      <w:pStyle w:val="Header"/>
    </w:pPr>
  </w:p>
  <w:p w14:paraId="12BD9A9D" w14:textId="46EE5FC4"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B050C0">
      <w:rPr>
        <w:noProof/>
      </w:rPr>
      <w:t>January 2022</w:t>
    </w:r>
    <w:r w:rsidRPr="0094373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5156D"/>
    <w:multiLevelType w:val="hybridMultilevel"/>
    <w:tmpl w:val="933E5560"/>
    <w:lvl w:ilvl="0" w:tplc="0130F918">
      <w:start w:val="1"/>
      <w:numFmt w:val="lowerLetter"/>
      <w:lvlText w:val="%1)"/>
      <w:lvlJc w:val="left"/>
      <w:pPr>
        <w:ind w:left="785"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81D7EA4"/>
    <w:multiLevelType w:val="multilevel"/>
    <w:tmpl w:val="E33E858A"/>
    <w:numStyleLink w:val="BulletsList"/>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5B022D3D"/>
    <w:multiLevelType w:val="hybridMultilevel"/>
    <w:tmpl w:val="FF1EAD6E"/>
    <w:lvl w:ilvl="0" w:tplc="84287104">
      <w:start w:val="3"/>
      <w:numFmt w:val="bullet"/>
      <w:lvlText w:val="-"/>
      <w:lvlJc w:val="left"/>
      <w:pPr>
        <w:ind w:left="720" w:hanging="360"/>
      </w:pPr>
      <w:rPr>
        <w:rFonts w:ascii="Calibri" w:eastAsiaTheme="minorHAnsi" w:hAnsi="Calibri" w:cs="Calibri" w:hint="default"/>
        <w:b/>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3C1EA7"/>
    <w:multiLevelType w:val="multilevel"/>
    <w:tmpl w:val="E33E858A"/>
    <w:numStyleLink w:val="BulletsList"/>
  </w:abstractNum>
  <w:abstractNum w:abstractNumId="1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73107305"/>
    <w:multiLevelType w:val="multilevel"/>
    <w:tmpl w:val="E33E858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6"/>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4"/>
  </w:num>
  <w:num w:numId="23">
    <w:abstractNumId w:val="14"/>
  </w:num>
  <w:num w:numId="24">
    <w:abstractNumId w:val="18"/>
  </w:num>
  <w:num w:numId="25">
    <w:abstractNumId w:val="18"/>
  </w:num>
  <w:num w:numId="26">
    <w:abstractNumId w:val="18"/>
  </w:num>
  <w:num w:numId="27">
    <w:abstractNumId w:val="16"/>
  </w:num>
  <w:num w:numId="28">
    <w:abstractNumId w:val="11"/>
  </w:num>
  <w:num w:numId="29">
    <w:abstractNumId w:val="11"/>
  </w:num>
  <w:num w:numId="30">
    <w:abstractNumId w:val="11"/>
  </w:num>
  <w:num w:numId="31">
    <w:abstractNumId w:val="13"/>
  </w:num>
  <w:num w:numId="32">
    <w:abstractNumId w:val="21"/>
  </w:num>
  <w:num w:numId="33">
    <w:abstractNumId w:val="15"/>
  </w:num>
  <w:num w:numId="34">
    <w:abstractNumId w:val="17"/>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formsDesig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6C"/>
    <w:rsid w:val="00001DA8"/>
    <w:rsid w:val="000020C1"/>
    <w:rsid w:val="0002080A"/>
    <w:rsid w:val="0002782F"/>
    <w:rsid w:val="00035BBF"/>
    <w:rsid w:val="00050806"/>
    <w:rsid w:val="000546D9"/>
    <w:rsid w:val="00054E4D"/>
    <w:rsid w:val="00060073"/>
    <w:rsid w:val="000616C6"/>
    <w:rsid w:val="000854FD"/>
    <w:rsid w:val="000B37F5"/>
    <w:rsid w:val="000D66D6"/>
    <w:rsid w:val="00113288"/>
    <w:rsid w:val="001214BE"/>
    <w:rsid w:val="0013101C"/>
    <w:rsid w:val="001461D6"/>
    <w:rsid w:val="001541EA"/>
    <w:rsid w:val="0017462C"/>
    <w:rsid w:val="0019456F"/>
    <w:rsid w:val="001D090B"/>
    <w:rsid w:val="001D3248"/>
    <w:rsid w:val="001D663E"/>
    <w:rsid w:val="001E1DC0"/>
    <w:rsid w:val="0024171F"/>
    <w:rsid w:val="0028602A"/>
    <w:rsid w:val="002A2EF4"/>
    <w:rsid w:val="002B5E10"/>
    <w:rsid w:val="002C793D"/>
    <w:rsid w:val="002D5B25"/>
    <w:rsid w:val="002F4F2B"/>
    <w:rsid w:val="003002C0"/>
    <w:rsid w:val="00301144"/>
    <w:rsid w:val="003031C6"/>
    <w:rsid w:val="00304984"/>
    <w:rsid w:val="00312BF8"/>
    <w:rsid w:val="003148B7"/>
    <w:rsid w:val="003158C3"/>
    <w:rsid w:val="003274CD"/>
    <w:rsid w:val="00333501"/>
    <w:rsid w:val="00344AA4"/>
    <w:rsid w:val="003457C4"/>
    <w:rsid w:val="0035119D"/>
    <w:rsid w:val="003623FC"/>
    <w:rsid w:val="00375E80"/>
    <w:rsid w:val="0039344A"/>
    <w:rsid w:val="003B4F12"/>
    <w:rsid w:val="003D4DE7"/>
    <w:rsid w:val="003F2041"/>
    <w:rsid w:val="00402ACC"/>
    <w:rsid w:val="004120EC"/>
    <w:rsid w:val="00412FC4"/>
    <w:rsid w:val="00423F31"/>
    <w:rsid w:val="00431899"/>
    <w:rsid w:val="00431986"/>
    <w:rsid w:val="00463D03"/>
    <w:rsid w:val="00482AE8"/>
    <w:rsid w:val="00486804"/>
    <w:rsid w:val="004B3775"/>
    <w:rsid w:val="004B6964"/>
    <w:rsid w:val="004C7403"/>
    <w:rsid w:val="004D0BA0"/>
    <w:rsid w:val="004E058F"/>
    <w:rsid w:val="004E3B87"/>
    <w:rsid w:val="00506C1C"/>
    <w:rsid w:val="00510921"/>
    <w:rsid w:val="00510AD3"/>
    <w:rsid w:val="00513348"/>
    <w:rsid w:val="00513AD8"/>
    <w:rsid w:val="00513D04"/>
    <w:rsid w:val="005204D2"/>
    <w:rsid w:val="00522396"/>
    <w:rsid w:val="00533B5D"/>
    <w:rsid w:val="00573BDC"/>
    <w:rsid w:val="005A1779"/>
    <w:rsid w:val="005A20F6"/>
    <w:rsid w:val="005C4FF7"/>
    <w:rsid w:val="005D3655"/>
    <w:rsid w:val="005E4830"/>
    <w:rsid w:val="0061483A"/>
    <w:rsid w:val="00622B86"/>
    <w:rsid w:val="00623BA1"/>
    <w:rsid w:val="006346BC"/>
    <w:rsid w:val="00637520"/>
    <w:rsid w:val="0066652A"/>
    <w:rsid w:val="006719C3"/>
    <w:rsid w:val="00680522"/>
    <w:rsid w:val="00682167"/>
    <w:rsid w:val="006C42AF"/>
    <w:rsid w:val="006E318F"/>
    <w:rsid w:val="00711D8E"/>
    <w:rsid w:val="00712672"/>
    <w:rsid w:val="00734E3F"/>
    <w:rsid w:val="00736985"/>
    <w:rsid w:val="00745DF5"/>
    <w:rsid w:val="0076250F"/>
    <w:rsid w:val="00780FA5"/>
    <w:rsid w:val="00781673"/>
    <w:rsid w:val="00795D76"/>
    <w:rsid w:val="007B6200"/>
    <w:rsid w:val="007D283B"/>
    <w:rsid w:val="007F3395"/>
    <w:rsid w:val="007F65EB"/>
    <w:rsid w:val="00800880"/>
    <w:rsid w:val="00801B9F"/>
    <w:rsid w:val="0080204D"/>
    <w:rsid w:val="00833F6E"/>
    <w:rsid w:val="0084140F"/>
    <w:rsid w:val="00842565"/>
    <w:rsid w:val="008475F0"/>
    <w:rsid w:val="008557A7"/>
    <w:rsid w:val="00860259"/>
    <w:rsid w:val="00870928"/>
    <w:rsid w:val="0089405C"/>
    <w:rsid w:val="00897FA2"/>
    <w:rsid w:val="008A5AFE"/>
    <w:rsid w:val="008C5A0E"/>
    <w:rsid w:val="008E5982"/>
    <w:rsid w:val="0093693A"/>
    <w:rsid w:val="00943730"/>
    <w:rsid w:val="00975CA5"/>
    <w:rsid w:val="00986590"/>
    <w:rsid w:val="00992C76"/>
    <w:rsid w:val="009969D6"/>
    <w:rsid w:val="009B0206"/>
    <w:rsid w:val="009B4D3B"/>
    <w:rsid w:val="009D7407"/>
    <w:rsid w:val="009E0866"/>
    <w:rsid w:val="009E273C"/>
    <w:rsid w:val="009F1350"/>
    <w:rsid w:val="009F6423"/>
    <w:rsid w:val="00A24A62"/>
    <w:rsid w:val="00A31C9F"/>
    <w:rsid w:val="00A4144F"/>
    <w:rsid w:val="00A5013C"/>
    <w:rsid w:val="00A61B4D"/>
    <w:rsid w:val="00A80F95"/>
    <w:rsid w:val="00A97BF1"/>
    <w:rsid w:val="00AA298A"/>
    <w:rsid w:val="00AA4C78"/>
    <w:rsid w:val="00AB5B1A"/>
    <w:rsid w:val="00AC164A"/>
    <w:rsid w:val="00AE448A"/>
    <w:rsid w:val="00AF2050"/>
    <w:rsid w:val="00AF5321"/>
    <w:rsid w:val="00B03CA8"/>
    <w:rsid w:val="00B050C0"/>
    <w:rsid w:val="00B33C0A"/>
    <w:rsid w:val="00B55E19"/>
    <w:rsid w:val="00B77D28"/>
    <w:rsid w:val="00B857E1"/>
    <w:rsid w:val="00B92E28"/>
    <w:rsid w:val="00B94758"/>
    <w:rsid w:val="00BA4B6D"/>
    <w:rsid w:val="00BB26C5"/>
    <w:rsid w:val="00BF4DE6"/>
    <w:rsid w:val="00C06B13"/>
    <w:rsid w:val="00C27D25"/>
    <w:rsid w:val="00C33DC0"/>
    <w:rsid w:val="00C42541"/>
    <w:rsid w:val="00C42CDE"/>
    <w:rsid w:val="00C5182A"/>
    <w:rsid w:val="00C63EE9"/>
    <w:rsid w:val="00C86225"/>
    <w:rsid w:val="00CA16F3"/>
    <w:rsid w:val="00CA37B1"/>
    <w:rsid w:val="00CB1959"/>
    <w:rsid w:val="00CC741B"/>
    <w:rsid w:val="00CD0E4B"/>
    <w:rsid w:val="00CE4C89"/>
    <w:rsid w:val="00CF07BA"/>
    <w:rsid w:val="00D0296C"/>
    <w:rsid w:val="00D32D6F"/>
    <w:rsid w:val="00D37B04"/>
    <w:rsid w:val="00D540C6"/>
    <w:rsid w:val="00D64BD1"/>
    <w:rsid w:val="00D82C27"/>
    <w:rsid w:val="00D92254"/>
    <w:rsid w:val="00DA422A"/>
    <w:rsid w:val="00DE084C"/>
    <w:rsid w:val="00E14F51"/>
    <w:rsid w:val="00E357B7"/>
    <w:rsid w:val="00E53800"/>
    <w:rsid w:val="00E6081F"/>
    <w:rsid w:val="00E60DD3"/>
    <w:rsid w:val="00E8296D"/>
    <w:rsid w:val="00E8457B"/>
    <w:rsid w:val="00EA04B2"/>
    <w:rsid w:val="00EA20F3"/>
    <w:rsid w:val="00ED1988"/>
    <w:rsid w:val="00ED2831"/>
    <w:rsid w:val="00ED43D1"/>
    <w:rsid w:val="00EE4EE1"/>
    <w:rsid w:val="00EF4574"/>
    <w:rsid w:val="00F10A50"/>
    <w:rsid w:val="00F25A93"/>
    <w:rsid w:val="00F2684E"/>
    <w:rsid w:val="00F35099"/>
    <w:rsid w:val="00F37AE3"/>
    <w:rsid w:val="00F5404C"/>
    <w:rsid w:val="00F729EF"/>
    <w:rsid w:val="00F77CAE"/>
    <w:rsid w:val="00F81798"/>
    <w:rsid w:val="00F82271"/>
    <w:rsid w:val="00F83428"/>
    <w:rsid w:val="00F96BB9"/>
    <w:rsid w:val="00FB2622"/>
    <w:rsid w:val="00FB2FDE"/>
    <w:rsid w:val="00FD70E2"/>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2BD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12FC4"/>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D70E2"/>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833F6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FD70E2"/>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0E2"/>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833F6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FD70E2"/>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FD70E2"/>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A5013C"/>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FD70E2"/>
    <w:pPr>
      <w:spacing w:before="400" w:after="400" w:line="280" w:lineRule="exact"/>
    </w:pPr>
    <w:rPr>
      <w:b/>
      <w:color w:val="65C5B4" w:themeColor="accent1"/>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5013C"/>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FD70E2"/>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table" w:styleId="GridTable1Light-Accent1">
    <w:name w:val="Grid Table 1 Light Accent 1"/>
    <w:basedOn w:val="TableNormal"/>
    <w:uiPriority w:val="46"/>
    <w:locked/>
    <w:rsid w:val="00781673"/>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locked/>
    <w:rsid w:val="0078167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locked/>
    <w:rsid w:val="00781673"/>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68650">
      <w:bodyDiv w:val="1"/>
      <w:marLeft w:val="0"/>
      <w:marRight w:val="0"/>
      <w:marTop w:val="0"/>
      <w:marBottom w:val="0"/>
      <w:divBdr>
        <w:top w:val="none" w:sz="0" w:space="0" w:color="auto"/>
        <w:left w:val="none" w:sz="0" w:space="0" w:color="auto"/>
        <w:bottom w:val="none" w:sz="0" w:space="0" w:color="auto"/>
        <w:right w:val="none" w:sz="0" w:space="0" w:color="auto"/>
      </w:divBdr>
    </w:div>
    <w:div w:id="729889710">
      <w:bodyDiv w:val="1"/>
      <w:marLeft w:val="0"/>
      <w:marRight w:val="0"/>
      <w:marTop w:val="0"/>
      <w:marBottom w:val="0"/>
      <w:divBdr>
        <w:top w:val="none" w:sz="0" w:space="0" w:color="auto"/>
        <w:left w:val="none" w:sz="0" w:space="0" w:color="auto"/>
        <w:bottom w:val="none" w:sz="0" w:space="0" w:color="auto"/>
        <w:right w:val="none" w:sz="0" w:space="0" w:color="auto"/>
      </w:divBdr>
    </w:div>
    <w:div w:id="1035040252">
      <w:bodyDiv w:val="1"/>
      <w:marLeft w:val="0"/>
      <w:marRight w:val="0"/>
      <w:marTop w:val="0"/>
      <w:marBottom w:val="0"/>
      <w:divBdr>
        <w:top w:val="none" w:sz="0" w:space="0" w:color="auto"/>
        <w:left w:val="none" w:sz="0" w:space="0" w:color="auto"/>
        <w:bottom w:val="none" w:sz="0" w:space="0" w:color="auto"/>
        <w:right w:val="none" w:sz="0" w:space="0" w:color="auto"/>
      </w:divBdr>
    </w:div>
    <w:div w:id="139273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17BFD-7C78-4264-A0B9-A2CF9883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1318</Words>
  <Characters>7366</Characters>
  <Application>Microsoft Office Word</Application>
  <DocSecurity>0</DocSecurity>
  <Lines>166</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 Malaysia and Thailand reform partnerships mid-term evaluation</dc:title>
  <dc:creator/>
  <cp:keywords/>
  <cp:lastModifiedBy/>
  <cp:revision>1</cp:revision>
  <dcterms:created xsi:type="dcterms:W3CDTF">2022-01-27T04:22:00Z</dcterms:created>
  <dcterms:modified xsi:type="dcterms:W3CDTF">2022-01-27T04:22:00Z</dcterms:modified>
  <cp:category/>
</cp:coreProperties>
</file>