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266D" w14:textId="4C24F35E" w:rsidR="00ED5255" w:rsidRPr="00837FE7" w:rsidRDefault="00992298" w:rsidP="00837FE7">
      <w:pPr>
        <w:pStyle w:val="Heading1"/>
        <w:spacing w:before="0" w:after="300"/>
        <w:rPr>
          <w:color w:val="auto"/>
          <w:sz w:val="40"/>
          <w:szCs w:val="40"/>
        </w:rPr>
      </w:pPr>
      <w:bookmarkStart w:id="0" w:name="_Toc475348267"/>
      <w:bookmarkStart w:id="1" w:name="_Toc373853205"/>
      <w:r w:rsidRPr="5D2BC83C">
        <w:rPr>
          <w:color w:val="auto"/>
          <w:sz w:val="40"/>
          <w:szCs w:val="40"/>
        </w:rPr>
        <w:t>health portfolio plan</w:t>
      </w:r>
      <w:r w:rsidR="00BB3501" w:rsidRPr="5D2BC83C">
        <w:rPr>
          <w:color w:val="auto"/>
          <w:sz w:val="40"/>
          <w:szCs w:val="40"/>
        </w:rPr>
        <w:t xml:space="preserve"> 2018-2023:</w:t>
      </w:r>
      <w:r w:rsidRPr="5D2BC83C">
        <w:rPr>
          <w:color w:val="auto"/>
          <w:sz w:val="40"/>
          <w:szCs w:val="40"/>
        </w:rPr>
        <w:t xml:space="preserve"> </w:t>
      </w:r>
      <w:bookmarkStart w:id="2" w:name="_Int_LTaYFlz9"/>
      <w:r w:rsidR="002122E0" w:rsidRPr="5D2BC83C">
        <w:rPr>
          <w:color w:val="auto"/>
          <w:sz w:val="40"/>
          <w:szCs w:val="40"/>
        </w:rPr>
        <w:t>DFAT</w:t>
      </w:r>
      <w:bookmarkEnd w:id="2"/>
      <w:r w:rsidR="0095490B" w:rsidRPr="5D2BC83C">
        <w:rPr>
          <w:color w:val="auto"/>
          <w:sz w:val="40"/>
          <w:szCs w:val="40"/>
        </w:rPr>
        <w:t xml:space="preserve"> </w:t>
      </w:r>
      <w:r w:rsidR="00E928D7" w:rsidRPr="5D2BC83C">
        <w:rPr>
          <w:color w:val="auto"/>
          <w:sz w:val="40"/>
          <w:szCs w:val="40"/>
        </w:rPr>
        <w:t xml:space="preserve">Management Response </w:t>
      </w:r>
      <w:bookmarkEnd w:id="0"/>
      <w:r w:rsidR="00BB3501" w:rsidRPr="5D2BC83C">
        <w:rPr>
          <w:color w:val="auto"/>
          <w:sz w:val="40"/>
          <w:szCs w:val="40"/>
        </w:rPr>
        <w:t>to the recommendations of the mid-term review</w:t>
      </w:r>
      <w:r w:rsidR="000F2940" w:rsidRPr="5D2BC83C">
        <w:rPr>
          <w:color w:val="auto"/>
          <w:sz w:val="40"/>
          <w:szCs w:val="40"/>
        </w:rPr>
        <w:t xml:space="preserve"> (2022)</w:t>
      </w:r>
    </w:p>
    <w:p w14:paraId="609A3C02" w14:textId="12B1F640" w:rsidR="00C10415" w:rsidRPr="00837FE7" w:rsidRDefault="0031432C" w:rsidP="00A02111">
      <w:pPr>
        <w:pStyle w:val="Heading3"/>
      </w:pPr>
      <w:r w:rsidRPr="00837FE7">
        <w:t>Summary of management r</w:t>
      </w:r>
      <w:r w:rsidR="00C10415" w:rsidRPr="00837FE7">
        <w:t xml:space="preserve">esponse </w:t>
      </w:r>
    </w:p>
    <w:p w14:paraId="3D6CDA80" w14:textId="45B28B0E" w:rsidR="00835C17" w:rsidRDefault="000367B6" w:rsidP="215412BB">
      <w:pPr>
        <w:pStyle w:val="BodyText"/>
        <w:suppressAutoHyphens w:val="0"/>
        <w:spacing w:before="0" w:after="120" w:line="440" w:lineRule="atLeast"/>
        <w:rPr>
          <w:color w:val="auto"/>
        </w:rPr>
      </w:pPr>
      <w:r w:rsidRPr="5D2BC83C">
        <w:rPr>
          <w:color w:val="auto"/>
        </w:rPr>
        <w:t xml:space="preserve">DFAT agrees with the central recommendation of the review to </w:t>
      </w:r>
      <w:bookmarkStart w:id="3" w:name="_Int_SRhTK2mo"/>
      <w:r w:rsidRPr="5D2BC83C">
        <w:rPr>
          <w:color w:val="auto"/>
        </w:rPr>
        <w:t>largely maintain</w:t>
      </w:r>
      <w:bookmarkEnd w:id="3"/>
      <w:r w:rsidRPr="5D2BC83C">
        <w:rPr>
          <w:color w:val="auto"/>
        </w:rPr>
        <w:t xml:space="preserve"> the present priorities and direction of the Health Portfolio Plan (HPP)</w:t>
      </w:r>
      <w:r w:rsidR="008E629D" w:rsidRPr="5D2BC83C">
        <w:rPr>
          <w:color w:val="auto"/>
        </w:rPr>
        <w:t xml:space="preserve"> and </w:t>
      </w:r>
      <w:r w:rsidR="630B94D7" w:rsidRPr="5D2BC83C">
        <w:rPr>
          <w:color w:val="auto"/>
        </w:rPr>
        <w:t>agree</w:t>
      </w:r>
      <w:r w:rsidR="00B453FE" w:rsidRPr="5D2BC83C">
        <w:rPr>
          <w:color w:val="auto"/>
        </w:rPr>
        <w:t>s</w:t>
      </w:r>
      <w:r w:rsidR="630B94D7" w:rsidRPr="5D2BC83C">
        <w:rPr>
          <w:color w:val="auto"/>
        </w:rPr>
        <w:t xml:space="preserve"> in full or in part with all </w:t>
      </w:r>
      <w:r w:rsidR="00B453FE" w:rsidRPr="5D2BC83C">
        <w:rPr>
          <w:color w:val="auto"/>
        </w:rPr>
        <w:t xml:space="preserve">the individual </w:t>
      </w:r>
      <w:r w:rsidR="630B94D7" w:rsidRPr="5D2BC83C">
        <w:rPr>
          <w:color w:val="auto"/>
        </w:rPr>
        <w:t xml:space="preserve">recommendations of the review. </w:t>
      </w:r>
      <w:r w:rsidR="6D58843F" w:rsidRPr="5D2BC83C">
        <w:rPr>
          <w:color w:val="auto"/>
        </w:rPr>
        <w:t>Where we parti</w:t>
      </w:r>
      <w:r w:rsidR="194DD867" w:rsidRPr="5D2BC83C">
        <w:rPr>
          <w:color w:val="auto"/>
        </w:rPr>
        <w:t xml:space="preserve">ally agree with a recommendation, this is due to some </w:t>
      </w:r>
      <w:r w:rsidR="6AA24EA2" w:rsidRPr="5D2BC83C">
        <w:rPr>
          <w:color w:val="auto"/>
        </w:rPr>
        <w:t xml:space="preserve">parts </w:t>
      </w:r>
      <w:r w:rsidR="194DD867" w:rsidRPr="5D2BC83C">
        <w:rPr>
          <w:color w:val="auto"/>
        </w:rPr>
        <w:t xml:space="preserve">of the recommendation </w:t>
      </w:r>
      <w:r w:rsidR="57F2BD98" w:rsidRPr="5D2BC83C">
        <w:rPr>
          <w:color w:val="auto"/>
        </w:rPr>
        <w:t xml:space="preserve">being impractical to implement, </w:t>
      </w:r>
      <w:r w:rsidR="03DD53DE" w:rsidRPr="5D2BC83C">
        <w:rPr>
          <w:color w:val="auto"/>
        </w:rPr>
        <w:t xml:space="preserve">or the assumptions underpinning the recommendation differing from DFAT’s view. </w:t>
      </w:r>
      <w:r w:rsidR="75EA1562" w:rsidRPr="5D2BC83C">
        <w:rPr>
          <w:color w:val="auto"/>
        </w:rPr>
        <w:t xml:space="preserve">Most of the recommendations are already being implemented or are being designed into the next Health Portfolio Plan, which we anticipate </w:t>
      </w:r>
      <w:r w:rsidR="348EFA94" w:rsidRPr="5D2BC83C">
        <w:rPr>
          <w:color w:val="auto"/>
        </w:rPr>
        <w:t>being</w:t>
      </w:r>
      <w:r w:rsidR="75EA1562" w:rsidRPr="5D2BC83C">
        <w:rPr>
          <w:color w:val="auto"/>
        </w:rPr>
        <w:t xml:space="preserve"> approved and in place in 2024. </w:t>
      </w:r>
    </w:p>
    <w:p w14:paraId="25ECA52F" w14:textId="1D75727E" w:rsidR="00D87BDB" w:rsidRDefault="00DE7511" w:rsidP="002D48DE">
      <w:pPr>
        <w:pStyle w:val="Heading3"/>
      </w:pPr>
      <w:r>
        <w:t xml:space="preserve">DFAT </w:t>
      </w:r>
      <w:r w:rsidR="002D48DE">
        <w:t xml:space="preserve">management response to the </w:t>
      </w:r>
      <w:r>
        <w:t xml:space="preserve">individual </w:t>
      </w:r>
      <w:r w:rsidR="002D48DE">
        <w:t>recommendations</w:t>
      </w:r>
      <w:r w:rsidR="00163C99">
        <w:rPr>
          <w:rStyle w:val="FootnoteReference"/>
        </w:rPr>
        <w:footnoteReference w:id="2"/>
      </w:r>
    </w:p>
    <w:p w14:paraId="3027DD0B" w14:textId="77777777" w:rsidR="00ED4F53" w:rsidRDefault="00ED4F53" w:rsidP="00ED4F53">
      <w:pPr>
        <w:rPr>
          <w:b/>
          <w:bCs/>
          <w:color w:val="auto"/>
        </w:rPr>
      </w:pPr>
      <w:r w:rsidRPr="5D2BC83C">
        <w:rPr>
          <w:b/>
          <w:bCs/>
          <w:color w:val="auto"/>
        </w:rPr>
        <w:t xml:space="preserve">Short-Term: Remainder of the HPP </w:t>
      </w:r>
    </w:p>
    <w:p w14:paraId="4174AEC7" w14:textId="0457AF97" w:rsidR="00C84053" w:rsidRPr="00D0663A" w:rsidRDefault="00ED4F53" w:rsidP="5D2BC83C">
      <w:pPr>
        <w:rPr>
          <w:rFonts w:cs="Calibri"/>
          <w:i/>
          <w:iCs/>
          <w:color w:val="auto"/>
          <w:lang w:val="en-AU"/>
        </w:rPr>
      </w:pPr>
      <w:r w:rsidRPr="5D2BC83C">
        <w:rPr>
          <w:rFonts w:cs="Calibri"/>
          <w:i/>
          <w:iCs/>
          <w:color w:val="auto"/>
          <w:lang w:val="en-AU"/>
        </w:rPr>
        <w:t xml:space="preserve">The shorter-term recommendations are </w:t>
      </w:r>
      <w:bookmarkStart w:id="4" w:name="_Int_g8PVOggL"/>
      <w:r w:rsidRPr="5D2BC83C">
        <w:rPr>
          <w:rFonts w:cs="Calibri"/>
          <w:i/>
          <w:iCs/>
          <w:color w:val="auto"/>
          <w:lang w:val="en-AU"/>
        </w:rPr>
        <w:t>largely concerned</w:t>
      </w:r>
      <w:bookmarkEnd w:id="4"/>
      <w:r w:rsidRPr="5D2BC83C">
        <w:rPr>
          <w:rFonts w:cs="Calibri"/>
          <w:i/>
          <w:iCs/>
          <w:color w:val="auto"/>
          <w:lang w:val="en-AU"/>
        </w:rPr>
        <w:t xml:space="preserve"> with positioning the Australian High Commission (AHC) Health Team and the Health Portfolio for a future Health Portfolio Plan, establishing a solid foundation for more efficient and effective program management.</w:t>
      </w:r>
    </w:p>
    <w:tbl>
      <w:tblPr>
        <w:tblStyle w:val="DFATTable1"/>
        <w:tblW w:w="1464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402"/>
        <w:gridCol w:w="1276"/>
        <w:gridCol w:w="4820"/>
        <w:gridCol w:w="3685"/>
        <w:gridCol w:w="1459"/>
      </w:tblGrid>
      <w:tr w:rsidR="00C10415" w14:paraId="464F0A9D" w14:textId="77777777" w:rsidTr="246E3E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402" w:type="dxa"/>
            <w:hideMark/>
          </w:tcPr>
          <w:p w14:paraId="378DEF72" w14:textId="0BE69FEC" w:rsidR="00C10415" w:rsidRPr="008A0512" w:rsidRDefault="00C10415" w:rsidP="215412BB">
            <w:pPr>
              <w:pStyle w:val="TableHeaderRow"/>
              <w:rPr>
                <w:color w:val="auto"/>
              </w:rPr>
            </w:pPr>
            <w:r w:rsidRPr="215412BB">
              <w:rPr>
                <w:color w:val="auto"/>
              </w:rPr>
              <w:t>Recommendation</w:t>
            </w:r>
          </w:p>
        </w:tc>
        <w:tc>
          <w:tcPr>
            <w:tcW w:w="1276" w:type="dxa"/>
            <w:hideMark/>
          </w:tcPr>
          <w:p w14:paraId="5B27B37E" w14:textId="2177BD5B" w:rsidR="00C10415" w:rsidRPr="008A0512" w:rsidRDefault="00C10415" w:rsidP="215412B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215412BB">
              <w:rPr>
                <w:color w:val="auto"/>
              </w:rPr>
              <w:t xml:space="preserve">Response </w:t>
            </w:r>
          </w:p>
        </w:tc>
        <w:tc>
          <w:tcPr>
            <w:tcW w:w="4820" w:type="dxa"/>
            <w:hideMark/>
          </w:tcPr>
          <w:p w14:paraId="1D1DC2C4" w14:textId="7BEE59A0" w:rsidR="00C10415" w:rsidRPr="008A0512" w:rsidRDefault="4B4C2241" w:rsidP="215412B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5D2BC83C">
              <w:rPr>
                <w:color w:val="auto"/>
              </w:rPr>
              <w:t>Comment</w:t>
            </w:r>
          </w:p>
        </w:tc>
        <w:tc>
          <w:tcPr>
            <w:tcW w:w="3685" w:type="dxa"/>
            <w:hideMark/>
          </w:tcPr>
          <w:p w14:paraId="19C59273" w14:textId="6839B3C1" w:rsidR="00C10415" w:rsidRPr="008A0512" w:rsidRDefault="5F806070" w:rsidP="215412B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5D2BC83C">
              <w:rPr>
                <w:color w:val="auto"/>
              </w:rPr>
              <w:t>Next Steps</w:t>
            </w:r>
            <w:r w:rsidR="00C10415" w:rsidRPr="5D2BC83C">
              <w:rPr>
                <w:color w:val="auto"/>
              </w:rPr>
              <w:t xml:space="preserve"> </w:t>
            </w:r>
          </w:p>
        </w:tc>
        <w:tc>
          <w:tcPr>
            <w:tcW w:w="1459" w:type="dxa"/>
            <w:hideMark/>
          </w:tcPr>
          <w:p w14:paraId="71CC5112" w14:textId="0DF9E153" w:rsidR="00C10415" w:rsidRPr="00835C17" w:rsidRDefault="00C10415" w:rsidP="215412BB">
            <w:pPr>
              <w:pStyle w:val="TableHeaderRow"/>
              <w:cnfStyle w:val="100000000000" w:firstRow="1" w:lastRow="0" w:firstColumn="0" w:lastColumn="0" w:oddVBand="0" w:evenVBand="0" w:oddHBand="0" w:evenHBand="0" w:firstRowFirstColumn="0" w:firstRowLastColumn="0" w:lastRowFirstColumn="0" w:lastRowLastColumn="0"/>
              <w:rPr>
                <w:color w:val="auto"/>
              </w:rPr>
            </w:pPr>
            <w:bookmarkStart w:id="5" w:name="_Int_V4VY4onB"/>
            <w:r w:rsidRPr="215412BB">
              <w:rPr>
                <w:color w:val="auto"/>
              </w:rPr>
              <w:t>Timeframe</w:t>
            </w:r>
            <w:bookmarkEnd w:id="5"/>
          </w:p>
        </w:tc>
      </w:tr>
      <w:tr w:rsidR="005A184C" w14:paraId="685E94ED" w14:textId="77777777" w:rsidTr="246E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156F23D" w14:textId="6FACECC9" w:rsidR="00C10415" w:rsidRPr="008A0512" w:rsidRDefault="00C10415" w:rsidP="215412BB">
            <w:pPr>
              <w:rPr>
                <w:color w:val="auto"/>
              </w:rPr>
            </w:pPr>
            <w:bookmarkStart w:id="6" w:name="_Hlk142924257"/>
            <w:r w:rsidRPr="215412BB">
              <w:rPr>
                <w:color w:val="auto"/>
              </w:rPr>
              <w:t>Recommendation 1</w:t>
            </w:r>
          </w:p>
          <w:p w14:paraId="64555B05" w14:textId="68A08D6D" w:rsidR="00C10415" w:rsidRPr="008A0512" w:rsidRDefault="33372EB9" w:rsidP="215412BB">
            <w:pPr>
              <w:rPr>
                <w:rFonts w:eastAsia="Times New Roman" w:cs="Calibri"/>
                <w:color w:val="auto"/>
                <w:lang w:val="en-AU" w:eastAsia="en-AU"/>
              </w:rPr>
            </w:pPr>
            <w:r w:rsidRPr="5D2BC83C">
              <w:rPr>
                <w:b/>
                <w:bCs/>
                <w:i/>
                <w:iCs/>
                <w:color w:val="auto"/>
              </w:rPr>
              <w:t>Alignment in portfolio logic:</w:t>
            </w:r>
            <w:r w:rsidRPr="5D2BC83C">
              <w:rPr>
                <w:i/>
                <w:iCs/>
                <w:color w:val="auto"/>
              </w:rPr>
              <w:t xml:space="preserve"> A key principle for investment design and redesign should be clear alignment between the </w:t>
            </w:r>
            <w:r w:rsidR="42917844" w:rsidRPr="5D2BC83C">
              <w:rPr>
                <w:i/>
                <w:iCs/>
                <w:color w:val="auto"/>
              </w:rPr>
              <w:t>p</w:t>
            </w:r>
            <w:r w:rsidRPr="5D2BC83C">
              <w:rPr>
                <w:i/>
                <w:iCs/>
                <w:color w:val="auto"/>
              </w:rPr>
              <w:t xml:space="preserve">rogram logic of investments and the overall logic of the </w:t>
            </w:r>
            <w:r w:rsidR="2414E4FC" w:rsidRPr="5D2BC83C">
              <w:rPr>
                <w:i/>
                <w:iCs/>
                <w:color w:val="auto"/>
              </w:rPr>
              <w:t>p</w:t>
            </w:r>
            <w:r w:rsidRPr="5D2BC83C">
              <w:rPr>
                <w:i/>
                <w:iCs/>
                <w:color w:val="auto"/>
              </w:rPr>
              <w:t>ortfolio.</w:t>
            </w:r>
            <w:r w:rsidRPr="5D2BC83C">
              <w:rPr>
                <w:rFonts w:eastAsia="Times New Roman" w:cs="Calibri"/>
                <w:color w:val="auto"/>
                <w:lang w:val="en-AU" w:eastAsia="en-AU"/>
              </w:rPr>
              <w:t> </w:t>
            </w:r>
          </w:p>
        </w:tc>
        <w:tc>
          <w:tcPr>
            <w:tcW w:w="1276" w:type="dxa"/>
            <w:shd w:val="clear" w:color="auto" w:fill="92D050"/>
            <w:hideMark/>
          </w:tcPr>
          <w:p w14:paraId="3991BCF6" w14:textId="77777777" w:rsidR="00C10415" w:rsidRPr="008A0512" w:rsidRDefault="00C10415" w:rsidP="001A5534">
            <w:pPr>
              <w:cnfStyle w:val="000000100000" w:firstRow="0" w:lastRow="0" w:firstColumn="0" w:lastColumn="0" w:oddVBand="0" w:evenVBand="0" w:oddHBand="1" w:evenHBand="0" w:firstRowFirstColumn="0" w:firstRowLastColumn="0" w:lastRowFirstColumn="0" w:lastRowLastColumn="0"/>
            </w:pPr>
            <w:r w:rsidRPr="215412BB">
              <w:rPr>
                <w:color w:val="auto"/>
              </w:rPr>
              <w:t>Agree</w:t>
            </w:r>
            <w:r>
              <w:t xml:space="preserve"> </w:t>
            </w:r>
          </w:p>
        </w:tc>
        <w:tc>
          <w:tcPr>
            <w:tcW w:w="4820" w:type="dxa"/>
          </w:tcPr>
          <w:p w14:paraId="270B03A8" w14:textId="398B494F" w:rsidR="00C10415" w:rsidRPr="008A0512" w:rsidRDefault="1F56CE1A" w:rsidP="215412B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 xml:space="preserve">All </w:t>
            </w:r>
            <w:r w:rsidR="5B0C1334" w:rsidRPr="5D2BC83C">
              <w:rPr>
                <w:color w:val="auto"/>
              </w:rPr>
              <w:t>activitie</w:t>
            </w:r>
            <w:r w:rsidRPr="5D2BC83C">
              <w:rPr>
                <w:color w:val="auto"/>
              </w:rPr>
              <w:t xml:space="preserve">s under the </w:t>
            </w:r>
            <w:r w:rsidR="4D3BB0E2" w:rsidRPr="5D2BC83C">
              <w:rPr>
                <w:color w:val="auto"/>
              </w:rPr>
              <w:t>HPP have</w:t>
            </w:r>
            <w:r w:rsidRPr="5D2BC83C">
              <w:rPr>
                <w:color w:val="auto"/>
              </w:rPr>
              <w:t xml:space="preserve"> different start and end dates. </w:t>
            </w:r>
            <w:r w:rsidR="3B940B9B" w:rsidRPr="5D2BC83C">
              <w:rPr>
                <w:color w:val="auto"/>
              </w:rPr>
              <w:t>Those under implementation prior to HPP establishment may be less aligned than those developed afterwards.</w:t>
            </w:r>
          </w:p>
        </w:tc>
        <w:tc>
          <w:tcPr>
            <w:tcW w:w="3685" w:type="dxa"/>
          </w:tcPr>
          <w:p w14:paraId="6C981926" w14:textId="071787EC" w:rsidR="00C10415" w:rsidRPr="008A0512" w:rsidRDefault="65BC1499" w:rsidP="215412B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DFAT is currently finalising its next HPP</w:t>
            </w:r>
            <w:r w:rsidR="1CFE1C7C" w:rsidRPr="5D2BC83C">
              <w:rPr>
                <w:color w:val="auto"/>
              </w:rPr>
              <w:t>, which we anticipate will be in place in 2024</w:t>
            </w:r>
            <w:r w:rsidR="1A356BEC" w:rsidRPr="5D2BC83C">
              <w:rPr>
                <w:color w:val="auto"/>
              </w:rPr>
              <w:t xml:space="preserve">. </w:t>
            </w:r>
            <w:r w:rsidR="1CFE1C7C" w:rsidRPr="5D2BC83C">
              <w:rPr>
                <w:color w:val="auto"/>
              </w:rPr>
              <w:t>Once finalised, we will r</w:t>
            </w:r>
            <w:r w:rsidR="2027A23F" w:rsidRPr="5D2BC83C">
              <w:rPr>
                <w:color w:val="auto"/>
              </w:rPr>
              <w:t xml:space="preserve">eview program logic of </w:t>
            </w:r>
            <w:r w:rsidR="02C36FA6" w:rsidRPr="5D2BC83C">
              <w:rPr>
                <w:color w:val="auto"/>
              </w:rPr>
              <w:t>existing</w:t>
            </w:r>
            <w:r w:rsidR="10B28619" w:rsidRPr="5D2BC83C">
              <w:rPr>
                <w:color w:val="auto"/>
              </w:rPr>
              <w:t>/continuing</w:t>
            </w:r>
            <w:r w:rsidR="02C36FA6" w:rsidRPr="5D2BC83C">
              <w:rPr>
                <w:color w:val="auto"/>
              </w:rPr>
              <w:t xml:space="preserve"> </w:t>
            </w:r>
            <w:r w:rsidR="417F4B6E" w:rsidRPr="5D2BC83C">
              <w:rPr>
                <w:color w:val="auto"/>
              </w:rPr>
              <w:t>major investment</w:t>
            </w:r>
            <w:r w:rsidR="4962CFE9" w:rsidRPr="5D2BC83C">
              <w:rPr>
                <w:color w:val="auto"/>
              </w:rPr>
              <w:t xml:space="preserve">s against </w:t>
            </w:r>
            <w:r w:rsidR="06EF50F1" w:rsidRPr="5D2BC83C">
              <w:rPr>
                <w:color w:val="auto"/>
              </w:rPr>
              <w:t xml:space="preserve">the </w:t>
            </w:r>
            <w:r w:rsidR="4962CFE9" w:rsidRPr="5D2BC83C">
              <w:rPr>
                <w:color w:val="auto"/>
              </w:rPr>
              <w:t xml:space="preserve">new HPP and adjust as feasible to maximise alignment. </w:t>
            </w:r>
            <w:r w:rsidR="7920EE11" w:rsidRPr="5D2BC83C">
              <w:rPr>
                <w:color w:val="auto"/>
              </w:rPr>
              <w:t xml:space="preserve">New </w:t>
            </w:r>
            <w:r w:rsidR="46B66D50" w:rsidRPr="5D2BC83C">
              <w:rPr>
                <w:color w:val="auto"/>
              </w:rPr>
              <w:t xml:space="preserve">investments </w:t>
            </w:r>
            <w:r w:rsidR="7920EE11" w:rsidRPr="5D2BC83C">
              <w:rPr>
                <w:color w:val="auto"/>
              </w:rPr>
              <w:t xml:space="preserve">will be designed in alignment with the </w:t>
            </w:r>
            <w:r w:rsidRPr="5D2BC83C">
              <w:rPr>
                <w:color w:val="auto"/>
              </w:rPr>
              <w:t xml:space="preserve">new </w:t>
            </w:r>
            <w:r w:rsidR="7920EE11" w:rsidRPr="5D2BC83C">
              <w:rPr>
                <w:color w:val="auto"/>
              </w:rPr>
              <w:t xml:space="preserve">HPP. </w:t>
            </w:r>
          </w:p>
        </w:tc>
        <w:tc>
          <w:tcPr>
            <w:tcW w:w="1459" w:type="dxa"/>
          </w:tcPr>
          <w:p w14:paraId="5AF0855F" w14:textId="05D35AC2" w:rsidR="02CD4BF9" w:rsidRDefault="60B1E8E8" w:rsidP="215412B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2024</w:t>
            </w:r>
            <w:r w:rsidR="65BC1499" w:rsidRPr="5D2BC83C">
              <w:rPr>
                <w:color w:val="auto"/>
              </w:rPr>
              <w:t xml:space="preserve"> </w:t>
            </w:r>
            <w:r w:rsidR="56065145" w:rsidRPr="5D2BC83C">
              <w:rPr>
                <w:color w:val="auto"/>
              </w:rPr>
              <w:t>onwards</w:t>
            </w:r>
          </w:p>
          <w:p w14:paraId="2209ADD5" w14:textId="55CEA575" w:rsidR="00C10415" w:rsidRPr="008A0512" w:rsidRDefault="00C10415" w:rsidP="215412BB">
            <w:pPr>
              <w:cnfStyle w:val="000000100000" w:firstRow="0" w:lastRow="0" w:firstColumn="0" w:lastColumn="0" w:oddVBand="0" w:evenVBand="0" w:oddHBand="1" w:evenHBand="0" w:firstRowFirstColumn="0" w:firstRowLastColumn="0" w:lastRowFirstColumn="0" w:lastRowLastColumn="0"/>
              <w:rPr>
                <w:color w:val="auto"/>
              </w:rPr>
            </w:pPr>
          </w:p>
        </w:tc>
      </w:tr>
      <w:tr w:rsidR="00837FE7" w14:paraId="710E1031" w14:textId="77777777" w:rsidTr="246E3E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DD9939A" w14:textId="4A0775C1" w:rsidR="00C45E4A" w:rsidRPr="008A0512" w:rsidRDefault="00C45E4A" w:rsidP="215412BB">
            <w:pPr>
              <w:rPr>
                <w:color w:val="auto"/>
              </w:rPr>
            </w:pPr>
            <w:r w:rsidRPr="215412BB">
              <w:rPr>
                <w:color w:val="auto"/>
              </w:rPr>
              <w:lastRenderedPageBreak/>
              <w:t>Recommendation 2</w:t>
            </w:r>
          </w:p>
          <w:p w14:paraId="0F003BFD" w14:textId="1D1D1B18" w:rsidR="00C45E4A" w:rsidRPr="009478F2" w:rsidRDefault="00C45E4A" w:rsidP="215412BB">
            <w:pPr>
              <w:rPr>
                <w:i/>
                <w:iCs/>
                <w:color w:val="auto"/>
              </w:rPr>
            </w:pPr>
            <w:r w:rsidRPr="215412BB">
              <w:rPr>
                <w:b/>
                <w:bCs/>
                <w:i/>
                <w:iCs/>
                <w:color w:val="auto"/>
              </w:rPr>
              <w:t>Standardisation:</w:t>
            </w:r>
            <w:r w:rsidRPr="215412BB">
              <w:rPr>
                <w:i/>
                <w:iCs/>
                <w:color w:val="auto"/>
              </w:rPr>
              <w:t xml:space="preserve"> To improve portfolio efficiency, enable comparative analysis of investments, and facilitate streamlined portfolio planning, budgeting, and reporting, standardisation of approaches and tools across investments is recommended. </w:t>
            </w:r>
          </w:p>
          <w:p w14:paraId="22A2E12E" w14:textId="1228473E" w:rsidR="00344D28" w:rsidRPr="008A0512" w:rsidRDefault="00344D28" w:rsidP="246E3E95">
            <w:pPr>
              <w:rPr>
                <w:color w:val="auto"/>
              </w:rPr>
            </w:pPr>
          </w:p>
        </w:tc>
        <w:tc>
          <w:tcPr>
            <w:tcW w:w="1276" w:type="dxa"/>
            <w:shd w:val="clear" w:color="auto" w:fill="92D050"/>
          </w:tcPr>
          <w:p w14:paraId="5DA576C1" w14:textId="6DC706BE" w:rsidR="00C45E4A" w:rsidRPr="008A0512" w:rsidRDefault="0016619C"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Agree</w:t>
            </w:r>
          </w:p>
        </w:tc>
        <w:tc>
          <w:tcPr>
            <w:tcW w:w="4820" w:type="dxa"/>
          </w:tcPr>
          <w:p w14:paraId="1A3C054F" w14:textId="48F9D327" w:rsidR="00C45E4A" w:rsidRPr="007B712F" w:rsidRDefault="1CF12CAD"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 xml:space="preserve">Activities are implemented by a range of partners, each with different approaches to planning, </w:t>
            </w:r>
            <w:r w:rsidR="74AB3B28" w:rsidRPr="215412BB">
              <w:rPr>
                <w:color w:val="auto"/>
              </w:rPr>
              <w:t>budgeting,</w:t>
            </w:r>
            <w:r w:rsidRPr="215412BB">
              <w:rPr>
                <w:color w:val="auto"/>
              </w:rPr>
              <w:t xml:space="preserve"> and reporting. </w:t>
            </w:r>
            <w:r w:rsidR="0ACA8EA3" w:rsidRPr="215412BB">
              <w:rPr>
                <w:color w:val="auto"/>
              </w:rPr>
              <w:t xml:space="preserve">Due to separate corporate requirements, not all will be able to adjust their approaches and tools. </w:t>
            </w:r>
          </w:p>
          <w:p w14:paraId="2FC9AA2C" w14:textId="765F45D8" w:rsidR="00C45E4A" w:rsidRPr="007B712F" w:rsidRDefault="6FFAA49F"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 xml:space="preserve">Greater standardisation of approach can be implemented, particularly in relation to reporting of financial and progress </w:t>
            </w:r>
            <w:r w:rsidR="70FCBBA4" w:rsidRPr="215412BB">
              <w:rPr>
                <w:color w:val="auto"/>
              </w:rPr>
              <w:t>information where</w:t>
            </w:r>
            <w:r w:rsidR="4D981581" w:rsidRPr="215412BB">
              <w:rPr>
                <w:color w:val="auto"/>
              </w:rPr>
              <w:t xml:space="preserve"> activities are overseen by a single managing contractor. </w:t>
            </w:r>
          </w:p>
        </w:tc>
        <w:tc>
          <w:tcPr>
            <w:tcW w:w="3685" w:type="dxa"/>
          </w:tcPr>
          <w:p w14:paraId="66922E94" w14:textId="28CAE035" w:rsidR="00C45E4A" w:rsidRPr="00AB7A03" w:rsidRDefault="7E975B98" w:rsidP="215412BB">
            <w:pPr>
              <w:cnfStyle w:val="000000010000" w:firstRow="0" w:lastRow="0" w:firstColumn="0" w:lastColumn="0" w:oddVBand="0" w:evenVBand="0" w:oddHBand="0" w:evenHBand="1" w:firstRowFirstColumn="0" w:firstRowLastColumn="0" w:lastRowFirstColumn="0" w:lastRowLastColumn="0"/>
              <w:rPr>
                <w:color w:val="auto"/>
              </w:rPr>
            </w:pPr>
            <w:r w:rsidRPr="22E52E26">
              <w:rPr>
                <w:color w:val="auto"/>
              </w:rPr>
              <w:t xml:space="preserve">Once the </w:t>
            </w:r>
            <w:r w:rsidR="117D7BC5" w:rsidRPr="22E52E26">
              <w:rPr>
                <w:color w:val="auto"/>
              </w:rPr>
              <w:t xml:space="preserve">new </w:t>
            </w:r>
            <w:r w:rsidRPr="22E52E26">
              <w:rPr>
                <w:color w:val="auto"/>
              </w:rPr>
              <w:t xml:space="preserve">HPP is finalised, </w:t>
            </w:r>
            <w:r w:rsidR="7BAF79D2" w:rsidRPr="22E52E26">
              <w:rPr>
                <w:color w:val="auto"/>
              </w:rPr>
              <w:t xml:space="preserve">DFAT </w:t>
            </w:r>
            <w:r w:rsidRPr="22E52E26">
              <w:rPr>
                <w:color w:val="auto"/>
              </w:rPr>
              <w:t>will socialise</w:t>
            </w:r>
            <w:r w:rsidR="75789F94" w:rsidRPr="22E52E26">
              <w:rPr>
                <w:color w:val="auto"/>
              </w:rPr>
              <w:t xml:space="preserve"> </w:t>
            </w:r>
            <w:r w:rsidR="675719A2" w:rsidRPr="22E52E26">
              <w:rPr>
                <w:color w:val="auto"/>
              </w:rPr>
              <w:t xml:space="preserve">it </w:t>
            </w:r>
            <w:r w:rsidR="75789F94" w:rsidRPr="22E52E26">
              <w:rPr>
                <w:color w:val="auto"/>
              </w:rPr>
              <w:t xml:space="preserve">with partners </w:t>
            </w:r>
            <w:r w:rsidR="7F550222" w:rsidRPr="22E52E26">
              <w:rPr>
                <w:color w:val="auto"/>
              </w:rPr>
              <w:t xml:space="preserve">with the </w:t>
            </w:r>
            <w:r w:rsidR="5ADAFFCC" w:rsidRPr="22E52E26">
              <w:rPr>
                <w:color w:val="auto"/>
              </w:rPr>
              <w:t>aim</w:t>
            </w:r>
            <w:r w:rsidR="7F550222" w:rsidRPr="22E52E26">
              <w:rPr>
                <w:color w:val="auto"/>
              </w:rPr>
              <w:t xml:space="preserve"> of </w:t>
            </w:r>
            <w:r w:rsidR="75789F94" w:rsidRPr="22E52E26">
              <w:rPr>
                <w:color w:val="auto"/>
              </w:rPr>
              <w:t>streamlin</w:t>
            </w:r>
            <w:r w:rsidR="7F550222" w:rsidRPr="22E52E26">
              <w:rPr>
                <w:color w:val="auto"/>
              </w:rPr>
              <w:t>ing</w:t>
            </w:r>
            <w:r w:rsidR="75789F94" w:rsidRPr="22E52E26">
              <w:rPr>
                <w:color w:val="auto"/>
              </w:rPr>
              <w:t xml:space="preserve"> </w:t>
            </w:r>
            <w:r w:rsidR="37B6CAAE" w:rsidRPr="22E52E26">
              <w:rPr>
                <w:color w:val="auto"/>
              </w:rPr>
              <w:t>Monitoring and Evaluation (M&amp;E)</w:t>
            </w:r>
            <w:r w:rsidR="75789F94" w:rsidRPr="22E52E26">
              <w:rPr>
                <w:color w:val="auto"/>
              </w:rPr>
              <w:t xml:space="preserve"> </w:t>
            </w:r>
            <w:r w:rsidR="0910CE4A" w:rsidRPr="22E52E26">
              <w:rPr>
                <w:color w:val="auto"/>
              </w:rPr>
              <w:t>common indicators</w:t>
            </w:r>
            <w:r w:rsidR="276E85CF" w:rsidRPr="22E52E26">
              <w:rPr>
                <w:color w:val="auto"/>
              </w:rPr>
              <w:t xml:space="preserve"> and</w:t>
            </w:r>
            <w:r w:rsidR="75789F94" w:rsidRPr="22E52E26">
              <w:rPr>
                <w:color w:val="auto"/>
              </w:rPr>
              <w:t xml:space="preserve"> </w:t>
            </w:r>
            <w:r w:rsidR="3233C8E5" w:rsidRPr="22E52E26">
              <w:rPr>
                <w:color w:val="auto"/>
              </w:rPr>
              <w:t xml:space="preserve">reporting of </w:t>
            </w:r>
            <w:r w:rsidR="61273BE0" w:rsidRPr="22E52E26">
              <w:rPr>
                <w:color w:val="auto"/>
              </w:rPr>
              <w:t>Gender Equality, Disability and Social Inclusion</w:t>
            </w:r>
            <w:r w:rsidR="7F28207B" w:rsidRPr="22E52E26">
              <w:rPr>
                <w:color w:val="auto"/>
              </w:rPr>
              <w:t xml:space="preserve"> (GEDSI</w:t>
            </w:r>
            <w:r w:rsidR="61273BE0" w:rsidRPr="22E52E26">
              <w:rPr>
                <w:color w:val="auto"/>
              </w:rPr>
              <w:t>)</w:t>
            </w:r>
            <w:r w:rsidR="75789F94" w:rsidRPr="22E52E26">
              <w:rPr>
                <w:color w:val="auto"/>
              </w:rPr>
              <w:t xml:space="preserve"> </w:t>
            </w:r>
            <w:r w:rsidR="5ADAFFCC" w:rsidRPr="22E52E26">
              <w:rPr>
                <w:color w:val="auto"/>
              </w:rPr>
              <w:t xml:space="preserve">indicators </w:t>
            </w:r>
            <w:r w:rsidR="5040DEA7" w:rsidRPr="22E52E26">
              <w:rPr>
                <w:color w:val="auto"/>
              </w:rPr>
              <w:t>(under the GEDSI toolkit)</w:t>
            </w:r>
            <w:r w:rsidR="6AA58CA0" w:rsidRPr="22E52E26">
              <w:rPr>
                <w:color w:val="auto"/>
              </w:rPr>
              <w:t xml:space="preserve"> as far as possible. </w:t>
            </w:r>
            <w:r w:rsidR="639C6D78" w:rsidRPr="22E52E26">
              <w:rPr>
                <w:color w:val="auto"/>
              </w:rPr>
              <w:t>We are developing a value for money (</w:t>
            </w:r>
            <w:proofErr w:type="spellStart"/>
            <w:r w:rsidR="639C6D78" w:rsidRPr="22E52E26">
              <w:rPr>
                <w:color w:val="auto"/>
              </w:rPr>
              <w:t>VfM</w:t>
            </w:r>
            <w:proofErr w:type="spellEnd"/>
            <w:r w:rsidR="639C6D78" w:rsidRPr="22E52E26">
              <w:rPr>
                <w:color w:val="auto"/>
              </w:rPr>
              <w:t xml:space="preserve">) toolkit to </w:t>
            </w:r>
            <w:r w:rsidR="1FAF936F" w:rsidRPr="22E52E26">
              <w:rPr>
                <w:color w:val="auto"/>
              </w:rPr>
              <w:t>facilitate a consistent approach to</w:t>
            </w:r>
            <w:r w:rsidR="6698C4D1" w:rsidRPr="22E52E26">
              <w:rPr>
                <w:color w:val="auto"/>
              </w:rPr>
              <w:t xml:space="preserve"> addressing this important element of program efficiency. </w:t>
            </w:r>
            <w:r w:rsidR="1FAF936F" w:rsidRPr="22E52E26">
              <w:rPr>
                <w:color w:val="auto"/>
              </w:rPr>
              <w:t xml:space="preserve"> </w:t>
            </w:r>
            <w:r w:rsidR="639C6D78" w:rsidRPr="22E52E26">
              <w:rPr>
                <w:color w:val="auto"/>
              </w:rPr>
              <w:t xml:space="preserve"> </w:t>
            </w:r>
          </w:p>
        </w:tc>
        <w:tc>
          <w:tcPr>
            <w:tcW w:w="1459" w:type="dxa"/>
          </w:tcPr>
          <w:p w14:paraId="1111C061" w14:textId="6D0699CF" w:rsidR="00C45E4A" w:rsidRPr="008A0512" w:rsidRDefault="4ECE30D5"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2024</w:t>
            </w:r>
          </w:p>
        </w:tc>
      </w:tr>
      <w:bookmarkEnd w:id="6"/>
      <w:tr w:rsidR="005A184C" w14:paraId="2D7B6F7D" w14:textId="77777777" w:rsidTr="246E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44FA447" w14:textId="30F77672" w:rsidR="00FB4F5E" w:rsidRPr="008A0512" w:rsidRDefault="00FB4F5E" w:rsidP="215412BB">
            <w:pPr>
              <w:rPr>
                <w:rFonts w:asciiTheme="majorHAnsi" w:eastAsiaTheme="majorEastAsia" w:hAnsiTheme="majorHAnsi" w:cstheme="majorBidi"/>
                <w:color w:val="auto"/>
              </w:rPr>
            </w:pPr>
            <w:r w:rsidRPr="215412BB">
              <w:rPr>
                <w:rFonts w:asciiTheme="majorHAnsi" w:eastAsiaTheme="majorEastAsia" w:hAnsiTheme="majorHAnsi" w:cstheme="majorBidi"/>
                <w:color w:val="auto"/>
              </w:rPr>
              <w:t xml:space="preserve">Recommendation </w:t>
            </w:r>
            <w:r w:rsidR="00F15D95" w:rsidRPr="215412BB">
              <w:rPr>
                <w:rFonts w:asciiTheme="majorHAnsi" w:eastAsiaTheme="majorEastAsia" w:hAnsiTheme="majorHAnsi" w:cstheme="majorBidi"/>
                <w:color w:val="auto"/>
              </w:rPr>
              <w:t>3</w:t>
            </w:r>
          </w:p>
          <w:p w14:paraId="063C8F0A" w14:textId="371C729A" w:rsidR="00B30D41" w:rsidRPr="008A0512" w:rsidRDefault="62F14471" w:rsidP="246E3E95">
            <w:pPr>
              <w:rPr>
                <w:rFonts w:asciiTheme="majorHAnsi" w:eastAsiaTheme="majorEastAsia" w:hAnsiTheme="majorHAnsi" w:cstheme="majorBidi"/>
                <w:i/>
                <w:iCs/>
                <w:color w:val="auto"/>
              </w:rPr>
            </w:pPr>
            <w:r w:rsidRPr="246E3E95">
              <w:rPr>
                <w:rFonts w:asciiTheme="majorHAnsi" w:eastAsiaTheme="majorEastAsia" w:hAnsiTheme="majorHAnsi" w:cstheme="majorBidi"/>
                <w:b/>
                <w:bCs/>
                <w:i/>
                <w:iCs/>
                <w:color w:val="auto"/>
              </w:rPr>
              <w:t>Organisational Structure:</w:t>
            </w:r>
            <w:r w:rsidRPr="246E3E95">
              <w:rPr>
                <w:rFonts w:asciiTheme="majorHAnsi" w:eastAsiaTheme="majorEastAsia" w:hAnsiTheme="majorHAnsi" w:cstheme="majorBidi"/>
                <w:i/>
                <w:iCs/>
                <w:color w:val="auto"/>
              </w:rPr>
              <w:t xml:space="preserve"> The Review recommends the </w:t>
            </w:r>
            <w:r w:rsidR="4F9DE2E3" w:rsidRPr="246E3E95">
              <w:rPr>
                <w:rFonts w:asciiTheme="majorHAnsi" w:eastAsiaTheme="majorEastAsia" w:hAnsiTheme="majorHAnsi" w:cstheme="majorBidi"/>
                <w:i/>
                <w:iCs/>
                <w:color w:val="auto"/>
              </w:rPr>
              <w:t xml:space="preserve">AHC </w:t>
            </w:r>
            <w:r w:rsidRPr="246E3E95">
              <w:rPr>
                <w:rFonts w:asciiTheme="majorHAnsi" w:eastAsiaTheme="majorEastAsia" w:hAnsiTheme="majorHAnsi" w:cstheme="majorBidi"/>
                <w:i/>
                <w:iCs/>
                <w:color w:val="auto"/>
              </w:rPr>
              <w:t xml:space="preserve">Health Team shift from a functional to a matrix structure which combines a vertical functional structure with a cross-functional thematic structure for </w:t>
            </w:r>
            <w:r w:rsidR="103CB555" w:rsidRPr="246E3E95">
              <w:rPr>
                <w:rFonts w:asciiTheme="majorHAnsi" w:eastAsiaTheme="majorEastAsia" w:hAnsiTheme="majorHAnsi" w:cstheme="majorBidi"/>
                <w:i/>
                <w:iCs/>
                <w:color w:val="auto"/>
              </w:rPr>
              <w:t>PFM (Public Finance Management)</w:t>
            </w:r>
            <w:r w:rsidRPr="246E3E95">
              <w:rPr>
                <w:rFonts w:asciiTheme="majorHAnsi" w:eastAsiaTheme="majorEastAsia" w:hAnsiTheme="majorHAnsi" w:cstheme="majorBidi"/>
                <w:i/>
                <w:iCs/>
                <w:color w:val="auto"/>
              </w:rPr>
              <w:t>, GEDSI (and other identified cross-cutting themes).  </w:t>
            </w:r>
          </w:p>
        </w:tc>
        <w:tc>
          <w:tcPr>
            <w:tcW w:w="1276" w:type="dxa"/>
            <w:shd w:val="clear" w:color="auto" w:fill="FFC000"/>
            <w:hideMark/>
          </w:tcPr>
          <w:p w14:paraId="5C48382A" w14:textId="4F5B907F" w:rsidR="00FB4F5E" w:rsidRPr="008A0512" w:rsidRDefault="59C76E99" w:rsidP="5D2BC83C">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auto"/>
              </w:rPr>
            </w:pPr>
            <w:r w:rsidRPr="5D2BC83C">
              <w:rPr>
                <w:rFonts w:asciiTheme="majorHAnsi" w:eastAsiaTheme="majorEastAsia" w:hAnsiTheme="majorHAnsi" w:cstheme="majorBidi"/>
                <w:color w:val="auto"/>
              </w:rPr>
              <w:t xml:space="preserve">Partially </w:t>
            </w:r>
            <w:r w:rsidR="6A928D4D" w:rsidRPr="5D2BC83C">
              <w:rPr>
                <w:rFonts w:asciiTheme="majorHAnsi" w:eastAsiaTheme="majorEastAsia" w:hAnsiTheme="majorHAnsi" w:cstheme="majorBidi"/>
                <w:color w:val="auto"/>
              </w:rPr>
              <w:t>a</w:t>
            </w:r>
            <w:r w:rsidRPr="5D2BC83C">
              <w:rPr>
                <w:rFonts w:asciiTheme="majorHAnsi" w:eastAsiaTheme="majorEastAsia" w:hAnsiTheme="majorHAnsi" w:cstheme="majorBidi"/>
                <w:color w:val="auto"/>
              </w:rPr>
              <w:t>gree</w:t>
            </w:r>
          </w:p>
        </w:tc>
        <w:tc>
          <w:tcPr>
            <w:tcW w:w="4820" w:type="dxa"/>
          </w:tcPr>
          <w:p w14:paraId="0A2FDCCC" w14:textId="67CE774B" w:rsidR="00FB4F5E" w:rsidRPr="008A0512" w:rsidRDefault="64F7F25D" w:rsidP="5D2BC83C">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auto"/>
              </w:rPr>
            </w:pPr>
            <w:r w:rsidRPr="5D2BC83C">
              <w:rPr>
                <w:rFonts w:asciiTheme="majorHAnsi" w:eastAsiaTheme="majorEastAsia" w:hAnsiTheme="majorHAnsi" w:cstheme="majorBidi"/>
                <w:color w:val="auto"/>
              </w:rPr>
              <w:t xml:space="preserve">There is insufficient </w:t>
            </w:r>
            <w:r w:rsidR="043B2A2B" w:rsidRPr="5D2BC83C">
              <w:rPr>
                <w:rFonts w:asciiTheme="majorHAnsi" w:eastAsiaTheme="majorEastAsia" w:hAnsiTheme="majorHAnsi" w:cstheme="majorBidi"/>
                <w:color w:val="auto"/>
              </w:rPr>
              <w:t>explanation in the report as to</w:t>
            </w:r>
            <w:r w:rsidR="741A7DE1" w:rsidRPr="5D2BC83C">
              <w:rPr>
                <w:rFonts w:asciiTheme="majorHAnsi" w:eastAsiaTheme="majorEastAsia" w:hAnsiTheme="majorHAnsi" w:cstheme="majorBidi"/>
                <w:color w:val="auto"/>
              </w:rPr>
              <w:t xml:space="preserve"> </w:t>
            </w:r>
            <w:r w:rsidR="1744256B" w:rsidRPr="5D2BC83C">
              <w:rPr>
                <w:rFonts w:asciiTheme="majorHAnsi" w:eastAsiaTheme="majorEastAsia" w:hAnsiTheme="majorHAnsi" w:cstheme="majorBidi"/>
                <w:color w:val="auto"/>
              </w:rPr>
              <w:t xml:space="preserve">how the proposed matrix model </w:t>
            </w:r>
            <w:r w:rsidR="58B4AD17" w:rsidRPr="5D2BC83C">
              <w:rPr>
                <w:rFonts w:asciiTheme="majorHAnsi" w:eastAsiaTheme="majorEastAsia" w:hAnsiTheme="majorHAnsi" w:cstheme="majorBidi"/>
                <w:color w:val="auto"/>
              </w:rPr>
              <w:t xml:space="preserve">would be implemented in practice or how it would improve </w:t>
            </w:r>
            <w:r w:rsidR="3F86EB6D" w:rsidRPr="5D2BC83C">
              <w:rPr>
                <w:rFonts w:asciiTheme="majorHAnsi" w:eastAsiaTheme="majorEastAsia" w:hAnsiTheme="majorHAnsi" w:cstheme="majorBidi"/>
                <w:color w:val="auto"/>
              </w:rPr>
              <w:t xml:space="preserve">management of activities by the </w:t>
            </w:r>
            <w:r w:rsidR="4EFC827E" w:rsidRPr="5D2BC83C">
              <w:rPr>
                <w:rFonts w:asciiTheme="majorHAnsi" w:eastAsiaTheme="majorEastAsia" w:hAnsiTheme="majorHAnsi" w:cstheme="majorBidi"/>
                <w:color w:val="auto"/>
              </w:rPr>
              <w:t xml:space="preserve">AHC </w:t>
            </w:r>
            <w:r w:rsidR="3F86EB6D" w:rsidRPr="5D2BC83C">
              <w:rPr>
                <w:rFonts w:asciiTheme="majorHAnsi" w:eastAsiaTheme="majorEastAsia" w:hAnsiTheme="majorHAnsi" w:cstheme="majorBidi"/>
                <w:color w:val="auto"/>
              </w:rPr>
              <w:t xml:space="preserve">health team. </w:t>
            </w:r>
          </w:p>
          <w:p w14:paraId="599F92AD" w14:textId="58B964F6" w:rsidR="00FB4F5E" w:rsidRPr="008A0512" w:rsidRDefault="112FD548" w:rsidP="5D2BC83C">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auto"/>
              </w:rPr>
            </w:pPr>
            <w:r w:rsidRPr="5D2BC83C">
              <w:rPr>
                <w:rFonts w:asciiTheme="majorHAnsi" w:eastAsiaTheme="majorEastAsia" w:hAnsiTheme="majorHAnsi" w:cstheme="majorBidi"/>
                <w:color w:val="auto"/>
              </w:rPr>
              <w:t xml:space="preserve">Team structures </w:t>
            </w:r>
            <w:r w:rsidR="452EEC40" w:rsidRPr="5D2BC83C">
              <w:rPr>
                <w:rFonts w:asciiTheme="majorHAnsi" w:eastAsiaTheme="majorEastAsia" w:hAnsiTheme="majorHAnsi" w:cstheme="majorBidi"/>
                <w:color w:val="auto"/>
              </w:rPr>
              <w:t xml:space="preserve">are required to be in alignment with broader </w:t>
            </w:r>
            <w:r w:rsidR="5236AE4F" w:rsidRPr="5D2BC83C">
              <w:rPr>
                <w:rFonts w:asciiTheme="majorHAnsi" w:eastAsiaTheme="majorEastAsia" w:hAnsiTheme="majorHAnsi" w:cstheme="majorBidi"/>
                <w:color w:val="auto"/>
              </w:rPr>
              <w:t xml:space="preserve">DFAT </w:t>
            </w:r>
            <w:r w:rsidR="452EEC40" w:rsidRPr="5D2BC83C">
              <w:rPr>
                <w:rFonts w:asciiTheme="majorHAnsi" w:eastAsiaTheme="majorEastAsia" w:hAnsiTheme="majorHAnsi" w:cstheme="majorBidi"/>
                <w:color w:val="auto"/>
              </w:rPr>
              <w:t>organisational requirements</w:t>
            </w:r>
            <w:r w:rsidR="1D7B8640" w:rsidRPr="5D2BC83C">
              <w:rPr>
                <w:rFonts w:asciiTheme="majorHAnsi" w:eastAsiaTheme="majorEastAsia" w:hAnsiTheme="majorHAnsi" w:cstheme="majorBidi"/>
                <w:color w:val="auto"/>
              </w:rPr>
              <w:t xml:space="preserve">. </w:t>
            </w:r>
          </w:p>
        </w:tc>
        <w:tc>
          <w:tcPr>
            <w:tcW w:w="3685" w:type="dxa"/>
          </w:tcPr>
          <w:p w14:paraId="59CAD482" w14:textId="6131EB91" w:rsidR="00FB4F5E" w:rsidRPr="008A0512" w:rsidRDefault="022361EA" w:rsidP="246E3E95">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auto"/>
              </w:rPr>
            </w:pPr>
            <w:r w:rsidRPr="246E3E95">
              <w:rPr>
                <w:rFonts w:asciiTheme="majorHAnsi" w:eastAsiaTheme="majorEastAsia" w:hAnsiTheme="majorHAnsi" w:cstheme="majorBidi"/>
                <w:color w:val="auto"/>
              </w:rPr>
              <w:t xml:space="preserve">As part of </w:t>
            </w:r>
            <w:r w:rsidR="03812BA2" w:rsidRPr="246E3E95">
              <w:rPr>
                <w:rFonts w:asciiTheme="majorHAnsi" w:eastAsiaTheme="majorEastAsia" w:hAnsiTheme="majorHAnsi" w:cstheme="majorBidi"/>
                <w:color w:val="auto"/>
              </w:rPr>
              <w:t xml:space="preserve">the </w:t>
            </w:r>
            <w:r w:rsidRPr="246E3E95">
              <w:rPr>
                <w:rFonts w:asciiTheme="majorHAnsi" w:eastAsiaTheme="majorEastAsia" w:hAnsiTheme="majorHAnsi" w:cstheme="majorBidi"/>
                <w:color w:val="auto"/>
              </w:rPr>
              <w:t>development</w:t>
            </w:r>
            <w:r w:rsidR="03812BA2" w:rsidRPr="246E3E95">
              <w:rPr>
                <w:rFonts w:asciiTheme="majorHAnsi" w:eastAsiaTheme="majorEastAsia" w:hAnsiTheme="majorHAnsi" w:cstheme="majorBidi"/>
                <w:color w:val="auto"/>
              </w:rPr>
              <w:t xml:space="preserve"> and finalisation of the new HPP</w:t>
            </w:r>
            <w:r w:rsidRPr="246E3E95">
              <w:rPr>
                <w:rFonts w:asciiTheme="majorHAnsi" w:eastAsiaTheme="majorEastAsia" w:hAnsiTheme="majorHAnsi" w:cstheme="majorBidi"/>
                <w:color w:val="auto"/>
              </w:rPr>
              <w:t xml:space="preserve">, </w:t>
            </w:r>
            <w:r w:rsidR="1FAFB67F" w:rsidRPr="246E3E95">
              <w:rPr>
                <w:rFonts w:asciiTheme="majorHAnsi" w:eastAsiaTheme="majorEastAsia" w:hAnsiTheme="majorHAnsi" w:cstheme="majorBidi"/>
                <w:color w:val="auto"/>
              </w:rPr>
              <w:t xml:space="preserve">the AHC Health team </w:t>
            </w:r>
            <w:r w:rsidR="7593276F" w:rsidRPr="246E3E95">
              <w:rPr>
                <w:rFonts w:asciiTheme="majorHAnsi" w:eastAsiaTheme="majorEastAsia" w:hAnsiTheme="majorHAnsi" w:cstheme="majorBidi"/>
                <w:color w:val="auto"/>
              </w:rPr>
              <w:t>will</w:t>
            </w:r>
            <w:r w:rsidRPr="246E3E95">
              <w:rPr>
                <w:rFonts w:asciiTheme="majorHAnsi" w:eastAsiaTheme="majorEastAsia" w:hAnsiTheme="majorHAnsi" w:cstheme="majorBidi"/>
                <w:color w:val="auto"/>
              </w:rPr>
              <w:t xml:space="preserve"> review team structure, </w:t>
            </w:r>
            <w:r w:rsidR="69CBCF6F" w:rsidRPr="246E3E95">
              <w:rPr>
                <w:rFonts w:asciiTheme="majorHAnsi" w:eastAsiaTheme="majorEastAsia" w:hAnsiTheme="majorHAnsi" w:cstheme="majorBidi"/>
                <w:color w:val="auto"/>
              </w:rPr>
              <w:t>roles,</w:t>
            </w:r>
            <w:r w:rsidRPr="246E3E95">
              <w:rPr>
                <w:rFonts w:asciiTheme="majorHAnsi" w:eastAsiaTheme="majorEastAsia" w:hAnsiTheme="majorHAnsi" w:cstheme="majorBidi"/>
                <w:color w:val="auto"/>
              </w:rPr>
              <w:t xml:space="preserve"> and responsibilities </w:t>
            </w:r>
            <w:r w:rsidR="1D7B8640" w:rsidRPr="246E3E95">
              <w:rPr>
                <w:rFonts w:asciiTheme="majorHAnsi" w:eastAsiaTheme="majorEastAsia" w:hAnsiTheme="majorHAnsi" w:cstheme="majorBidi"/>
                <w:color w:val="auto"/>
              </w:rPr>
              <w:t xml:space="preserve">to ensure an </w:t>
            </w:r>
            <w:r w:rsidR="4333CDE2" w:rsidRPr="246E3E95">
              <w:rPr>
                <w:rFonts w:asciiTheme="majorHAnsi" w:eastAsiaTheme="majorEastAsia" w:hAnsiTheme="majorHAnsi" w:cstheme="majorBidi"/>
                <w:color w:val="auto"/>
              </w:rPr>
              <w:t>appropriate</w:t>
            </w:r>
            <w:r w:rsidR="1D7B8640" w:rsidRPr="246E3E95">
              <w:rPr>
                <w:rFonts w:asciiTheme="majorHAnsi" w:eastAsiaTheme="majorEastAsia" w:hAnsiTheme="majorHAnsi" w:cstheme="majorBidi"/>
                <w:color w:val="auto"/>
              </w:rPr>
              <w:t xml:space="preserve"> approach to managing </w:t>
            </w:r>
            <w:r w:rsidR="1696E679" w:rsidRPr="246E3E95">
              <w:rPr>
                <w:rFonts w:asciiTheme="majorHAnsi" w:eastAsiaTheme="majorEastAsia" w:hAnsiTheme="majorHAnsi" w:cstheme="majorBidi"/>
                <w:color w:val="auto"/>
              </w:rPr>
              <w:t>the</w:t>
            </w:r>
            <w:r w:rsidR="67E5BC5B" w:rsidRPr="246E3E95">
              <w:rPr>
                <w:rFonts w:asciiTheme="majorHAnsi" w:eastAsiaTheme="majorEastAsia" w:hAnsiTheme="majorHAnsi" w:cstheme="majorBidi"/>
                <w:color w:val="auto"/>
              </w:rPr>
              <w:t xml:space="preserve"> health portfolio</w:t>
            </w:r>
            <w:r w:rsidR="472FFBA8" w:rsidRPr="246E3E95">
              <w:rPr>
                <w:rFonts w:asciiTheme="majorHAnsi" w:eastAsiaTheme="majorEastAsia" w:hAnsiTheme="majorHAnsi" w:cstheme="majorBidi"/>
                <w:color w:val="auto"/>
              </w:rPr>
              <w:t xml:space="preserve">. </w:t>
            </w:r>
          </w:p>
        </w:tc>
        <w:tc>
          <w:tcPr>
            <w:tcW w:w="1459" w:type="dxa"/>
          </w:tcPr>
          <w:p w14:paraId="55475B03" w14:textId="575289B0" w:rsidR="00FB4F5E" w:rsidRPr="008A0512" w:rsidRDefault="672CC8BE" w:rsidP="215412BB">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auto"/>
              </w:rPr>
            </w:pPr>
            <w:r w:rsidRPr="215412BB">
              <w:rPr>
                <w:rFonts w:asciiTheme="majorHAnsi" w:eastAsiaTheme="majorEastAsia" w:hAnsiTheme="majorHAnsi" w:cstheme="majorBidi"/>
                <w:color w:val="auto"/>
              </w:rPr>
              <w:t>2024</w:t>
            </w:r>
          </w:p>
        </w:tc>
      </w:tr>
      <w:tr w:rsidR="005A184C" w14:paraId="711BE6F4" w14:textId="77777777" w:rsidTr="246E3E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9DC20C8" w14:textId="7CD102CB" w:rsidR="00FB4F5E" w:rsidRPr="008A0512" w:rsidRDefault="00FB4F5E" w:rsidP="215412BB">
            <w:pPr>
              <w:rPr>
                <w:color w:val="auto"/>
              </w:rPr>
            </w:pPr>
            <w:r w:rsidRPr="215412BB">
              <w:rPr>
                <w:color w:val="auto"/>
              </w:rPr>
              <w:t xml:space="preserve">Recommendation </w:t>
            </w:r>
            <w:r w:rsidR="001D10DD" w:rsidRPr="215412BB">
              <w:rPr>
                <w:color w:val="auto"/>
              </w:rPr>
              <w:t>4</w:t>
            </w:r>
          </w:p>
          <w:p w14:paraId="711FF213" w14:textId="00DFB68A" w:rsidR="00344D28" w:rsidRPr="008A0512" w:rsidRDefault="007165A5" w:rsidP="246E3E95">
            <w:pPr>
              <w:rPr>
                <w:i/>
                <w:iCs/>
                <w:color w:val="auto"/>
              </w:rPr>
            </w:pPr>
            <w:r w:rsidRPr="246E3E95">
              <w:rPr>
                <w:b/>
                <w:bCs/>
                <w:i/>
                <w:iCs/>
                <w:color w:val="auto"/>
              </w:rPr>
              <w:t>Sequencing</w:t>
            </w:r>
            <w:r w:rsidRPr="246E3E95">
              <w:rPr>
                <w:i/>
                <w:iCs/>
                <w:color w:val="auto"/>
              </w:rPr>
              <w:t xml:space="preserve">: With the completion of the HPP corresponding with the end of several HPP investments, the process of redesign should follow a </w:t>
            </w:r>
            <w:r w:rsidRPr="246E3E95">
              <w:rPr>
                <w:i/>
                <w:iCs/>
                <w:color w:val="auto"/>
              </w:rPr>
              <w:lastRenderedPageBreak/>
              <w:t>sequence that commences with HPP program logic, proceeds to development of tools and templates, and concludes with investment design. </w:t>
            </w:r>
          </w:p>
          <w:p w14:paraId="4655038D" w14:textId="3578DE4E" w:rsidR="00344D28" w:rsidRPr="008A0512" w:rsidRDefault="00344D28" w:rsidP="246E3E95">
            <w:pPr>
              <w:rPr>
                <w:i/>
                <w:iCs/>
                <w:color w:val="auto"/>
              </w:rPr>
            </w:pPr>
          </w:p>
        </w:tc>
        <w:tc>
          <w:tcPr>
            <w:tcW w:w="1276" w:type="dxa"/>
            <w:shd w:val="clear" w:color="auto" w:fill="92D050"/>
            <w:hideMark/>
          </w:tcPr>
          <w:p w14:paraId="02D85ED8" w14:textId="5C29B03F" w:rsidR="00FB4F5E" w:rsidRPr="008A0512" w:rsidRDefault="6A002ACC"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lastRenderedPageBreak/>
              <w:t>Agree</w:t>
            </w:r>
          </w:p>
          <w:p w14:paraId="4676095F" w14:textId="36B987E7" w:rsidR="00FB4F5E" w:rsidRPr="008A0512" w:rsidRDefault="00FB4F5E" w:rsidP="215412BB">
            <w:pPr>
              <w:cnfStyle w:val="000000010000" w:firstRow="0" w:lastRow="0" w:firstColumn="0" w:lastColumn="0" w:oddVBand="0" w:evenVBand="0" w:oddHBand="0" w:evenHBand="1" w:firstRowFirstColumn="0" w:firstRowLastColumn="0" w:lastRowFirstColumn="0" w:lastRowLastColumn="0"/>
              <w:rPr>
                <w:color w:val="auto"/>
              </w:rPr>
            </w:pPr>
          </w:p>
        </w:tc>
        <w:tc>
          <w:tcPr>
            <w:tcW w:w="4820" w:type="dxa"/>
          </w:tcPr>
          <w:p w14:paraId="3952507D" w14:textId="024D4D88" w:rsidR="00FB4F5E" w:rsidRPr="008A0512" w:rsidRDefault="1F44E900" w:rsidP="215412BB">
            <w:pPr>
              <w:cnfStyle w:val="000000010000" w:firstRow="0" w:lastRow="0" w:firstColumn="0" w:lastColumn="0" w:oddVBand="0" w:evenVBand="0" w:oddHBand="0" w:evenHBand="1" w:firstRowFirstColumn="0" w:firstRowLastColumn="0" w:lastRowFirstColumn="0" w:lastRowLastColumn="0"/>
              <w:rPr>
                <w:color w:val="auto"/>
              </w:rPr>
            </w:pPr>
            <w:r w:rsidRPr="5D2BC83C">
              <w:rPr>
                <w:color w:val="auto"/>
              </w:rPr>
              <w:t xml:space="preserve">All new investment designs </w:t>
            </w:r>
            <w:r w:rsidR="4EFA9ACD" w:rsidRPr="5D2BC83C">
              <w:rPr>
                <w:color w:val="auto"/>
              </w:rPr>
              <w:t>should be designed in</w:t>
            </w:r>
            <w:r w:rsidRPr="5D2BC83C">
              <w:rPr>
                <w:color w:val="auto"/>
              </w:rPr>
              <w:t xml:space="preserve"> alignment </w:t>
            </w:r>
            <w:r w:rsidR="1FE17FB9" w:rsidRPr="5D2BC83C">
              <w:rPr>
                <w:color w:val="auto"/>
              </w:rPr>
              <w:t>with</w:t>
            </w:r>
            <w:r w:rsidRPr="5D2BC83C">
              <w:rPr>
                <w:color w:val="auto"/>
              </w:rPr>
              <w:t xml:space="preserve"> the new HPP. </w:t>
            </w:r>
          </w:p>
        </w:tc>
        <w:tc>
          <w:tcPr>
            <w:tcW w:w="3685" w:type="dxa"/>
          </w:tcPr>
          <w:p w14:paraId="25E6901F" w14:textId="2034D523" w:rsidR="00FB4F5E" w:rsidRPr="008A0512" w:rsidRDefault="1F44E900" w:rsidP="215412BB">
            <w:pPr>
              <w:cnfStyle w:val="000000010000" w:firstRow="0" w:lastRow="0" w:firstColumn="0" w:lastColumn="0" w:oddVBand="0" w:evenVBand="0" w:oddHBand="0" w:evenHBand="1" w:firstRowFirstColumn="0" w:firstRowLastColumn="0" w:lastRowFirstColumn="0" w:lastRowLastColumn="0"/>
              <w:rPr>
                <w:color w:val="auto"/>
              </w:rPr>
            </w:pPr>
            <w:r w:rsidRPr="5D2BC83C">
              <w:rPr>
                <w:color w:val="auto"/>
              </w:rPr>
              <w:t xml:space="preserve">Alignment to </w:t>
            </w:r>
            <w:r w:rsidR="3E7BCC49" w:rsidRPr="5D2BC83C">
              <w:rPr>
                <w:color w:val="auto"/>
              </w:rPr>
              <w:t xml:space="preserve">the </w:t>
            </w:r>
            <w:r w:rsidRPr="5D2BC83C">
              <w:rPr>
                <w:color w:val="auto"/>
              </w:rPr>
              <w:t xml:space="preserve">HPP will be included in </w:t>
            </w:r>
            <w:r w:rsidR="7291ECD6" w:rsidRPr="5D2BC83C">
              <w:rPr>
                <w:color w:val="auto"/>
              </w:rPr>
              <w:t>terms of reference</w:t>
            </w:r>
            <w:r w:rsidRPr="5D2BC83C">
              <w:rPr>
                <w:color w:val="auto"/>
              </w:rPr>
              <w:t xml:space="preserve"> for all new investment designs. </w:t>
            </w:r>
          </w:p>
        </w:tc>
        <w:tc>
          <w:tcPr>
            <w:tcW w:w="1459" w:type="dxa"/>
          </w:tcPr>
          <w:p w14:paraId="1933BE65" w14:textId="2D0F583B" w:rsidR="00FB4F5E" w:rsidRPr="008A0512" w:rsidRDefault="4A4175C9" w:rsidP="215412B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2024 onwards</w:t>
            </w:r>
          </w:p>
        </w:tc>
      </w:tr>
      <w:tr w:rsidR="00C45E4A" w14:paraId="5FA06CE4" w14:textId="77777777" w:rsidTr="246E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CB24674" w14:textId="47480156" w:rsidR="00BB5FD2" w:rsidRPr="008A0512" w:rsidRDefault="00BB5FD2" w:rsidP="215412BB">
            <w:pPr>
              <w:rPr>
                <w:color w:val="auto"/>
              </w:rPr>
            </w:pPr>
            <w:r w:rsidRPr="215412BB">
              <w:rPr>
                <w:color w:val="auto"/>
              </w:rPr>
              <w:t>Recommendation 5</w:t>
            </w:r>
          </w:p>
          <w:p w14:paraId="6E45A688" w14:textId="54E21489" w:rsidR="00BB5FD2" w:rsidRPr="008A0512" w:rsidRDefault="7C537D99" w:rsidP="246E3E95">
            <w:pPr>
              <w:pStyle w:val="Bulletlist1HDMES"/>
              <w:ind w:left="0" w:firstLine="0"/>
              <w:jc w:val="left"/>
              <w:rPr>
                <w:rFonts w:eastAsia="Calibri" w:cs="Calibri"/>
                <w:i/>
                <w:iCs/>
                <w:color w:val="auto"/>
              </w:rPr>
            </w:pPr>
            <w:r w:rsidRPr="246E3E95">
              <w:rPr>
                <w:rFonts w:eastAsia="Calibri" w:cs="Calibri"/>
                <w:b/>
                <w:bCs/>
                <w:i/>
                <w:iCs/>
                <w:color w:val="auto"/>
              </w:rPr>
              <w:t>HDMES (Human Development Monitoring and Evaluation Services)</w:t>
            </w:r>
            <w:r w:rsidR="1E6AA347" w:rsidRPr="246E3E95">
              <w:rPr>
                <w:rFonts w:eastAsia="Calibri" w:cs="Calibri"/>
                <w:i/>
                <w:iCs/>
                <w:color w:val="auto"/>
              </w:rPr>
              <w:t>: In addition to compliance-oriented evaluation work, the HDMES role should encompass quality assurance of all HPP investment</w:t>
            </w:r>
            <w:r w:rsidR="2BE8298B" w:rsidRPr="246E3E95">
              <w:rPr>
                <w:rFonts w:eastAsia="Calibri" w:cs="Calibri"/>
                <w:i/>
                <w:iCs/>
                <w:color w:val="auto"/>
              </w:rPr>
              <w:t xml:space="preserve"> </w:t>
            </w:r>
            <w:bookmarkStart w:id="7" w:name="_Int_ESZEKkUB"/>
            <w:r w:rsidR="603E3867" w:rsidRPr="246E3E95">
              <w:rPr>
                <w:rFonts w:eastAsia="Calibri" w:cs="Calibri"/>
                <w:i/>
                <w:iCs/>
                <w:color w:val="auto"/>
              </w:rPr>
              <w:t>M&amp;E</w:t>
            </w:r>
            <w:bookmarkEnd w:id="7"/>
            <w:r w:rsidR="1E6AA347" w:rsidRPr="246E3E95">
              <w:rPr>
                <w:rFonts w:eastAsia="Calibri" w:cs="Calibri"/>
                <w:i/>
                <w:iCs/>
                <w:color w:val="auto"/>
              </w:rPr>
              <w:t xml:space="preserve"> requirements; training, mentoring and ongoing M&amp;E support to investments; and designing and facilitating learning events for the AHC Health Team.</w:t>
            </w:r>
          </w:p>
        </w:tc>
        <w:tc>
          <w:tcPr>
            <w:tcW w:w="1276" w:type="dxa"/>
            <w:shd w:val="clear" w:color="auto" w:fill="FFC000"/>
            <w:hideMark/>
          </w:tcPr>
          <w:p w14:paraId="011299CF" w14:textId="5519AAD4" w:rsidR="00BB5FD2" w:rsidRPr="008A0512" w:rsidRDefault="6B94588D" w:rsidP="215412BB">
            <w:pPr>
              <w:cnfStyle w:val="000000100000" w:firstRow="0" w:lastRow="0" w:firstColumn="0" w:lastColumn="0" w:oddVBand="0" w:evenVBand="0" w:oddHBand="1" w:evenHBand="0" w:firstRowFirstColumn="0" w:firstRowLastColumn="0" w:lastRowFirstColumn="0" w:lastRowLastColumn="0"/>
              <w:rPr>
                <w:color w:val="auto"/>
              </w:rPr>
            </w:pPr>
            <w:r w:rsidRPr="215412BB">
              <w:rPr>
                <w:color w:val="auto"/>
              </w:rPr>
              <w:t>Partially agree</w:t>
            </w:r>
          </w:p>
        </w:tc>
        <w:tc>
          <w:tcPr>
            <w:tcW w:w="4820" w:type="dxa"/>
          </w:tcPr>
          <w:p w14:paraId="6B3CCF7A" w14:textId="7D7AA903" w:rsidR="00BB5FD2" w:rsidRPr="008A0512" w:rsidRDefault="6FB82200" w:rsidP="215412BB">
            <w:pPr>
              <w:cnfStyle w:val="000000100000" w:firstRow="0" w:lastRow="0" w:firstColumn="0" w:lastColumn="0" w:oddVBand="0" w:evenVBand="0" w:oddHBand="1" w:evenHBand="0" w:firstRowFirstColumn="0" w:firstRowLastColumn="0" w:lastRowFirstColumn="0" w:lastRowLastColumn="0"/>
              <w:rPr>
                <w:color w:val="auto"/>
              </w:rPr>
            </w:pPr>
            <w:r w:rsidRPr="246E3E95">
              <w:rPr>
                <w:color w:val="auto"/>
              </w:rPr>
              <w:t>DFAT</w:t>
            </w:r>
            <w:r w:rsidR="4C3B710D" w:rsidRPr="246E3E95">
              <w:rPr>
                <w:color w:val="auto"/>
              </w:rPr>
              <w:t xml:space="preserve"> </w:t>
            </w:r>
            <w:r w:rsidR="620D518C" w:rsidRPr="246E3E95">
              <w:rPr>
                <w:color w:val="auto"/>
              </w:rPr>
              <w:t>agree</w:t>
            </w:r>
            <w:r w:rsidR="6C0EF197" w:rsidRPr="246E3E95">
              <w:rPr>
                <w:color w:val="auto"/>
              </w:rPr>
              <w:t>s</w:t>
            </w:r>
            <w:r w:rsidR="620D518C" w:rsidRPr="246E3E95">
              <w:rPr>
                <w:color w:val="auto"/>
              </w:rPr>
              <w:t xml:space="preserve"> that HDMES can contribute more to quality assurance of documentation and support </w:t>
            </w:r>
            <w:r w:rsidR="4C3B710D" w:rsidRPr="246E3E95">
              <w:rPr>
                <w:color w:val="auto"/>
              </w:rPr>
              <w:t xml:space="preserve">better </w:t>
            </w:r>
            <w:r w:rsidR="13048EF3" w:rsidRPr="246E3E95">
              <w:rPr>
                <w:color w:val="auto"/>
              </w:rPr>
              <w:t>M&amp;E</w:t>
            </w:r>
            <w:r w:rsidR="06FDCC89" w:rsidRPr="246E3E95">
              <w:rPr>
                <w:color w:val="auto"/>
              </w:rPr>
              <w:t xml:space="preserve"> alignment</w:t>
            </w:r>
            <w:r w:rsidR="4C3B710D" w:rsidRPr="246E3E95">
              <w:rPr>
                <w:color w:val="auto"/>
              </w:rPr>
              <w:t xml:space="preserve"> across all investments to ensure better data collection and </w:t>
            </w:r>
            <w:r w:rsidR="398BE003" w:rsidRPr="246E3E95">
              <w:rPr>
                <w:color w:val="auto"/>
              </w:rPr>
              <w:t>reporting.</w:t>
            </w:r>
            <w:r w:rsidR="096D2225" w:rsidRPr="246E3E95">
              <w:rPr>
                <w:color w:val="auto"/>
              </w:rPr>
              <w:t xml:space="preserve"> </w:t>
            </w:r>
          </w:p>
          <w:p w14:paraId="472D9B26" w14:textId="0275E8DD" w:rsidR="00BB5FD2" w:rsidRPr="008A0512" w:rsidRDefault="2CA3428D" w:rsidP="14050A0A">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D</w:t>
            </w:r>
            <w:r w:rsidR="41411D2A" w:rsidRPr="5D2BC83C">
              <w:rPr>
                <w:color w:val="auto"/>
              </w:rPr>
              <w:t xml:space="preserve">elivery partners are required to </w:t>
            </w:r>
            <w:r w:rsidR="48F6161D" w:rsidRPr="5D2BC83C">
              <w:rPr>
                <w:color w:val="auto"/>
              </w:rPr>
              <w:t xml:space="preserve">employ </w:t>
            </w:r>
            <w:r w:rsidR="41411D2A" w:rsidRPr="5D2BC83C">
              <w:rPr>
                <w:color w:val="auto"/>
              </w:rPr>
              <w:t xml:space="preserve">effective M&amp;E approaches and </w:t>
            </w:r>
            <w:r w:rsidR="48F6161D" w:rsidRPr="5D2BC83C">
              <w:rPr>
                <w:color w:val="auto"/>
              </w:rPr>
              <w:t>engage</w:t>
            </w:r>
            <w:r w:rsidR="53656F36" w:rsidRPr="5D2BC83C">
              <w:rPr>
                <w:color w:val="auto"/>
              </w:rPr>
              <w:t xml:space="preserve"> effective </w:t>
            </w:r>
            <w:r w:rsidR="41411D2A" w:rsidRPr="5D2BC83C">
              <w:rPr>
                <w:color w:val="auto"/>
              </w:rPr>
              <w:t xml:space="preserve">personnel and therefore should not need additional training and mentoring beyond advice/ guidance </w:t>
            </w:r>
            <w:r w:rsidR="64F161C8" w:rsidRPr="5D2BC83C">
              <w:rPr>
                <w:color w:val="auto"/>
              </w:rPr>
              <w:t xml:space="preserve">from HDMES </w:t>
            </w:r>
            <w:r w:rsidR="41411D2A" w:rsidRPr="5D2BC83C">
              <w:rPr>
                <w:color w:val="auto"/>
              </w:rPr>
              <w:t>on alignment of M&amp;E approaches</w:t>
            </w:r>
            <w:r w:rsidR="671C0A8F" w:rsidRPr="5D2BC83C">
              <w:rPr>
                <w:color w:val="auto"/>
              </w:rPr>
              <w:t>.</w:t>
            </w:r>
          </w:p>
          <w:p w14:paraId="41A34AFA" w14:textId="7B5FF83A" w:rsidR="00BB5FD2" w:rsidRPr="008A0512" w:rsidRDefault="1C1EB12A" w:rsidP="5D2BC83C">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 xml:space="preserve">The AHC engages HDMES in learning events on an as needs basis. </w:t>
            </w:r>
          </w:p>
        </w:tc>
        <w:tc>
          <w:tcPr>
            <w:tcW w:w="3685" w:type="dxa"/>
          </w:tcPr>
          <w:p w14:paraId="30803C2D" w14:textId="5FA7DE1D" w:rsidR="00BB5FD2" w:rsidRPr="008A0512" w:rsidRDefault="2AAB4980" w:rsidP="215412B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 xml:space="preserve">The </w:t>
            </w:r>
            <w:r w:rsidR="643AE3C1" w:rsidRPr="5D2BC83C">
              <w:rPr>
                <w:color w:val="auto"/>
              </w:rPr>
              <w:t xml:space="preserve">HDMES 2023/ 2024 workplan includes </w:t>
            </w:r>
            <w:r w:rsidR="3B1035DF" w:rsidRPr="5D2BC83C">
              <w:rPr>
                <w:color w:val="auto"/>
              </w:rPr>
              <w:t xml:space="preserve">the provision of </w:t>
            </w:r>
            <w:r w:rsidR="643AE3C1" w:rsidRPr="5D2BC83C">
              <w:rPr>
                <w:color w:val="auto"/>
              </w:rPr>
              <w:t xml:space="preserve">quality assurance of all </w:t>
            </w:r>
            <w:r w:rsidR="76B9283E" w:rsidRPr="5D2BC83C">
              <w:rPr>
                <w:color w:val="auto"/>
              </w:rPr>
              <w:t>relevant</w:t>
            </w:r>
            <w:r w:rsidR="643AE3C1" w:rsidRPr="5D2BC83C">
              <w:rPr>
                <w:color w:val="auto"/>
              </w:rPr>
              <w:t xml:space="preserve"> investment </w:t>
            </w:r>
            <w:r w:rsidR="33491258" w:rsidRPr="5D2BC83C">
              <w:rPr>
                <w:color w:val="auto"/>
              </w:rPr>
              <w:t>documentation</w:t>
            </w:r>
            <w:r w:rsidR="643AE3C1" w:rsidRPr="5D2BC83C">
              <w:rPr>
                <w:color w:val="auto"/>
              </w:rPr>
              <w:t xml:space="preserve"> </w:t>
            </w:r>
            <w:r w:rsidR="747028C8" w:rsidRPr="5D2BC83C">
              <w:rPr>
                <w:color w:val="auto"/>
              </w:rPr>
              <w:t xml:space="preserve">and support to partners to </w:t>
            </w:r>
            <w:r w:rsidR="39017100" w:rsidRPr="5D2BC83C">
              <w:rPr>
                <w:color w:val="auto"/>
              </w:rPr>
              <w:t xml:space="preserve">ensure DFAT’s </w:t>
            </w:r>
            <w:r w:rsidR="21E32F80" w:rsidRPr="5D2BC83C">
              <w:rPr>
                <w:color w:val="auto"/>
              </w:rPr>
              <w:t xml:space="preserve">M&amp;E </w:t>
            </w:r>
            <w:r w:rsidR="39017100" w:rsidRPr="5D2BC83C">
              <w:rPr>
                <w:color w:val="auto"/>
              </w:rPr>
              <w:t xml:space="preserve">standards </w:t>
            </w:r>
            <w:r w:rsidR="21E32F80" w:rsidRPr="5D2BC83C">
              <w:rPr>
                <w:color w:val="auto"/>
              </w:rPr>
              <w:t>are met</w:t>
            </w:r>
            <w:r w:rsidR="747028C8" w:rsidRPr="5D2BC83C">
              <w:rPr>
                <w:color w:val="auto"/>
              </w:rPr>
              <w:t xml:space="preserve">. </w:t>
            </w:r>
          </w:p>
        </w:tc>
        <w:tc>
          <w:tcPr>
            <w:tcW w:w="1459" w:type="dxa"/>
          </w:tcPr>
          <w:p w14:paraId="42916A1B" w14:textId="2A84D807" w:rsidR="00BB5FD2" w:rsidRPr="008A0512" w:rsidRDefault="74867A11" w:rsidP="215412BB">
            <w:pPr>
              <w:cnfStyle w:val="000000100000" w:firstRow="0" w:lastRow="0" w:firstColumn="0" w:lastColumn="0" w:oddVBand="0" w:evenVBand="0" w:oddHBand="1" w:evenHBand="0" w:firstRowFirstColumn="0" w:firstRowLastColumn="0" w:lastRowFirstColumn="0" w:lastRowLastColumn="0"/>
              <w:rPr>
                <w:color w:val="auto"/>
              </w:rPr>
            </w:pPr>
            <w:r w:rsidRPr="215412BB">
              <w:rPr>
                <w:color w:val="auto"/>
              </w:rPr>
              <w:t>2023 onwards</w:t>
            </w:r>
          </w:p>
        </w:tc>
      </w:tr>
      <w:bookmarkEnd w:id="1"/>
    </w:tbl>
    <w:p w14:paraId="6CD5609B" w14:textId="4DAFC7D2" w:rsidR="00C10415" w:rsidRDefault="00C10415" w:rsidP="004C6EA1">
      <w:pPr>
        <w:rPr>
          <w:lang w:val="en-AU"/>
        </w:rPr>
      </w:pPr>
    </w:p>
    <w:p w14:paraId="4D687C66" w14:textId="2893B6FB" w:rsidR="00B11AC6" w:rsidRPr="005D0EAC" w:rsidRDefault="00B11AC6" w:rsidP="00B11AC6">
      <w:pPr>
        <w:rPr>
          <w:b/>
          <w:bCs/>
          <w:color w:val="auto"/>
        </w:rPr>
      </w:pPr>
      <w:r w:rsidRPr="5D2BC83C">
        <w:rPr>
          <w:b/>
          <w:bCs/>
          <w:color w:val="auto"/>
        </w:rPr>
        <w:t>Future DFAT Health Programming in PNG</w:t>
      </w:r>
    </w:p>
    <w:p w14:paraId="5A52D0D6" w14:textId="3C79260D" w:rsidR="00B11AC6" w:rsidRDefault="00B11AC6" w:rsidP="5D2BC83C">
      <w:pPr>
        <w:rPr>
          <w:rFonts w:cs="Calibri"/>
          <w:i/>
          <w:iCs/>
          <w:color w:val="auto"/>
          <w:lang w:val="en-AU"/>
        </w:rPr>
      </w:pPr>
      <w:r w:rsidRPr="5D2BC83C">
        <w:rPr>
          <w:rFonts w:cs="Calibri"/>
          <w:i/>
          <w:iCs/>
          <w:color w:val="auto"/>
          <w:lang w:val="en-AU"/>
        </w:rPr>
        <w:t>Longer-term recommendations are concerned with the key issues that the portfolio design must address.</w:t>
      </w:r>
    </w:p>
    <w:p w14:paraId="14885690" w14:textId="77777777" w:rsidR="00B11AC6" w:rsidRDefault="00B11AC6" w:rsidP="004C6EA1">
      <w:pPr>
        <w:rPr>
          <w:lang w:val="en-AU"/>
        </w:rPr>
      </w:pPr>
    </w:p>
    <w:tbl>
      <w:tblPr>
        <w:tblStyle w:val="DFATTable1"/>
        <w:tblW w:w="1464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886"/>
        <w:gridCol w:w="1327"/>
        <w:gridCol w:w="4727"/>
        <w:gridCol w:w="2487"/>
        <w:gridCol w:w="1215"/>
      </w:tblGrid>
      <w:tr w:rsidR="00B11AC6" w14:paraId="1AA88399" w14:textId="77777777" w:rsidTr="246E3E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965" w:type="dxa"/>
            <w:hideMark/>
          </w:tcPr>
          <w:p w14:paraId="0D481641" w14:textId="77777777" w:rsidR="00B11AC6" w:rsidRPr="008A0512" w:rsidRDefault="00B11AC6" w:rsidP="008E24AB">
            <w:pPr>
              <w:pStyle w:val="TableHeaderRow"/>
              <w:rPr>
                <w:color w:val="auto"/>
              </w:rPr>
            </w:pPr>
            <w:r w:rsidRPr="215412BB">
              <w:rPr>
                <w:color w:val="auto"/>
              </w:rPr>
              <w:lastRenderedPageBreak/>
              <w:t>Recommendation</w:t>
            </w:r>
          </w:p>
        </w:tc>
        <w:tc>
          <w:tcPr>
            <w:tcW w:w="1333" w:type="dxa"/>
            <w:hideMark/>
          </w:tcPr>
          <w:p w14:paraId="218A82CC" w14:textId="77777777" w:rsidR="00B11AC6" w:rsidRPr="008A0512" w:rsidRDefault="00B11AC6" w:rsidP="008E24A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215412BB">
              <w:rPr>
                <w:color w:val="auto"/>
              </w:rPr>
              <w:t xml:space="preserve">Response </w:t>
            </w:r>
          </w:p>
        </w:tc>
        <w:tc>
          <w:tcPr>
            <w:tcW w:w="4805" w:type="dxa"/>
            <w:hideMark/>
          </w:tcPr>
          <w:p w14:paraId="59C89503" w14:textId="7D3733F7" w:rsidR="00B11AC6" w:rsidRPr="008A0512" w:rsidRDefault="2160AF33" w:rsidP="008E24A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5D2BC83C">
              <w:rPr>
                <w:color w:val="auto"/>
              </w:rPr>
              <w:t>Comment</w:t>
            </w:r>
          </w:p>
        </w:tc>
        <w:tc>
          <w:tcPr>
            <w:tcW w:w="2505" w:type="dxa"/>
            <w:hideMark/>
          </w:tcPr>
          <w:p w14:paraId="7F098A2C" w14:textId="0CCBCEDC" w:rsidR="00B11AC6" w:rsidRPr="008A0512" w:rsidRDefault="0A71BD98" w:rsidP="008E24AB">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5D2BC83C">
              <w:rPr>
                <w:color w:val="auto"/>
              </w:rPr>
              <w:t>Next Steps</w:t>
            </w:r>
          </w:p>
        </w:tc>
        <w:tc>
          <w:tcPr>
            <w:tcW w:w="1034" w:type="dxa"/>
            <w:hideMark/>
          </w:tcPr>
          <w:p w14:paraId="2C06C461" w14:textId="77777777" w:rsidR="00B11AC6" w:rsidRPr="00835C17" w:rsidRDefault="00B11AC6" w:rsidP="008E24AB">
            <w:pPr>
              <w:pStyle w:val="TableHeaderRow"/>
              <w:cnfStyle w:val="100000000000" w:firstRow="1" w:lastRow="0" w:firstColumn="0" w:lastColumn="0" w:oddVBand="0" w:evenVBand="0" w:oddHBand="0" w:evenHBand="0" w:firstRowFirstColumn="0" w:firstRowLastColumn="0" w:lastRowFirstColumn="0" w:lastRowLastColumn="0"/>
              <w:rPr>
                <w:color w:val="auto"/>
              </w:rPr>
            </w:pPr>
            <w:bookmarkStart w:id="8" w:name="_Int_yluS2xmK"/>
            <w:r w:rsidRPr="5D2BC83C">
              <w:rPr>
                <w:color w:val="auto"/>
              </w:rPr>
              <w:t>Timeframe</w:t>
            </w:r>
            <w:bookmarkEnd w:id="8"/>
          </w:p>
        </w:tc>
      </w:tr>
      <w:tr w:rsidR="00B11AC6" w14:paraId="123A3A34" w14:textId="77777777" w:rsidTr="246E3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5" w:type="dxa"/>
          </w:tcPr>
          <w:p w14:paraId="15AD08BD" w14:textId="77777777" w:rsidR="00B11AC6" w:rsidRPr="00E83A2B" w:rsidRDefault="00B11AC6" w:rsidP="008E24AB">
            <w:pPr>
              <w:rPr>
                <w:color w:val="auto"/>
              </w:rPr>
            </w:pPr>
            <w:r w:rsidRPr="215412BB">
              <w:rPr>
                <w:color w:val="auto"/>
              </w:rPr>
              <w:t>Recommendation 1</w:t>
            </w:r>
          </w:p>
          <w:p w14:paraId="2A34F435" w14:textId="2D8CE14C" w:rsidR="00BC69F6" w:rsidRPr="00E83A2B" w:rsidRDefault="00B11AC6" w:rsidP="246E3E95">
            <w:pPr>
              <w:rPr>
                <w:i/>
                <w:iCs/>
                <w:color w:val="auto"/>
              </w:rPr>
            </w:pPr>
            <w:r w:rsidRPr="246E3E95">
              <w:rPr>
                <w:b/>
                <w:bCs/>
                <w:i/>
                <w:iCs/>
                <w:color w:val="auto"/>
              </w:rPr>
              <w:t>Resolve the Service Delivery versus Systems Strengthening Tension</w:t>
            </w:r>
            <w:r w:rsidRPr="246E3E95">
              <w:rPr>
                <w:i/>
                <w:iCs/>
                <w:color w:val="auto"/>
              </w:rPr>
              <w:t>: A recurring tension highlighted by this Review is that between service delivery initiatives by HPP investments and initiatives to strengthen the PNG health system. This tension needs to be resolved. The Review recommends an explicit recognition of the necessity for Australia to support service delivery, and clear parameters around the circumstances about how and where that should happen and what should be done to maximise system level outcomes and mitigate negative unintended consequences. </w:t>
            </w:r>
          </w:p>
        </w:tc>
        <w:tc>
          <w:tcPr>
            <w:tcW w:w="1333" w:type="dxa"/>
            <w:shd w:val="clear" w:color="auto" w:fill="FFC000"/>
            <w:hideMark/>
          </w:tcPr>
          <w:p w14:paraId="4C895BE9" w14:textId="77777777" w:rsidR="00B11AC6" w:rsidRPr="008A0512"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215412BB">
              <w:rPr>
                <w:color w:val="auto"/>
              </w:rPr>
              <w:t>Partially Agree</w:t>
            </w:r>
          </w:p>
        </w:tc>
        <w:tc>
          <w:tcPr>
            <w:tcW w:w="4805" w:type="dxa"/>
          </w:tcPr>
          <w:p w14:paraId="4C97DE7F" w14:textId="09C42B1D" w:rsidR="00B11AC6" w:rsidRPr="008A0512"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246E3E95">
              <w:rPr>
                <w:color w:val="auto"/>
              </w:rPr>
              <w:t>We do not agree with t</w:t>
            </w:r>
            <w:r w:rsidR="17941E64" w:rsidRPr="246E3E95">
              <w:rPr>
                <w:color w:val="auto"/>
              </w:rPr>
              <w:t>he review’s characterisation of the</w:t>
            </w:r>
            <w:r w:rsidRPr="246E3E95">
              <w:rPr>
                <w:color w:val="auto"/>
              </w:rPr>
              <w:t xml:space="preserve"> tension within the program between service delivery and systems strengthening. </w:t>
            </w:r>
          </w:p>
          <w:p w14:paraId="793F9AB4" w14:textId="7F9F6C31" w:rsidR="00B11AC6" w:rsidRPr="008A0512"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 xml:space="preserve">All investments under the </w:t>
            </w:r>
            <w:r w:rsidR="1E2D7F93" w:rsidRPr="5D2BC83C">
              <w:rPr>
                <w:color w:val="auto"/>
              </w:rPr>
              <w:t xml:space="preserve">2018-2023 </w:t>
            </w:r>
            <w:r w:rsidRPr="5D2BC83C">
              <w:rPr>
                <w:color w:val="auto"/>
              </w:rPr>
              <w:t>HPP include</w:t>
            </w:r>
            <w:r w:rsidR="1E2D7F93" w:rsidRPr="5D2BC83C">
              <w:rPr>
                <w:color w:val="auto"/>
              </w:rPr>
              <w:t>d</w:t>
            </w:r>
            <w:r w:rsidRPr="5D2BC83C">
              <w:rPr>
                <w:color w:val="auto"/>
              </w:rPr>
              <w:t xml:space="preserve"> systems support </w:t>
            </w:r>
            <w:proofErr w:type="gramStart"/>
            <w:r w:rsidRPr="5D2BC83C">
              <w:rPr>
                <w:color w:val="auto"/>
              </w:rPr>
              <w:t>elements</w:t>
            </w:r>
            <w:proofErr w:type="gramEnd"/>
            <w:r w:rsidRPr="5D2BC83C">
              <w:rPr>
                <w:color w:val="auto"/>
              </w:rPr>
              <w:t xml:space="preserve"> and some include service delivery. None are entirely service delivery programs. </w:t>
            </w:r>
          </w:p>
          <w:p w14:paraId="181EF32A" w14:textId="180CCD40" w:rsidR="00B11AC6" w:rsidRPr="008A0512"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246E3E95">
              <w:rPr>
                <w:color w:val="auto"/>
              </w:rPr>
              <w:t xml:space="preserve">We agree that </w:t>
            </w:r>
            <w:r w:rsidR="49F008EF" w:rsidRPr="246E3E95">
              <w:rPr>
                <w:color w:val="auto"/>
              </w:rPr>
              <w:t xml:space="preserve">explicit recognition of the necessity for </w:t>
            </w:r>
            <w:r w:rsidRPr="246E3E95">
              <w:rPr>
                <w:color w:val="auto"/>
              </w:rPr>
              <w:t xml:space="preserve">Australia </w:t>
            </w:r>
            <w:r w:rsidR="29427B88" w:rsidRPr="246E3E95">
              <w:rPr>
                <w:color w:val="auto"/>
              </w:rPr>
              <w:t>to</w:t>
            </w:r>
            <w:r w:rsidRPr="246E3E95">
              <w:rPr>
                <w:color w:val="auto"/>
              </w:rPr>
              <w:t xml:space="preserve"> continue to support health service delivery</w:t>
            </w:r>
            <w:r w:rsidR="5D4C55EB" w:rsidRPr="246E3E95">
              <w:rPr>
                <w:color w:val="auto"/>
              </w:rPr>
              <w:t xml:space="preserve"> is needed. </w:t>
            </w:r>
          </w:p>
        </w:tc>
        <w:tc>
          <w:tcPr>
            <w:tcW w:w="2505" w:type="dxa"/>
          </w:tcPr>
          <w:p w14:paraId="76634AD3" w14:textId="52731E08" w:rsidR="00B11AC6" w:rsidRPr="00AB7A03" w:rsidRDefault="62755CCD" w:rsidP="008E24A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 xml:space="preserve">We will continue </w:t>
            </w:r>
            <w:r w:rsidR="7515EF83" w:rsidRPr="5D2BC83C">
              <w:rPr>
                <w:color w:val="auto"/>
              </w:rPr>
              <w:t>to</w:t>
            </w:r>
            <w:r w:rsidRPr="5D2BC83C">
              <w:rPr>
                <w:color w:val="auto"/>
              </w:rPr>
              <w:t xml:space="preserve"> refine our </w:t>
            </w:r>
            <w:r w:rsidR="00B11AC6" w:rsidRPr="5D2BC83C">
              <w:rPr>
                <w:color w:val="auto"/>
              </w:rPr>
              <w:t>support</w:t>
            </w:r>
            <w:r w:rsidR="49AC2858" w:rsidRPr="5D2BC83C">
              <w:rPr>
                <w:color w:val="auto"/>
              </w:rPr>
              <w:t xml:space="preserve"> </w:t>
            </w:r>
            <w:r w:rsidR="00B11AC6" w:rsidRPr="5D2BC83C">
              <w:rPr>
                <w:color w:val="auto"/>
              </w:rPr>
              <w:t>in both health service delivery and for</w:t>
            </w:r>
            <w:r w:rsidR="6C32328C" w:rsidRPr="5D2BC83C">
              <w:rPr>
                <w:color w:val="auto"/>
              </w:rPr>
              <w:t xml:space="preserve"> the</w:t>
            </w:r>
            <w:r w:rsidR="49AC2858" w:rsidRPr="5D2BC83C">
              <w:rPr>
                <w:color w:val="auto"/>
              </w:rPr>
              <w:t xml:space="preserve"> PNG</w:t>
            </w:r>
            <w:r w:rsidR="00B11AC6" w:rsidRPr="5D2BC83C">
              <w:rPr>
                <w:color w:val="auto"/>
              </w:rPr>
              <w:t xml:space="preserve"> health system. </w:t>
            </w:r>
            <w:r w:rsidR="611B61EE" w:rsidRPr="5D2BC83C">
              <w:rPr>
                <w:color w:val="auto"/>
              </w:rPr>
              <w:t>The necessity o</w:t>
            </w:r>
            <w:r w:rsidR="4D463DC3" w:rsidRPr="5D2BC83C">
              <w:rPr>
                <w:color w:val="auto"/>
              </w:rPr>
              <w:t>f this support</w:t>
            </w:r>
            <w:r w:rsidR="6D80CDDC" w:rsidRPr="5D2BC83C">
              <w:rPr>
                <w:color w:val="auto"/>
              </w:rPr>
              <w:t>, and a framework for our approach,</w:t>
            </w:r>
            <w:r w:rsidR="4D463DC3" w:rsidRPr="5D2BC83C">
              <w:rPr>
                <w:color w:val="auto"/>
              </w:rPr>
              <w:t xml:space="preserve"> will be </w:t>
            </w:r>
            <w:r w:rsidR="24BE3D5E" w:rsidRPr="5D2BC83C">
              <w:rPr>
                <w:color w:val="auto"/>
              </w:rPr>
              <w:t>reflected</w:t>
            </w:r>
            <w:r w:rsidR="4D463DC3" w:rsidRPr="5D2BC83C">
              <w:rPr>
                <w:color w:val="auto"/>
              </w:rPr>
              <w:t xml:space="preserve"> in the new HPP.</w:t>
            </w:r>
          </w:p>
        </w:tc>
        <w:tc>
          <w:tcPr>
            <w:tcW w:w="1034" w:type="dxa"/>
          </w:tcPr>
          <w:p w14:paraId="5A3A862C" w14:textId="094BDE62" w:rsidR="00B11AC6" w:rsidRPr="00AB7A03"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5D2BC83C">
              <w:rPr>
                <w:color w:val="auto"/>
              </w:rPr>
              <w:t>2024</w:t>
            </w:r>
          </w:p>
        </w:tc>
      </w:tr>
      <w:tr w:rsidR="00B11AC6" w14:paraId="3294ABA6" w14:textId="77777777" w:rsidTr="246E3E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5" w:type="dxa"/>
          </w:tcPr>
          <w:p w14:paraId="5ED785CD" w14:textId="77777777" w:rsidR="00B11AC6" w:rsidRPr="00E83A2B" w:rsidRDefault="00B11AC6" w:rsidP="008E24AB">
            <w:pPr>
              <w:rPr>
                <w:color w:val="auto"/>
              </w:rPr>
            </w:pPr>
            <w:r w:rsidRPr="215412BB">
              <w:rPr>
                <w:color w:val="auto"/>
              </w:rPr>
              <w:t>Recommendation 2</w:t>
            </w:r>
          </w:p>
          <w:p w14:paraId="0D34EA0F" w14:textId="77777777" w:rsidR="00B11AC6" w:rsidRPr="00D672F4" w:rsidRDefault="00B11AC6" w:rsidP="5D2BC83C">
            <w:pPr>
              <w:rPr>
                <w:i/>
                <w:iCs/>
                <w:color w:val="auto"/>
              </w:rPr>
            </w:pPr>
            <w:r w:rsidRPr="5D2BC83C">
              <w:rPr>
                <w:b/>
                <w:bCs/>
                <w:i/>
                <w:iCs/>
                <w:color w:val="auto"/>
              </w:rPr>
              <w:t>Resolve the Narrow versus Expansive Geographical Coverage Approach:</w:t>
            </w:r>
            <w:r w:rsidRPr="5D2BC83C">
              <w:rPr>
                <w:i/>
                <w:iCs/>
                <w:color w:val="auto"/>
              </w:rPr>
              <w:t xml:space="preserve"> The Review recommends that the AHC should drive decisions about geographical coverage of investments through a portfolio lens that seeks to maximise opportunities for </w:t>
            </w:r>
            <w:bookmarkStart w:id="9" w:name="_Int_oEhmXbR7"/>
            <w:r w:rsidRPr="5D2BC83C">
              <w:rPr>
                <w:i/>
                <w:iCs/>
                <w:color w:val="auto"/>
              </w:rPr>
              <w:t>synergy</w:t>
            </w:r>
            <w:bookmarkEnd w:id="9"/>
            <w:r w:rsidRPr="5D2BC83C">
              <w:rPr>
                <w:i/>
                <w:iCs/>
                <w:color w:val="auto"/>
              </w:rPr>
              <w:t>, coordination, and a focus on cross-cutting themes.  </w:t>
            </w:r>
          </w:p>
        </w:tc>
        <w:tc>
          <w:tcPr>
            <w:tcW w:w="1333" w:type="dxa"/>
            <w:shd w:val="clear" w:color="auto" w:fill="FFC000"/>
          </w:tcPr>
          <w:p w14:paraId="6181BC4C" w14:textId="1D0676E1" w:rsidR="00B11AC6" w:rsidRPr="008A0512" w:rsidRDefault="3E3F1588" w:rsidP="5D2BC83C">
            <w:pPr>
              <w:cnfStyle w:val="000000010000" w:firstRow="0" w:lastRow="0" w:firstColumn="0" w:lastColumn="0" w:oddVBand="0" w:evenVBand="0" w:oddHBand="0" w:evenHBand="1" w:firstRowFirstColumn="0" w:firstRowLastColumn="0" w:lastRowFirstColumn="0" w:lastRowLastColumn="0"/>
              <w:rPr>
                <w:color w:val="auto"/>
              </w:rPr>
            </w:pPr>
            <w:r w:rsidRPr="5D2BC83C">
              <w:rPr>
                <w:color w:val="auto"/>
              </w:rPr>
              <w:t>Partially Agree</w:t>
            </w:r>
          </w:p>
          <w:p w14:paraId="788F10FF" w14:textId="77777777" w:rsidR="00B11AC6" w:rsidRPr="008A0512" w:rsidRDefault="00B11AC6" w:rsidP="5D2BC83C">
            <w:pPr>
              <w:cnfStyle w:val="000000010000" w:firstRow="0" w:lastRow="0" w:firstColumn="0" w:lastColumn="0" w:oddVBand="0" w:evenVBand="0" w:oddHBand="0" w:evenHBand="1" w:firstRowFirstColumn="0" w:firstRowLastColumn="0" w:lastRowFirstColumn="0" w:lastRowLastColumn="0"/>
              <w:rPr>
                <w:color w:val="auto"/>
              </w:rPr>
            </w:pPr>
          </w:p>
          <w:p w14:paraId="4203FA18" w14:textId="1A715928" w:rsidR="00B11AC6" w:rsidRPr="008A0512" w:rsidRDefault="00B11AC6" w:rsidP="5D2BC83C">
            <w:pPr>
              <w:cnfStyle w:val="000000010000" w:firstRow="0" w:lastRow="0" w:firstColumn="0" w:lastColumn="0" w:oddVBand="0" w:evenVBand="0" w:oddHBand="0" w:evenHBand="1" w:firstRowFirstColumn="0" w:firstRowLastColumn="0" w:lastRowFirstColumn="0" w:lastRowLastColumn="0"/>
              <w:rPr>
                <w:color w:val="auto"/>
              </w:rPr>
            </w:pPr>
          </w:p>
        </w:tc>
        <w:tc>
          <w:tcPr>
            <w:tcW w:w="4805" w:type="dxa"/>
          </w:tcPr>
          <w:p w14:paraId="3DC4C8CC" w14:textId="2D642799" w:rsidR="00BC69F6" w:rsidRPr="00093188" w:rsidRDefault="547E3031" w:rsidP="246E3E95">
            <w:pPr>
              <w:cnfStyle w:val="000000010000" w:firstRow="0" w:lastRow="0" w:firstColumn="0" w:lastColumn="0" w:oddVBand="0" w:evenVBand="0" w:oddHBand="0" w:evenHBand="1" w:firstRowFirstColumn="0" w:firstRowLastColumn="0" w:lastRowFirstColumn="0" w:lastRowLastColumn="0"/>
              <w:rPr>
                <w:color w:val="auto"/>
              </w:rPr>
            </w:pPr>
            <w:r w:rsidRPr="246E3E95">
              <w:rPr>
                <w:color w:val="auto"/>
              </w:rPr>
              <w:t>DFAT</w:t>
            </w:r>
            <w:r w:rsidR="0329B9F6" w:rsidRPr="246E3E95">
              <w:rPr>
                <w:color w:val="auto"/>
              </w:rPr>
              <w:t xml:space="preserve"> agree</w:t>
            </w:r>
            <w:r w:rsidR="03681B3B" w:rsidRPr="246E3E95">
              <w:rPr>
                <w:color w:val="auto"/>
              </w:rPr>
              <w:t>s</w:t>
            </w:r>
            <w:r w:rsidR="0329B9F6" w:rsidRPr="246E3E95">
              <w:rPr>
                <w:color w:val="auto"/>
              </w:rPr>
              <w:t xml:space="preserve"> with the need to maximise program alignment and synergy in locations where we have multiple investments. </w:t>
            </w:r>
          </w:p>
          <w:p w14:paraId="2D9E50D9" w14:textId="4171EA62" w:rsidR="00BC69F6" w:rsidRPr="00093188" w:rsidRDefault="0329B9F6" w:rsidP="008E24AB">
            <w:pPr>
              <w:cnfStyle w:val="000000010000" w:firstRow="0" w:lastRow="0" w:firstColumn="0" w:lastColumn="0" w:oddVBand="0" w:evenVBand="0" w:oddHBand="0" w:evenHBand="1" w:firstRowFirstColumn="0" w:firstRowLastColumn="0" w:lastRowFirstColumn="0" w:lastRowLastColumn="0"/>
              <w:rPr>
                <w:color w:val="auto"/>
              </w:rPr>
            </w:pPr>
            <w:r w:rsidRPr="246E3E95">
              <w:rPr>
                <w:color w:val="auto"/>
              </w:rPr>
              <w:t xml:space="preserve">However, rather than having to resolve program spread to either narrow or broad geographical coverage, </w:t>
            </w:r>
            <w:r w:rsidR="18814783" w:rsidRPr="246E3E95">
              <w:rPr>
                <w:color w:val="auto"/>
              </w:rPr>
              <w:t>a</w:t>
            </w:r>
            <w:r w:rsidR="00B11AC6" w:rsidRPr="246E3E95">
              <w:rPr>
                <w:color w:val="auto"/>
              </w:rPr>
              <w:t xml:space="preserve"> range of factors determine where our support is delivered, including disease burden, government priorities, comparative advantage, the work of other partners and existing commitments</w:t>
            </w:r>
            <w:r w:rsidR="7FA418C0" w:rsidRPr="246E3E95">
              <w:rPr>
                <w:color w:val="auto"/>
              </w:rPr>
              <w:t xml:space="preserve">. </w:t>
            </w:r>
          </w:p>
        </w:tc>
        <w:tc>
          <w:tcPr>
            <w:tcW w:w="2505" w:type="dxa"/>
          </w:tcPr>
          <w:p w14:paraId="2D905E6A" w14:textId="6B3AF284" w:rsidR="00E12E63" w:rsidRPr="00093188" w:rsidRDefault="00B11AC6" w:rsidP="008E24AB">
            <w:pPr>
              <w:cnfStyle w:val="000000010000" w:firstRow="0" w:lastRow="0" w:firstColumn="0" w:lastColumn="0" w:oddVBand="0" w:evenVBand="0" w:oddHBand="0" w:evenHBand="1" w:firstRowFirstColumn="0" w:firstRowLastColumn="0" w:lastRowFirstColumn="0" w:lastRowLastColumn="0"/>
              <w:rPr>
                <w:color w:val="auto"/>
              </w:rPr>
            </w:pPr>
            <w:r w:rsidRPr="5D2BC83C">
              <w:rPr>
                <w:color w:val="auto"/>
              </w:rPr>
              <w:t xml:space="preserve">The new HPP </w:t>
            </w:r>
            <w:r w:rsidR="196C6561" w:rsidRPr="5D2BC83C">
              <w:rPr>
                <w:color w:val="auto"/>
              </w:rPr>
              <w:t>considers</w:t>
            </w:r>
            <w:r w:rsidRPr="5D2BC83C">
              <w:rPr>
                <w:color w:val="auto"/>
              </w:rPr>
              <w:t xml:space="preserve"> geographic spread of health </w:t>
            </w:r>
            <w:r w:rsidR="7CE3FAB9" w:rsidRPr="5D2BC83C">
              <w:rPr>
                <w:color w:val="auto"/>
              </w:rPr>
              <w:t>investments to</w:t>
            </w:r>
            <w:r w:rsidRPr="5D2BC83C">
              <w:rPr>
                <w:color w:val="auto"/>
              </w:rPr>
              <w:t xml:space="preserve"> maximising </w:t>
            </w:r>
            <w:bookmarkStart w:id="10" w:name="_Int_NrwUsQw0"/>
            <w:r w:rsidRPr="5D2BC83C">
              <w:rPr>
                <w:color w:val="auto"/>
              </w:rPr>
              <w:t>synergy</w:t>
            </w:r>
            <w:bookmarkEnd w:id="10"/>
            <w:r w:rsidRPr="5D2BC83C">
              <w:rPr>
                <w:color w:val="auto"/>
              </w:rPr>
              <w:t xml:space="preserve">, coordination and address </w:t>
            </w:r>
            <w:r w:rsidR="78BED7F9" w:rsidRPr="5D2BC83C">
              <w:rPr>
                <w:color w:val="auto"/>
              </w:rPr>
              <w:t xml:space="preserve">government and </w:t>
            </w:r>
            <w:r w:rsidRPr="5D2BC83C">
              <w:rPr>
                <w:color w:val="auto"/>
              </w:rPr>
              <w:t>cross cutting priorities</w:t>
            </w:r>
            <w:r w:rsidR="7BF3BCE8" w:rsidRPr="5D2BC83C">
              <w:rPr>
                <w:color w:val="auto"/>
              </w:rPr>
              <w:t xml:space="preserve">. </w:t>
            </w:r>
          </w:p>
        </w:tc>
        <w:tc>
          <w:tcPr>
            <w:tcW w:w="1034" w:type="dxa"/>
          </w:tcPr>
          <w:p w14:paraId="1682CA39" w14:textId="77777777" w:rsidR="00B11AC6" w:rsidRPr="008A0512" w:rsidRDefault="00B11AC6" w:rsidP="008E24A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2024 onwards</w:t>
            </w:r>
          </w:p>
        </w:tc>
      </w:tr>
      <w:tr w:rsidR="00B11AC6" w14:paraId="0A6EA85E" w14:textId="77777777" w:rsidTr="246E3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5" w:type="dxa"/>
            <w:hideMark/>
          </w:tcPr>
          <w:p w14:paraId="0C89C8F6" w14:textId="77777777" w:rsidR="00B11AC6" w:rsidRDefault="00B11AC6" w:rsidP="008E24AB">
            <w:pPr>
              <w:rPr>
                <w:color w:val="auto"/>
              </w:rPr>
            </w:pPr>
            <w:r w:rsidRPr="215412BB">
              <w:rPr>
                <w:color w:val="auto"/>
              </w:rPr>
              <w:t xml:space="preserve">Recommendation 3 </w:t>
            </w:r>
          </w:p>
          <w:p w14:paraId="1CEF4E0D" w14:textId="77777777" w:rsidR="00B11AC6" w:rsidRPr="008F4A4D" w:rsidRDefault="00B11AC6" w:rsidP="008E24AB">
            <w:pPr>
              <w:rPr>
                <w:rFonts w:asciiTheme="majorHAnsi" w:hAnsiTheme="majorHAnsi"/>
                <w:i/>
                <w:iCs/>
                <w:color w:val="000000" w:themeColor="text1"/>
              </w:rPr>
            </w:pPr>
            <w:r w:rsidRPr="215412BB">
              <w:rPr>
                <w:rFonts w:asciiTheme="majorHAnsi" w:eastAsiaTheme="majorEastAsia" w:hAnsiTheme="majorHAnsi" w:cstheme="majorBidi"/>
                <w:b/>
                <w:bCs/>
                <w:i/>
                <w:iCs/>
                <w:color w:val="auto"/>
                <w:lang w:val="en-AU"/>
              </w:rPr>
              <w:t>Tackle PFM</w:t>
            </w:r>
            <w:r w:rsidRPr="215412BB">
              <w:rPr>
                <w:rFonts w:asciiTheme="majorHAnsi" w:eastAsiaTheme="majorEastAsia" w:hAnsiTheme="majorHAnsi" w:cstheme="majorBidi"/>
                <w:i/>
                <w:iCs/>
                <w:color w:val="auto"/>
                <w:lang w:val="en-AU"/>
              </w:rPr>
              <w:t xml:space="preserve">: The Review recommends an adaptive approach be taken to PFM strengthening, with all Australian funded initiatives aligned to a singular </w:t>
            </w:r>
            <w:r w:rsidRPr="215412BB">
              <w:rPr>
                <w:rFonts w:asciiTheme="majorHAnsi" w:eastAsiaTheme="majorEastAsia" w:hAnsiTheme="majorHAnsi" w:cstheme="majorBidi"/>
                <w:i/>
                <w:iCs/>
                <w:color w:val="auto"/>
                <w:lang w:val="en-AU"/>
              </w:rPr>
              <w:lastRenderedPageBreak/>
              <w:t xml:space="preserve">portfolio vision that is established in collaboration with </w:t>
            </w:r>
            <w:proofErr w:type="spellStart"/>
            <w:r w:rsidRPr="215412BB">
              <w:rPr>
                <w:rFonts w:asciiTheme="majorHAnsi" w:eastAsiaTheme="majorEastAsia" w:hAnsiTheme="majorHAnsi" w:cstheme="majorBidi"/>
                <w:i/>
                <w:iCs/>
                <w:color w:val="auto"/>
                <w:lang w:val="en-AU"/>
              </w:rPr>
              <w:t>NDoH</w:t>
            </w:r>
            <w:proofErr w:type="spellEnd"/>
            <w:r w:rsidRPr="215412BB">
              <w:rPr>
                <w:rFonts w:asciiTheme="majorHAnsi" w:eastAsiaTheme="majorEastAsia" w:hAnsiTheme="majorHAnsi" w:cstheme="majorBidi"/>
                <w:i/>
                <w:iCs/>
                <w:color w:val="auto"/>
                <w:lang w:val="en-AU"/>
              </w:rPr>
              <w:t xml:space="preserve"> (National Department of Health) and the central agencies.</w:t>
            </w:r>
            <w:r w:rsidRPr="215412BB">
              <w:rPr>
                <w:rFonts w:asciiTheme="majorHAnsi" w:hAnsiTheme="majorHAnsi"/>
                <w:i/>
                <w:iCs/>
                <w:color w:val="auto"/>
              </w:rPr>
              <w:t xml:space="preserve">  </w:t>
            </w:r>
          </w:p>
        </w:tc>
        <w:tc>
          <w:tcPr>
            <w:tcW w:w="1333" w:type="dxa"/>
            <w:shd w:val="clear" w:color="auto" w:fill="FFC000"/>
            <w:hideMark/>
          </w:tcPr>
          <w:p w14:paraId="2392038B"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215412BB">
              <w:rPr>
                <w:color w:val="auto"/>
              </w:rPr>
              <w:lastRenderedPageBreak/>
              <w:t>Partially Agree</w:t>
            </w:r>
          </w:p>
          <w:p w14:paraId="339EB587"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p>
        </w:tc>
        <w:tc>
          <w:tcPr>
            <w:tcW w:w="4805" w:type="dxa"/>
          </w:tcPr>
          <w:p w14:paraId="7806D649" w14:textId="2E164234" w:rsidR="00B11AC6" w:rsidRPr="008F4A4D" w:rsidRDefault="2D5C8CA2" w:rsidP="246E3E9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46E3E95">
              <w:rPr>
                <w:rFonts w:asciiTheme="majorHAnsi" w:hAnsiTheme="majorHAnsi"/>
                <w:color w:val="auto"/>
              </w:rPr>
              <w:t xml:space="preserve">We agree that greater alignment between development investments across PNG is possible. </w:t>
            </w:r>
          </w:p>
          <w:p w14:paraId="1A4EB478" w14:textId="3494B5DC" w:rsidR="00B11AC6" w:rsidRPr="008F4A4D" w:rsidRDefault="2D5C8CA2" w:rsidP="246E3E9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46E3E95">
              <w:rPr>
                <w:rFonts w:asciiTheme="majorHAnsi" w:hAnsiTheme="majorHAnsi"/>
                <w:color w:val="auto"/>
              </w:rPr>
              <w:t>I</w:t>
            </w:r>
            <w:r w:rsidR="00B11AC6" w:rsidRPr="246E3E95">
              <w:rPr>
                <w:rFonts w:asciiTheme="majorHAnsi" w:hAnsiTheme="majorHAnsi"/>
                <w:color w:val="auto"/>
              </w:rPr>
              <w:t xml:space="preserve">t is not feasible for all Australian development investments to prioritise PFM for health. </w:t>
            </w:r>
          </w:p>
        </w:tc>
        <w:tc>
          <w:tcPr>
            <w:tcW w:w="2505" w:type="dxa"/>
          </w:tcPr>
          <w:p w14:paraId="586E2B7F" w14:textId="47FB3134" w:rsidR="00B11AC6" w:rsidRPr="008F4A4D" w:rsidRDefault="1A13FE78" w:rsidP="5D2BC83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5D2BC83C">
              <w:rPr>
                <w:rFonts w:asciiTheme="majorHAnsi" w:hAnsiTheme="majorHAnsi"/>
                <w:color w:val="auto"/>
              </w:rPr>
              <w:t xml:space="preserve">The AHC health team </w:t>
            </w:r>
            <w:r w:rsidR="00B11AC6" w:rsidRPr="5D2BC83C">
              <w:rPr>
                <w:rFonts w:asciiTheme="majorHAnsi" w:hAnsiTheme="majorHAnsi"/>
                <w:color w:val="auto"/>
              </w:rPr>
              <w:t xml:space="preserve">will engage more closely with development investments in other sectors to maximise </w:t>
            </w:r>
            <w:r w:rsidR="00B11AC6" w:rsidRPr="5D2BC83C">
              <w:rPr>
                <w:rFonts w:asciiTheme="majorHAnsi" w:hAnsiTheme="majorHAnsi"/>
                <w:color w:val="auto"/>
              </w:rPr>
              <w:lastRenderedPageBreak/>
              <w:t xml:space="preserve">alignment and complementarity. </w:t>
            </w:r>
          </w:p>
        </w:tc>
        <w:tc>
          <w:tcPr>
            <w:tcW w:w="1034" w:type="dxa"/>
          </w:tcPr>
          <w:p w14:paraId="1587810E"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15412BB">
              <w:rPr>
                <w:rFonts w:asciiTheme="majorHAnsi" w:hAnsiTheme="majorHAnsi"/>
                <w:color w:val="auto"/>
              </w:rPr>
              <w:lastRenderedPageBreak/>
              <w:t>2023 onwards</w:t>
            </w:r>
          </w:p>
        </w:tc>
      </w:tr>
      <w:tr w:rsidR="00B11AC6" w14:paraId="4247D862" w14:textId="77777777" w:rsidTr="246E3E9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5" w:type="dxa"/>
          </w:tcPr>
          <w:p w14:paraId="523DCD0E" w14:textId="77777777" w:rsidR="00B11AC6" w:rsidRPr="0016619C" w:rsidRDefault="00B11AC6" w:rsidP="008E24AB">
            <w:pPr>
              <w:rPr>
                <w:color w:val="auto"/>
              </w:rPr>
            </w:pPr>
            <w:r w:rsidRPr="215412BB">
              <w:rPr>
                <w:color w:val="auto"/>
              </w:rPr>
              <w:t>Recommendation 4</w:t>
            </w:r>
          </w:p>
          <w:p w14:paraId="27F060B0" w14:textId="77777777" w:rsidR="00B11AC6" w:rsidRPr="00C33507" w:rsidRDefault="00B11AC6" w:rsidP="008E24AB">
            <w:pPr>
              <w:rPr>
                <w:rFonts w:asciiTheme="majorHAnsi" w:hAnsiTheme="majorHAnsi"/>
                <w:i/>
                <w:iCs/>
                <w:color w:val="000000" w:themeColor="text1"/>
              </w:rPr>
            </w:pPr>
            <w:r w:rsidRPr="215412BB">
              <w:rPr>
                <w:rFonts w:asciiTheme="majorHAnsi" w:eastAsiaTheme="majorEastAsia" w:hAnsiTheme="majorHAnsi" w:cstheme="majorBidi"/>
                <w:b/>
                <w:bCs/>
                <w:i/>
                <w:iCs/>
                <w:color w:val="auto"/>
                <w:lang w:val="en-AU"/>
              </w:rPr>
              <w:t>Adopt a Comprehensive GEDSI Approach</w:t>
            </w:r>
            <w:r w:rsidRPr="215412BB">
              <w:rPr>
                <w:rFonts w:asciiTheme="majorHAnsi" w:eastAsiaTheme="majorEastAsia" w:hAnsiTheme="majorHAnsi" w:cstheme="majorBidi"/>
                <w:i/>
                <w:iCs/>
                <w:color w:val="auto"/>
                <w:lang w:val="en-AU"/>
              </w:rPr>
              <w:t>: The Review recommends a successor to the HPP adopt a comprehensive, transformative GEDSI framework that is broad enough to enable diversity of approaches, but which incorporates sufficient commonality to harness combined impact.</w:t>
            </w:r>
            <w:r w:rsidRPr="215412BB">
              <w:rPr>
                <w:rFonts w:asciiTheme="majorHAnsi" w:hAnsiTheme="majorHAnsi"/>
                <w:i/>
                <w:iCs/>
                <w:color w:val="auto"/>
              </w:rPr>
              <w:t xml:space="preserve">     </w:t>
            </w:r>
          </w:p>
        </w:tc>
        <w:tc>
          <w:tcPr>
            <w:tcW w:w="1333" w:type="dxa"/>
            <w:shd w:val="clear" w:color="auto" w:fill="92D050"/>
          </w:tcPr>
          <w:p w14:paraId="4BBA082B" w14:textId="77777777" w:rsidR="00B11AC6" w:rsidRPr="008F4A4D" w:rsidRDefault="00B11AC6" w:rsidP="008E24AB">
            <w:pPr>
              <w:cnfStyle w:val="000000010000" w:firstRow="0" w:lastRow="0" w:firstColumn="0" w:lastColumn="0" w:oddVBand="0" w:evenVBand="0" w:oddHBand="0" w:evenHBand="1" w:firstRowFirstColumn="0" w:firstRowLastColumn="0" w:lastRowFirstColumn="0" w:lastRowLastColumn="0"/>
              <w:rPr>
                <w:color w:val="auto"/>
              </w:rPr>
            </w:pPr>
            <w:r w:rsidRPr="215412BB">
              <w:rPr>
                <w:color w:val="auto"/>
              </w:rPr>
              <w:t>Agree</w:t>
            </w:r>
          </w:p>
        </w:tc>
        <w:tc>
          <w:tcPr>
            <w:tcW w:w="4805" w:type="dxa"/>
          </w:tcPr>
          <w:p w14:paraId="40EA94D6" w14:textId="23199738" w:rsidR="00B11AC6" w:rsidRPr="00C46CAC" w:rsidRDefault="00B11AC6" w:rsidP="008F194F">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rPr>
            </w:pPr>
            <w:r w:rsidRPr="5D2BC83C">
              <w:rPr>
                <w:rFonts w:asciiTheme="majorHAnsi" w:hAnsiTheme="majorHAnsi"/>
                <w:color w:val="auto"/>
              </w:rPr>
              <w:t>GEDSI is receiving significant consideration in the design of the new Health Portfolio Plan</w:t>
            </w:r>
            <w:r w:rsidR="1699F92D" w:rsidRPr="5D2BC83C">
              <w:rPr>
                <w:rFonts w:asciiTheme="majorHAnsi" w:hAnsiTheme="majorHAnsi"/>
                <w:color w:val="auto"/>
              </w:rPr>
              <w:t xml:space="preserve">, in line with </w:t>
            </w:r>
            <w:hyperlink r:id="rId11" w:history="1">
              <w:r w:rsidR="28222BA0" w:rsidRPr="5D2BC83C">
                <w:rPr>
                  <w:rStyle w:val="Hyperlink"/>
                  <w:rFonts w:asciiTheme="majorHAnsi" w:hAnsiTheme="majorHAnsi" w:cstheme="minorBidi"/>
                </w:rPr>
                <w:t>Australia’s International Development Policy</w:t>
              </w:r>
            </w:hyperlink>
            <w:r w:rsidRPr="5D2BC83C">
              <w:rPr>
                <w:rFonts w:asciiTheme="majorHAnsi" w:hAnsiTheme="majorHAnsi"/>
                <w:color w:val="auto"/>
              </w:rPr>
              <w:t xml:space="preserve">. </w:t>
            </w:r>
          </w:p>
        </w:tc>
        <w:tc>
          <w:tcPr>
            <w:tcW w:w="2505" w:type="dxa"/>
          </w:tcPr>
          <w:p w14:paraId="025CB774" w14:textId="589368B2" w:rsidR="00F82E5D" w:rsidRPr="008F4A4D" w:rsidRDefault="00B11AC6" w:rsidP="008E24A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rPr>
            </w:pPr>
            <w:r w:rsidRPr="5D2BC83C">
              <w:rPr>
                <w:rFonts w:asciiTheme="majorHAnsi" w:hAnsiTheme="majorHAnsi"/>
                <w:color w:val="auto"/>
              </w:rPr>
              <w:t xml:space="preserve">A GEDSI toolkit </w:t>
            </w:r>
            <w:r w:rsidR="12F0C8C4" w:rsidRPr="5D2BC83C">
              <w:rPr>
                <w:rFonts w:asciiTheme="majorHAnsi" w:hAnsiTheme="majorHAnsi"/>
                <w:color w:val="auto"/>
              </w:rPr>
              <w:t xml:space="preserve">developed in 2023 </w:t>
            </w:r>
            <w:r w:rsidRPr="5D2BC83C">
              <w:rPr>
                <w:rFonts w:asciiTheme="majorHAnsi" w:hAnsiTheme="majorHAnsi"/>
                <w:color w:val="auto"/>
              </w:rPr>
              <w:t xml:space="preserve">is already being utilised by health investments to maximise </w:t>
            </w:r>
            <w:bookmarkStart w:id="11" w:name="_Int_sJSgeN0U"/>
            <w:r w:rsidRPr="5D2BC83C">
              <w:rPr>
                <w:rFonts w:asciiTheme="majorHAnsi" w:hAnsiTheme="majorHAnsi"/>
                <w:color w:val="auto"/>
              </w:rPr>
              <w:t>synergy</w:t>
            </w:r>
            <w:bookmarkEnd w:id="11"/>
            <w:r w:rsidRPr="5D2BC83C">
              <w:rPr>
                <w:rFonts w:asciiTheme="majorHAnsi" w:hAnsiTheme="majorHAnsi"/>
                <w:color w:val="auto"/>
              </w:rPr>
              <w:t xml:space="preserve"> and the ability to measure combined impact. This will continue to be used under the new HPP. </w:t>
            </w:r>
          </w:p>
        </w:tc>
        <w:tc>
          <w:tcPr>
            <w:tcW w:w="1034" w:type="dxa"/>
          </w:tcPr>
          <w:p w14:paraId="39F68B39" w14:textId="77777777" w:rsidR="00B11AC6" w:rsidRPr="008F4A4D" w:rsidRDefault="00B11AC6" w:rsidP="008E24A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rPr>
            </w:pPr>
            <w:r w:rsidRPr="215412BB">
              <w:rPr>
                <w:rFonts w:asciiTheme="majorHAnsi" w:hAnsiTheme="majorHAnsi"/>
                <w:color w:val="auto"/>
              </w:rPr>
              <w:t>2023 onwards</w:t>
            </w:r>
          </w:p>
        </w:tc>
      </w:tr>
      <w:tr w:rsidR="00B11AC6" w14:paraId="2AA59EFD" w14:textId="77777777" w:rsidTr="246E3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5" w:type="dxa"/>
          </w:tcPr>
          <w:p w14:paraId="59450DCD" w14:textId="77777777" w:rsidR="00B11AC6" w:rsidRDefault="00B11AC6" w:rsidP="008E24AB">
            <w:pPr>
              <w:rPr>
                <w:color w:val="auto"/>
              </w:rPr>
            </w:pPr>
            <w:r w:rsidRPr="215412BB">
              <w:rPr>
                <w:color w:val="auto"/>
              </w:rPr>
              <w:t xml:space="preserve">Recommendation 5 </w:t>
            </w:r>
          </w:p>
          <w:p w14:paraId="492F6862" w14:textId="77777777" w:rsidR="00B11AC6" w:rsidRPr="0016619C" w:rsidRDefault="00B11AC6" w:rsidP="008E24AB">
            <w:pPr>
              <w:rPr>
                <w:rFonts w:asciiTheme="majorHAnsi" w:hAnsiTheme="majorHAnsi"/>
                <w:i/>
                <w:iCs/>
                <w:color w:val="auto"/>
              </w:rPr>
            </w:pPr>
            <w:r w:rsidRPr="215412BB">
              <w:rPr>
                <w:rFonts w:asciiTheme="majorHAnsi" w:eastAsiaTheme="majorEastAsia" w:hAnsiTheme="majorHAnsi" w:cstheme="majorBidi"/>
                <w:b/>
                <w:bCs/>
                <w:i/>
                <w:iCs/>
                <w:color w:val="auto"/>
                <w:lang w:val="en-AU"/>
              </w:rPr>
              <w:t>Establish a Roadmap to Sustainability</w:t>
            </w:r>
            <w:r w:rsidRPr="215412BB">
              <w:rPr>
                <w:rFonts w:asciiTheme="majorHAnsi" w:eastAsiaTheme="majorEastAsia" w:hAnsiTheme="majorHAnsi" w:cstheme="majorBidi"/>
                <w:i/>
                <w:iCs/>
                <w:color w:val="auto"/>
                <w:lang w:val="en-AU"/>
              </w:rPr>
              <w:t>: The Review recommends the development of a Portfolio roadmap that establishes a series of stages that will eventually lead to the capacity to move away from project-based modalities and deliver aid through government systems.</w:t>
            </w:r>
            <w:r w:rsidRPr="215412BB">
              <w:rPr>
                <w:rFonts w:asciiTheme="majorHAnsi" w:hAnsiTheme="majorHAnsi"/>
                <w:i/>
                <w:iCs/>
                <w:color w:val="auto"/>
              </w:rPr>
              <w:t> </w:t>
            </w:r>
          </w:p>
        </w:tc>
        <w:tc>
          <w:tcPr>
            <w:tcW w:w="1333" w:type="dxa"/>
            <w:shd w:val="clear" w:color="auto" w:fill="92D050"/>
          </w:tcPr>
          <w:p w14:paraId="3AC45B8E"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color w:val="auto"/>
              </w:rPr>
            </w:pPr>
            <w:r w:rsidRPr="215412BB">
              <w:rPr>
                <w:color w:val="auto"/>
              </w:rPr>
              <w:t>Agree</w:t>
            </w:r>
          </w:p>
        </w:tc>
        <w:tc>
          <w:tcPr>
            <w:tcW w:w="4805" w:type="dxa"/>
          </w:tcPr>
          <w:p w14:paraId="19F93C44" w14:textId="4FFC55E7" w:rsidR="00B11AC6" w:rsidRPr="00C46CAC" w:rsidRDefault="00B11AC6" w:rsidP="5D2BC83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5D2BC83C">
              <w:rPr>
                <w:rFonts w:asciiTheme="majorHAnsi" w:hAnsiTheme="majorHAnsi"/>
                <w:color w:val="auto"/>
              </w:rPr>
              <w:t>The PNG Australia Transition to Health (PATH) program currently has an articulated Transition Strategy designed to stage the transition of key activities to greater engagement and management by Government of PNG</w:t>
            </w:r>
            <w:r w:rsidR="16FCA797" w:rsidRPr="5D2BC83C">
              <w:rPr>
                <w:rFonts w:asciiTheme="majorHAnsi" w:hAnsiTheme="majorHAnsi"/>
                <w:color w:val="auto"/>
              </w:rPr>
              <w:t xml:space="preserve"> (</w:t>
            </w:r>
            <w:proofErr w:type="spellStart"/>
            <w:r w:rsidR="16FCA797" w:rsidRPr="5D2BC83C">
              <w:rPr>
                <w:rFonts w:asciiTheme="majorHAnsi" w:hAnsiTheme="majorHAnsi"/>
                <w:color w:val="auto"/>
              </w:rPr>
              <w:t>GoPNG</w:t>
            </w:r>
            <w:proofErr w:type="spellEnd"/>
            <w:r w:rsidRPr="5D2BC83C">
              <w:rPr>
                <w:rFonts w:asciiTheme="majorHAnsi" w:hAnsiTheme="majorHAnsi"/>
                <w:color w:val="auto"/>
              </w:rPr>
              <w:t xml:space="preserve">). </w:t>
            </w:r>
            <w:r w:rsidR="5468621C" w:rsidRPr="5D2BC83C">
              <w:rPr>
                <w:rFonts w:asciiTheme="majorHAnsi" w:hAnsiTheme="majorHAnsi"/>
                <w:color w:val="auto"/>
              </w:rPr>
              <w:t>PATH</w:t>
            </w:r>
            <w:r w:rsidRPr="5D2BC83C">
              <w:rPr>
                <w:rFonts w:asciiTheme="majorHAnsi" w:hAnsiTheme="majorHAnsi"/>
                <w:color w:val="auto"/>
              </w:rPr>
              <w:t xml:space="preserve"> is the largest investment in the portfolio going forward.</w:t>
            </w:r>
          </w:p>
          <w:p w14:paraId="44B0C8DC" w14:textId="7664B49C" w:rsidR="00B11AC6" w:rsidRPr="00C46CAC" w:rsidRDefault="00B11AC6" w:rsidP="246E3E9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46E3E95">
              <w:rPr>
                <w:rFonts w:asciiTheme="majorHAnsi" w:hAnsiTheme="majorHAnsi"/>
                <w:color w:val="auto"/>
              </w:rPr>
              <w:t xml:space="preserve">All new activities under the HPP will be required to demonstrate how they will transition increasingly to </w:t>
            </w:r>
            <w:proofErr w:type="spellStart"/>
            <w:r w:rsidRPr="246E3E95">
              <w:rPr>
                <w:rFonts w:asciiTheme="majorHAnsi" w:hAnsiTheme="majorHAnsi"/>
                <w:color w:val="auto"/>
              </w:rPr>
              <w:t>GoPNG</w:t>
            </w:r>
            <w:proofErr w:type="spellEnd"/>
            <w:r w:rsidRPr="246E3E95">
              <w:rPr>
                <w:rFonts w:asciiTheme="majorHAnsi" w:hAnsiTheme="majorHAnsi"/>
                <w:color w:val="auto"/>
              </w:rPr>
              <w:t xml:space="preserve"> management and implementation. </w:t>
            </w:r>
          </w:p>
          <w:p w14:paraId="0989C2D7" w14:textId="13CAD4FE" w:rsidR="00B11AC6" w:rsidRPr="00C46CAC" w:rsidRDefault="4EB93C30" w:rsidP="246E3E9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46E3E95">
              <w:rPr>
                <w:rFonts w:asciiTheme="majorHAnsi" w:hAnsiTheme="majorHAnsi"/>
                <w:color w:val="auto"/>
              </w:rPr>
              <w:t>The ability to deliver development assistance through government systems relie</w:t>
            </w:r>
            <w:r w:rsidR="38A45362" w:rsidRPr="246E3E95">
              <w:rPr>
                <w:rFonts w:asciiTheme="majorHAnsi" w:hAnsiTheme="majorHAnsi"/>
                <w:color w:val="auto"/>
              </w:rPr>
              <w:t>s on ongoing PNG Government investment in health systems strengthening.</w:t>
            </w:r>
          </w:p>
        </w:tc>
        <w:tc>
          <w:tcPr>
            <w:tcW w:w="2505" w:type="dxa"/>
          </w:tcPr>
          <w:p w14:paraId="0504662F"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15412BB">
              <w:rPr>
                <w:rFonts w:asciiTheme="majorHAnsi" w:hAnsiTheme="majorHAnsi"/>
                <w:color w:val="auto"/>
              </w:rPr>
              <w:t xml:space="preserve">In addition to individual investments being required to demonstrate their approach to transitioning management of service delivery to Go PNG over time, long term sustainability is a core element of the new HPP. </w:t>
            </w:r>
          </w:p>
        </w:tc>
        <w:tc>
          <w:tcPr>
            <w:tcW w:w="1034" w:type="dxa"/>
          </w:tcPr>
          <w:p w14:paraId="14D0D5C5" w14:textId="77777777" w:rsidR="00B11AC6" w:rsidRPr="008F4A4D" w:rsidRDefault="00B11AC6" w:rsidP="008E24A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215412BB">
              <w:rPr>
                <w:rFonts w:asciiTheme="majorHAnsi" w:hAnsiTheme="majorHAnsi"/>
                <w:color w:val="auto"/>
              </w:rPr>
              <w:t>2024 onwards</w:t>
            </w:r>
          </w:p>
        </w:tc>
      </w:tr>
    </w:tbl>
    <w:p w14:paraId="6FA45D7B" w14:textId="34D0193B" w:rsidR="00B11AC6" w:rsidRPr="00C10415" w:rsidRDefault="00B11AC6" w:rsidP="00BC69F6">
      <w:pPr>
        <w:rPr>
          <w:lang w:val="en-AU"/>
        </w:rPr>
      </w:pPr>
    </w:p>
    <w:sectPr w:rsidR="00B11AC6" w:rsidRPr="00C10415" w:rsidSect="00837FE7">
      <w:footerReference w:type="default" r:id="rId12"/>
      <w:footerReference w:type="first" r:id="rId13"/>
      <w:pgSz w:w="16838" w:h="11906" w:orient="landscape" w:code="9"/>
      <w:pgMar w:top="1276" w:right="1080" w:bottom="851"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E904" w14:textId="77777777" w:rsidR="00EF4CA7" w:rsidRDefault="00EF4CA7" w:rsidP="003A5358">
      <w:r>
        <w:separator/>
      </w:r>
    </w:p>
  </w:endnote>
  <w:endnote w:type="continuationSeparator" w:id="0">
    <w:p w14:paraId="253F30E2" w14:textId="77777777" w:rsidR="00EF4CA7" w:rsidRDefault="00EF4CA7" w:rsidP="003A5358">
      <w:r>
        <w:continuationSeparator/>
      </w:r>
    </w:p>
  </w:endnote>
  <w:endnote w:type="continuationNotice" w:id="1">
    <w:p w14:paraId="1B9A45AE" w14:textId="77777777" w:rsidR="00EF4CA7" w:rsidRDefault="00EF4C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2674298"/>
      <w:docPartObj>
        <w:docPartGallery w:val="Page Numbers (Bottom of Page)"/>
        <w:docPartUnique/>
      </w:docPartObj>
    </w:sdtPr>
    <w:sdtEndPr>
      <w:rPr>
        <w:noProof/>
      </w:rPr>
    </w:sdtEndPr>
    <w:sdtContent>
      <w:p w14:paraId="141ED84F" w14:textId="0942F293" w:rsidR="00482F6F" w:rsidRPr="00883E21" w:rsidRDefault="00482F6F">
        <w:pPr>
          <w:pStyle w:val="Footer"/>
          <w:jc w:val="right"/>
          <w:rPr>
            <w:color w:val="auto"/>
          </w:rPr>
        </w:pPr>
        <w:r w:rsidRPr="00883E21">
          <w:rPr>
            <w:color w:val="auto"/>
          </w:rPr>
          <w:fldChar w:fldCharType="begin"/>
        </w:r>
        <w:r w:rsidRPr="00883E21">
          <w:rPr>
            <w:color w:val="auto"/>
          </w:rPr>
          <w:instrText xml:space="preserve"> PAGE   \* MERGEFORMAT </w:instrText>
        </w:r>
        <w:r w:rsidRPr="00883E21">
          <w:rPr>
            <w:color w:val="auto"/>
          </w:rPr>
          <w:fldChar w:fldCharType="separate"/>
        </w:r>
        <w:r w:rsidRPr="00883E21">
          <w:rPr>
            <w:noProof/>
            <w:color w:val="auto"/>
          </w:rPr>
          <w:t>2</w:t>
        </w:r>
        <w:r w:rsidRPr="00883E21">
          <w:rPr>
            <w:noProof/>
            <w:color w:val="auto"/>
          </w:rPr>
          <w:fldChar w:fldCharType="end"/>
        </w:r>
      </w:p>
    </w:sdtContent>
  </w:sdt>
  <w:p w14:paraId="482C4D04" w14:textId="50ACE6CB" w:rsidR="007451B9" w:rsidRDefault="007451B9" w:rsidP="00835C17">
    <w:pPr>
      <w:pStyle w:val="Classifica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654196845"/>
      <w:docPartObj>
        <w:docPartGallery w:val="Page Numbers (Bottom of Page)"/>
        <w:docPartUnique/>
      </w:docPartObj>
    </w:sdtPr>
    <w:sdtEndPr>
      <w:rPr>
        <w:noProof/>
      </w:rPr>
    </w:sdtEndPr>
    <w:sdtContent>
      <w:p w14:paraId="7C4B73AA" w14:textId="1995663B" w:rsidR="00482F6F" w:rsidRPr="00482F6F" w:rsidRDefault="00482F6F">
        <w:pPr>
          <w:pStyle w:val="Footer"/>
          <w:jc w:val="right"/>
          <w:rPr>
            <w:color w:val="auto"/>
          </w:rPr>
        </w:pPr>
        <w:r w:rsidRPr="00482F6F">
          <w:rPr>
            <w:color w:val="auto"/>
          </w:rPr>
          <w:fldChar w:fldCharType="begin"/>
        </w:r>
        <w:r w:rsidRPr="00482F6F">
          <w:rPr>
            <w:color w:val="auto"/>
          </w:rPr>
          <w:instrText xml:space="preserve"> PAGE   \* MERGEFORMAT </w:instrText>
        </w:r>
        <w:r w:rsidRPr="00482F6F">
          <w:rPr>
            <w:color w:val="auto"/>
          </w:rPr>
          <w:fldChar w:fldCharType="separate"/>
        </w:r>
        <w:r w:rsidRPr="00482F6F">
          <w:rPr>
            <w:noProof/>
            <w:color w:val="auto"/>
          </w:rPr>
          <w:t>2</w:t>
        </w:r>
        <w:r w:rsidRPr="00482F6F">
          <w:rPr>
            <w:noProof/>
            <w:color w:val="auto"/>
          </w:rPr>
          <w:fldChar w:fldCharType="end"/>
        </w:r>
      </w:p>
    </w:sdtContent>
  </w:sdt>
  <w:p w14:paraId="69D4DB2F" w14:textId="087D049C" w:rsidR="007451B9" w:rsidRPr="00482F6F" w:rsidRDefault="007451B9" w:rsidP="00A40F52">
    <w:pPr>
      <w:pStyle w:val="Footer"/>
      <w:ind w:left="0"/>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F5B0" w14:textId="77777777" w:rsidR="00EF4CA7" w:rsidRPr="008C5A0E" w:rsidRDefault="00EF4CA7" w:rsidP="003A5358">
      <w:pPr>
        <w:pStyle w:val="FootnoteSeparator"/>
      </w:pPr>
    </w:p>
  </w:footnote>
  <w:footnote w:type="continuationSeparator" w:id="0">
    <w:p w14:paraId="21141449" w14:textId="77777777" w:rsidR="00EF4CA7" w:rsidRDefault="00EF4CA7" w:rsidP="003A5358">
      <w:r>
        <w:continuationSeparator/>
      </w:r>
    </w:p>
  </w:footnote>
  <w:footnote w:type="continuationNotice" w:id="1">
    <w:p w14:paraId="2FE9EC20" w14:textId="77777777" w:rsidR="00EF4CA7" w:rsidRDefault="00EF4CA7">
      <w:pPr>
        <w:spacing w:before="0" w:after="0" w:line="240" w:lineRule="auto"/>
      </w:pPr>
    </w:p>
  </w:footnote>
  <w:footnote w:id="2">
    <w:p w14:paraId="53F2E5F8" w14:textId="6E67574F" w:rsidR="00163C99" w:rsidRPr="00A40F52" w:rsidRDefault="00163C99">
      <w:pPr>
        <w:pStyle w:val="FootnoteText"/>
        <w:rPr>
          <w:lang w:val="en-AU"/>
        </w:rPr>
      </w:pPr>
      <w:r>
        <w:rPr>
          <w:rStyle w:val="FootnoteReference"/>
        </w:rPr>
        <w:footnoteRef/>
      </w:r>
      <w:r>
        <w:t xml:space="preserve"> </w:t>
      </w:r>
      <w:r>
        <w:rPr>
          <w:lang w:val="en-AU"/>
        </w:rPr>
        <w:t xml:space="preserve">Recommendation text </w:t>
      </w:r>
      <w:r w:rsidR="00934C62">
        <w:rPr>
          <w:lang w:val="en-AU"/>
        </w:rPr>
        <w:t xml:space="preserve">in italics </w:t>
      </w:r>
      <w:r w:rsidR="007B4033">
        <w:rPr>
          <w:lang w:val="en-AU"/>
        </w:rPr>
        <w:t xml:space="preserve">extracted </w:t>
      </w:r>
      <w:r w:rsidR="00934C62">
        <w:rPr>
          <w:lang w:val="en-AU"/>
        </w:rPr>
        <w:t xml:space="preserve">from </w:t>
      </w:r>
      <w:r w:rsidR="007B4033">
        <w:rPr>
          <w:lang w:val="en-AU"/>
        </w:rPr>
        <w:t xml:space="preserve">the Executive Summary of the Mid-Term Review Report (pages 9-10).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5"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6"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D56043A"/>
    <w:multiLevelType w:val="multilevel"/>
    <w:tmpl w:val="69AEB596"/>
    <w:numStyleLink w:val="BulletsList"/>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0E2ABC"/>
    <w:multiLevelType w:val="multilevel"/>
    <w:tmpl w:val="3BBAD900"/>
    <w:numStyleLink w:val="HeadingsList"/>
  </w:abstractNum>
  <w:abstractNum w:abstractNumId="13"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51621071">
    <w:abstractNumId w:val="13"/>
  </w:num>
  <w:num w:numId="2" w16cid:durableId="1155028740">
    <w:abstractNumId w:val="1"/>
  </w:num>
  <w:num w:numId="3" w16cid:durableId="239564030">
    <w:abstractNumId w:val="6"/>
  </w:num>
  <w:num w:numId="4" w16cid:durableId="435175766">
    <w:abstractNumId w:val="7"/>
  </w:num>
  <w:num w:numId="5" w16cid:durableId="8140441">
    <w:abstractNumId w:val="10"/>
  </w:num>
  <w:num w:numId="6" w16cid:durableId="887226957">
    <w:abstractNumId w:val="1"/>
  </w:num>
  <w:num w:numId="7" w16cid:durableId="1936011411">
    <w:abstractNumId w:val="3"/>
  </w:num>
  <w:num w:numId="8" w16cid:durableId="602962436">
    <w:abstractNumId w:val="14"/>
  </w:num>
  <w:num w:numId="9" w16cid:durableId="1669403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2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2884700">
    <w:abstractNumId w:val="11"/>
  </w:num>
  <w:num w:numId="12" w16cid:durableId="237525280">
    <w:abstractNumId w:val="2"/>
  </w:num>
  <w:num w:numId="13" w16cid:durableId="83574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219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63647">
    <w:abstractNumId w:val="9"/>
  </w:num>
  <w:num w:numId="16" w16cid:durableId="124151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F6"/>
    <w:rsid w:val="00004AC9"/>
    <w:rsid w:val="00013F0E"/>
    <w:rsid w:val="0001666A"/>
    <w:rsid w:val="0001758F"/>
    <w:rsid w:val="0002080A"/>
    <w:rsid w:val="0002336C"/>
    <w:rsid w:val="00024337"/>
    <w:rsid w:val="00025D1E"/>
    <w:rsid w:val="00027287"/>
    <w:rsid w:val="0002782F"/>
    <w:rsid w:val="000356C3"/>
    <w:rsid w:val="000367B6"/>
    <w:rsid w:val="00040A8B"/>
    <w:rsid w:val="00042A3F"/>
    <w:rsid w:val="00047307"/>
    <w:rsid w:val="00047FBF"/>
    <w:rsid w:val="000524C5"/>
    <w:rsid w:val="00054E4D"/>
    <w:rsid w:val="00055A84"/>
    <w:rsid w:val="00057479"/>
    <w:rsid w:val="00060073"/>
    <w:rsid w:val="00061316"/>
    <w:rsid w:val="00064004"/>
    <w:rsid w:val="00067916"/>
    <w:rsid w:val="0008553E"/>
    <w:rsid w:val="00087380"/>
    <w:rsid w:val="00093188"/>
    <w:rsid w:val="00094D27"/>
    <w:rsid w:val="000972FD"/>
    <w:rsid w:val="00097470"/>
    <w:rsid w:val="000A7FA1"/>
    <w:rsid w:val="000B3155"/>
    <w:rsid w:val="000B321A"/>
    <w:rsid w:val="000B5035"/>
    <w:rsid w:val="000C02E0"/>
    <w:rsid w:val="000C3638"/>
    <w:rsid w:val="000D53CF"/>
    <w:rsid w:val="000E16E5"/>
    <w:rsid w:val="000E17E9"/>
    <w:rsid w:val="000E5037"/>
    <w:rsid w:val="000E79F6"/>
    <w:rsid w:val="000F12F0"/>
    <w:rsid w:val="000F2940"/>
    <w:rsid w:val="000F2A97"/>
    <w:rsid w:val="000F4901"/>
    <w:rsid w:val="00101A68"/>
    <w:rsid w:val="00105094"/>
    <w:rsid w:val="001055F8"/>
    <w:rsid w:val="0011276D"/>
    <w:rsid w:val="001244A4"/>
    <w:rsid w:val="001250CF"/>
    <w:rsid w:val="00125E4E"/>
    <w:rsid w:val="0013615E"/>
    <w:rsid w:val="00141E3E"/>
    <w:rsid w:val="00146016"/>
    <w:rsid w:val="0015356B"/>
    <w:rsid w:val="001541EA"/>
    <w:rsid w:val="00156A3D"/>
    <w:rsid w:val="00157C34"/>
    <w:rsid w:val="00157CF5"/>
    <w:rsid w:val="00163C99"/>
    <w:rsid w:val="0016585B"/>
    <w:rsid w:val="0016619C"/>
    <w:rsid w:val="00172E64"/>
    <w:rsid w:val="00173800"/>
    <w:rsid w:val="00176E78"/>
    <w:rsid w:val="00177828"/>
    <w:rsid w:val="00196DE3"/>
    <w:rsid w:val="001A100B"/>
    <w:rsid w:val="001A27B0"/>
    <w:rsid w:val="001A5534"/>
    <w:rsid w:val="001A61DD"/>
    <w:rsid w:val="001A79DE"/>
    <w:rsid w:val="001B64A4"/>
    <w:rsid w:val="001C013B"/>
    <w:rsid w:val="001C2CE5"/>
    <w:rsid w:val="001C5C4C"/>
    <w:rsid w:val="001C7935"/>
    <w:rsid w:val="001D10DD"/>
    <w:rsid w:val="001D36D7"/>
    <w:rsid w:val="001D4767"/>
    <w:rsid w:val="001D50A6"/>
    <w:rsid w:val="001D663E"/>
    <w:rsid w:val="001E0D37"/>
    <w:rsid w:val="001E1DC0"/>
    <w:rsid w:val="001E354F"/>
    <w:rsid w:val="001E6B2D"/>
    <w:rsid w:val="00203BF7"/>
    <w:rsid w:val="00205F30"/>
    <w:rsid w:val="002122E0"/>
    <w:rsid w:val="0022167B"/>
    <w:rsid w:val="0022186C"/>
    <w:rsid w:val="002241D1"/>
    <w:rsid w:val="00231149"/>
    <w:rsid w:val="0023347D"/>
    <w:rsid w:val="0023481D"/>
    <w:rsid w:val="00234A59"/>
    <w:rsid w:val="00235580"/>
    <w:rsid w:val="00240892"/>
    <w:rsid w:val="00242200"/>
    <w:rsid w:val="0024653B"/>
    <w:rsid w:val="0024731E"/>
    <w:rsid w:val="002520C4"/>
    <w:rsid w:val="00253405"/>
    <w:rsid w:val="002573DB"/>
    <w:rsid w:val="00260099"/>
    <w:rsid w:val="002607B0"/>
    <w:rsid w:val="002633E2"/>
    <w:rsid w:val="00271503"/>
    <w:rsid w:val="00272B56"/>
    <w:rsid w:val="0027464A"/>
    <w:rsid w:val="00276B76"/>
    <w:rsid w:val="00283EFE"/>
    <w:rsid w:val="0028602A"/>
    <w:rsid w:val="00286EDD"/>
    <w:rsid w:val="002921CE"/>
    <w:rsid w:val="0029542A"/>
    <w:rsid w:val="002A64E8"/>
    <w:rsid w:val="002B1079"/>
    <w:rsid w:val="002B22C4"/>
    <w:rsid w:val="002C0C6F"/>
    <w:rsid w:val="002C1EB6"/>
    <w:rsid w:val="002C3100"/>
    <w:rsid w:val="002D0E93"/>
    <w:rsid w:val="002D1D1D"/>
    <w:rsid w:val="002D3F66"/>
    <w:rsid w:val="002D43C3"/>
    <w:rsid w:val="002D484F"/>
    <w:rsid w:val="002D48DE"/>
    <w:rsid w:val="002D5825"/>
    <w:rsid w:val="002E36B8"/>
    <w:rsid w:val="002E71E9"/>
    <w:rsid w:val="002F13D3"/>
    <w:rsid w:val="002F1BDC"/>
    <w:rsid w:val="002F782D"/>
    <w:rsid w:val="003002C0"/>
    <w:rsid w:val="00301144"/>
    <w:rsid w:val="00302E4B"/>
    <w:rsid w:val="0030408A"/>
    <w:rsid w:val="003043AC"/>
    <w:rsid w:val="0031097F"/>
    <w:rsid w:val="0031432C"/>
    <w:rsid w:val="003148B7"/>
    <w:rsid w:val="003158C3"/>
    <w:rsid w:val="00317188"/>
    <w:rsid w:val="003260AF"/>
    <w:rsid w:val="003274CD"/>
    <w:rsid w:val="00332FA2"/>
    <w:rsid w:val="00333501"/>
    <w:rsid w:val="00337B31"/>
    <w:rsid w:val="00337D35"/>
    <w:rsid w:val="00343E2A"/>
    <w:rsid w:val="00344D28"/>
    <w:rsid w:val="003457C4"/>
    <w:rsid w:val="0034581B"/>
    <w:rsid w:val="003508A8"/>
    <w:rsid w:val="0035119D"/>
    <w:rsid w:val="0035513B"/>
    <w:rsid w:val="00355610"/>
    <w:rsid w:val="003567C7"/>
    <w:rsid w:val="00363B3C"/>
    <w:rsid w:val="003653B1"/>
    <w:rsid w:val="00367856"/>
    <w:rsid w:val="00370376"/>
    <w:rsid w:val="00383B26"/>
    <w:rsid w:val="00392BFF"/>
    <w:rsid w:val="003A5358"/>
    <w:rsid w:val="003A5CD1"/>
    <w:rsid w:val="003B4BA2"/>
    <w:rsid w:val="003B4F12"/>
    <w:rsid w:val="003B7805"/>
    <w:rsid w:val="003C2F43"/>
    <w:rsid w:val="003C476D"/>
    <w:rsid w:val="003C5937"/>
    <w:rsid w:val="003D4F79"/>
    <w:rsid w:val="003D7D08"/>
    <w:rsid w:val="003D7F56"/>
    <w:rsid w:val="003E038E"/>
    <w:rsid w:val="003E0442"/>
    <w:rsid w:val="003E32FA"/>
    <w:rsid w:val="003F0216"/>
    <w:rsid w:val="003F163B"/>
    <w:rsid w:val="003F2F48"/>
    <w:rsid w:val="003F3DE0"/>
    <w:rsid w:val="003F525E"/>
    <w:rsid w:val="0040447F"/>
    <w:rsid w:val="0041342C"/>
    <w:rsid w:val="0041430C"/>
    <w:rsid w:val="004144E9"/>
    <w:rsid w:val="004203A3"/>
    <w:rsid w:val="0042098F"/>
    <w:rsid w:val="00420BBF"/>
    <w:rsid w:val="004215E7"/>
    <w:rsid w:val="004230ED"/>
    <w:rsid w:val="00423F31"/>
    <w:rsid w:val="0042455D"/>
    <w:rsid w:val="00425CB9"/>
    <w:rsid w:val="00426C51"/>
    <w:rsid w:val="004270F9"/>
    <w:rsid w:val="00427B4D"/>
    <w:rsid w:val="00431899"/>
    <w:rsid w:val="00436291"/>
    <w:rsid w:val="00437A5A"/>
    <w:rsid w:val="00441485"/>
    <w:rsid w:val="004416C3"/>
    <w:rsid w:val="0044183B"/>
    <w:rsid w:val="0045413D"/>
    <w:rsid w:val="00467695"/>
    <w:rsid w:val="0047483B"/>
    <w:rsid w:val="0047491E"/>
    <w:rsid w:val="004778BE"/>
    <w:rsid w:val="0048174A"/>
    <w:rsid w:val="00481CA0"/>
    <w:rsid w:val="00482F6F"/>
    <w:rsid w:val="00486804"/>
    <w:rsid w:val="00486BA0"/>
    <w:rsid w:val="00495F8E"/>
    <w:rsid w:val="004971E7"/>
    <w:rsid w:val="004A3947"/>
    <w:rsid w:val="004A7267"/>
    <w:rsid w:val="004B2514"/>
    <w:rsid w:val="004B3775"/>
    <w:rsid w:val="004B4E89"/>
    <w:rsid w:val="004C6EA1"/>
    <w:rsid w:val="004D0AEE"/>
    <w:rsid w:val="004D336E"/>
    <w:rsid w:val="004D46C1"/>
    <w:rsid w:val="004D633C"/>
    <w:rsid w:val="004E058F"/>
    <w:rsid w:val="004E3B87"/>
    <w:rsid w:val="004E7E9F"/>
    <w:rsid w:val="004F0018"/>
    <w:rsid w:val="004F2CEC"/>
    <w:rsid w:val="004F47D1"/>
    <w:rsid w:val="0050046C"/>
    <w:rsid w:val="00501EA3"/>
    <w:rsid w:val="0050405D"/>
    <w:rsid w:val="00510921"/>
    <w:rsid w:val="00510AD3"/>
    <w:rsid w:val="00513348"/>
    <w:rsid w:val="0051397C"/>
    <w:rsid w:val="005200E5"/>
    <w:rsid w:val="00521B2A"/>
    <w:rsid w:val="0052601C"/>
    <w:rsid w:val="00527343"/>
    <w:rsid w:val="00527A62"/>
    <w:rsid w:val="00533B5D"/>
    <w:rsid w:val="00534683"/>
    <w:rsid w:val="00534BE6"/>
    <w:rsid w:val="00536F42"/>
    <w:rsid w:val="00552BFE"/>
    <w:rsid w:val="005536C4"/>
    <w:rsid w:val="005565BA"/>
    <w:rsid w:val="0056172E"/>
    <w:rsid w:val="00566C82"/>
    <w:rsid w:val="00572100"/>
    <w:rsid w:val="0057225D"/>
    <w:rsid w:val="00574EBB"/>
    <w:rsid w:val="00580BDB"/>
    <w:rsid w:val="00581C30"/>
    <w:rsid w:val="0058458D"/>
    <w:rsid w:val="0058530D"/>
    <w:rsid w:val="00593C05"/>
    <w:rsid w:val="00596DED"/>
    <w:rsid w:val="005A184C"/>
    <w:rsid w:val="005A3526"/>
    <w:rsid w:val="005B4930"/>
    <w:rsid w:val="005B583F"/>
    <w:rsid w:val="005C18AC"/>
    <w:rsid w:val="005C4B23"/>
    <w:rsid w:val="005C70FA"/>
    <w:rsid w:val="005C7EF3"/>
    <w:rsid w:val="005D0990"/>
    <w:rsid w:val="005D0EAC"/>
    <w:rsid w:val="005D1E4D"/>
    <w:rsid w:val="005D6697"/>
    <w:rsid w:val="005E295B"/>
    <w:rsid w:val="005F0701"/>
    <w:rsid w:val="005F1D57"/>
    <w:rsid w:val="00600450"/>
    <w:rsid w:val="00602FB4"/>
    <w:rsid w:val="006078C6"/>
    <w:rsid w:val="0061071A"/>
    <w:rsid w:val="00617926"/>
    <w:rsid w:val="006222A8"/>
    <w:rsid w:val="00623BA1"/>
    <w:rsid w:val="00627558"/>
    <w:rsid w:val="006346BC"/>
    <w:rsid w:val="00655169"/>
    <w:rsid w:val="0065749D"/>
    <w:rsid w:val="00660AF5"/>
    <w:rsid w:val="00661748"/>
    <w:rsid w:val="00662C5B"/>
    <w:rsid w:val="00663BB9"/>
    <w:rsid w:val="0066652A"/>
    <w:rsid w:val="00670600"/>
    <w:rsid w:val="00670619"/>
    <w:rsid w:val="00682167"/>
    <w:rsid w:val="00686E76"/>
    <w:rsid w:val="00687B3B"/>
    <w:rsid w:val="006922D7"/>
    <w:rsid w:val="006955FB"/>
    <w:rsid w:val="006965F7"/>
    <w:rsid w:val="006B0E2A"/>
    <w:rsid w:val="006B23E1"/>
    <w:rsid w:val="006B5EE8"/>
    <w:rsid w:val="006C2B3D"/>
    <w:rsid w:val="006C3042"/>
    <w:rsid w:val="006C42AF"/>
    <w:rsid w:val="006C483E"/>
    <w:rsid w:val="006C5A24"/>
    <w:rsid w:val="006D3831"/>
    <w:rsid w:val="006D6A25"/>
    <w:rsid w:val="006E2A12"/>
    <w:rsid w:val="006F0606"/>
    <w:rsid w:val="006F4A9C"/>
    <w:rsid w:val="006F682D"/>
    <w:rsid w:val="00700B3A"/>
    <w:rsid w:val="00706FDE"/>
    <w:rsid w:val="007071DB"/>
    <w:rsid w:val="0071086E"/>
    <w:rsid w:val="00710AC4"/>
    <w:rsid w:val="00711D8E"/>
    <w:rsid w:val="00712672"/>
    <w:rsid w:val="007165A5"/>
    <w:rsid w:val="007217E9"/>
    <w:rsid w:val="007217FC"/>
    <w:rsid w:val="00727530"/>
    <w:rsid w:val="00731A39"/>
    <w:rsid w:val="00732CA1"/>
    <w:rsid w:val="00734E3F"/>
    <w:rsid w:val="00736985"/>
    <w:rsid w:val="007451B9"/>
    <w:rsid w:val="00745DF5"/>
    <w:rsid w:val="00747A4B"/>
    <w:rsid w:val="00750DBA"/>
    <w:rsid w:val="007538A5"/>
    <w:rsid w:val="00756044"/>
    <w:rsid w:val="0075794C"/>
    <w:rsid w:val="00761FBB"/>
    <w:rsid w:val="00774489"/>
    <w:rsid w:val="007753F8"/>
    <w:rsid w:val="0077730E"/>
    <w:rsid w:val="007806BC"/>
    <w:rsid w:val="007812AC"/>
    <w:rsid w:val="00785854"/>
    <w:rsid w:val="007903D7"/>
    <w:rsid w:val="00793E00"/>
    <w:rsid w:val="00794DDF"/>
    <w:rsid w:val="00794E78"/>
    <w:rsid w:val="0079738A"/>
    <w:rsid w:val="007A011C"/>
    <w:rsid w:val="007A34B5"/>
    <w:rsid w:val="007A3FC0"/>
    <w:rsid w:val="007A7373"/>
    <w:rsid w:val="007A7DF2"/>
    <w:rsid w:val="007B4033"/>
    <w:rsid w:val="007B42BF"/>
    <w:rsid w:val="007B6200"/>
    <w:rsid w:val="007B634D"/>
    <w:rsid w:val="007B712F"/>
    <w:rsid w:val="007C42D8"/>
    <w:rsid w:val="007C4C18"/>
    <w:rsid w:val="007D2AFE"/>
    <w:rsid w:val="007D33BA"/>
    <w:rsid w:val="007D5DCF"/>
    <w:rsid w:val="007D60CC"/>
    <w:rsid w:val="007E2357"/>
    <w:rsid w:val="007E2535"/>
    <w:rsid w:val="007E3380"/>
    <w:rsid w:val="007F1EEA"/>
    <w:rsid w:val="007F3395"/>
    <w:rsid w:val="007F3779"/>
    <w:rsid w:val="007F4BEC"/>
    <w:rsid w:val="00801B9F"/>
    <w:rsid w:val="00806503"/>
    <w:rsid w:val="00806757"/>
    <w:rsid w:val="00822D9E"/>
    <w:rsid w:val="00823674"/>
    <w:rsid w:val="00823FC8"/>
    <w:rsid w:val="008250A6"/>
    <w:rsid w:val="0082741E"/>
    <w:rsid w:val="00834336"/>
    <w:rsid w:val="00835C17"/>
    <w:rsid w:val="00837B6A"/>
    <w:rsid w:val="00837FE7"/>
    <w:rsid w:val="00840942"/>
    <w:rsid w:val="0085011E"/>
    <w:rsid w:val="00854462"/>
    <w:rsid w:val="0087193C"/>
    <w:rsid w:val="00875F79"/>
    <w:rsid w:val="008830D2"/>
    <w:rsid w:val="00883200"/>
    <w:rsid w:val="00883E21"/>
    <w:rsid w:val="0088492C"/>
    <w:rsid w:val="00886EB2"/>
    <w:rsid w:val="00891096"/>
    <w:rsid w:val="00892441"/>
    <w:rsid w:val="008A0512"/>
    <w:rsid w:val="008A217A"/>
    <w:rsid w:val="008A2D70"/>
    <w:rsid w:val="008A2F25"/>
    <w:rsid w:val="008B24F6"/>
    <w:rsid w:val="008B3A67"/>
    <w:rsid w:val="008C2BE5"/>
    <w:rsid w:val="008C455D"/>
    <w:rsid w:val="008C48AD"/>
    <w:rsid w:val="008C5A0E"/>
    <w:rsid w:val="008E032F"/>
    <w:rsid w:val="008E629D"/>
    <w:rsid w:val="008F194F"/>
    <w:rsid w:val="008F4066"/>
    <w:rsid w:val="008F4A4D"/>
    <w:rsid w:val="008F516A"/>
    <w:rsid w:val="009057EA"/>
    <w:rsid w:val="00917712"/>
    <w:rsid w:val="009238D9"/>
    <w:rsid w:val="00923928"/>
    <w:rsid w:val="00924EB1"/>
    <w:rsid w:val="0093096D"/>
    <w:rsid w:val="00934C62"/>
    <w:rsid w:val="009478F2"/>
    <w:rsid w:val="0095490B"/>
    <w:rsid w:val="00961895"/>
    <w:rsid w:val="00971905"/>
    <w:rsid w:val="009767DC"/>
    <w:rsid w:val="00982A5F"/>
    <w:rsid w:val="00992298"/>
    <w:rsid w:val="009946C6"/>
    <w:rsid w:val="00997F0A"/>
    <w:rsid w:val="009A03F1"/>
    <w:rsid w:val="009A1EE6"/>
    <w:rsid w:val="009A4CDE"/>
    <w:rsid w:val="009A60A0"/>
    <w:rsid w:val="009A6679"/>
    <w:rsid w:val="009B12CA"/>
    <w:rsid w:val="009B42ED"/>
    <w:rsid w:val="009B4D3B"/>
    <w:rsid w:val="009C0928"/>
    <w:rsid w:val="009C6BCD"/>
    <w:rsid w:val="009C6D70"/>
    <w:rsid w:val="009D3402"/>
    <w:rsid w:val="009D7407"/>
    <w:rsid w:val="009E0866"/>
    <w:rsid w:val="009E25BF"/>
    <w:rsid w:val="009F3735"/>
    <w:rsid w:val="009F6423"/>
    <w:rsid w:val="009F6F71"/>
    <w:rsid w:val="00A01A31"/>
    <w:rsid w:val="00A02111"/>
    <w:rsid w:val="00A04166"/>
    <w:rsid w:val="00A06480"/>
    <w:rsid w:val="00A06BE8"/>
    <w:rsid w:val="00A0789A"/>
    <w:rsid w:val="00A13E4D"/>
    <w:rsid w:val="00A1561E"/>
    <w:rsid w:val="00A15BC3"/>
    <w:rsid w:val="00A161CD"/>
    <w:rsid w:val="00A24100"/>
    <w:rsid w:val="00A2486C"/>
    <w:rsid w:val="00A24A62"/>
    <w:rsid w:val="00A3022D"/>
    <w:rsid w:val="00A3043C"/>
    <w:rsid w:val="00A31C9F"/>
    <w:rsid w:val="00A33827"/>
    <w:rsid w:val="00A33A72"/>
    <w:rsid w:val="00A37195"/>
    <w:rsid w:val="00A3732B"/>
    <w:rsid w:val="00A376D2"/>
    <w:rsid w:val="00A40F52"/>
    <w:rsid w:val="00A4144F"/>
    <w:rsid w:val="00A431F8"/>
    <w:rsid w:val="00A44AC6"/>
    <w:rsid w:val="00A51B45"/>
    <w:rsid w:val="00A5609A"/>
    <w:rsid w:val="00A61D28"/>
    <w:rsid w:val="00A6241D"/>
    <w:rsid w:val="00A62CC4"/>
    <w:rsid w:val="00A62E06"/>
    <w:rsid w:val="00A65F96"/>
    <w:rsid w:val="00A74061"/>
    <w:rsid w:val="00A745FC"/>
    <w:rsid w:val="00A75A27"/>
    <w:rsid w:val="00A90510"/>
    <w:rsid w:val="00A940AA"/>
    <w:rsid w:val="00A95C7A"/>
    <w:rsid w:val="00AA0BDC"/>
    <w:rsid w:val="00AA288D"/>
    <w:rsid w:val="00AB01F0"/>
    <w:rsid w:val="00AB388E"/>
    <w:rsid w:val="00AB6324"/>
    <w:rsid w:val="00AB7A03"/>
    <w:rsid w:val="00AC164A"/>
    <w:rsid w:val="00AC3434"/>
    <w:rsid w:val="00AC3A79"/>
    <w:rsid w:val="00AC4620"/>
    <w:rsid w:val="00AC5C34"/>
    <w:rsid w:val="00AC5DC8"/>
    <w:rsid w:val="00AC63E9"/>
    <w:rsid w:val="00AD158E"/>
    <w:rsid w:val="00AD6B6A"/>
    <w:rsid w:val="00AE3E05"/>
    <w:rsid w:val="00AF2050"/>
    <w:rsid w:val="00AF5A66"/>
    <w:rsid w:val="00AF6D5E"/>
    <w:rsid w:val="00B03CA8"/>
    <w:rsid w:val="00B11AC6"/>
    <w:rsid w:val="00B13B4F"/>
    <w:rsid w:val="00B13C94"/>
    <w:rsid w:val="00B15FC6"/>
    <w:rsid w:val="00B30D41"/>
    <w:rsid w:val="00B34059"/>
    <w:rsid w:val="00B35911"/>
    <w:rsid w:val="00B427EA"/>
    <w:rsid w:val="00B453FE"/>
    <w:rsid w:val="00B50F8E"/>
    <w:rsid w:val="00B55E19"/>
    <w:rsid w:val="00B6075D"/>
    <w:rsid w:val="00B66BDC"/>
    <w:rsid w:val="00B6782A"/>
    <w:rsid w:val="00B70706"/>
    <w:rsid w:val="00B71158"/>
    <w:rsid w:val="00B73F98"/>
    <w:rsid w:val="00B76749"/>
    <w:rsid w:val="00B76C71"/>
    <w:rsid w:val="00B844E2"/>
    <w:rsid w:val="00B851FD"/>
    <w:rsid w:val="00B92E1E"/>
    <w:rsid w:val="00BA31A7"/>
    <w:rsid w:val="00BA4B6D"/>
    <w:rsid w:val="00BA5D1A"/>
    <w:rsid w:val="00BB19CD"/>
    <w:rsid w:val="00BB1D72"/>
    <w:rsid w:val="00BB26C5"/>
    <w:rsid w:val="00BB3501"/>
    <w:rsid w:val="00BB567A"/>
    <w:rsid w:val="00BB5FD2"/>
    <w:rsid w:val="00BB7D1A"/>
    <w:rsid w:val="00BC25E7"/>
    <w:rsid w:val="00BC69F6"/>
    <w:rsid w:val="00BD0B99"/>
    <w:rsid w:val="00BE0891"/>
    <w:rsid w:val="00BE1FFF"/>
    <w:rsid w:val="00BE242D"/>
    <w:rsid w:val="00BE64A0"/>
    <w:rsid w:val="00BF14D0"/>
    <w:rsid w:val="00BF27EF"/>
    <w:rsid w:val="00BF29D2"/>
    <w:rsid w:val="00BF2F63"/>
    <w:rsid w:val="00BF3A17"/>
    <w:rsid w:val="00BF4DE6"/>
    <w:rsid w:val="00BF57D1"/>
    <w:rsid w:val="00C00C98"/>
    <w:rsid w:val="00C04CAA"/>
    <w:rsid w:val="00C0613F"/>
    <w:rsid w:val="00C10415"/>
    <w:rsid w:val="00C16478"/>
    <w:rsid w:val="00C173E1"/>
    <w:rsid w:val="00C33507"/>
    <w:rsid w:val="00C33A9C"/>
    <w:rsid w:val="00C3731C"/>
    <w:rsid w:val="00C40091"/>
    <w:rsid w:val="00C42CDE"/>
    <w:rsid w:val="00C45E4A"/>
    <w:rsid w:val="00C46CAC"/>
    <w:rsid w:val="00C63EE9"/>
    <w:rsid w:val="00C65C11"/>
    <w:rsid w:val="00C6615D"/>
    <w:rsid w:val="00C73902"/>
    <w:rsid w:val="00C76899"/>
    <w:rsid w:val="00C84053"/>
    <w:rsid w:val="00C86007"/>
    <w:rsid w:val="00C90755"/>
    <w:rsid w:val="00C92D60"/>
    <w:rsid w:val="00C96797"/>
    <w:rsid w:val="00CA37B1"/>
    <w:rsid w:val="00CA6EC9"/>
    <w:rsid w:val="00CB1959"/>
    <w:rsid w:val="00CB3396"/>
    <w:rsid w:val="00CB58DA"/>
    <w:rsid w:val="00CB67CB"/>
    <w:rsid w:val="00CC18E5"/>
    <w:rsid w:val="00CC431B"/>
    <w:rsid w:val="00CC531A"/>
    <w:rsid w:val="00CD2F34"/>
    <w:rsid w:val="00CD60B1"/>
    <w:rsid w:val="00CD75B6"/>
    <w:rsid w:val="00CE2F1B"/>
    <w:rsid w:val="00CE321B"/>
    <w:rsid w:val="00CE660A"/>
    <w:rsid w:val="00CF280B"/>
    <w:rsid w:val="00CF7FF5"/>
    <w:rsid w:val="00D018D0"/>
    <w:rsid w:val="00D0296C"/>
    <w:rsid w:val="00D02E41"/>
    <w:rsid w:val="00D042D3"/>
    <w:rsid w:val="00D0663A"/>
    <w:rsid w:val="00D07E78"/>
    <w:rsid w:val="00D12225"/>
    <w:rsid w:val="00D12D89"/>
    <w:rsid w:val="00D16766"/>
    <w:rsid w:val="00D17E7D"/>
    <w:rsid w:val="00D203EB"/>
    <w:rsid w:val="00D2248F"/>
    <w:rsid w:val="00D22A81"/>
    <w:rsid w:val="00D25228"/>
    <w:rsid w:val="00D30B4A"/>
    <w:rsid w:val="00D3416E"/>
    <w:rsid w:val="00D40C15"/>
    <w:rsid w:val="00D41E2A"/>
    <w:rsid w:val="00D44758"/>
    <w:rsid w:val="00D44F25"/>
    <w:rsid w:val="00D4696D"/>
    <w:rsid w:val="00D500E9"/>
    <w:rsid w:val="00D509F3"/>
    <w:rsid w:val="00D5556A"/>
    <w:rsid w:val="00D57616"/>
    <w:rsid w:val="00D61576"/>
    <w:rsid w:val="00D65170"/>
    <w:rsid w:val="00D672F4"/>
    <w:rsid w:val="00D74DA9"/>
    <w:rsid w:val="00D7565D"/>
    <w:rsid w:val="00D86D0F"/>
    <w:rsid w:val="00D87BDB"/>
    <w:rsid w:val="00D9353F"/>
    <w:rsid w:val="00DA024F"/>
    <w:rsid w:val="00DA0B80"/>
    <w:rsid w:val="00DA53F3"/>
    <w:rsid w:val="00DB0239"/>
    <w:rsid w:val="00DB5DFC"/>
    <w:rsid w:val="00DB6402"/>
    <w:rsid w:val="00DB792F"/>
    <w:rsid w:val="00DC5265"/>
    <w:rsid w:val="00DC69BD"/>
    <w:rsid w:val="00DD420C"/>
    <w:rsid w:val="00DD44EA"/>
    <w:rsid w:val="00DD60BF"/>
    <w:rsid w:val="00DE7511"/>
    <w:rsid w:val="00DF4418"/>
    <w:rsid w:val="00E03461"/>
    <w:rsid w:val="00E03E92"/>
    <w:rsid w:val="00E04AC1"/>
    <w:rsid w:val="00E05928"/>
    <w:rsid w:val="00E10987"/>
    <w:rsid w:val="00E12E63"/>
    <w:rsid w:val="00E1612F"/>
    <w:rsid w:val="00E16D17"/>
    <w:rsid w:val="00E26E94"/>
    <w:rsid w:val="00E31895"/>
    <w:rsid w:val="00E32314"/>
    <w:rsid w:val="00E3368B"/>
    <w:rsid w:val="00E357B7"/>
    <w:rsid w:val="00E36802"/>
    <w:rsid w:val="00E377D5"/>
    <w:rsid w:val="00E37960"/>
    <w:rsid w:val="00E37B70"/>
    <w:rsid w:val="00E41B0A"/>
    <w:rsid w:val="00E4629C"/>
    <w:rsid w:val="00E53800"/>
    <w:rsid w:val="00E55AF3"/>
    <w:rsid w:val="00E6081F"/>
    <w:rsid w:val="00E61D66"/>
    <w:rsid w:val="00E62377"/>
    <w:rsid w:val="00E62925"/>
    <w:rsid w:val="00E660D5"/>
    <w:rsid w:val="00E6753E"/>
    <w:rsid w:val="00E72A41"/>
    <w:rsid w:val="00E730B7"/>
    <w:rsid w:val="00E75DAA"/>
    <w:rsid w:val="00E8026F"/>
    <w:rsid w:val="00E82491"/>
    <w:rsid w:val="00E82F47"/>
    <w:rsid w:val="00E83348"/>
    <w:rsid w:val="00E839A4"/>
    <w:rsid w:val="00E83A2B"/>
    <w:rsid w:val="00E86EFA"/>
    <w:rsid w:val="00E91D1D"/>
    <w:rsid w:val="00E928D7"/>
    <w:rsid w:val="00E9392A"/>
    <w:rsid w:val="00EA04B2"/>
    <w:rsid w:val="00EA0BCE"/>
    <w:rsid w:val="00EA1726"/>
    <w:rsid w:val="00EA20F3"/>
    <w:rsid w:val="00EA23A2"/>
    <w:rsid w:val="00EA3CFE"/>
    <w:rsid w:val="00EA5EDD"/>
    <w:rsid w:val="00EA7640"/>
    <w:rsid w:val="00EB6875"/>
    <w:rsid w:val="00EC5C07"/>
    <w:rsid w:val="00ED43D1"/>
    <w:rsid w:val="00ED4F53"/>
    <w:rsid w:val="00ED5255"/>
    <w:rsid w:val="00ED75E2"/>
    <w:rsid w:val="00EE0D33"/>
    <w:rsid w:val="00EE4EE1"/>
    <w:rsid w:val="00EF23EA"/>
    <w:rsid w:val="00EF4574"/>
    <w:rsid w:val="00EF4CA7"/>
    <w:rsid w:val="00EF75BF"/>
    <w:rsid w:val="00F001F8"/>
    <w:rsid w:val="00F14C4A"/>
    <w:rsid w:val="00F15D95"/>
    <w:rsid w:val="00F1611E"/>
    <w:rsid w:val="00F20E5E"/>
    <w:rsid w:val="00F2161D"/>
    <w:rsid w:val="00F2684E"/>
    <w:rsid w:val="00F27927"/>
    <w:rsid w:val="00F33ACC"/>
    <w:rsid w:val="00F4791C"/>
    <w:rsid w:val="00F50744"/>
    <w:rsid w:val="00F5404C"/>
    <w:rsid w:val="00F54EA4"/>
    <w:rsid w:val="00F6098C"/>
    <w:rsid w:val="00F61588"/>
    <w:rsid w:val="00F62971"/>
    <w:rsid w:val="00F63911"/>
    <w:rsid w:val="00F66733"/>
    <w:rsid w:val="00F66D0E"/>
    <w:rsid w:val="00F70685"/>
    <w:rsid w:val="00F729EF"/>
    <w:rsid w:val="00F77CAE"/>
    <w:rsid w:val="00F80F1E"/>
    <w:rsid w:val="00F82E5D"/>
    <w:rsid w:val="00F8555B"/>
    <w:rsid w:val="00F900FA"/>
    <w:rsid w:val="00F958AE"/>
    <w:rsid w:val="00F96BB9"/>
    <w:rsid w:val="00F97F04"/>
    <w:rsid w:val="00FA3A32"/>
    <w:rsid w:val="00FA6261"/>
    <w:rsid w:val="00FB4D3F"/>
    <w:rsid w:val="00FB4F5E"/>
    <w:rsid w:val="00FB7242"/>
    <w:rsid w:val="00FB7A2F"/>
    <w:rsid w:val="00FC1DEF"/>
    <w:rsid w:val="00FC750D"/>
    <w:rsid w:val="00FD1DF4"/>
    <w:rsid w:val="00FD22B7"/>
    <w:rsid w:val="00FD4C8E"/>
    <w:rsid w:val="00FE43F2"/>
    <w:rsid w:val="00FE6D51"/>
    <w:rsid w:val="00FE7052"/>
    <w:rsid w:val="00FF0763"/>
    <w:rsid w:val="00FF4BB2"/>
    <w:rsid w:val="012F0F27"/>
    <w:rsid w:val="016BF7CD"/>
    <w:rsid w:val="01BF670C"/>
    <w:rsid w:val="01D11A2D"/>
    <w:rsid w:val="01E165C1"/>
    <w:rsid w:val="01FE8223"/>
    <w:rsid w:val="022361EA"/>
    <w:rsid w:val="02BBAE02"/>
    <w:rsid w:val="02C36FA6"/>
    <w:rsid w:val="02CADF88"/>
    <w:rsid w:val="02CC8B38"/>
    <w:rsid w:val="02CD4BF9"/>
    <w:rsid w:val="0329B9F6"/>
    <w:rsid w:val="03681B3B"/>
    <w:rsid w:val="03812BA2"/>
    <w:rsid w:val="03A57A1E"/>
    <w:rsid w:val="03C194D8"/>
    <w:rsid w:val="03C82D35"/>
    <w:rsid w:val="03DD53DE"/>
    <w:rsid w:val="03FCAFD9"/>
    <w:rsid w:val="043B2A2B"/>
    <w:rsid w:val="0475DA0F"/>
    <w:rsid w:val="04B1F1B1"/>
    <w:rsid w:val="0548871F"/>
    <w:rsid w:val="055A4D8C"/>
    <w:rsid w:val="059D6993"/>
    <w:rsid w:val="05C42472"/>
    <w:rsid w:val="05E3B506"/>
    <w:rsid w:val="05F34EC4"/>
    <w:rsid w:val="0600C6BB"/>
    <w:rsid w:val="060D876B"/>
    <w:rsid w:val="0611AA70"/>
    <w:rsid w:val="0696762B"/>
    <w:rsid w:val="06EF50F1"/>
    <w:rsid w:val="06FDCC89"/>
    <w:rsid w:val="0723969B"/>
    <w:rsid w:val="08626CB8"/>
    <w:rsid w:val="08D967F8"/>
    <w:rsid w:val="0910CE4A"/>
    <w:rsid w:val="0923D7DC"/>
    <w:rsid w:val="0934E88C"/>
    <w:rsid w:val="093D8354"/>
    <w:rsid w:val="096D2225"/>
    <w:rsid w:val="09C894DE"/>
    <w:rsid w:val="09E461FC"/>
    <w:rsid w:val="09FE3D19"/>
    <w:rsid w:val="0A4D347A"/>
    <w:rsid w:val="0A71BD98"/>
    <w:rsid w:val="0A7A73E5"/>
    <w:rsid w:val="0ACA8EA3"/>
    <w:rsid w:val="0ADB001E"/>
    <w:rsid w:val="0AE46BA3"/>
    <w:rsid w:val="0AE92916"/>
    <w:rsid w:val="0AEFFB31"/>
    <w:rsid w:val="0B572997"/>
    <w:rsid w:val="0B64653F"/>
    <w:rsid w:val="0B69E74E"/>
    <w:rsid w:val="0C0EDDA0"/>
    <w:rsid w:val="0C63A092"/>
    <w:rsid w:val="0C9001D5"/>
    <w:rsid w:val="0CE12788"/>
    <w:rsid w:val="0CFD1B0A"/>
    <w:rsid w:val="0D017128"/>
    <w:rsid w:val="0D265CCF"/>
    <w:rsid w:val="0D8A2CFF"/>
    <w:rsid w:val="0DA61171"/>
    <w:rsid w:val="0DADCB46"/>
    <w:rsid w:val="0DDD24A6"/>
    <w:rsid w:val="0DECC12B"/>
    <w:rsid w:val="0E8CB1B4"/>
    <w:rsid w:val="0E980026"/>
    <w:rsid w:val="0EE0EA41"/>
    <w:rsid w:val="0EFF9201"/>
    <w:rsid w:val="0F0351A3"/>
    <w:rsid w:val="0F07DC20"/>
    <w:rsid w:val="0F940B1E"/>
    <w:rsid w:val="0FB3529C"/>
    <w:rsid w:val="10058520"/>
    <w:rsid w:val="10080032"/>
    <w:rsid w:val="10243014"/>
    <w:rsid w:val="10294BA4"/>
    <w:rsid w:val="103CB555"/>
    <w:rsid w:val="103D5871"/>
    <w:rsid w:val="104DBC95"/>
    <w:rsid w:val="106FF34E"/>
    <w:rsid w:val="10B28619"/>
    <w:rsid w:val="10CCF28A"/>
    <w:rsid w:val="112FD548"/>
    <w:rsid w:val="11347E3A"/>
    <w:rsid w:val="117D7BC5"/>
    <w:rsid w:val="119A27AC"/>
    <w:rsid w:val="11CFAA2C"/>
    <w:rsid w:val="1206A52A"/>
    <w:rsid w:val="12433D95"/>
    <w:rsid w:val="127EE56F"/>
    <w:rsid w:val="12F0C8C4"/>
    <w:rsid w:val="13048EF3"/>
    <w:rsid w:val="13413EDA"/>
    <w:rsid w:val="13AB7B2A"/>
    <w:rsid w:val="13F4993D"/>
    <w:rsid w:val="13F8868E"/>
    <w:rsid w:val="14050A0A"/>
    <w:rsid w:val="14FE968A"/>
    <w:rsid w:val="150D440D"/>
    <w:rsid w:val="152CD93F"/>
    <w:rsid w:val="1558C890"/>
    <w:rsid w:val="1582F226"/>
    <w:rsid w:val="159456EF"/>
    <w:rsid w:val="15C28EF4"/>
    <w:rsid w:val="16116014"/>
    <w:rsid w:val="1678A6EF"/>
    <w:rsid w:val="1696E679"/>
    <w:rsid w:val="1699F92D"/>
    <w:rsid w:val="16DB69F3"/>
    <w:rsid w:val="16FCA797"/>
    <w:rsid w:val="170C6B96"/>
    <w:rsid w:val="17302750"/>
    <w:rsid w:val="1744256B"/>
    <w:rsid w:val="17647C5C"/>
    <w:rsid w:val="17941E64"/>
    <w:rsid w:val="18002CFA"/>
    <w:rsid w:val="18639C04"/>
    <w:rsid w:val="18814783"/>
    <w:rsid w:val="188AE09B"/>
    <w:rsid w:val="189E3931"/>
    <w:rsid w:val="18CBF7B1"/>
    <w:rsid w:val="18FA2FB6"/>
    <w:rsid w:val="193FF803"/>
    <w:rsid w:val="194900D6"/>
    <w:rsid w:val="194DD867"/>
    <w:rsid w:val="196C6561"/>
    <w:rsid w:val="19A541B1"/>
    <w:rsid w:val="19B047B1"/>
    <w:rsid w:val="1A11B70F"/>
    <w:rsid w:val="1A130AB5"/>
    <w:rsid w:val="1A13FE78"/>
    <w:rsid w:val="1A356BEC"/>
    <w:rsid w:val="1A558009"/>
    <w:rsid w:val="1AE853DB"/>
    <w:rsid w:val="1B3F4485"/>
    <w:rsid w:val="1B55BBE3"/>
    <w:rsid w:val="1B81CA60"/>
    <w:rsid w:val="1BB7BA0E"/>
    <w:rsid w:val="1C145888"/>
    <w:rsid w:val="1C1EB12A"/>
    <w:rsid w:val="1C2242A6"/>
    <w:rsid w:val="1C3C2FC8"/>
    <w:rsid w:val="1C45CF52"/>
    <w:rsid w:val="1C4D7C93"/>
    <w:rsid w:val="1C895D42"/>
    <w:rsid w:val="1C9ED6D9"/>
    <w:rsid w:val="1CDB14E6"/>
    <w:rsid w:val="1CF12CAD"/>
    <w:rsid w:val="1CFE1C7C"/>
    <w:rsid w:val="1D48D641"/>
    <w:rsid w:val="1D4E638C"/>
    <w:rsid w:val="1D524DF1"/>
    <w:rsid w:val="1D6D874F"/>
    <w:rsid w:val="1D73F86E"/>
    <w:rsid w:val="1D79E409"/>
    <w:rsid w:val="1D7B8640"/>
    <w:rsid w:val="1D918821"/>
    <w:rsid w:val="1DE19FB3"/>
    <w:rsid w:val="1DEB26AC"/>
    <w:rsid w:val="1E08D4B5"/>
    <w:rsid w:val="1E1C71F9"/>
    <w:rsid w:val="1E2D7F93"/>
    <w:rsid w:val="1E56F7FD"/>
    <w:rsid w:val="1E649C2A"/>
    <w:rsid w:val="1E6AA347"/>
    <w:rsid w:val="1E9504D7"/>
    <w:rsid w:val="1EF251CA"/>
    <w:rsid w:val="1F15B46A"/>
    <w:rsid w:val="1F437CD1"/>
    <w:rsid w:val="1F44E900"/>
    <w:rsid w:val="1F45C959"/>
    <w:rsid w:val="1F56CE1A"/>
    <w:rsid w:val="1F7D7014"/>
    <w:rsid w:val="1F8CC461"/>
    <w:rsid w:val="1FAF936F"/>
    <w:rsid w:val="1FAFB67F"/>
    <w:rsid w:val="1FCECB91"/>
    <w:rsid w:val="1FD8BD8B"/>
    <w:rsid w:val="1FE17FB9"/>
    <w:rsid w:val="1FE3F277"/>
    <w:rsid w:val="200AFF46"/>
    <w:rsid w:val="2027A23F"/>
    <w:rsid w:val="2132D695"/>
    <w:rsid w:val="2132F6DC"/>
    <w:rsid w:val="215412BB"/>
    <w:rsid w:val="2160AF33"/>
    <w:rsid w:val="218D6253"/>
    <w:rsid w:val="21BFCB78"/>
    <w:rsid w:val="21E32F80"/>
    <w:rsid w:val="21EA3B72"/>
    <w:rsid w:val="21F5CAF1"/>
    <w:rsid w:val="22446B87"/>
    <w:rsid w:val="22476991"/>
    <w:rsid w:val="226BC184"/>
    <w:rsid w:val="22813319"/>
    <w:rsid w:val="22B510D6"/>
    <w:rsid w:val="22E52E26"/>
    <w:rsid w:val="22EC3BF0"/>
    <w:rsid w:val="23391288"/>
    <w:rsid w:val="2414E4FC"/>
    <w:rsid w:val="246A7757"/>
    <w:rsid w:val="246E3E95"/>
    <w:rsid w:val="2471E8EE"/>
    <w:rsid w:val="24B108F2"/>
    <w:rsid w:val="24BE3D5E"/>
    <w:rsid w:val="2566E0A2"/>
    <w:rsid w:val="257C0C49"/>
    <w:rsid w:val="259BC9C5"/>
    <w:rsid w:val="25CD94EE"/>
    <w:rsid w:val="26191626"/>
    <w:rsid w:val="268D06AF"/>
    <w:rsid w:val="272BF4C8"/>
    <w:rsid w:val="27548267"/>
    <w:rsid w:val="276E85CF"/>
    <w:rsid w:val="27717241"/>
    <w:rsid w:val="28222BA0"/>
    <w:rsid w:val="28277A80"/>
    <w:rsid w:val="2829B19C"/>
    <w:rsid w:val="2893F7FE"/>
    <w:rsid w:val="28941469"/>
    <w:rsid w:val="289FC932"/>
    <w:rsid w:val="28C7C529"/>
    <w:rsid w:val="28E1A457"/>
    <w:rsid w:val="28FA2790"/>
    <w:rsid w:val="2911C7D6"/>
    <w:rsid w:val="29427B88"/>
    <w:rsid w:val="294850F0"/>
    <w:rsid w:val="29A6F346"/>
    <w:rsid w:val="29B0205B"/>
    <w:rsid w:val="2A341F00"/>
    <w:rsid w:val="2A4B78F0"/>
    <w:rsid w:val="2A5B0CFA"/>
    <w:rsid w:val="2A7042A7"/>
    <w:rsid w:val="2A87599F"/>
    <w:rsid w:val="2AAB4980"/>
    <w:rsid w:val="2AF747FA"/>
    <w:rsid w:val="2B13FF26"/>
    <w:rsid w:val="2BE5C7D4"/>
    <w:rsid w:val="2BE8298B"/>
    <w:rsid w:val="2BF060BB"/>
    <w:rsid w:val="2BF320FD"/>
    <w:rsid w:val="2BF6DD5B"/>
    <w:rsid w:val="2C3CD672"/>
    <w:rsid w:val="2C63ECCD"/>
    <w:rsid w:val="2CA3428D"/>
    <w:rsid w:val="2D4C310E"/>
    <w:rsid w:val="2D5C8CA2"/>
    <w:rsid w:val="2D74BC18"/>
    <w:rsid w:val="2D92ADBC"/>
    <w:rsid w:val="2D9A32F9"/>
    <w:rsid w:val="2DAAAA66"/>
    <w:rsid w:val="2DDAFD53"/>
    <w:rsid w:val="2DF3141E"/>
    <w:rsid w:val="2E5B2C14"/>
    <w:rsid w:val="2E679774"/>
    <w:rsid w:val="2EF99E3C"/>
    <w:rsid w:val="2FEE6486"/>
    <w:rsid w:val="307AB5A2"/>
    <w:rsid w:val="30992ADD"/>
    <w:rsid w:val="30BB9695"/>
    <w:rsid w:val="3103BF8C"/>
    <w:rsid w:val="3169AEBC"/>
    <w:rsid w:val="31730A99"/>
    <w:rsid w:val="31BA4E3C"/>
    <w:rsid w:val="31E29F8E"/>
    <w:rsid w:val="31EB98EA"/>
    <w:rsid w:val="3202E26C"/>
    <w:rsid w:val="3219E67B"/>
    <w:rsid w:val="321C0B61"/>
    <w:rsid w:val="32278571"/>
    <w:rsid w:val="3233C8E5"/>
    <w:rsid w:val="329F8FED"/>
    <w:rsid w:val="32E15400"/>
    <w:rsid w:val="331E3CC1"/>
    <w:rsid w:val="33372EB9"/>
    <w:rsid w:val="33491258"/>
    <w:rsid w:val="338D0EA8"/>
    <w:rsid w:val="33A80F92"/>
    <w:rsid w:val="33C355D2"/>
    <w:rsid w:val="33E287E6"/>
    <w:rsid w:val="33E2B90E"/>
    <w:rsid w:val="3447E857"/>
    <w:rsid w:val="348EFA94"/>
    <w:rsid w:val="34917987"/>
    <w:rsid w:val="34AC507F"/>
    <w:rsid w:val="34D9E3ED"/>
    <w:rsid w:val="355F2633"/>
    <w:rsid w:val="357C71DD"/>
    <w:rsid w:val="360655F7"/>
    <w:rsid w:val="3614860C"/>
    <w:rsid w:val="362BCE8E"/>
    <w:rsid w:val="363AE038"/>
    <w:rsid w:val="3641EE02"/>
    <w:rsid w:val="3655DD83"/>
    <w:rsid w:val="366AEAA3"/>
    <w:rsid w:val="36CAF3F2"/>
    <w:rsid w:val="37144D35"/>
    <w:rsid w:val="37333002"/>
    <w:rsid w:val="376A2639"/>
    <w:rsid w:val="37B61147"/>
    <w:rsid w:val="37B6CAAE"/>
    <w:rsid w:val="37F1ADE4"/>
    <w:rsid w:val="380B9914"/>
    <w:rsid w:val="3860FFF5"/>
    <w:rsid w:val="38826352"/>
    <w:rsid w:val="38969DB7"/>
    <w:rsid w:val="38A45362"/>
    <w:rsid w:val="38B01D96"/>
    <w:rsid w:val="39017100"/>
    <w:rsid w:val="39234700"/>
    <w:rsid w:val="398BE003"/>
    <w:rsid w:val="39E2B8C1"/>
    <w:rsid w:val="3A246507"/>
    <w:rsid w:val="3A9E0D0E"/>
    <w:rsid w:val="3AB045BE"/>
    <w:rsid w:val="3AE7987A"/>
    <w:rsid w:val="3B1035DF"/>
    <w:rsid w:val="3B241E27"/>
    <w:rsid w:val="3B3898EF"/>
    <w:rsid w:val="3B940B9B"/>
    <w:rsid w:val="3BC158E0"/>
    <w:rsid w:val="3BCA773B"/>
    <w:rsid w:val="3C095F1D"/>
    <w:rsid w:val="3CAD5834"/>
    <w:rsid w:val="3CD55A2D"/>
    <w:rsid w:val="3CE11C93"/>
    <w:rsid w:val="3CF4DB7E"/>
    <w:rsid w:val="3D84F7E6"/>
    <w:rsid w:val="3DD58A96"/>
    <w:rsid w:val="3DF00B41"/>
    <w:rsid w:val="3DF6B823"/>
    <w:rsid w:val="3DFEC515"/>
    <w:rsid w:val="3E3F1588"/>
    <w:rsid w:val="3E582781"/>
    <w:rsid w:val="3E76C36F"/>
    <w:rsid w:val="3E7BCC49"/>
    <w:rsid w:val="3EE05415"/>
    <w:rsid w:val="3EE8F9B6"/>
    <w:rsid w:val="3F86EB6D"/>
    <w:rsid w:val="3FDD414B"/>
    <w:rsid w:val="3FF159EB"/>
    <w:rsid w:val="400005E4"/>
    <w:rsid w:val="4016AAF9"/>
    <w:rsid w:val="40653594"/>
    <w:rsid w:val="4068B321"/>
    <w:rsid w:val="40864AF2"/>
    <w:rsid w:val="40EA3E1A"/>
    <w:rsid w:val="4126ED0D"/>
    <w:rsid w:val="4127AC03"/>
    <w:rsid w:val="41411D2A"/>
    <w:rsid w:val="417F4B6E"/>
    <w:rsid w:val="41BDDC42"/>
    <w:rsid w:val="41D5805C"/>
    <w:rsid w:val="4225A5C1"/>
    <w:rsid w:val="42917844"/>
    <w:rsid w:val="42B2FE8B"/>
    <w:rsid w:val="42C49193"/>
    <w:rsid w:val="42CAC0BD"/>
    <w:rsid w:val="42D23638"/>
    <w:rsid w:val="4333CDE2"/>
    <w:rsid w:val="43CC82D5"/>
    <w:rsid w:val="43F83501"/>
    <w:rsid w:val="44829044"/>
    <w:rsid w:val="44C76905"/>
    <w:rsid w:val="451F7655"/>
    <w:rsid w:val="452EEC40"/>
    <w:rsid w:val="453EE957"/>
    <w:rsid w:val="4580F65A"/>
    <w:rsid w:val="45C1D123"/>
    <w:rsid w:val="45F122B1"/>
    <w:rsid w:val="45F665BC"/>
    <w:rsid w:val="4601CA08"/>
    <w:rsid w:val="461B7373"/>
    <w:rsid w:val="4673EED3"/>
    <w:rsid w:val="469BC9BE"/>
    <w:rsid w:val="46A3D053"/>
    <w:rsid w:val="46B66D50"/>
    <w:rsid w:val="472FFBA8"/>
    <w:rsid w:val="4776EF20"/>
    <w:rsid w:val="47B4B31B"/>
    <w:rsid w:val="482F95FF"/>
    <w:rsid w:val="485BB8EB"/>
    <w:rsid w:val="48C91B1C"/>
    <w:rsid w:val="48D73F03"/>
    <w:rsid w:val="48F6161D"/>
    <w:rsid w:val="4928282F"/>
    <w:rsid w:val="4955FFDF"/>
    <w:rsid w:val="4962CFE9"/>
    <w:rsid w:val="496A381E"/>
    <w:rsid w:val="49AB8F95"/>
    <w:rsid w:val="49AC2858"/>
    <w:rsid w:val="49F008EF"/>
    <w:rsid w:val="4A361B78"/>
    <w:rsid w:val="4A4175C9"/>
    <w:rsid w:val="4A64EB7D"/>
    <w:rsid w:val="4AAB5491"/>
    <w:rsid w:val="4B4C2241"/>
    <w:rsid w:val="4B5472F3"/>
    <w:rsid w:val="4BF1DDEC"/>
    <w:rsid w:val="4C3B710D"/>
    <w:rsid w:val="4C4290F4"/>
    <w:rsid w:val="4D3BB0E2"/>
    <w:rsid w:val="4D463DC3"/>
    <w:rsid w:val="4D981581"/>
    <w:rsid w:val="4D9AE01C"/>
    <w:rsid w:val="4DE56437"/>
    <w:rsid w:val="4E0CDBED"/>
    <w:rsid w:val="4E6E4B4B"/>
    <w:rsid w:val="4E99A248"/>
    <w:rsid w:val="4EB499E4"/>
    <w:rsid w:val="4EB93C30"/>
    <w:rsid w:val="4ECE30D5"/>
    <w:rsid w:val="4EE547CD"/>
    <w:rsid w:val="4EFA9ACD"/>
    <w:rsid w:val="4EFC827E"/>
    <w:rsid w:val="4F059801"/>
    <w:rsid w:val="4F0F3958"/>
    <w:rsid w:val="4F23F08B"/>
    <w:rsid w:val="4F81C34B"/>
    <w:rsid w:val="4F9DE2E3"/>
    <w:rsid w:val="5002F86F"/>
    <w:rsid w:val="5040DEA7"/>
    <w:rsid w:val="5045D65D"/>
    <w:rsid w:val="504E5E3A"/>
    <w:rsid w:val="50506A45"/>
    <w:rsid w:val="50B99510"/>
    <w:rsid w:val="5100B18D"/>
    <w:rsid w:val="51028B49"/>
    <w:rsid w:val="5142B8A5"/>
    <w:rsid w:val="5145BD53"/>
    <w:rsid w:val="51B0F32E"/>
    <w:rsid w:val="51E1A6BE"/>
    <w:rsid w:val="51E4318B"/>
    <w:rsid w:val="51FE0CF2"/>
    <w:rsid w:val="52054F5F"/>
    <w:rsid w:val="5208187B"/>
    <w:rsid w:val="5215CBC6"/>
    <w:rsid w:val="5236AE4F"/>
    <w:rsid w:val="5247F713"/>
    <w:rsid w:val="52755F09"/>
    <w:rsid w:val="52F74DF2"/>
    <w:rsid w:val="53656F36"/>
    <w:rsid w:val="5374EE8F"/>
    <w:rsid w:val="53943D0F"/>
    <w:rsid w:val="53C82092"/>
    <w:rsid w:val="5465772A"/>
    <w:rsid w:val="5468621C"/>
    <w:rsid w:val="547E3031"/>
    <w:rsid w:val="54931E53"/>
    <w:rsid w:val="5510BEF0"/>
    <w:rsid w:val="55138E19"/>
    <w:rsid w:val="551D1F6E"/>
    <w:rsid w:val="555291C9"/>
    <w:rsid w:val="56065145"/>
    <w:rsid w:val="56084FE3"/>
    <w:rsid w:val="562EEEB4"/>
    <w:rsid w:val="567E693E"/>
    <w:rsid w:val="56B3E35E"/>
    <w:rsid w:val="5759CB50"/>
    <w:rsid w:val="577503CE"/>
    <w:rsid w:val="579B4876"/>
    <w:rsid w:val="57ED2BB5"/>
    <w:rsid w:val="57F2BD98"/>
    <w:rsid w:val="58494E13"/>
    <w:rsid w:val="5860BADD"/>
    <w:rsid w:val="58860C8B"/>
    <w:rsid w:val="58B4AD17"/>
    <w:rsid w:val="58BAA885"/>
    <w:rsid w:val="59B64283"/>
    <w:rsid w:val="59C76E99"/>
    <w:rsid w:val="5A44F3D3"/>
    <w:rsid w:val="5AA4AFFE"/>
    <w:rsid w:val="5ADAFFCC"/>
    <w:rsid w:val="5ADD0A41"/>
    <w:rsid w:val="5AE79C2B"/>
    <w:rsid w:val="5AEC9F99"/>
    <w:rsid w:val="5B0910EC"/>
    <w:rsid w:val="5B0C1334"/>
    <w:rsid w:val="5BE0C434"/>
    <w:rsid w:val="5C17E72B"/>
    <w:rsid w:val="5C4F23F7"/>
    <w:rsid w:val="5C793632"/>
    <w:rsid w:val="5CDD3767"/>
    <w:rsid w:val="5CEDD9EE"/>
    <w:rsid w:val="5D11B7C0"/>
    <w:rsid w:val="5D2BC83C"/>
    <w:rsid w:val="5D4C55EB"/>
    <w:rsid w:val="5D994635"/>
    <w:rsid w:val="5E0428E6"/>
    <w:rsid w:val="5E3D1B41"/>
    <w:rsid w:val="5E7A293C"/>
    <w:rsid w:val="5EA8B6E3"/>
    <w:rsid w:val="5ECA16D2"/>
    <w:rsid w:val="5EEC81BF"/>
    <w:rsid w:val="5F5F09AB"/>
    <w:rsid w:val="5F666D58"/>
    <w:rsid w:val="5F806070"/>
    <w:rsid w:val="603E3867"/>
    <w:rsid w:val="60B1E8E8"/>
    <w:rsid w:val="60B43557"/>
    <w:rsid w:val="60CA3802"/>
    <w:rsid w:val="60D4DA77"/>
    <w:rsid w:val="60E54917"/>
    <w:rsid w:val="611B61EE"/>
    <w:rsid w:val="61273BE0"/>
    <w:rsid w:val="61669DC2"/>
    <w:rsid w:val="61FF962C"/>
    <w:rsid w:val="62083FEB"/>
    <w:rsid w:val="620D518C"/>
    <w:rsid w:val="622E1056"/>
    <w:rsid w:val="62755CCD"/>
    <w:rsid w:val="6296AA6D"/>
    <w:rsid w:val="62AE8DAF"/>
    <w:rsid w:val="62F14471"/>
    <w:rsid w:val="62F76407"/>
    <w:rsid w:val="63070AF6"/>
    <w:rsid w:val="630B94D7"/>
    <w:rsid w:val="63364121"/>
    <w:rsid w:val="6349DA8E"/>
    <w:rsid w:val="639C6D78"/>
    <w:rsid w:val="63A4104C"/>
    <w:rsid w:val="63A85B1A"/>
    <w:rsid w:val="63BFF005"/>
    <w:rsid w:val="63F118D2"/>
    <w:rsid w:val="64327ACE"/>
    <w:rsid w:val="643AE3C1"/>
    <w:rsid w:val="6448257D"/>
    <w:rsid w:val="64F161C8"/>
    <w:rsid w:val="64F7F25D"/>
    <w:rsid w:val="659B6F48"/>
    <w:rsid w:val="659DA925"/>
    <w:rsid w:val="65BC1499"/>
    <w:rsid w:val="65CE4B2F"/>
    <w:rsid w:val="65ECED26"/>
    <w:rsid w:val="6600C0E9"/>
    <w:rsid w:val="66087FCA"/>
    <w:rsid w:val="66947F6A"/>
    <w:rsid w:val="6698C4D1"/>
    <w:rsid w:val="66A16557"/>
    <w:rsid w:val="66CFBD24"/>
    <w:rsid w:val="66DFFBDC"/>
    <w:rsid w:val="671C0A8F"/>
    <w:rsid w:val="672CC8BE"/>
    <w:rsid w:val="673EA889"/>
    <w:rsid w:val="675719A2"/>
    <w:rsid w:val="6794BC2D"/>
    <w:rsid w:val="67A0FC1E"/>
    <w:rsid w:val="67A4502B"/>
    <w:rsid w:val="67E5BC5B"/>
    <w:rsid w:val="69425E0F"/>
    <w:rsid w:val="69B7E42D"/>
    <w:rsid w:val="69BB9131"/>
    <w:rsid w:val="69CBCF6F"/>
    <w:rsid w:val="69DA1663"/>
    <w:rsid w:val="69E10BD5"/>
    <w:rsid w:val="6A002ACC"/>
    <w:rsid w:val="6A711A48"/>
    <w:rsid w:val="6A928D4D"/>
    <w:rsid w:val="6AA24EA2"/>
    <w:rsid w:val="6AA58CA0"/>
    <w:rsid w:val="6B94588D"/>
    <w:rsid w:val="6BEC27D7"/>
    <w:rsid w:val="6BF95375"/>
    <w:rsid w:val="6C0EF197"/>
    <w:rsid w:val="6C32328C"/>
    <w:rsid w:val="6CEECC94"/>
    <w:rsid w:val="6D58843F"/>
    <w:rsid w:val="6D74DA97"/>
    <w:rsid w:val="6D80CDDC"/>
    <w:rsid w:val="6D8D58D0"/>
    <w:rsid w:val="6DE8873A"/>
    <w:rsid w:val="6DEAD554"/>
    <w:rsid w:val="6E55C43B"/>
    <w:rsid w:val="6ED8E794"/>
    <w:rsid w:val="6EE6CDC4"/>
    <w:rsid w:val="6EE9CFBD"/>
    <w:rsid w:val="6EFA95BA"/>
    <w:rsid w:val="6F31D4B6"/>
    <w:rsid w:val="6F37756D"/>
    <w:rsid w:val="6F6067BB"/>
    <w:rsid w:val="6F607BC6"/>
    <w:rsid w:val="6F69B489"/>
    <w:rsid w:val="6F7BBE3C"/>
    <w:rsid w:val="6F8CD712"/>
    <w:rsid w:val="6F9FCE12"/>
    <w:rsid w:val="6FA98698"/>
    <w:rsid w:val="6FAA8D1B"/>
    <w:rsid w:val="6FB82200"/>
    <w:rsid w:val="6FC148CA"/>
    <w:rsid w:val="6FFAA49F"/>
    <w:rsid w:val="707D9E50"/>
    <w:rsid w:val="70FCBBA4"/>
    <w:rsid w:val="7118EB5C"/>
    <w:rsid w:val="713B9E73"/>
    <w:rsid w:val="718A290E"/>
    <w:rsid w:val="724C9F7D"/>
    <w:rsid w:val="7291ECD6"/>
    <w:rsid w:val="7293AEC4"/>
    <w:rsid w:val="72CF608B"/>
    <w:rsid w:val="72D76ED4"/>
    <w:rsid w:val="732BEDBC"/>
    <w:rsid w:val="733C97EF"/>
    <w:rsid w:val="734335FB"/>
    <w:rsid w:val="735E0E56"/>
    <w:rsid w:val="736C5105"/>
    <w:rsid w:val="73C64419"/>
    <w:rsid w:val="73F17BD7"/>
    <w:rsid w:val="73F69C63"/>
    <w:rsid w:val="741A7DE1"/>
    <w:rsid w:val="7424FDC3"/>
    <w:rsid w:val="7425AA55"/>
    <w:rsid w:val="743763C1"/>
    <w:rsid w:val="745C5568"/>
    <w:rsid w:val="74644746"/>
    <w:rsid w:val="747028C8"/>
    <w:rsid w:val="74867A11"/>
    <w:rsid w:val="74AB3B28"/>
    <w:rsid w:val="7515EF83"/>
    <w:rsid w:val="75789F94"/>
    <w:rsid w:val="7593276F"/>
    <w:rsid w:val="759D1B25"/>
    <w:rsid w:val="75A24A92"/>
    <w:rsid w:val="75EA1562"/>
    <w:rsid w:val="76043FC1"/>
    <w:rsid w:val="76323E6D"/>
    <w:rsid w:val="76638E7E"/>
    <w:rsid w:val="767B2F2F"/>
    <w:rsid w:val="768CC146"/>
    <w:rsid w:val="76B9283E"/>
    <w:rsid w:val="771A7BE0"/>
    <w:rsid w:val="77622D4B"/>
    <w:rsid w:val="77729BEB"/>
    <w:rsid w:val="77A2D1AE"/>
    <w:rsid w:val="77FF5EDF"/>
    <w:rsid w:val="7814353B"/>
    <w:rsid w:val="7874024D"/>
    <w:rsid w:val="78BED7F9"/>
    <w:rsid w:val="79155E4A"/>
    <w:rsid w:val="7920EE11"/>
    <w:rsid w:val="793399F2"/>
    <w:rsid w:val="798A2020"/>
    <w:rsid w:val="79DD7E20"/>
    <w:rsid w:val="7A4785AC"/>
    <w:rsid w:val="7A53B223"/>
    <w:rsid w:val="7AD1E9E0"/>
    <w:rsid w:val="7B03000F"/>
    <w:rsid w:val="7B4B7455"/>
    <w:rsid w:val="7B4EBFDA"/>
    <w:rsid w:val="7B8AB8FF"/>
    <w:rsid w:val="7BAF79D2"/>
    <w:rsid w:val="7BE10648"/>
    <w:rsid w:val="7BF3BCE8"/>
    <w:rsid w:val="7C058EDF"/>
    <w:rsid w:val="7C537D99"/>
    <w:rsid w:val="7C547AC6"/>
    <w:rsid w:val="7C834096"/>
    <w:rsid w:val="7CAFBBD6"/>
    <w:rsid w:val="7CC57492"/>
    <w:rsid w:val="7CE3FAB9"/>
    <w:rsid w:val="7CE7A65E"/>
    <w:rsid w:val="7CFB6F2C"/>
    <w:rsid w:val="7D11C679"/>
    <w:rsid w:val="7DCBFB5D"/>
    <w:rsid w:val="7DD0E498"/>
    <w:rsid w:val="7DF76E64"/>
    <w:rsid w:val="7DF85C68"/>
    <w:rsid w:val="7E3FFBC0"/>
    <w:rsid w:val="7E975B98"/>
    <w:rsid w:val="7E9EA86D"/>
    <w:rsid w:val="7EA927AB"/>
    <w:rsid w:val="7F28207B"/>
    <w:rsid w:val="7F550222"/>
    <w:rsid w:val="7F840D3F"/>
    <w:rsid w:val="7FA418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Bulletlist1HDMES">
    <w:name w:val="Bullet list 1  HDMES"/>
    <w:basedOn w:val="Normal"/>
    <w:link w:val="Bulletlist1HDMESChar"/>
    <w:uiPriority w:val="1"/>
    <w:qFormat/>
    <w:rsid w:val="7CE7A65E"/>
    <w:pPr>
      <w:spacing w:before="160" w:after="40" w:line="276" w:lineRule="auto"/>
      <w:ind w:left="360" w:hanging="360"/>
      <w:contextualSpacing/>
      <w:jc w:val="both"/>
    </w:pPr>
  </w:style>
  <w:style w:type="character" w:customStyle="1" w:styleId="Bulletlist1HDMESChar">
    <w:name w:val="Bullet list 1  HDMES Char"/>
    <w:basedOn w:val="DefaultParagraphFont"/>
    <w:link w:val="Bulletlist1HDMES"/>
    <w:uiPriority w:val="1"/>
    <w:rsid w:val="7CE7A65E"/>
    <w:rPr>
      <w:color w:val="495965" w:themeColor="text2"/>
      <w:lang w:val="en-GB"/>
    </w:rPr>
  </w:style>
  <w:style w:type="character" w:styleId="UnresolvedMention">
    <w:name w:val="Unresolved Mention"/>
    <w:basedOn w:val="DefaultParagraphFont"/>
    <w:uiPriority w:val="99"/>
    <w:semiHidden/>
    <w:unhideWhenUsed/>
    <w:rsid w:val="00AC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364476755">
      <w:bodyDiv w:val="1"/>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0"/>
          <w:divBdr>
            <w:top w:val="none" w:sz="0" w:space="0" w:color="auto"/>
            <w:left w:val="none" w:sz="0" w:space="0" w:color="auto"/>
            <w:bottom w:val="none" w:sz="0" w:space="0" w:color="auto"/>
            <w:right w:val="none" w:sz="0" w:space="0" w:color="auto"/>
          </w:divBdr>
        </w:div>
      </w:divsChild>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65551847">
      <w:bodyDiv w:val="1"/>
      <w:marLeft w:val="0"/>
      <w:marRight w:val="0"/>
      <w:marTop w:val="0"/>
      <w:marBottom w:val="0"/>
      <w:divBdr>
        <w:top w:val="none" w:sz="0" w:space="0" w:color="auto"/>
        <w:left w:val="none" w:sz="0" w:space="0" w:color="auto"/>
        <w:bottom w:val="none" w:sz="0" w:space="0" w:color="auto"/>
        <w:right w:val="none" w:sz="0" w:space="0" w:color="auto"/>
      </w:divBdr>
      <w:divsChild>
        <w:div w:id="52319885">
          <w:marLeft w:val="0"/>
          <w:marRight w:val="0"/>
          <w:marTop w:val="0"/>
          <w:marBottom w:val="0"/>
          <w:divBdr>
            <w:top w:val="none" w:sz="0" w:space="0" w:color="auto"/>
            <w:left w:val="none" w:sz="0" w:space="0" w:color="auto"/>
            <w:bottom w:val="none" w:sz="0" w:space="0" w:color="auto"/>
            <w:right w:val="none" w:sz="0" w:space="0" w:color="auto"/>
          </w:divBdr>
        </w:div>
      </w:divsChild>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development/australias-international-development-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f12716648f607da7438faf847354eed5">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cf9fce44b3cbc63ab919193449ecb1a1"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6d9cfe-7dd6-4fd9-be1d-cf346d4b66a5}"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6a9ee1c-e9d7-4c33-a893-a1e31be4ca82">
      <UserInfo>
        <DisplayName>Lara Andrews</DisplayName>
        <AccountId>25</AccountId>
        <AccountType/>
      </UserInfo>
      <UserInfo>
        <DisplayName>Dianne Dagam</DisplayName>
        <AccountId>20</AccountId>
        <AccountType/>
      </UserInfo>
      <UserInfo>
        <DisplayName>Linda Chen</DisplayName>
        <AccountId>52</AccountId>
        <AccountType/>
      </UserInfo>
      <UserInfo>
        <DisplayName>Jason Court</DisplayName>
        <AccountId>18</AccountId>
        <AccountType/>
      </UserInfo>
    </SharedWithUsers>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1516F-3515-453A-B01D-5B9FB3BFAB58}">
  <ds:schemaRefs>
    <ds:schemaRef ds:uri="http://schemas.openxmlformats.org/officeDocument/2006/bibliography"/>
  </ds:schemaRefs>
</ds:datastoreItem>
</file>

<file path=customXml/itemProps2.xml><?xml version="1.0" encoding="utf-8"?>
<ds:datastoreItem xmlns:ds="http://schemas.openxmlformats.org/officeDocument/2006/customXml" ds:itemID="{A71ABB76-9922-443C-B56E-B8760C787A1B}">
  <ds:schemaRefs>
    <ds:schemaRef ds:uri="http://schemas.microsoft.com/sharepoint/v3/contenttype/forms"/>
  </ds:schemaRefs>
</ds:datastoreItem>
</file>

<file path=customXml/itemProps3.xml><?xml version="1.0" encoding="utf-8"?>
<ds:datastoreItem xmlns:ds="http://schemas.openxmlformats.org/officeDocument/2006/customXml" ds:itemID="{3185A024-8024-45C7-88D3-F160D89C4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74E80-0690-47D1-A3F1-7E2C5B57B20B}">
  <ds:schemaRefs>
    <ds:schemaRef ds:uri="http://schemas.microsoft.com/office/2006/metadata/properties"/>
    <ds:schemaRef ds:uri="http://schemas.microsoft.com/office/infopath/2007/PartnerControls"/>
    <ds:schemaRef ds:uri="46a9ee1c-e9d7-4c33-a893-a1e31be4ca82"/>
    <ds:schemaRef ds:uri="94957f58-8c9b-48f1-9a23-72185527d8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8691</Characters>
  <Application>Microsoft Office Word</Application>
  <DocSecurity>0</DocSecurity>
  <Lines>321</Lines>
  <Paragraphs>104</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4</cp:revision>
  <dcterms:created xsi:type="dcterms:W3CDTF">2023-12-19T23:49:00Z</dcterms:created>
  <dcterms:modified xsi:type="dcterms:W3CDTF">2024-02-08T00:17:00Z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51c87cce-06dc-4c71-92d8-c4652546a514</vt:lpwstr>
  </property>
  <property fmtid="{D5CDD505-2E9C-101B-9397-08002B2CF9AE}" pid="3" name="SEC">
    <vt:lpwstr>UNCLASSIFIED</vt:lpwstr>
  </property>
  <property fmtid="{D5CDD505-2E9C-101B-9397-08002B2CF9AE}" pid="4" name="DLM">
    <vt:lpwstr>No DLM</vt:lpwstr>
  </property>
  <property fmtid="{D5CDD505-2E9C-101B-9397-08002B2CF9AE}" pid="5" name="hptrimrecordref">
    <vt:lpwstr/>
  </property>
  <property fmtid="{D5CDD505-2E9C-101B-9397-08002B2CF9AE}" pid="6" name="ResponsibleBranch">
    <vt:lpwstr>216</vt:lpwstr>
  </property>
  <property fmtid="{D5CDD505-2E9C-101B-9397-08002B2CF9AE}" pid="7" name="ContentTypeId">
    <vt:lpwstr>0x01010024D2B9BE6066D8448F569511346266D7</vt:lpwstr>
  </property>
  <property fmtid="{D5CDD505-2E9C-101B-9397-08002B2CF9AE}" pid="8" name="hptrimdataset">
    <vt:lpwstr>CH</vt:lpwstr>
  </property>
  <property fmtid="{D5CDD505-2E9C-101B-9397-08002B2CF9AE}" pid="9" name="hptrimfileref">
    <vt:lpwstr>17/5175#1</vt:lpwstr>
  </property>
  <property fmtid="{D5CDD505-2E9C-101B-9397-08002B2CF9AE}" pid="10" name="xDateCurrencyReview">
    <vt:lpwstr>2015-02-24T13:00:00+00:00</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v=2022.1;a=SHA256;h=A287B4C66E6AADE5776DCE65523F7AA89490C83DC69441C80593B7CD0F519713</vt:lpwstr>
  </property>
  <property fmtid="{D5CDD505-2E9C-101B-9397-08002B2CF9AE}" pid="16" name="PM_Qualifier">
    <vt:lpwstr/>
  </property>
  <property fmtid="{D5CDD505-2E9C-101B-9397-08002B2CF9AE}" pid="17" name="PM_SecurityClassification">
    <vt:lpwstr>UNOFFICIAL</vt:lpwstr>
  </property>
  <property fmtid="{D5CDD505-2E9C-101B-9397-08002B2CF9AE}" pid="18" name="PM_ProtectiveMarkingValue_Header">
    <vt:lpwstr>UNOFFICIAL</vt:lpwstr>
  </property>
  <property fmtid="{D5CDD505-2E9C-101B-9397-08002B2CF9AE}" pid="19" name="PM_OriginationTimeStamp">
    <vt:lpwstr>2023-08-14T06:38:11Z</vt:lpwstr>
  </property>
  <property fmtid="{D5CDD505-2E9C-101B-9397-08002B2CF9AE}" pid="20" name="PM_Markers">
    <vt:lpwstr/>
  </property>
  <property fmtid="{D5CDD505-2E9C-101B-9397-08002B2CF9AE}" pid="21" name="PM_InsertionValue">
    <vt:lpwstr>UNOFFICIAL</vt:lpwstr>
  </property>
  <property fmtid="{D5CDD505-2E9C-101B-9397-08002B2CF9AE}" pid="22" name="PM_Originator_Hash_SHA1">
    <vt:lpwstr>95978D357CA586BB804209C7CB91BE27A5E4EADF</vt:lpwstr>
  </property>
  <property fmtid="{D5CDD505-2E9C-101B-9397-08002B2CF9AE}" pid="23" name="PM_DisplayValueSecClassificationWithQualifier">
    <vt:lpwstr>UNOFFICIAL</vt:lpwstr>
  </property>
  <property fmtid="{D5CDD505-2E9C-101B-9397-08002B2CF9AE}" pid="24" name="PM_Originating_FileId">
    <vt:lpwstr>66243E698AD64F1C831EDB11C9C2B2B6</vt:lpwstr>
  </property>
  <property fmtid="{D5CDD505-2E9C-101B-9397-08002B2CF9AE}" pid="25" name="PM_ProtectiveMarkingValue_Footer">
    <vt:lpwstr>UNOFFICIAL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UNOFFICIAL</vt:lpwstr>
  </property>
  <property fmtid="{D5CDD505-2E9C-101B-9397-08002B2CF9AE}" pid="29" name="PM_OriginatorUserAccountName_SHA256">
    <vt:lpwstr>3651C51DAA7655339E2448D338D1FD905CAAA638D2B578DC62AF6A57169D8C8C</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v=2022.2;d=gov.au;g=65417EFE-F3B9-5E66-BD91-1E689FEC2EA6</vt:lpwstr>
  </property>
  <property fmtid="{D5CDD505-2E9C-101B-9397-08002B2CF9AE}" pid="32" name="PM_Hash_Version">
    <vt:lpwstr>2022.1</vt:lpwstr>
  </property>
  <property fmtid="{D5CDD505-2E9C-101B-9397-08002B2CF9AE}" pid="33" name="PM_Hash_Salt_Prev">
    <vt:lpwstr>196A65280381739CF3A18269B9B74E0F</vt:lpwstr>
  </property>
  <property fmtid="{D5CDD505-2E9C-101B-9397-08002B2CF9AE}" pid="34" name="PM_Hash_Salt">
    <vt:lpwstr>2492F1D10A262B9031057F94101C4736</vt:lpwstr>
  </property>
  <property fmtid="{D5CDD505-2E9C-101B-9397-08002B2CF9AE}" pid="35" name="PM_Hash_SHA1">
    <vt:lpwstr>02EEE520C6DBE57D9F6D3170BA0DC7D8FD0D3891</vt:lpwstr>
  </property>
  <property fmtid="{D5CDD505-2E9C-101B-9397-08002B2CF9AE}" pid="36" name="PM_SecurityClassification_Prev">
    <vt:lpwstr>UNOFFICIAL</vt:lpwstr>
  </property>
  <property fmtid="{D5CDD505-2E9C-101B-9397-08002B2CF9AE}" pid="37" name="PM_Qualifier_Prev">
    <vt:lpwstr/>
  </property>
  <property fmtid="{D5CDD505-2E9C-101B-9397-08002B2CF9AE}" pid="38" name="MediaServiceImageTags">
    <vt:lpwstr/>
  </property>
</Properties>
</file>