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16" w:rsidRPr="00B832F5" w:rsidRDefault="00327F16" w:rsidP="00327F16">
      <w:pPr>
        <w:pStyle w:val="DocName"/>
        <w:pBdr>
          <w:top w:val="single" w:sz="4" w:space="12" w:color="FF9900"/>
          <w:bottom w:val="single" w:sz="4" w:space="5" w:color="FF9900"/>
        </w:pBdr>
        <w:shd w:val="clear" w:color="auto" w:fill="FFFFCC"/>
        <w:spacing w:line="360" w:lineRule="auto"/>
        <w:rPr>
          <w:rFonts w:cs="Arial"/>
          <w:sz w:val="24"/>
          <w:lang w:eastAsia="en-AU"/>
        </w:rPr>
      </w:pPr>
      <w:r w:rsidRPr="00B832F5">
        <w:rPr>
          <w:rFonts w:cs="Arial"/>
          <w:sz w:val="24"/>
          <w:lang w:eastAsia="en-AU"/>
        </w:rPr>
        <w:t>Review of A</w:t>
      </w:r>
      <w:bookmarkStart w:id="0" w:name="_GoBack"/>
      <w:r w:rsidRPr="00B832F5">
        <w:rPr>
          <w:rFonts w:cs="Arial"/>
          <w:sz w:val="24"/>
          <w:lang w:eastAsia="en-AU"/>
        </w:rPr>
        <w:t>ustralian Government aid programs in the Pacific aimed at ending violence against women</w:t>
      </w:r>
    </w:p>
    <w:p w:rsidR="00C657FB" w:rsidRPr="00B832F5" w:rsidRDefault="00C657FB" w:rsidP="00C657FB">
      <w:pPr>
        <w:pStyle w:val="DocName"/>
        <w:pBdr>
          <w:top w:val="single" w:sz="4" w:space="12" w:color="FF9900"/>
          <w:bottom w:val="single" w:sz="4" w:space="5" w:color="FF9900"/>
        </w:pBdr>
        <w:shd w:val="clear" w:color="auto" w:fill="FFFFCC"/>
        <w:spacing w:line="360" w:lineRule="auto"/>
        <w:rPr>
          <w:rFonts w:cs="Arial"/>
          <w:sz w:val="24"/>
          <w:lang w:eastAsia="en-AU"/>
        </w:rPr>
      </w:pPr>
    </w:p>
    <w:p w:rsidR="00C657FB" w:rsidRPr="00B832F5" w:rsidRDefault="00F37B61" w:rsidP="00C657FB">
      <w:pPr>
        <w:pStyle w:val="DocName"/>
        <w:pBdr>
          <w:top w:val="single" w:sz="4" w:space="12" w:color="FF9900"/>
          <w:bottom w:val="single" w:sz="4" w:space="5" w:color="FF9900"/>
        </w:pBdr>
        <w:shd w:val="clear" w:color="auto" w:fill="FFFFCC"/>
        <w:spacing w:line="360" w:lineRule="auto"/>
        <w:rPr>
          <w:rFonts w:cs="Arial"/>
          <w:sz w:val="24"/>
          <w:lang w:eastAsia="en-AU"/>
        </w:rPr>
      </w:pPr>
      <w:r w:rsidRPr="00B832F5">
        <w:rPr>
          <w:rFonts w:cs="Arial"/>
          <w:sz w:val="24"/>
          <w:lang w:eastAsia="en-AU"/>
        </w:rPr>
        <w:t>MANAGEMENT RESPONSE</w:t>
      </w:r>
    </w:p>
    <w:bookmarkEnd w:id="0"/>
    <w:p w:rsidR="00C657FB" w:rsidRPr="00B832F5" w:rsidRDefault="000B520A" w:rsidP="00683EB4">
      <w:pPr>
        <w:pStyle w:val="Heading2"/>
      </w:pPr>
      <w:r w:rsidRPr="00B832F5">
        <w:t>Initiative</w:t>
      </w:r>
      <w:r w:rsidR="00327F16" w:rsidRPr="00B832F5">
        <w:t>(s)</w:t>
      </w:r>
      <w:r w:rsidRPr="00B832F5">
        <w:t xml:space="preserve"> </w:t>
      </w:r>
      <w:r w:rsidR="00C657FB" w:rsidRPr="00B832F5">
        <w:t>Summary</w:t>
      </w:r>
    </w:p>
    <w:p w:rsidR="007F1D48" w:rsidRPr="00B832F5" w:rsidRDefault="007F1D48" w:rsidP="007F1D48">
      <w:pPr>
        <w:rPr>
          <w:rFonts w:cs="Arial"/>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7F1D48" w:rsidRPr="00B832F5" w:rsidTr="007F1D48">
        <w:trPr>
          <w:cantSplit/>
          <w:tblHeader/>
        </w:trPr>
        <w:tc>
          <w:tcPr>
            <w:tcW w:w="2660" w:type="dxa"/>
            <w:shd w:val="clear" w:color="auto" w:fill="E0E0E0"/>
            <w:vAlign w:val="center"/>
          </w:tcPr>
          <w:p w:rsidR="007F1D48" w:rsidRPr="00B832F5" w:rsidRDefault="007F1D48" w:rsidP="007F1D48">
            <w:pPr>
              <w:pStyle w:val="Table-normal-text"/>
              <w:spacing w:before="120" w:after="120"/>
              <w:rPr>
                <w:rFonts w:cs="Arial"/>
                <w:b/>
              </w:rPr>
            </w:pPr>
            <w:r w:rsidRPr="00B832F5">
              <w:rPr>
                <w:rFonts w:cs="Arial"/>
                <w:b/>
              </w:rPr>
              <w:t>Initiative Name</w:t>
            </w:r>
          </w:p>
        </w:tc>
        <w:tc>
          <w:tcPr>
            <w:tcW w:w="7229" w:type="dxa"/>
            <w:gridSpan w:val="3"/>
            <w:shd w:val="clear" w:color="auto" w:fill="E0E0E0"/>
            <w:vAlign w:val="center"/>
          </w:tcPr>
          <w:p w:rsidR="007F1D48" w:rsidRPr="00B832F5" w:rsidRDefault="007F1D48" w:rsidP="007F1D48">
            <w:pPr>
              <w:pStyle w:val="Table-normal-text"/>
              <w:spacing w:before="120" w:after="120"/>
              <w:rPr>
                <w:rFonts w:cs="Arial"/>
                <w:b/>
              </w:rPr>
            </w:pPr>
            <w:r w:rsidRPr="00B832F5">
              <w:rPr>
                <w:rFonts w:cs="Arial"/>
                <w:sz w:val="22"/>
                <w:szCs w:val="22"/>
              </w:rPr>
              <w:t>Fiji Women’s Crisis Centre (FWCC) Phase 5 – including the Male Advocacy Program and Regional Training Program (RTP)</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AidWorks initiative number</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szCs w:val="16"/>
              </w:rPr>
              <w:t>INI598</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Commencement date</w:t>
            </w:r>
          </w:p>
        </w:tc>
        <w:tc>
          <w:tcPr>
            <w:tcW w:w="2693" w:type="dxa"/>
            <w:shd w:val="clear" w:color="auto" w:fill="auto"/>
          </w:tcPr>
          <w:p w:rsidR="007F1D48" w:rsidRPr="00B832F5" w:rsidRDefault="007F1D48" w:rsidP="007F1D48">
            <w:pPr>
              <w:pStyle w:val="Table-normal-text"/>
              <w:rPr>
                <w:rFonts w:cs="Arial"/>
              </w:rPr>
            </w:pPr>
            <w:r w:rsidRPr="00B832F5">
              <w:rPr>
                <w:rFonts w:cs="Arial"/>
                <w:szCs w:val="16"/>
                <w:bdr w:val="none" w:sz="0" w:space="0" w:color="auto" w:frame="1"/>
              </w:rPr>
              <w:t>30 May 2009</w:t>
            </w:r>
          </w:p>
        </w:tc>
        <w:tc>
          <w:tcPr>
            <w:tcW w:w="1843" w:type="dxa"/>
            <w:shd w:val="clear" w:color="auto" w:fill="auto"/>
          </w:tcPr>
          <w:p w:rsidR="007F1D48" w:rsidRPr="00B832F5" w:rsidRDefault="007F1D48" w:rsidP="007F1D48">
            <w:pPr>
              <w:pStyle w:val="Table-normal-text"/>
              <w:rPr>
                <w:rFonts w:cs="Arial"/>
              </w:rPr>
            </w:pPr>
            <w:r w:rsidRPr="00B832F5">
              <w:rPr>
                <w:rFonts w:cs="Arial"/>
              </w:rPr>
              <w:t>Completion date</w:t>
            </w:r>
          </w:p>
        </w:tc>
        <w:tc>
          <w:tcPr>
            <w:tcW w:w="2693" w:type="dxa"/>
            <w:shd w:val="clear" w:color="auto" w:fill="auto"/>
          </w:tcPr>
          <w:p w:rsidR="007F1D48" w:rsidRPr="00B832F5" w:rsidRDefault="007F1D48" w:rsidP="007F1D48">
            <w:pPr>
              <w:spacing w:before="40" w:after="20"/>
              <w:rPr>
                <w:rFonts w:cs="Arial"/>
                <w:i/>
                <w:color w:val="76923C"/>
                <w:sz w:val="16"/>
                <w:szCs w:val="16"/>
              </w:rPr>
            </w:pPr>
            <w:r w:rsidRPr="00B832F5">
              <w:rPr>
                <w:rFonts w:cs="Arial"/>
                <w:szCs w:val="16"/>
                <w:bdr w:val="none" w:sz="0" w:space="0" w:color="auto" w:frame="1"/>
              </w:rPr>
              <w:t>30 June 2015</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Total Australian $</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szCs w:val="16"/>
                <w:bdr w:val="none" w:sz="0" w:space="0" w:color="auto" w:frame="1"/>
              </w:rPr>
              <w:t>$8,427,500 (for general FWCC support).  Includes FJD429,290 for training male advocates July 2009 to June 2012; and FJD445,800 from July 2009 to June 2012, and USD369,807 via UN Women from 2009 to May 2013 for the RTP.</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Total other $</w:t>
            </w:r>
          </w:p>
        </w:tc>
        <w:tc>
          <w:tcPr>
            <w:tcW w:w="7229" w:type="dxa"/>
            <w:gridSpan w:val="3"/>
            <w:shd w:val="clear" w:color="auto" w:fill="auto"/>
          </w:tcPr>
          <w:p w:rsidR="007F1D48" w:rsidRPr="00B832F5" w:rsidRDefault="007F1D48" w:rsidP="00FA42B9">
            <w:pPr>
              <w:pStyle w:val="Table-normal-text"/>
              <w:rPr>
                <w:rFonts w:cs="Arial"/>
              </w:rPr>
            </w:pPr>
            <w:r w:rsidRPr="00B832F5">
              <w:rPr>
                <w:rFonts w:cs="Arial"/>
              </w:rPr>
              <w:t xml:space="preserve"> </w:t>
            </w:r>
            <w:r w:rsidR="00FA42B9" w:rsidRPr="00B832F5">
              <w:rPr>
                <w:rFonts w:cs="Arial"/>
              </w:rPr>
              <w:t xml:space="preserve">$0    </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Delivery organisation(s)</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szCs w:val="16"/>
                <w:bdr w:val="none" w:sz="0" w:space="0" w:color="auto" w:frame="1"/>
              </w:rPr>
              <w:t>Fiji Women’s Crisis Centre (FWCC)</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Implementing partner(s)</w:t>
            </w:r>
          </w:p>
        </w:tc>
        <w:tc>
          <w:tcPr>
            <w:tcW w:w="7229" w:type="dxa"/>
            <w:gridSpan w:val="3"/>
            <w:shd w:val="clear" w:color="auto" w:fill="auto"/>
          </w:tcPr>
          <w:p w:rsidR="007F1D48" w:rsidRPr="00B832F5" w:rsidRDefault="00A25AC8" w:rsidP="00A25AC8">
            <w:pPr>
              <w:pStyle w:val="Table-normal-text"/>
              <w:rPr>
                <w:rFonts w:cs="Arial"/>
              </w:rPr>
            </w:pPr>
            <w:r w:rsidRPr="00B832F5">
              <w:rPr>
                <w:rFonts w:cs="Arial"/>
              </w:rPr>
              <w:t>n/a</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Country/Region</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 xml:space="preserve">Both activities (Male Advocacy Program and RTP) are conducted on a regional basis </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Primary sector</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Various</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Initiative objective/s</w:t>
            </w:r>
          </w:p>
        </w:tc>
        <w:tc>
          <w:tcPr>
            <w:tcW w:w="7229" w:type="dxa"/>
            <w:gridSpan w:val="3"/>
            <w:shd w:val="clear" w:color="auto" w:fill="auto"/>
          </w:tcPr>
          <w:p w:rsidR="007F1D48" w:rsidRPr="00B832F5" w:rsidRDefault="007F1D48" w:rsidP="007F1D48">
            <w:pPr>
              <w:pStyle w:val="Table-normal-text"/>
              <w:rPr>
                <w:rFonts w:cs="Arial"/>
                <w:szCs w:val="16"/>
                <w:bdr w:val="none" w:sz="0" w:space="0" w:color="auto" w:frame="1"/>
              </w:rPr>
            </w:pPr>
            <w:r w:rsidRPr="00B832F5">
              <w:rPr>
                <w:rFonts w:cs="Arial"/>
                <w:szCs w:val="16"/>
                <w:bdr w:val="none" w:sz="0" w:space="0" w:color="auto" w:frame="1"/>
              </w:rPr>
              <w:t>The Fiji Women's Crisis Centre (FWCC) provides technical support and mentoring to relevant organisations working in the Pacific region. FWCC aims to reduce individual and institutional tolerance of violence against women and increase availability of services such as: crisis counselling; legal advice; advocacy; multi-sectoral coordination; training, education and awareness; and other support services.</w:t>
            </w:r>
          </w:p>
          <w:p w:rsidR="007F1D48" w:rsidRPr="00B832F5" w:rsidRDefault="007F1D48" w:rsidP="007F1D48">
            <w:pPr>
              <w:pStyle w:val="Table-normal-text"/>
              <w:rPr>
                <w:rFonts w:cs="Arial"/>
                <w:szCs w:val="16"/>
                <w:bdr w:val="none" w:sz="0" w:space="0" w:color="auto" w:frame="1"/>
              </w:rPr>
            </w:pPr>
            <w:r w:rsidRPr="00B832F5">
              <w:rPr>
                <w:rFonts w:cs="Arial"/>
                <w:szCs w:val="16"/>
                <w:bdr w:val="none" w:sz="0" w:space="0" w:color="auto" w:frame="1"/>
              </w:rPr>
              <w:t>The 4-week Regional Training Program is an important aspect of the Centre’s regional services. It provides participants (network members, CSOs and government agencies that deal with VAW) with a good foundation for strategies and activities to effectively address gender-based violence. The curriculum is continually reviewed and updated, taking into account the latest regional and international information and practices. Specific needs are also catered for (e.g., upgrading counselling skills, improving centre management, or conducting advocacy campaigns).</w:t>
            </w:r>
          </w:p>
          <w:p w:rsidR="007F1D48" w:rsidRPr="00B832F5" w:rsidRDefault="007F1D48" w:rsidP="007F1D48">
            <w:pPr>
              <w:pStyle w:val="Table-normal-text"/>
              <w:rPr>
                <w:rFonts w:cs="Arial"/>
                <w:szCs w:val="16"/>
                <w:bdr w:val="none" w:sz="0" w:space="0" w:color="auto" w:frame="1"/>
              </w:rPr>
            </w:pPr>
            <w:r w:rsidRPr="00B832F5">
              <w:rPr>
                <w:rFonts w:cs="Arial"/>
                <w:szCs w:val="16"/>
                <w:bdr w:val="none" w:sz="0" w:space="0" w:color="auto" w:frame="1"/>
              </w:rPr>
              <w:t xml:space="preserve">The Centre started the Male Advocates Programme in 2002, to engage men as allies in challenging violence against women, and to encourage men to take responsibility for the issue of violence against women.  </w:t>
            </w:r>
          </w:p>
        </w:tc>
      </w:tr>
    </w:tbl>
    <w:p w:rsidR="007F1D48" w:rsidRPr="00B832F5" w:rsidRDefault="007F1D48" w:rsidP="007F1D48">
      <w:pPr>
        <w:rPr>
          <w:rFonts w:cs="Arial"/>
          <w:lang w:eastAsia="en-AU"/>
        </w:rPr>
      </w:pPr>
    </w:p>
    <w:p w:rsidR="007F1D48" w:rsidRPr="00B832F5" w:rsidRDefault="007F1D48" w:rsidP="007F1D48">
      <w:pPr>
        <w:rPr>
          <w:rFonts w:cs="Arial"/>
          <w:lang w:eastAsia="en-AU"/>
        </w:rPr>
      </w:pPr>
    </w:p>
    <w:p w:rsidR="007F1D48" w:rsidRPr="00B832F5" w:rsidRDefault="007F1D48" w:rsidP="007F1D48">
      <w:pPr>
        <w:rPr>
          <w:rFonts w:cs="Arial"/>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7F1D48" w:rsidRPr="00B832F5" w:rsidTr="007F1D48">
        <w:trPr>
          <w:cantSplit/>
          <w:tblHeader/>
        </w:trPr>
        <w:tc>
          <w:tcPr>
            <w:tcW w:w="2660" w:type="dxa"/>
            <w:shd w:val="clear" w:color="auto" w:fill="E0E0E0"/>
            <w:vAlign w:val="center"/>
          </w:tcPr>
          <w:p w:rsidR="007F1D48" w:rsidRPr="00B832F5" w:rsidRDefault="007F1D48" w:rsidP="007F1D48">
            <w:pPr>
              <w:pStyle w:val="Table-normal-text"/>
              <w:spacing w:before="120" w:after="120"/>
              <w:rPr>
                <w:rFonts w:cs="Arial"/>
                <w:b/>
              </w:rPr>
            </w:pPr>
            <w:r w:rsidRPr="00B832F5">
              <w:rPr>
                <w:rFonts w:cs="Arial"/>
                <w:b/>
              </w:rPr>
              <w:lastRenderedPageBreak/>
              <w:t>Initiative Name</w:t>
            </w:r>
          </w:p>
        </w:tc>
        <w:tc>
          <w:tcPr>
            <w:tcW w:w="7229" w:type="dxa"/>
            <w:gridSpan w:val="3"/>
            <w:shd w:val="clear" w:color="auto" w:fill="E0E0E0"/>
            <w:vAlign w:val="center"/>
          </w:tcPr>
          <w:p w:rsidR="007F1D48" w:rsidRPr="00B832F5" w:rsidRDefault="007F1D48" w:rsidP="007F1D48">
            <w:pPr>
              <w:pStyle w:val="Table-normal-text"/>
              <w:spacing w:before="120" w:after="120"/>
              <w:rPr>
                <w:rFonts w:cs="Arial"/>
                <w:b/>
              </w:rPr>
            </w:pPr>
            <w:r w:rsidRPr="00B832F5">
              <w:rPr>
                <w:rFonts w:cs="Arial"/>
                <w:sz w:val="22"/>
                <w:szCs w:val="22"/>
              </w:rPr>
              <w:t>Vanuatu Women’s Centre (VWC) – including the Male Advocacy Program and Committees Against Violence Against Women (CAVAWs)</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AidWorks initiative number</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INH199</w:t>
            </w:r>
            <w:r w:rsidR="009F6883" w:rsidRPr="00B832F5">
              <w:rPr>
                <w:rFonts w:cs="Arial"/>
              </w:rPr>
              <w:t xml:space="preserve"> (Phase 5)</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Commencement date</w:t>
            </w:r>
          </w:p>
        </w:tc>
        <w:tc>
          <w:tcPr>
            <w:tcW w:w="2693" w:type="dxa"/>
            <w:shd w:val="clear" w:color="auto" w:fill="auto"/>
          </w:tcPr>
          <w:p w:rsidR="007F1D48" w:rsidRPr="00B832F5" w:rsidRDefault="007F1D48" w:rsidP="007F1D48">
            <w:pPr>
              <w:pStyle w:val="Table-normal-text"/>
              <w:rPr>
                <w:rFonts w:cs="Arial"/>
              </w:rPr>
            </w:pPr>
            <w:r w:rsidRPr="00B832F5">
              <w:rPr>
                <w:rFonts w:cs="Arial"/>
              </w:rPr>
              <w:t>1 June 2007</w:t>
            </w:r>
          </w:p>
        </w:tc>
        <w:tc>
          <w:tcPr>
            <w:tcW w:w="1843" w:type="dxa"/>
            <w:shd w:val="clear" w:color="auto" w:fill="auto"/>
          </w:tcPr>
          <w:p w:rsidR="007F1D48" w:rsidRPr="00B832F5" w:rsidRDefault="007F1D48" w:rsidP="007F1D48">
            <w:pPr>
              <w:pStyle w:val="Table-normal-text"/>
              <w:rPr>
                <w:rFonts w:cs="Arial"/>
              </w:rPr>
            </w:pPr>
            <w:r w:rsidRPr="00B832F5">
              <w:rPr>
                <w:rFonts w:cs="Arial"/>
              </w:rPr>
              <w:t>Completion date</w:t>
            </w:r>
          </w:p>
        </w:tc>
        <w:tc>
          <w:tcPr>
            <w:tcW w:w="2693" w:type="dxa"/>
            <w:shd w:val="clear" w:color="auto" w:fill="auto"/>
          </w:tcPr>
          <w:p w:rsidR="007F1D48" w:rsidRPr="00B832F5" w:rsidRDefault="007F1D48" w:rsidP="007F1D48">
            <w:pPr>
              <w:pStyle w:val="Table-normal-text"/>
              <w:rPr>
                <w:rFonts w:cs="Arial"/>
              </w:rPr>
            </w:pPr>
            <w:r w:rsidRPr="00B832F5">
              <w:rPr>
                <w:rFonts w:cs="Arial"/>
              </w:rPr>
              <w:t>30 June 2012</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Total Australian $</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$4,123,211(for entire program, which includes Vatu11,490,592 for training male advocates and Vatu53,741,600 for training the CAVAWs and supporting community mobilisation activities)</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Total other $</w:t>
            </w:r>
          </w:p>
        </w:tc>
        <w:tc>
          <w:tcPr>
            <w:tcW w:w="7229" w:type="dxa"/>
            <w:gridSpan w:val="3"/>
            <w:shd w:val="clear" w:color="auto" w:fill="auto"/>
          </w:tcPr>
          <w:p w:rsidR="007F1D48" w:rsidRPr="00B832F5" w:rsidRDefault="00A25AC8" w:rsidP="007F1D48">
            <w:pPr>
              <w:pStyle w:val="Table-normal-text"/>
              <w:rPr>
                <w:rFonts w:cs="Arial"/>
              </w:rPr>
            </w:pPr>
            <w:r w:rsidRPr="00B832F5">
              <w:rPr>
                <w:rFonts w:cs="Arial"/>
              </w:rPr>
              <w:t xml:space="preserve">$0  </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Delivery organisation(s)</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Vanuatu Women’s Centre (VWC)</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Implementing partner(s)</w:t>
            </w:r>
          </w:p>
        </w:tc>
        <w:tc>
          <w:tcPr>
            <w:tcW w:w="7229" w:type="dxa"/>
            <w:gridSpan w:val="3"/>
            <w:shd w:val="clear" w:color="auto" w:fill="auto"/>
          </w:tcPr>
          <w:p w:rsidR="007F1D48" w:rsidRPr="00B832F5" w:rsidRDefault="00A25AC8" w:rsidP="00A25AC8">
            <w:pPr>
              <w:pStyle w:val="Table-normal-text"/>
              <w:rPr>
                <w:rFonts w:cs="Arial"/>
              </w:rPr>
            </w:pPr>
            <w:r w:rsidRPr="00B832F5">
              <w:rPr>
                <w:rFonts w:cs="Arial"/>
              </w:rPr>
              <w:t>n/a</w:t>
            </w:r>
          </w:p>
        </w:tc>
      </w:tr>
      <w:tr w:rsidR="007F1D48" w:rsidRPr="00B832F5" w:rsidTr="007F1D48">
        <w:trPr>
          <w:cantSplit/>
        </w:trPr>
        <w:tc>
          <w:tcPr>
            <w:tcW w:w="2660" w:type="dxa"/>
            <w:shd w:val="clear" w:color="auto" w:fill="auto"/>
          </w:tcPr>
          <w:p w:rsidR="007F1D48" w:rsidRPr="00B832F5" w:rsidRDefault="007F1D48" w:rsidP="007F1D48">
            <w:pPr>
              <w:pStyle w:val="Table-normal-text"/>
              <w:rPr>
                <w:rFonts w:cs="Arial"/>
              </w:rPr>
            </w:pPr>
            <w:r w:rsidRPr="00B832F5">
              <w:rPr>
                <w:rFonts w:cs="Arial"/>
              </w:rPr>
              <w:t>Country/Region</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Vanuatu</w:t>
            </w:r>
          </w:p>
        </w:tc>
      </w:tr>
      <w:tr w:rsidR="007F1D48" w:rsidRPr="00B832F5" w:rsidTr="000F3735">
        <w:trPr>
          <w:cantSplit/>
        </w:trPr>
        <w:tc>
          <w:tcPr>
            <w:tcW w:w="2660" w:type="dxa"/>
            <w:tcBorders>
              <w:bottom w:val="single" w:sz="4" w:space="0" w:color="808080"/>
            </w:tcBorders>
            <w:shd w:val="clear" w:color="auto" w:fill="auto"/>
          </w:tcPr>
          <w:p w:rsidR="007F1D48" w:rsidRPr="00B832F5" w:rsidRDefault="007F1D48" w:rsidP="007F1D48">
            <w:pPr>
              <w:pStyle w:val="Table-normal-text"/>
              <w:rPr>
                <w:rFonts w:cs="Arial"/>
              </w:rPr>
            </w:pPr>
            <w:r w:rsidRPr="00B832F5">
              <w:rPr>
                <w:rFonts w:cs="Arial"/>
              </w:rPr>
              <w:t>Primary sector</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Various</w:t>
            </w:r>
          </w:p>
        </w:tc>
      </w:tr>
      <w:tr w:rsidR="007F1D48" w:rsidRPr="00B832F5" w:rsidTr="000F3735">
        <w:trPr>
          <w:cantSplit/>
        </w:trPr>
        <w:tc>
          <w:tcPr>
            <w:tcW w:w="2660" w:type="dxa"/>
            <w:tcBorders>
              <w:left w:val="nil"/>
              <w:bottom w:val="single" w:sz="4" w:space="0" w:color="808080"/>
            </w:tcBorders>
            <w:shd w:val="clear" w:color="auto" w:fill="auto"/>
          </w:tcPr>
          <w:p w:rsidR="007F1D48" w:rsidRPr="00B832F5" w:rsidRDefault="007F1D48" w:rsidP="007F1D48">
            <w:pPr>
              <w:pStyle w:val="Table-normal-text"/>
              <w:rPr>
                <w:rFonts w:cs="Arial"/>
              </w:rPr>
            </w:pPr>
            <w:r w:rsidRPr="00B832F5">
              <w:rPr>
                <w:rFonts w:cs="Arial"/>
              </w:rPr>
              <w:t>Initiative objective/s</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rPr>
              <w:t xml:space="preserve">The Vanuatu Women's Centre (VWC) is an independent </w:t>
            </w:r>
            <w:r w:rsidR="000F1885">
              <w:rPr>
                <w:rFonts w:cs="Arial"/>
              </w:rPr>
              <w:t>c</w:t>
            </w:r>
            <w:r w:rsidR="000F1885" w:rsidRPr="00B832F5">
              <w:rPr>
                <w:rFonts w:cs="Arial"/>
              </w:rPr>
              <w:t xml:space="preserve">ivil </w:t>
            </w:r>
            <w:r w:rsidR="000F1885">
              <w:rPr>
                <w:rFonts w:cs="Arial"/>
              </w:rPr>
              <w:t>s</w:t>
            </w:r>
            <w:r w:rsidR="000F1885" w:rsidRPr="00B832F5">
              <w:rPr>
                <w:rFonts w:cs="Arial"/>
              </w:rPr>
              <w:t xml:space="preserve">ociety </w:t>
            </w:r>
            <w:r w:rsidR="000F1885">
              <w:rPr>
                <w:rFonts w:cs="Arial"/>
              </w:rPr>
              <w:t>o</w:t>
            </w:r>
            <w:r w:rsidR="000F1885" w:rsidRPr="00B832F5">
              <w:rPr>
                <w:rFonts w:cs="Arial"/>
              </w:rPr>
              <w:t xml:space="preserve">rganisation </w:t>
            </w:r>
            <w:r w:rsidR="000F1885">
              <w:rPr>
                <w:rFonts w:cs="Arial"/>
              </w:rPr>
              <w:t xml:space="preserve">(CSO) </w:t>
            </w:r>
            <w:r w:rsidRPr="00B832F5">
              <w:rPr>
                <w:rFonts w:cs="Arial"/>
              </w:rPr>
              <w:t xml:space="preserve">based in </w:t>
            </w:r>
            <w:r w:rsidR="00867D81" w:rsidRPr="00B832F5">
              <w:rPr>
                <w:rFonts w:cs="Arial"/>
              </w:rPr>
              <w:t xml:space="preserve">Port </w:t>
            </w:r>
            <w:r w:rsidRPr="00B832F5">
              <w:rPr>
                <w:rFonts w:cs="Arial"/>
              </w:rPr>
              <w:t xml:space="preserve">Vila focused on delivering programs targeting </w:t>
            </w:r>
            <w:r w:rsidR="00B832F5">
              <w:rPr>
                <w:rFonts w:cs="Arial"/>
              </w:rPr>
              <w:t>v</w:t>
            </w:r>
            <w:r w:rsidR="00B832F5" w:rsidRPr="00B832F5">
              <w:rPr>
                <w:rFonts w:cs="Arial"/>
              </w:rPr>
              <w:t xml:space="preserve">iolence </w:t>
            </w:r>
            <w:r w:rsidR="00B832F5">
              <w:rPr>
                <w:rFonts w:cs="Arial"/>
              </w:rPr>
              <w:t>a</w:t>
            </w:r>
            <w:r w:rsidR="00B832F5" w:rsidRPr="00B832F5">
              <w:rPr>
                <w:rFonts w:cs="Arial"/>
              </w:rPr>
              <w:t xml:space="preserve">gainst </w:t>
            </w:r>
            <w:r w:rsidR="00B832F5">
              <w:rPr>
                <w:rFonts w:cs="Arial"/>
              </w:rPr>
              <w:t>w</w:t>
            </w:r>
            <w:r w:rsidR="00B832F5" w:rsidRPr="00B832F5">
              <w:rPr>
                <w:rFonts w:cs="Arial"/>
              </w:rPr>
              <w:t>omen</w:t>
            </w:r>
            <w:r w:rsidRPr="00B832F5">
              <w:rPr>
                <w:rFonts w:cs="Arial"/>
              </w:rPr>
              <w:t>, specifically provision of counselling services, community awareness and legal advocacy programs throughout Vanuatu. The program goal is to eliminate violence against women and children throughout Vanuatu. The expected outcome is increased community acceptance that violence against women and children is a violation of human rights.</w:t>
            </w:r>
          </w:p>
          <w:p w:rsidR="007F1D48" w:rsidRPr="00B832F5" w:rsidRDefault="007F1D48" w:rsidP="007F1D48">
            <w:pPr>
              <w:pStyle w:val="Table-normal-text"/>
              <w:rPr>
                <w:rFonts w:cs="Arial"/>
              </w:rPr>
            </w:pPr>
            <w:r w:rsidRPr="00B832F5">
              <w:rPr>
                <w:rFonts w:cs="Arial"/>
              </w:rPr>
              <w:t>The aim of the Male Advocacy Program is to engage Pacific men as allies in challenging violence against women. VWC coordinates Male Advocates training for men from Vanuatu and conducts follow-up supervision with the trained advocates.</w:t>
            </w:r>
          </w:p>
          <w:p w:rsidR="007F1D48" w:rsidRPr="00876C84" w:rsidRDefault="007F1D48" w:rsidP="007F1D48">
            <w:pPr>
              <w:pStyle w:val="Table-normal-text"/>
              <w:rPr>
                <w:rFonts w:cs="Arial"/>
              </w:rPr>
            </w:pPr>
            <w:r w:rsidRPr="00B832F5">
              <w:rPr>
                <w:rFonts w:cs="Arial"/>
              </w:rPr>
              <w:t xml:space="preserve">The aim of the </w:t>
            </w:r>
            <w:r w:rsidR="00B16500">
              <w:rPr>
                <w:rFonts w:cs="Arial"/>
              </w:rPr>
              <w:t>Committees Against Violence Against Women (</w:t>
            </w:r>
            <w:r w:rsidRPr="00B832F5">
              <w:rPr>
                <w:rFonts w:cs="Arial"/>
              </w:rPr>
              <w:t>CAVAWs</w:t>
            </w:r>
            <w:r w:rsidR="00B16500">
              <w:rPr>
                <w:rFonts w:cs="Arial"/>
              </w:rPr>
              <w:t>)</w:t>
            </w:r>
            <w:r w:rsidRPr="00B832F5">
              <w:rPr>
                <w:rFonts w:cs="Arial"/>
              </w:rPr>
              <w:t xml:space="preserve"> is to increase awareness of violence against women and children and provide effective services to women and children living with violence throughout Vanuatu.</w:t>
            </w:r>
            <w:r w:rsidRPr="00B832F5">
              <w:rPr>
                <w:rFonts w:cs="Arial"/>
                <w:color w:val="000000"/>
                <w:sz w:val="18"/>
                <w:szCs w:val="18"/>
                <w:lang w:eastAsia="en-AU"/>
              </w:rPr>
              <w:t xml:space="preserve"> </w:t>
            </w:r>
          </w:p>
        </w:tc>
      </w:tr>
      <w:tr w:rsidR="009F6883" w:rsidRPr="00876C84" w:rsidTr="000F3735">
        <w:trPr>
          <w:cantSplit/>
        </w:trPr>
        <w:tc>
          <w:tcPr>
            <w:tcW w:w="2660" w:type="dxa"/>
            <w:tcBorders>
              <w:top w:val="single" w:sz="4" w:space="0" w:color="808080"/>
              <w:left w:val="nil"/>
              <w:bottom w:val="single" w:sz="4" w:space="0" w:color="808080"/>
              <w:right w:val="single" w:sz="4" w:space="0" w:color="808080"/>
            </w:tcBorders>
            <w:shd w:val="clear" w:color="auto" w:fill="auto"/>
          </w:tcPr>
          <w:p w:rsidR="009F6883" w:rsidRPr="00876C84" w:rsidRDefault="009F6883" w:rsidP="009F6883">
            <w:pPr>
              <w:pStyle w:val="Table-normal-text"/>
              <w:rPr>
                <w:rFonts w:cs="Arial"/>
              </w:rPr>
            </w:pPr>
            <w:r w:rsidRPr="00876C84">
              <w:rPr>
                <w:rFonts w:cs="Arial"/>
              </w:rPr>
              <w:t>AidWorks initiative number</w:t>
            </w:r>
          </w:p>
        </w:tc>
        <w:tc>
          <w:tcPr>
            <w:tcW w:w="7229" w:type="dxa"/>
            <w:gridSpan w:val="3"/>
            <w:tcBorders>
              <w:top w:val="single" w:sz="4" w:space="0" w:color="808080"/>
              <w:left w:val="single" w:sz="4" w:space="0" w:color="808080"/>
              <w:bottom w:val="single" w:sz="4" w:space="0" w:color="808080"/>
              <w:right w:val="single" w:sz="4" w:space="0" w:color="808080"/>
            </w:tcBorders>
            <w:shd w:val="clear" w:color="auto" w:fill="auto"/>
          </w:tcPr>
          <w:p w:rsidR="009F6883" w:rsidRPr="00876C84" w:rsidRDefault="009F6883" w:rsidP="009F6883">
            <w:pPr>
              <w:pStyle w:val="Table-normal-text"/>
              <w:rPr>
                <w:rFonts w:cs="Arial"/>
              </w:rPr>
            </w:pPr>
            <w:r w:rsidRPr="00876C84">
              <w:rPr>
                <w:rFonts w:cs="Arial"/>
              </w:rPr>
              <w:t>INK586 (Phase 6)</w:t>
            </w:r>
            <w:r w:rsidRPr="00876C84">
              <w:rPr>
                <w:rFonts w:cs="Arial"/>
                <w:sz w:val="18"/>
                <w:szCs w:val="18"/>
                <w:bdr w:val="none" w:sz="0" w:space="0" w:color="auto" w:frame="1"/>
                <w:lang w:val="en"/>
              </w:rPr>
              <w:t xml:space="preserve"> </w:t>
            </w:r>
          </w:p>
        </w:tc>
      </w:tr>
      <w:tr w:rsidR="009F6883" w:rsidRPr="00B832F5" w:rsidTr="000F3735">
        <w:trPr>
          <w:cantSplit/>
        </w:trPr>
        <w:tc>
          <w:tcPr>
            <w:tcW w:w="2660" w:type="dxa"/>
            <w:tcBorders>
              <w:left w:val="nil"/>
            </w:tcBorders>
            <w:shd w:val="clear" w:color="auto" w:fill="auto"/>
          </w:tcPr>
          <w:p w:rsidR="009F6883" w:rsidRPr="000F3735" w:rsidRDefault="009F6883" w:rsidP="009F6883">
            <w:pPr>
              <w:pStyle w:val="Table-normal-text"/>
              <w:rPr>
                <w:rFonts w:cs="Arial"/>
              </w:rPr>
            </w:pPr>
            <w:r w:rsidRPr="00876C84">
              <w:rPr>
                <w:rFonts w:cs="Arial"/>
              </w:rPr>
              <w:t>Commencement d</w:t>
            </w:r>
            <w:r w:rsidRPr="000F3735">
              <w:rPr>
                <w:rFonts w:cs="Arial"/>
              </w:rPr>
              <w:t>ate</w:t>
            </w:r>
          </w:p>
        </w:tc>
        <w:tc>
          <w:tcPr>
            <w:tcW w:w="2693" w:type="dxa"/>
            <w:shd w:val="clear" w:color="auto" w:fill="auto"/>
          </w:tcPr>
          <w:p w:rsidR="009F6883" w:rsidRPr="00E5614B" w:rsidRDefault="009F6883" w:rsidP="009F6883">
            <w:pPr>
              <w:pStyle w:val="Table-normal-text"/>
              <w:rPr>
                <w:rFonts w:cs="Arial"/>
              </w:rPr>
            </w:pPr>
            <w:r w:rsidRPr="000F3735">
              <w:rPr>
                <w:rFonts w:cs="Arial"/>
              </w:rPr>
              <w:t>4 October</w:t>
            </w:r>
            <w:r w:rsidRPr="00E5614B">
              <w:rPr>
                <w:rFonts w:cs="Arial"/>
              </w:rPr>
              <w:t xml:space="preserve"> 2012</w:t>
            </w:r>
          </w:p>
        </w:tc>
        <w:tc>
          <w:tcPr>
            <w:tcW w:w="1843" w:type="dxa"/>
            <w:shd w:val="clear" w:color="auto" w:fill="auto"/>
          </w:tcPr>
          <w:p w:rsidR="009F6883" w:rsidRPr="006F046B" w:rsidRDefault="009F6883" w:rsidP="009F6883">
            <w:pPr>
              <w:pStyle w:val="Table-normal-text"/>
              <w:rPr>
                <w:rFonts w:cs="Arial"/>
              </w:rPr>
            </w:pPr>
            <w:r w:rsidRPr="00864D4A">
              <w:rPr>
                <w:rFonts w:cs="Arial"/>
              </w:rPr>
              <w:t>Completion date</w:t>
            </w:r>
          </w:p>
        </w:tc>
        <w:tc>
          <w:tcPr>
            <w:tcW w:w="2693" w:type="dxa"/>
            <w:shd w:val="clear" w:color="auto" w:fill="auto"/>
          </w:tcPr>
          <w:p w:rsidR="009F6883" w:rsidRPr="008C3C90" w:rsidRDefault="009F6883" w:rsidP="009F6883">
            <w:pPr>
              <w:pStyle w:val="Table-normal-text"/>
              <w:rPr>
                <w:rFonts w:cs="Arial"/>
              </w:rPr>
            </w:pPr>
            <w:r w:rsidRPr="00E27A44">
              <w:rPr>
                <w:rFonts w:cs="Arial"/>
              </w:rPr>
              <w:t>30 June 2016</w:t>
            </w:r>
          </w:p>
        </w:tc>
      </w:tr>
      <w:tr w:rsidR="009F6883" w:rsidRPr="00B832F5" w:rsidTr="000F3735">
        <w:trPr>
          <w:cantSplit/>
        </w:trPr>
        <w:tc>
          <w:tcPr>
            <w:tcW w:w="2660" w:type="dxa"/>
            <w:tcBorders>
              <w:left w:val="nil"/>
            </w:tcBorders>
            <w:shd w:val="clear" w:color="auto" w:fill="auto"/>
          </w:tcPr>
          <w:p w:rsidR="009F6883" w:rsidRPr="00E5614B" w:rsidRDefault="009F6883" w:rsidP="009F6883">
            <w:pPr>
              <w:pStyle w:val="Table-normal-text"/>
              <w:rPr>
                <w:rFonts w:cs="Arial"/>
              </w:rPr>
            </w:pPr>
            <w:r w:rsidRPr="00E5614B">
              <w:rPr>
                <w:rFonts w:cs="Arial"/>
              </w:rPr>
              <w:t>Total Australian $</w:t>
            </w:r>
          </w:p>
        </w:tc>
        <w:tc>
          <w:tcPr>
            <w:tcW w:w="7229" w:type="dxa"/>
            <w:gridSpan w:val="3"/>
            <w:shd w:val="clear" w:color="auto" w:fill="auto"/>
          </w:tcPr>
          <w:p w:rsidR="009F6883" w:rsidRPr="006F046B" w:rsidRDefault="009F6883" w:rsidP="009F6883">
            <w:pPr>
              <w:pStyle w:val="Table-normal-text"/>
              <w:rPr>
                <w:rFonts w:cs="Arial"/>
              </w:rPr>
            </w:pPr>
            <w:r w:rsidRPr="00864D4A">
              <w:rPr>
                <w:rFonts w:cs="Arial"/>
              </w:rPr>
              <w:t>$5,500,000 (for entire program)</w:t>
            </w:r>
          </w:p>
        </w:tc>
      </w:tr>
      <w:tr w:rsidR="009F6883" w:rsidRPr="00B832F5" w:rsidTr="000F3735">
        <w:trPr>
          <w:cantSplit/>
        </w:trPr>
        <w:tc>
          <w:tcPr>
            <w:tcW w:w="2660" w:type="dxa"/>
            <w:tcBorders>
              <w:left w:val="nil"/>
            </w:tcBorders>
            <w:shd w:val="clear" w:color="auto" w:fill="auto"/>
          </w:tcPr>
          <w:p w:rsidR="009F6883" w:rsidRPr="00E5614B" w:rsidRDefault="009F6883" w:rsidP="009F6883">
            <w:pPr>
              <w:pStyle w:val="Table-normal-text"/>
              <w:rPr>
                <w:rFonts w:cs="Arial"/>
              </w:rPr>
            </w:pPr>
            <w:r w:rsidRPr="00E5614B">
              <w:rPr>
                <w:rFonts w:cs="Arial"/>
              </w:rPr>
              <w:t>Total other $</w:t>
            </w:r>
          </w:p>
        </w:tc>
        <w:tc>
          <w:tcPr>
            <w:tcW w:w="7229" w:type="dxa"/>
            <w:gridSpan w:val="3"/>
            <w:shd w:val="clear" w:color="auto" w:fill="auto"/>
          </w:tcPr>
          <w:p w:rsidR="009F6883" w:rsidRPr="006F046B" w:rsidRDefault="00A25AC8" w:rsidP="009F6883">
            <w:pPr>
              <w:pStyle w:val="Table-normal-text"/>
              <w:rPr>
                <w:rFonts w:cs="Arial"/>
              </w:rPr>
            </w:pPr>
            <w:r w:rsidRPr="00864D4A">
              <w:rPr>
                <w:rFonts w:cs="Arial"/>
              </w:rPr>
              <w:t xml:space="preserve">$0  </w:t>
            </w:r>
          </w:p>
        </w:tc>
      </w:tr>
      <w:tr w:rsidR="009F6883" w:rsidRPr="00B832F5" w:rsidTr="000F3735">
        <w:trPr>
          <w:cantSplit/>
        </w:trPr>
        <w:tc>
          <w:tcPr>
            <w:tcW w:w="2660" w:type="dxa"/>
            <w:tcBorders>
              <w:left w:val="nil"/>
            </w:tcBorders>
            <w:shd w:val="clear" w:color="auto" w:fill="auto"/>
          </w:tcPr>
          <w:p w:rsidR="009F6883" w:rsidRPr="00E5614B" w:rsidRDefault="009F6883" w:rsidP="009F6883">
            <w:pPr>
              <w:pStyle w:val="Table-normal-text"/>
              <w:rPr>
                <w:rFonts w:cs="Arial"/>
              </w:rPr>
            </w:pPr>
            <w:r w:rsidRPr="00E5614B">
              <w:rPr>
                <w:rFonts w:cs="Arial"/>
              </w:rPr>
              <w:t>Delivery organisation(s)</w:t>
            </w:r>
          </w:p>
        </w:tc>
        <w:tc>
          <w:tcPr>
            <w:tcW w:w="7229" w:type="dxa"/>
            <w:gridSpan w:val="3"/>
            <w:shd w:val="clear" w:color="auto" w:fill="auto"/>
          </w:tcPr>
          <w:p w:rsidR="009F6883" w:rsidRPr="006F046B" w:rsidRDefault="009F6883" w:rsidP="009F6883">
            <w:pPr>
              <w:pStyle w:val="Table-normal-text"/>
              <w:rPr>
                <w:rFonts w:cs="Arial"/>
              </w:rPr>
            </w:pPr>
            <w:r w:rsidRPr="00864D4A">
              <w:rPr>
                <w:rFonts w:cs="Arial"/>
              </w:rPr>
              <w:t>Vanuatu Women’s Centre (VWC)</w:t>
            </w:r>
          </w:p>
        </w:tc>
      </w:tr>
      <w:tr w:rsidR="009F6883" w:rsidRPr="00B832F5" w:rsidTr="000F3735">
        <w:trPr>
          <w:cantSplit/>
        </w:trPr>
        <w:tc>
          <w:tcPr>
            <w:tcW w:w="2660" w:type="dxa"/>
            <w:tcBorders>
              <w:top w:val="single" w:sz="4" w:space="0" w:color="808080"/>
              <w:left w:val="nil"/>
              <w:bottom w:val="single" w:sz="4" w:space="0" w:color="808080"/>
              <w:right w:val="single" w:sz="4" w:space="0" w:color="808080"/>
            </w:tcBorders>
            <w:shd w:val="clear" w:color="auto" w:fill="auto"/>
          </w:tcPr>
          <w:p w:rsidR="009F6883" w:rsidRPr="00E5614B" w:rsidRDefault="009F6883" w:rsidP="009F6883">
            <w:pPr>
              <w:pStyle w:val="Table-normal-text"/>
              <w:rPr>
                <w:rFonts w:cs="Arial"/>
              </w:rPr>
            </w:pPr>
            <w:r w:rsidRPr="00E5614B">
              <w:rPr>
                <w:rFonts w:cs="Arial"/>
              </w:rPr>
              <w:t>Implementing partner(s)</w:t>
            </w:r>
          </w:p>
        </w:tc>
        <w:tc>
          <w:tcPr>
            <w:tcW w:w="7229" w:type="dxa"/>
            <w:gridSpan w:val="3"/>
            <w:tcBorders>
              <w:top w:val="single" w:sz="4" w:space="0" w:color="808080"/>
              <w:left w:val="single" w:sz="4" w:space="0" w:color="808080"/>
              <w:bottom w:val="single" w:sz="4" w:space="0" w:color="808080"/>
              <w:right w:val="single" w:sz="4" w:space="0" w:color="808080"/>
            </w:tcBorders>
            <w:shd w:val="clear" w:color="auto" w:fill="auto"/>
          </w:tcPr>
          <w:p w:rsidR="009F6883" w:rsidRPr="006F046B" w:rsidRDefault="00A25AC8" w:rsidP="00A25AC8">
            <w:pPr>
              <w:pStyle w:val="Table-normal-text"/>
              <w:rPr>
                <w:rFonts w:cs="Arial"/>
              </w:rPr>
            </w:pPr>
            <w:r w:rsidRPr="00864D4A">
              <w:rPr>
                <w:rFonts w:cs="Arial"/>
              </w:rPr>
              <w:t>n/a</w:t>
            </w:r>
          </w:p>
        </w:tc>
      </w:tr>
      <w:tr w:rsidR="009F6883" w:rsidRPr="00B832F5" w:rsidTr="000F3735">
        <w:trPr>
          <w:cantSplit/>
        </w:trPr>
        <w:tc>
          <w:tcPr>
            <w:tcW w:w="2660" w:type="dxa"/>
            <w:tcBorders>
              <w:top w:val="single" w:sz="4" w:space="0" w:color="808080"/>
              <w:left w:val="nil"/>
              <w:bottom w:val="single" w:sz="4" w:space="0" w:color="808080"/>
              <w:right w:val="single" w:sz="4" w:space="0" w:color="808080"/>
            </w:tcBorders>
            <w:shd w:val="clear" w:color="auto" w:fill="auto"/>
          </w:tcPr>
          <w:p w:rsidR="009F6883" w:rsidRPr="00E5614B" w:rsidRDefault="009F6883" w:rsidP="009F6883">
            <w:pPr>
              <w:pStyle w:val="Table-normal-text"/>
              <w:rPr>
                <w:rFonts w:cs="Arial"/>
              </w:rPr>
            </w:pPr>
            <w:r w:rsidRPr="00E5614B">
              <w:rPr>
                <w:rFonts w:cs="Arial"/>
              </w:rPr>
              <w:t>Country/Region</w:t>
            </w:r>
          </w:p>
        </w:tc>
        <w:tc>
          <w:tcPr>
            <w:tcW w:w="7229" w:type="dxa"/>
            <w:gridSpan w:val="3"/>
            <w:tcBorders>
              <w:top w:val="single" w:sz="4" w:space="0" w:color="808080"/>
              <w:left w:val="single" w:sz="4" w:space="0" w:color="808080"/>
              <w:bottom w:val="single" w:sz="4" w:space="0" w:color="808080"/>
              <w:right w:val="single" w:sz="4" w:space="0" w:color="808080"/>
            </w:tcBorders>
            <w:shd w:val="clear" w:color="auto" w:fill="auto"/>
          </w:tcPr>
          <w:p w:rsidR="009F6883" w:rsidRPr="006F046B" w:rsidRDefault="009F6883" w:rsidP="009F6883">
            <w:pPr>
              <w:pStyle w:val="Table-normal-text"/>
              <w:rPr>
                <w:rFonts w:cs="Arial"/>
              </w:rPr>
            </w:pPr>
            <w:r w:rsidRPr="00864D4A">
              <w:rPr>
                <w:rFonts w:cs="Arial"/>
              </w:rPr>
              <w:t>Vanuatu</w:t>
            </w:r>
          </w:p>
        </w:tc>
      </w:tr>
      <w:tr w:rsidR="009F6883" w:rsidRPr="00B832F5" w:rsidTr="000F3735">
        <w:trPr>
          <w:cantSplit/>
        </w:trPr>
        <w:tc>
          <w:tcPr>
            <w:tcW w:w="2660" w:type="dxa"/>
            <w:tcBorders>
              <w:top w:val="single" w:sz="4" w:space="0" w:color="808080"/>
              <w:left w:val="nil"/>
              <w:bottom w:val="single" w:sz="4" w:space="0" w:color="808080"/>
              <w:right w:val="single" w:sz="4" w:space="0" w:color="808080"/>
            </w:tcBorders>
            <w:shd w:val="clear" w:color="auto" w:fill="auto"/>
          </w:tcPr>
          <w:p w:rsidR="009F6883" w:rsidRPr="00E5614B" w:rsidRDefault="009F6883" w:rsidP="009F6883">
            <w:pPr>
              <w:pStyle w:val="Table-normal-text"/>
              <w:rPr>
                <w:rFonts w:cs="Arial"/>
              </w:rPr>
            </w:pPr>
            <w:r w:rsidRPr="00E5614B">
              <w:rPr>
                <w:rFonts w:cs="Arial"/>
              </w:rPr>
              <w:t>Primary sector</w:t>
            </w:r>
          </w:p>
        </w:tc>
        <w:tc>
          <w:tcPr>
            <w:tcW w:w="7229" w:type="dxa"/>
            <w:gridSpan w:val="3"/>
            <w:tcBorders>
              <w:top w:val="single" w:sz="4" w:space="0" w:color="808080"/>
              <w:left w:val="single" w:sz="4" w:space="0" w:color="808080"/>
              <w:bottom w:val="single" w:sz="4" w:space="0" w:color="808080"/>
              <w:right w:val="single" w:sz="4" w:space="0" w:color="808080"/>
            </w:tcBorders>
            <w:shd w:val="clear" w:color="auto" w:fill="auto"/>
          </w:tcPr>
          <w:p w:rsidR="009F6883" w:rsidRPr="006F046B" w:rsidRDefault="009F6883" w:rsidP="009F6883">
            <w:pPr>
              <w:pStyle w:val="Table-normal-text"/>
              <w:rPr>
                <w:rFonts w:cs="Arial"/>
              </w:rPr>
            </w:pPr>
            <w:r w:rsidRPr="00864D4A">
              <w:rPr>
                <w:rFonts w:cs="Arial"/>
              </w:rPr>
              <w:t>Various</w:t>
            </w:r>
          </w:p>
        </w:tc>
      </w:tr>
      <w:tr w:rsidR="009F6883" w:rsidRPr="00B832F5" w:rsidTr="000F3735">
        <w:trPr>
          <w:cantSplit/>
        </w:trPr>
        <w:tc>
          <w:tcPr>
            <w:tcW w:w="2660" w:type="dxa"/>
            <w:tcBorders>
              <w:top w:val="single" w:sz="4" w:space="0" w:color="808080"/>
              <w:left w:val="nil"/>
              <w:bottom w:val="single" w:sz="4" w:space="0" w:color="808080"/>
              <w:right w:val="single" w:sz="4" w:space="0" w:color="808080"/>
            </w:tcBorders>
            <w:shd w:val="clear" w:color="auto" w:fill="auto"/>
          </w:tcPr>
          <w:p w:rsidR="009F6883" w:rsidRPr="00E5614B" w:rsidRDefault="009F6883" w:rsidP="009F6883">
            <w:pPr>
              <w:pStyle w:val="Table-normal-text"/>
              <w:rPr>
                <w:rFonts w:cs="Arial"/>
              </w:rPr>
            </w:pPr>
            <w:r w:rsidRPr="00E5614B">
              <w:rPr>
                <w:rFonts w:cs="Arial"/>
              </w:rPr>
              <w:t>Initiative objective/s</w:t>
            </w:r>
          </w:p>
        </w:tc>
        <w:tc>
          <w:tcPr>
            <w:tcW w:w="7229" w:type="dxa"/>
            <w:gridSpan w:val="3"/>
            <w:tcBorders>
              <w:top w:val="single" w:sz="4" w:space="0" w:color="808080"/>
              <w:left w:val="single" w:sz="4" w:space="0" w:color="808080"/>
              <w:bottom w:val="single" w:sz="4" w:space="0" w:color="808080"/>
              <w:right w:val="single" w:sz="4" w:space="0" w:color="808080"/>
            </w:tcBorders>
            <w:shd w:val="clear" w:color="auto" w:fill="auto"/>
          </w:tcPr>
          <w:p w:rsidR="009F6883" w:rsidRPr="006F046B" w:rsidRDefault="009F6883" w:rsidP="009F6883">
            <w:pPr>
              <w:pStyle w:val="Table-normal-text"/>
              <w:rPr>
                <w:rFonts w:cs="Arial"/>
              </w:rPr>
            </w:pPr>
            <w:r w:rsidRPr="00864D4A">
              <w:rPr>
                <w:rFonts w:cs="Arial"/>
              </w:rPr>
              <w:t>As above</w:t>
            </w:r>
          </w:p>
          <w:p w:rsidR="009F6883" w:rsidRPr="00E27A44" w:rsidRDefault="009F6883" w:rsidP="009F6883">
            <w:pPr>
              <w:pStyle w:val="Table-normal-text"/>
              <w:rPr>
                <w:rFonts w:cs="Arial"/>
              </w:rPr>
            </w:pPr>
          </w:p>
        </w:tc>
      </w:tr>
    </w:tbl>
    <w:p w:rsidR="00876C84" w:rsidRDefault="00876C84" w:rsidP="007F1D48">
      <w:pPr>
        <w:rPr>
          <w:rFonts w:cs="Arial"/>
          <w:lang w:eastAsia="en-AU"/>
        </w:rPr>
      </w:pPr>
    </w:p>
    <w:p w:rsidR="00876C84" w:rsidRDefault="00876C84">
      <w:pPr>
        <w:spacing w:before="0"/>
        <w:rPr>
          <w:rFonts w:cs="Arial"/>
          <w:lang w:eastAsia="en-AU"/>
        </w:rPr>
      </w:pPr>
      <w:r>
        <w:rPr>
          <w:rFonts w:cs="Arial"/>
          <w:lang w:eastAsia="en-AU"/>
        </w:rPr>
        <w:br w:type="page"/>
      </w:r>
    </w:p>
    <w:p w:rsidR="007F1D48" w:rsidRPr="00876C84" w:rsidRDefault="007F1D48" w:rsidP="007F1D48">
      <w:pPr>
        <w:rPr>
          <w:rFonts w:cs="Arial"/>
          <w:lang w:eastAsia="en-AU"/>
        </w:rPr>
      </w:pPr>
    </w:p>
    <w:p w:rsidR="007F1D48" w:rsidRPr="00E5614B" w:rsidRDefault="007F1D48" w:rsidP="007F1D48">
      <w:pPr>
        <w:rPr>
          <w:rFonts w:cs="Arial"/>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7F1D48" w:rsidRPr="00B832F5" w:rsidTr="007F1D48">
        <w:trPr>
          <w:cantSplit/>
          <w:tblHeader/>
        </w:trPr>
        <w:tc>
          <w:tcPr>
            <w:tcW w:w="2660" w:type="dxa"/>
            <w:shd w:val="clear" w:color="auto" w:fill="E0E0E0"/>
            <w:vAlign w:val="center"/>
          </w:tcPr>
          <w:p w:rsidR="007F1D48" w:rsidRPr="006F046B" w:rsidRDefault="007F1D48" w:rsidP="007F1D48">
            <w:pPr>
              <w:pStyle w:val="Table-normal-text"/>
              <w:spacing w:before="120" w:after="120"/>
              <w:rPr>
                <w:rFonts w:cs="Arial"/>
                <w:b/>
              </w:rPr>
            </w:pPr>
            <w:r w:rsidRPr="00864D4A">
              <w:rPr>
                <w:rFonts w:cs="Arial"/>
                <w:b/>
              </w:rPr>
              <w:t>Initiative Name</w:t>
            </w:r>
          </w:p>
        </w:tc>
        <w:tc>
          <w:tcPr>
            <w:tcW w:w="7229" w:type="dxa"/>
            <w:gridSpan w:val="3"/>
            <w:shd w:val="clear" w:color="auto" w:fill="E0E0E0"/>
            <w:vAlign w:val="center"/>
          </w:tcPr>
          <w:p w:rsidR="007F1D48" w:rsidRPr="00E27A44" w:rsidRDefault="007F1D48" w:rsidP="007F1D48">
            <w:pPr>
              <w:pStyle w:val="Table-normal-text"/>
              <w:spacing w:before="120" w:after="120"/>
              <w:rPr>
                <w:rFonts w:cs="Arial"/>
                <w:b/>
              </w:rPr>
            </w:pPr>
            <w:r w:rsidRPr="00E27A44">
              <w:rPr>
                <w:rFonts w:cs="Arial"/>
                <w:sz w:val="22"/>
                <w:szCs w:val="22"/>
              </w:rPr>
              <w:t>PNG-Australia Law and Justice Partnership (PALJP)</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AidWorks initiative number</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INI194</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Commencement date</w:t>
            </w:r>
          </w:p>
        </w:tc>
        <w:tc>
          <w:tcPr>
            <w:tcW w:w="2693" w:type="dxa"/>
            <w:shd w:val="clear" w:color="auto" w:fill="auto"/>
          </w:tcPr>
          <w:p w:rsidR="007F1D48" w:rsidRPr="00E27A44" w:rsidRDefault="008E35A9" w:rsidP="007F1D48">
            <w:pPr>
              <w:pStyle w:val="Table-normal-text"/>
              <w:rPr>
                <w:rFonts w:cs="Arial"/>
              </w:rPr>
            </w:pPr>
            <w:r w:rsidRPr="00864D4A">
              <w:rPr>
                <w:rFonts w:cs="Arial"/>
              </w:rPr>
              <w:t xml:space="preserve">6 April </w:t>
            </w:r>
            <w:r w:rsidR="007F1D48" w:rsidRPr="006F046B">
              <w:rPr>
                <w:rFonts w:cs="Arial"/>
              </w:rPr>
              <w:t xml:space="preserve">2009 </w:t>
            </w:r>
          </w:p>
        </w:tc>
        <w:tc>
          <w:tcPr>
            <w:tcW w:w="1843" w:type="dxa"/>
            <w:shd w:val="clear" w:color="auto" w:fill="auto"/>
          </w:tcPr>
          <w:p w:rsidR="007F1D48" w:rsidRPr="000F1885" w:rsidRDefault="007F1D48" w:rsidP="007F1D48">
            <w:pPr>
              <w:pStyle w:val="Table-normal-text"/>
              <w:rPr>
                <w:rFonts w:cs="Arial"/>
              </w:rPr>
            </w:pPr>
            <w:r w:rsidRPr="008C3C90">
              <w:rPr>
                <w:rFonts w:cs="Arial"/>
              </w:rPr>
              <w:t>Completion date</w:t>
            </w:r>
          </w:p>
        </w:tc>
        <w:tc>
          <w:tcPr>
            <w:tcW w:w="2693" w:type="dxa"/>
            <w:shd w:val="clear" w:color="auto" w:fill="auto"/>
          </w:tcPr>
          <w:p w:rsidR="007F1D48" w:rsidRPr="000F1885" w:rsidRDefault="007F1D48" w:rsidP="007F1D48">
            <w:pPr>
              <w:pStyle w:val="Table-normal-text"/>
              <w:rPr>
                <w:rFonts w:cs="Arial"/>
              </w:rPr>
            </w:pPr>
            <w:r w:rsidRPr="000F1885">
              <w:rPr>
                <w:rFonts w:cs="Arial"/>
              </w:rPr>
              <w:t>30 June 2014</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Total Australian $</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$150,000,000</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Total other $</w:t>
            </w:r>
          </w:p>
        </w:tc>
        <w:tc>
          <w:tcPr>
            <w:tcW w:w="7229" w:type="dxa"/>
            <w:gridSpan w:val="3"/>
            <w:shd w:val="clear" w:color="auto" w:fill="auto"/>
          </w:tcPr>
          <w:p w:rsidR="007F1D48" w:rsidRPr="00E27A44" w:rsidRDefault="008E35A9" w:rsidP="007F1D48">
            <w:pPr>
              <w:pStyle w:val="Table-normal-text"/>
              <w:rPr>
                <w:rFonts w:cs="Arial"/>
              </w:rPr>
            </w:pPr>
            <w:r w:rsidRPr="00864D4A">
              <w:rPr>
                <w:rFonts w:cs="Arial"/>
              </w:rPr>
              <w:t>$0</w:t>
            </w:r>
            <w:r w:rsidR="007F1D48" w:rsidRPr="006F046B">
              <w:rPr>
                <w:rFonts w:cs="Arial"/>
              </w:rPr>
              <w:t xml:space="preserve">  </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Delivery organisation(s)</w:t>
            </w:r>
          </w:p>
        </w:tc>
        <w:tc>
          <w:tcPr>
            <w:tcW w:w="7229" w:type="dxa"/>
            <w:gridSpan w:val="3"/>
            <w:shd w:val="clear" w:color="auto" w:fill="auto"/>
          </w:tcPr>
          <w:p w:rsidR="007F1D48" w:rsidRPr="00E27A44" w:rsidRDefault="007F1D48" w:rsidP="007F1D48">
            <w:pPr>
              <w:pStyle w:val="Table-normal-text"/>
              <w:rPr>
                <w:rFonts w:cs="Arial"/>
              </w:rPr>
            </w:pPr>
            <w:r w:rsidRPr="00864D4A">
              <w:rPr>
                <w:rFonts w:cs="Arial"/>
              </w:rPr>
              <w:t xml:space="preserve">Government of </w:t>
            </w:r>
            <w:r w:rsidRPr="006F046B">
              <w:rPr>
                <w:rFonts w:cs="Arial"/>
              </w:rPr>
              <w:t>Papua New Guinea</w:t>
            </w:r>
          </w:p>
          <w:p w:rsidR="007F1D48" w:rsidRPr="000F1885" w:rsidRDefault="007F1D48" w:rsidP="007F1D48">
            <w:pPr>
              <w:pStyle w:val="Default"/>
              <w:rPr>
                <w:color w:val="auto"/>
                <w:sz w:val="20"/>
                <w:lang w:eastAsia="en-US"/>
              </w:rPr>
            </w:pPr>
            <w:r w:rsidRPr="008C3C90">
              <w:rPr>
                <w:color w:val="auto"/>
                <w:sz w:val="20"/>
                <w:lang w:eastAsia="en-US"/>
              </w:rPr>
              <w:t xml:space="preserve">Cardno Emerging Markets (Implementation Service Provider) </w:t>
            </w:r>
          </w:p>
          <w:p w:rsidR="007F1D48" w:rsidRPr="000F1885" w:rsidRDefault="007F1D48" w:rsidP="007F1D48">
            <w:pPr>
              <w:pStyle w:val="Table-normal-text"/>
              <w:rPr>
                <w:rFonts w:cs="Arial"/>
              </w:rPr>
            </w:pP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Implementing partner(s)</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 xml:space="preserve">GoPNG Law and Justice Agencies (led by the National Coordinating Mechanism), provincial administrations and civil society organisations </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Country/Region</w:t>
            </w:r>
          </w:p>
        </w:tc>
        <w:tc>
          <w:tcPr>
            <w:tcW w:w="7229" w:type="dxa"/>
            <w:gridSpan w:val="3"/>
            <w:shd w:val="clear" w:color="auto" w:fill="auto"/>
          </w:tcPr>
          <w:p w:rsidR="007F1D48" w:rsidRPr="00E27A44" w:rsidRDefault="007F1D48" w:rsidP="007F1D48">
            <w:pPr>
              <w:pStyle w:val="Table-normal-text"/>
              <w:rPr>
                <w:rFonts w:cs="Arial"/>
              </w:rPr>
            </w:pPr>
            <w:r w:rsidRPr="00864D4A">
              <w:rPr>
                <w:rFonts w:cs="Arial"/>
              </w:rPr>
              <w:t>P</w:t>
            </w:r>
            <w:r w:rsidRPr="006F046B">
              <w:rPr>
                <w:rFonts w:cs="Arial"/>
              </w:rPr>
              <w:t>NG</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Primary sector</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Law and Justice</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Initiative objective/s</w:t>
            </w:r>
          </w:p>
        </w:tc>
        <w:tc>
          <w:tcPr>
            <w:tcW w:w="7229" w:type="dxa"/>
            <w:gridSpan w:val="3"/>
            <w:shd w:val="clear" w:color="auto" w:fill="auto"/>
          </w:tcPr>
          <w:p w:rsidR="007F1D48" w:rsidRPr="000F3735" w:rsidRDefault="008E35A9" w:rsidP="007F1D48">
            <w:pPr>
              <w:pStyle w:val="Table-normal-text"/>
              <w:rPr>
                <w:rFonts w:cs="Arial"/>
              </w:rPr>
            </w:pPr>
            <w:r w:rsidRPr="00864D4A">
              <w:rPr>
                <w:rFonts w:cs="Arial"/>
              </w:rPr>
              <w:t>The Papua New Guinea-Australia Law and Justice Partnership (PALJP) builds on a strong program of support that has strengthened the capacity of core law and justice agencies to deliver services in crime prevention, policing, prosecutions, legal aid, prisons</w:t>
            </w:r>
            <w:r w:rsidRPr="006F046B">
              <w:rPr>
                <w:rFonts w:cs="Arial"/>
              </w:rPr>
              <w:t>, Ombudsman and courts. PALJP’s objective is to support GoPNG to make progress against its sector goals: improve policing, safety and crime prevention; increase access to justice; improve reconciliation, reintegration and deterrence; reduce corruption; and</w:t>
            </w:r>
            <w:r w:rsidRPr="00E27A44">
              <w:rPr>
                <w:rFonts w:cs="Arial"/>
              </w:rPr>
              <w:t xml:space="preserve"> improve the delivery of law and justice services.  PALJP provides technical assistance to eight law and justice agencies and the </w:t>
            </w:r>
            <w:r w:rsidR="000F1885">
              <w:rPr>
                <w:rFonts w:cs="Arial"/>
              </w:rPr>
              <w:t>L</w:t>
            </w:r>
            <w:r w:rsidRPr="00E27A44">
              <w:rPr>
                <w:rFonts w:cs="Arial"/>
              </w:rPr>
              <w:t xml:space="preserve">egal </w:t>
            </w:r>
            <w:r w:rsidR="000F1885">
              <w:rPr>
                <w:rFonts w:cs="Arial"/>
              </w:rPr>
              <w:t>T</w:t>
            </w:r>
            <w:r w:rsidRPr="00E27A44">
              <w:rPr>
                <w:rFonts w:cs="Arial"/>
              </w:rPr>
              <w:t xml:space="preserve">raining </w:t>
            </w:r>
            <w:r w:rsidR="000F1885">
              <w:rPr>
                <w:rFonts w:cs="Arial"/>
              </w:rPr>
              <w:t>I</w:t>
            </w:r>
            <w:r w:rsidRPr="00E27A44">
              <w:rPr>
                <w:rFonts w:cs="Arial"/>
              </w:rPr>
              <w:t xml:space="preserve">nstitute, and </w:t>
            </w:r>
            <w:r w:rsidR="000F1885">
              <w:rPr>
                <w:rFonts w:cs="Arial"/>
              </w:rPr>
              <w:t xml:space="preserve">provides </w:t>
            </w:r>
            <w:r w:rsidRPr="00E27A44">
              <w:rPr>
                <w:rFonts w:cs="Arial"/>
              </w:rPr>
              <w:t xml:space="preserve">direct funding for service delivery </w:t>
            </w:r>
            <w:r w:rsidRPr="008C3C90">
              <w:rPr>
                <w:rFonts w:cs="Arial"/>
              </w:rPr>
              <w:t xml:space="preserve">priorities such as greater sub-national and community engagement, partnerships with Australian legal </w:t>
            </w:r>
            <w:r w:rsidR="000F3735" w:rsidRPr="000F3735">
              <w:rPr>
                <w:rFonts w:cs="Arial"/>
              </w:rPr>
              <w:t>institutions</w:t>
            </w:r>
            <w:r w:rsidRPr="000F3735">
              <w:rPr>
                <w:rFonts w:cs="Arial"/>
              </w:rPr>
              <w:t xml:space="preserve"> (twinning programs), and procurement of goods and services (including infrastructure).</w:t>
            </w:r>
          </w:p>
        </w:tc>
      </w:tr>
    </w:tbl>
    <w:p w:rsidR="007F1D48" w:rsidRPr="00E5614B" w:rsidRDefault="007F1D48" w:rsidP="007F1D48">
      <w:pPr>
        <w:rPr>
          <w:rFonts w:cs="Arial"/>
          <w:lang w:eastAsia="en-AU"/>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7F1D48" w:rsidRPr="00B832F5" w:rsidTr="007F1D48">
        <w:trPr>
          <w:cantSplit/>
          <w:tblHeader/>
        </w:trPr>
        <w:tc>
          <w:tcPr>
            <w:tcW w:w="2660" w:type="dxa"/>
            <w:shd w:val="clear" w:color="auto" w:fill="E0E0E0"/>
            <w:vAlign w:val="center"/>
          </w:tcPr>
          <w:p w:rsidR="007F1D48" w:rsidRPr="00864D4A" w:rsidRDefault="007F1D48" w:rsidP="007F1D48">
            <w:pPr>
              <w:pStyle w:val="Table-normal-text"/>
              <w:spacing w:before="120" w:after="120"/>
              <w:rPr>
                <w:rFonts w:cs="Arial"/>
                <w:b/>
              </w:rPr>
            </w:pPr>
            <w:r w:rsidRPr="00864D4A">
              <w:rPr>
                <w:rFonts w:cs="Arial"/>
                <w:b/>
              </w:rPr>
              <w:t>Initiative Name</w:t>
            </w:r>
          </w:p>
        </w:tc>
        <w:tc>
          <w:tcPr>
            <w:tcW w:w="7229" w:type="dxa"/>
            <w:gridSpan w:val="3"/>
            <w:shd w:val="clear" w:color="auto" w:fill="E0E0E0"/>
            <w:vAlign w:val="center"/>
          </w:tcPr>
          <w:p w:rsidR="007F1D48" w:rsidRPr="006F046B" w:rsidRDefault="007F1D48" w:rsidP="007F1D48">
            <w:pPr>
              <w:pStyle w:val="Table-normal-text"/>
              <w:spacing w:before="120" w:after="120"/>
              <w:rPr>
                <w:rFonts w:cs="Arial"/>
                <w:b/>
              </w:rPr>
            </w:pPr>
            <w:r w:rsidRPr="006F046B">
              <w:rPr>
                <w:rFonts w:cs="Arial"/>
                <w:sz w:val="22"/>
                <w:szCs w:val="22"/>
              </w:rPr>
              <w:t>Strongim Gavman Program (SGP), Papua New Guinea</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AidWorks initiative number</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INI767</w:t>
            </w:r>
          </w:p>
        </w:tc>
      </w:tr>
      <w:tr w:rsidR="007F1D48" w:rsidRPr="00B832F5" w:rsidTr="007F1D48">
        <w:trPr>
          <w:cantSplit/>
        </w:trPr>
        <w:tc>
          <w:tcPr>
            <w:tcW w:w="2660" w:type="dxa"/>
            <w:shd w:val="clear" w:color="auto" w:fill="auto"/>
          </w:tcPr>
          <w:p w:rsidR="007F1D48" w:rsidRPr="00864D4A" w:rsidRDefault="007F1D48" w:rsidP="007F1D48">
            <w:pPr>
              <w:pStyle w:val="Table-normal-text"/>
              <w:rPr>
                <w:rFonts w:cs="Arial"/>
              </w:rPr>
            </w:pPr>
            <w:r w:rsidRPr="00E5614B">
              <w:rPr>
                <w:rFonts w:cs="Arial"/>
              </w:rPr>
              <w:t>Commencement date</w:t>
            </w:r>
          </w:p>
        </w:tc>
        <w:tc>
          <w:tcPr>
            <w:tcW w:w="2693" w:type="dxa"/>
            <w:shd w:val="clear" w:color="auto" w:fill="auto"/>
          </w:tcPr>
          <w:p w:rsidR="007F1D48" w:rsidRPr="00E27A44" w:rsidRDefault="007F1D48" w:rsidP="007F1D48">
            <w:pPr>
              <w:pStyle w:val="Table-normal-text"/>
              <w:rPr>
                <w:rFonts w:cs="Arial"/>
              </w:rPr>
            </w:pPr>
            <w:r w:rsidRPr="006F046B">
              <w:rPr>
                <w:rFonts w:cs="Arial"/>
              </w:rPr>
              <w:t xml:space="preserve">1 July 2009 </w:t>
            </w:r>
          </w:p>
        </w:tc>
        <w:tc>
          <w:tcPr>
            <w:tcW w:w="1843" w:type="dxa"/>
            <w:shd w:val="clear" w:color="auto" w:fill="auto"/>
          </w:tcPr>
          <w:p w:rsidR="007F1D48" w:rsidRPr="000F1885" w:rsidRDefault="007F1D48" w:rsidP="007F1D48">
            <w:pPr>
              <w:pStyle w:val="Table-normal-text"/>
              <w:rPr>
                <w:rFonts w:cs="Arial"/>
              </w:rPr>
            </w:pPr>
            <w:r w:rsidRPr="008C3C90">
              <w:rPr>
                <w:rFonts w:cs="Arial"/>
              </w:rPr>
              <w:t>Completion date</w:t>
            </w:r>
          </w:p>
        </w:tc>
        <w:tc>
          <w:tcPr>
            <w:tcW w:w="2693" w:type="dxa"/>
            <w:shd w:val="clear" w:color="auto" w:fill="auto"/>
          </w:tcPr>
          <w:p w:rsidR="007F1D48" w:rsidRPr="000F1885" w:rsidRDefault="007F1D48" w:rsidP="007F1D48">
            <w:pPr>
              <w:pStyle w:val="Table-normal-text"/>
              <w:rPr>
                <w:rFonts w:cs="Arial"/>
              </w:rPr>
            </w:pPr>
            <w:r w:rsidRPr="000F1885">
              <w:rPr>
                <w:rFonts w:cs="Arial"/>
              </w:rPr>
              <w:t>31 December 2015</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Total Australian $</w:t>
            </w:r>
          </w:p>
        </w:tc>
        <w:tc>
          <w:tcPr>
            <w:tcW w:w="7229" w:type="dxa"/>
            <w:gridSpan w:val="3"/>
            <w:shd w:val="clear" w:color="auto" w:fill="auto"/>
          </w:tcPr>
          <w:p w:rsidR="007F1D48" w:rsidRPr="006F046B" w:rsidRDefault="008E35A9" w:rsidP="007F1D48">
            <w:pPr>
              <w:pStyle w:val="Table-normal-text"/>
              <w:rPr>
                <w:rFonts w:cs="Arial"/>
              </w:rPr>
            </w:pPr>
            <w:r w:rsidRPr="00864D4A">
              <w:rPr>
                <w:rFonts w:cs="Arial"/>
              </w:rPr>
              <w:t>$175,889,363</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Total other $</w:t>
            </w:r>
          </w:p>
        </w:tc>
        <w:tc>
          <w:tcPr>
            <w:tcW w:w="7229" w:type="dxa"/>
            <w:gridSpan w:val="3"/>
            <w:shd w:val="clear" w:color="auto" w:fill="auto"/>
          </w:tcPr>
          <w:p w:rsidR="007F1D48" w:rsidRPr="006F046B" w:rsidRDefault="008E35A9" w:rsidP="007F1D48">
            <w:pPr>
              <w:pStyle w:val="Table-normal-text"/>
              <w:rPr>
                <w:rFonts w:cs="Arial"/>
              </w:rPr>
            </w:pPr>
            <w:r w:rsidRPr="00864D4A">
              <w:rPr>
                <w:rFonts w:cs="Arial"/>
              </w:rPr>
              <w:t>$0</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Delivery organisation(s)</w:t>
            </w:r>
          </w:p>
        </w:tc>
        <w:tc>
          <w:tcPr>
            <w:tcW w:w="7229" w:type="dxa"/>
            <w:gridSpan w:val="3"/>
            <w:shd w:val="clear" w:color="auto" w:fill="auto"/>
          </w:tcPr>
          <w:p w:rsidR="007F1D48" w:rsidRPr="00B832F5" w:rsidRDefault="007F1D48" w:rsidP="007F1D48">
            <w:pPr>
              <w:pStyle w:val="Table-normal-text"/>
              <w:rPr>
                <w:rFonts w:cs="Arial"/>
              </w:rPr>
            </w:pPr>
            <w:r w:rsidRPr="00B832F5">
              <w:rPr>
                <w:rFonts w:cs="Arial"/>
                <w:bdr w:val="none" w:sz="0" w:space="0" w:color="auto" w:frame="1"/>
                <w:lang w:val="en"/>
              </w:rPr>
              <w:t>Coffee International, deployee support services provider</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Implementing partner(s)</w:t>
            </w:r>
          </w:p>
        </w:tc>
        <w:tc>
          <w:tcPr>
            <w:tcW w:w="7229" w:type="dxa"/>
            <w:gridSpan w:val="3"/>
            <w:shd w:val="clear" w:color="auto" w:fill="auto"/>
          </w:tcPr>
          <w:p w:rsidR="007F1D48" w:rsidRPr="008C3C90" w:rsidRDefault="007F1D48" w:rsidP="007F1D48">
            <w:pPr>
              <w:pStyle w:val="Table-normal-text"/>
              <w:rPr>
                <w:rFonts w:cs="Arial"/>
              </w:rPr>
            </w:pPr>
            <w:r w:rsidRPr="00864D4A">
              <w:rPr>
                <w:rFonts w:cs="Arial"/>
              </w:rPr>
              <w:t xml:space="preserve">Australian government partners: </w:t>
            </w:r>
            <w:r w:rsidRPr="006F046B">
              <w:rPr>
                <w:rFonts w:cs="Arial"/>
              </w:rPr>
              <w:t>Attorney-General’s Department, Australian Customs and Border Protection Service, Australian National Audit Office, Australian Office of Financial Management, Australian Taxation Office, Department of Finance and Deregulation, Department of Infrastructure a</w:t>
            </w:r>
            <w:r w:rsidRPr="00E27A44">
              <w:rPr>
                <w:rFonts w:cs="Arial"/>
              </w:rPr>
              <w:t>nd Transport, Department of Immigration and Citizenship, and the Treasury.</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Country/Region</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Papua New Guinea</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t>Primary sector</w:t>
            </w:r>
          </w:p>
        </w:tc>
        <w:tc>
          <w:tcPr>
            <w:tcW w:w="7229" w:type="dxa"/>
            <w:gridSpan w:val="3"/>
            <w:shd w:val="clear" w:color="auto" w:fill="auto"/>
          </w:tcPr>
          <w:p w:rsidR="007F1D48" w:rsidRPr="006F046B" w:rsidRDefault="007F1D48" w:rsidP="007F1D48">
            <w:pPr>
              <w:pStyle w:val="Table-normal-text"/>
              <w:rPr>
                <w:rFonts w:cs="Arial"/>
              </w:rPr>
            </w:pPr>
            <w:r w:rsidRPr="00864D4A">
              <w:rPr>
                <w:rFonts w:cs="Arial"/>
              </w:rPr>
              <w:t>Various</w:t>
            </w:r>
          </w:p>
        </w:tc>
      </w:tr>
      <w:tr w:rsidR="007F1D48" w:rsidRPr="00B832F5" w:rsidTr="007F1D48">
        <w:trPr>
          <w:cantSplit/>
        </w:trPr>
        <w:tc>
          <w:tcPr>
            <w:tcW w:w="2660" w:type="dxa"/>
            <w:shd w:val="clear" w:color="auto" w:fill="auto"/>
          </w:tcPr>
          <w:p w:rsidR="007F1D48" w:rsidRPr="00E5614B" w:rsidRDefault="007F1D48" w:rsidP="007F1D48">
            <w:pPr>
              <w:pStyle w:val="Table-normal-text"/>
              <w:rPr>
                <w:rFonts w:cs="Arial"/>
              </w:rPr>
            </w:pPr>
            <w:r w:rsidRPr="00E5614B">
              <w:rPr>
                <w:rFonts w:cs="Arial"/>
              </w:rPr>
              <w:lastRenderedPageBreak/>
              <w:t>Initiative objective/s</w:t>
            </w:r>
          </w:p>
        </w:tc>
        <w:tc>
          <w:tcPr>
            <w:tcW w:w="7229" w:type="dxa"/>
            <w:gridSpan w:val="3"/>
            <w:shd w:val="clear" w:color="auto" w:fill="auto"/>
          </w:tcPr>
          <w:p w:rsidR="007F1D48" w:rsidRPr="00E27A44" w:rsidRDefault="007F1D48" w:rsidP="007F1D48">
            <w:pPr>
              <w:rPr>
                <w:rFonts w:cs="Arial"/>
              </w:rPr>
            </w:pPr>
            <w:r w:rsidRPr="00864D4A">
              <w:rPr>
                <w:rFonts w:cs="Arial"/>
              </w:rPr>
              <w:t>This is a whole-of-government engagement initiative, to assist the Government of PNG to strengthen public sector performance in selected sectors and agencies. Through the SGP, senior Australian Government officials work</w:t>
            </w:r>
            <w:r w:rsidR="0097147B">
              <w:rPr>
                <w:rFonts w:cs="Arial"/>
              </w:rPr>
              <w:t>ed</w:t>
            </w:r>
            <w:r w:rsidR="0097147B">
              <w:rPr>
                <w:rStyle w:val="FootnoteReference"/>
              </w:rPr>
              <w:footnoteReference w:id="1"/>
            </w:r>
            <w:r w:rsidRPr="00864D4A">
              <w:rPr>
                <w:rFonts w:cs="Arial"/>
              </w:rPr>
              <w:t xml:space="preserve"> for two to three years as advisers i</w:t>
            </w:r>
            <w:r w:rsidRPr="006F046B">
              <w:rPr>
                <w:rFonts w:cs="Arial"/>
              </w:rPr>
              <w:t xml:space="preserve">n PNG Government agencies to provide strategic policy advice and capacity development assistance, including through management, administrative and leadership support. </w:t>
            </w:r>
          </w:p>
          <w:p w:rsidR="007F1D48" w:rsidRPr="000F1885" w:rsidRDefault="007F1D48" w:rsidP="007F1D48">
            <w:pPr>
              <w:rPr>
                <w:rFonts w:cs="Arial"/>
                <w:lang w:eastAsia="en-AU"/>
              </w:rPr>
            </w:pPr>
            <w:r w:rsidRPr="008C3C90">
              <w:rPr>
                <w:rFonts w:cs="Arial"/>
              </w:rPr>
              <w:t>Target agencies within the law and justice sector include the Department of Justice and Attorney General, OPP, the Royal PNG Cons</w:t>
            </w:r>
            <w:r w:rsidRPr="000F1885">
              <w:rPr>
                <w:rFonts w:cs="Arial"/>
              </w:rPr>
              <w:t>tabulary (RPNGC) and the National Police Academy at Bomana.</w:t>
            </w:r>
          </w:p>
        </w:tc>
      </w:tr>
    </w:tbl>
    <w:p w:rsidR="00C657FB" w:rsidRPr="00B832F5" w:rsidRDefault="00C657FB" w:rsidP="00C657FB">
      <w:pPr>
        <w:pStyle w:val="Heading2"/>
      </w:pPr>
      <w:r w:rsidRPr="00B832F5">
        <w:t>Evaluation Summary</w:t>
      </w:r>
    </w:p>
    <w:p w:rsidR="007F1D48" w:rsidRPr="00B16500" w:rsidRDefault="00C657FB" w:rsidP="007F1D48">
      <w:pPr>
        <w:rPr>
          <w:rFonts w:cs="Arial"/>
          <w:szCs w:val="20"/>
        </w:rPr>
      </w:pPr>
      <w:r w:rsidRPr="00E5614B">
        <w:rPr>
          <w:rFonts w:cs="Arial"/>
          <w:b/>
        </w:rPr>
        <w:t xml:space="preserve">Evaluation Objective: </w:t>
      </w:r>
      <w:r w:rsidR="00D132BF" w:rsidRPr="00E5614B">
        <w:rPr>
          <w:rFonts w:cs="Arial"/>
        </w:rPr>
        <w:t>The objective of the evaluation is</w:t>
      </w:r>
      <w:r w:rsidR="00D132BF" w:rsidRPr="00864D4A">
        <w:rPr>
          <w:rFonts w:cs="Arial"/>
          <w:b/>
        </w:rPr>
        <w:t xml:space="preserve"> </w:t>
      </w:r>
      <w:r w:rsidR="007F1D48" w:rsidRPr="006F046B">
        <w:rPr>
          <w:rFonts w:cs="Arial"/>
          <w:szCs w:val="20"/>
        </w:rPr>
        <w:t>to</w:t>
      </w:r>
      <w:r w:rsidR="007F1D48" w:rsidRPr="00E27A44">
        <w:rPr>
          <w:rFonts w:cs="Arial"/>
          <w:b/>
          <w:szCs w:val="20"/>
        </w:rPr>
        <w:t xml:space="preserve"> </w:t>
      </w:r>
      <w:r w:rsidR="007F1D48" w:rsidRPr="00E27A44">
        <w:rPr>
          <w:rFonts w:cs="Arial"/>
          <w:szCs w:val="20"/>
        </w:rPr>
        <w:t xml:space="preserve">review the relevance and effectiveness of four promising and anecdotally successful ending violence against women initiatives in Fiji, Vanuatu and Papua New Guinea (PNG), </w:t>
      </w:r>
      <w:r w:rsidR="002811C8" w:rsidRPr="000F1885">
        <w:rPr>
          <w:rFonts w:cs="Arial"/>
          <w:szCs w:val="20"/>
        </w:rPr>
        <w:t>a</w:t>
      </w:r>
      <w:r w:rsidR="00D132BF" w:rsidRPr="000F1885">
        <w:rPr>
          <w:rFonts w:cs="Arial"/>
          <w:szCs w:val="20"/>
        </w:rPr>
        <w:t>n</w:t>
      </w:r>
      <w:r w:rsidR="002811C8" w:rsidRPr="000F1885">
        <w:rPr>
          <w:rFonts w:cs="Arial"/>
          <w:szCs w:val="20"/>
        </w:rPr>
        <w:t>d to document</w:t>
      </w:r>
      <w:r w:rsidR="007F1D48" w:rsidRPr="000F1885">
        <w:rPr>
          <w:rFonts w:cs="Arial"/>
          <w:szCs w:val="20"/>
        </w:rPr>
        <w:t xml:space="preserve"> elements underlying their success.  The findings and recommendations are intended to strengthen DFAT’s programming in preventing and responding to gender violence, identifying new areas</w:t>
      </w:r>
      <w:r w:rsidR="007F1D48" w:rsidRPr="00B944CE">
        <w:rPr>
          <w:rFonts w:cs="Arial"/>
          <w:szCs w:val="20"/>
        </w:rPr>
        <w:t xml:space="preserve"> for investment and strategic opportunities for scale up and strengthe</w:t>
      </w:r>
      <w:r w:rsidR="007F1D48" w:rsidRPr="00B16500">
        <w:rPr>
          <w:rFonts w:cs="Arial"/>
          <w:szCs w:val="20"/>
        </w:rPr>
        <w:t xml:space="preserve">ning of current activities.  </w:t>
      </w:r>
    </w:p>
    <w:p w:rsidR="007F1D48" w:rsidRPr="0097147B" w:rsidRDefault="007F1D48" w:rsidP="007F1D48">
      <w:pPr>
        <w:rPr>
          <w:rFonts w:cs="Arial"/>
          <w:szCs w:val="20"/>
        </w:rPr>
      </w:pPr>
      <w:r w:rsidRPr="0097147B">
        <w:rPr>
          <w:rFonts w:cs="Arial"/>
          <w:szCs w:val="20"/>
        </w:rPr>
        <w:t xml:space="preserve">The four initiatives are: </w:t>
      </w:r>
    </w:p>
    <w:p w:rsidR="007F1D48" w:rsidRPr="0097147B" w:rsidRDefault="007F1D48" w:rsidP="007F1D48">
      <w:pPr>
        <w:rPr>
          <w:rFonts w:cs="Arial"/>
          <w:szCs w:val="20"/>
        </w:rPr>
      </w:pPr>
    </w:p>
    <w:p w:rsidR="007F1D48" w:rsidRPr="00B832F5" w:rsidRDefault="007F1D48" w:rsidP="00AC30B2">
      <w:pPr>
        <w:pStyle w:val="ListParagraph"/>
        <w:numPr>
          <w:ilvl w:val="0"/>
          <w:numId w:val="11"/>
        </w:numPr>
        <w:rPr>
          <w:rFonts w:ascii="Arial" w:hAnsi="Arial" w:cs="Arial"/>
          <w:sz w:val="20"/>
          <w:szCs w:val="20"/>
          <w:lang w:val="en-AU"/>
        </w:rPr>
      </w:pPr>
      <w:r w:rsidRPr="00B832F5">
        <w:rPr>
          <w:rFonts w:ascii="Arial" w:hAnsi="Arial" w:cs="Arial"/>
          <w:sz w:val="20"/>
          <w:szCs w:val="20"/>
        </w:rPr>
        <w:t xml:space="preserve">Male Advocacy Program (regional) </w:t>
      </w:r>
    </w:p>
    <w:p w:rsidR="007F1D48" w:rsidRPr="00B832F5" w:rsidRDefault="007F1D48" w:rsidP="00AC30B2">
      <w:pPr>
        <w:pStyle w:val="ListParagraph"/>
        <w:numPr>
          <w:ilvl w:val="0"/>
          <w:numId w:val="11"/>
        </w:numPr>
        <w:rPr>
          <w:rFonts w:ascii="Arial" w:hAnsi="Arial" w:cs="Arial"/>
          <w:sz w:val="20"/>
          <w:szCs w:val="20"/>
          <w:lang w:val="en-AU"/>
        </w:rPr>
      </w:pPr>
      <w:r w:rsidRPr="00B832F5">
        <w:rPr>
          <w:rFonts w:ascii="Arial" w:hAnsi="Arial" w:cs="Arial"/>
          <w:sz w:val="20"/>
          <w:szCs w:val="20"/>
          <w:lang w:val="en-AU"/>
        </w:rPr>
        <w:t xml:space="preserve">Committees Against Violence Against Women (CAVAW) (Vanuatu) </w:t>
      </w:r>
    </w:p>
    <w:p w:rsidR="007F1D48" w:rsidRPr="00B832F5" w:rsidRDefault="007F1D48" w:rsidP="00AC30B2">
      <w:pPr>
        <w:pStyle w:val="ListParagraph"/>
        <w:numPr>
          <w:ilvl w:val="0"/>
          <w:numId w:val="11"/>
        </w:numPr>
        <w:rPr>
          <w:rFonts w:ascii="Arial" w:eastAsia="Times New Roman" w:hAnsi="Arial" w:cs="Arial"/>
          <w:sz w:val="20"/>
          <w:szCs w:val="20"/>
          <w:lang w:val="en-AU"/>
        </w:rPr>
      </w:pPr>
      <w:r w:rsidRPr="00B832F5">
        <w:rPr>
          <w:rFonts w:ascii="Arial" w:hAnsi="Arial" w:cs="Arial"/>
          <w:sz w:val="20"/>
          <w:szCs w:val="20"/>
          <w:lang w:val="en-AU"/>
        </w:rPr>
        <w:t xml:space="preserve">Regional Training Program (RTP) (regional) </w:t>
      </w:r>
    </w:p>
    <w:p w:rsidR="007F1D48" w:rsidRPr="00B832F5" w:rsidRDefault="007F1D48" w:rsidP="00AC30B2">
      <w:pPr>
        <w:pStyle w:val="ListParagraph"/>
        <w:numPr>
          <w:ilvl w:val="0"/>
          <w:numId w:val="11"/>
        </w:numPr>
        <w:rPr>
          <w:rFonts w:ascii="Arial" w:eastAsia="Times New Roman" w:hAnsi="Arial" w:cs="Arial"/>
          <w:sz w:val="20"/>
          <w:szCs w:val="20"/>
          <w:lang w:val="en-AU"/>
        </w:rPr>
      </w:pPr>
      <w:r w:rsidRPr="00B832F5">
        <w:rPr>
          <w:rFonts w:ascii="Arial" w:hAnsi="Arial" w:cs="Arial"/>
          <w:sz w:val="20"/>
          <w:szCs w:val="20"/>
          <w:lang w:val="en-AU"/>
        </w:rPr>
        <w:t xml:space="preserve">PNG – </w:t>
      </w:r>
      <w:r w:rsidRPr="00B832F5">
        <w:rPr>
          <w:rFonts w:ascii="Arial" w:eastAsia="Times New Roman" w:hAnsi="Arial" w:cs="Arial"/>
          <w:sz w:val="20"/>
          <w:szCs w:val="20"/>
          <w:lang w:val="en-AU"/>
        </w:rPr>
        <w:t xml:space="preserve">Australia Law and Justice Partnership (PALJP) and Strongim Gavman Program (SGP) (PNG). </w:t>
      </w:r>
    </w:p>
    <w:p w:rsidR="00C657FB" w:rsidRPr="00E5614B" w:rsidRDefault="00C657FB" w:rsidP="00C657FB">
      <w:pPr>
        <w:rPr>
          <w:rFonts w:cs="Arial"/>
          <w:b/>
          <w:szCs w:val="20"/>
        </w:rPr>
      </w:pPr>
    </w:p>
    <w:p w:rsidR="00C657FB" w:rsidRPr="000F1885" w:rsidRDefault="00C657FB" w:rsidP="00C657FB">
      <w:pPr>
        <w:rPr>
          <w:rFonts w:cs="Arial"/>
        </w:rPr>
      </w:pPr>
      <w:r w:rsidRPr="00864D4A">
        <w:rPr>
          <w:rFonts w:cs="Arial"/>
          <w:b/>
        </w:rPr>
        <w:t xml:space="preserve">Evaluation Completion Date: </w:t>
      </w:r>
      <w:r w:rsidR="00A25AC8" w:rsidRPr="006F046B">
        <w:rPr>
          <w:rFonts w:cs="Arial"/>
          <w:b/>
        </w:rPr>
        <w:t xml:space="preserve">Field </w:t>
      </w:r>
      <w:r w:rsidR="00A25AC8" w:rsidRPr="00E27A44">
        <w:rPr>
          <w:rFonts w:cs="Arial"/>
          <w:b/>
        </w:rPr>
        <w:t xml:space="preserve">work, research and analysis completed in August </w:t>
      </w:r>
      <w:r w:rsidR="00AC30B2" w:rsidRPr="00E27A44">
        <w:rPr>
          <w:rFonts w:cs="Arial"/>
          <w:b/>
        </w:rPr>
        <w:t xml:space="preserve">2013 </w:t>
      </w:r>
      <w:r w:rsidR="00A25AC8" w:rsidRPr="00E27A44">
        <w:rPr>
          <w:rFonts w:cs="Arial"/>
          <w:b/>
        </w:rPr>
        <w:t xml:space="preserve">and </w:t>
      </w:r>
      <w:r w:rsidR="00AC30B2" w:rsidRPr="008C3C90">
        <w:rPr>
          <w:rFonts w:cs="Arial"/>
          <w:b/>
        </w:rPr>
        <w:t>report finalised in February 2014</w:t>
      </w:r>
      <w:r w:rsidR="00A25AC8" w:rsidRPr="000F1885">
        <w:rPr>
          <w:rFonts w:cs="Arial"/>
          <w:b/>
        </w:rPr>
        <w:t>.</w:t>
      </w:r>
    </w:p>
    <w:p w:rsidR="009102DA" w:rsidRPr="000F1885" w:rsidRDefault="00C657FB" w:rsidP="00C657FB">
      <w:pPr>
        <w:rPr>
          <w:rFonts w:cs="Arial"/>
          <w:b/>
        </w:rPr>
      </w:pPr>
      <w:r w:rsidRPr="000F1885">
        <w:rPr>
          <w:rFonts w:cs="Arial"/>
          <w:b/>
        </w:rPr>
        <w:t xml:space="preserve">Evaluation Team: </w:t>
      </w:r>
    </w:p>
    <w:p w:rsidR="009102DA" w:rsidRPr="00B16500" w:rsidRDefault="009102DA" w:rsidP="00C657FB">
      <w:pPr>
        <w:rPr>
          <w:rFonts w:cs="Arial"/>
          <w:highlight w:val="lightGray"/>
        </w:rPr>
      </w:pPr>
      <w:r w:rsidRPr="00B944CE">
        <w:rPr>
          <w:rFonts w:cs="Arial"/>
          <w:highlight w:val="lightGray"/>
        </w:rPr>
        <w:t>Stella Mukasa, Team Leader International Centre for Research on Women (ICRW)</w:t>
      </w:r>
    </w:p>
    <w:p w:rsidR="009102DA" w:rsidRPr="00B16500" w:rsidRDefault="009102DA" w:rsidP="00C657FB">
      <w:pPr>
        <w:rPr>
          <w:rFonts w:cs="Arial"/>
          <w:highlight w:val="lightGray"/>
        </w:rPr>
      </w:pPr>
      <w:r w:rsidRPr="00B16500">
        <w:rPr>
          <w:rFonts w:cs="Arial"/>
          <w:highlight w:val="lightGray"/>
        </w:rPr>
        <w:t xml:space="preserve"> Sophie Namy, Technical Specialist ICRW</w:t>
      </w:r>
    </w:p>
    <w:p w:rsidR="009102DA" w:rsidRPr="0097147B" w:rsidRDefault="009102DA" w:rsidP="00C657FB">
      <w:pPr>
        <w:rPr>
          <w:rFonts w:cs="Arial"/>
          <w:highlight w:val="lightGray"/>
        </w:rPr>
      </w:pPr>
      <w:r w:rsidRPr="0097147B">
        <w:rPr>
          <w:rFonts w:cs="Arial"/>
          <w:highlight w:val="lightGray"/>
        </w:rPr>
        <w:t>Brian Heilman, Technical Specialist ICRW</w:t>
      </w:r>
    </w:p>
    <w:p w:rsidR="009102DA" w:rsidRPr="0097147B" w:rsidRDefault="009102DA" w:rsidP="00C657FB">
      <w:pPr>
        <w:rPr>
          <w:rFonts w:cs="Arial"/>
          <w:highlight w:val="lightGray"/>
        </w:rPr>
      </w:pPr>
      <w:r w:rsidRPr="0097147B">
        <w:rPr>
          <w:rFonts w:cs="Arial"/>
          <w:highlight w:val="lightGray"/>
        </w:rPr>
        <w:t>Ellen Weiss, Senior Technical Writer and Editor ICRW</w:t>
      </w:r>
    </w:p>
    <w:p w:rsidR="009102DA" w:rsidRPr="007F4786" w:rsidRDefault="009102DA" w:rsidP="00C657FB">
      <w:pPr>
        <w:rPr>
          <w:rFonts w:cs="Arial"/>
          <w:highlight w:val="lightGray"/>
        </w:rPr>
      </w:pPr>
      <w:r w:rsidRPr="0097147B">
        <w:rPr>
          <w:rFonts w:cs="Arial"/>
          <w:highlight w:val="lightGray"/>
        </w:rPr>
        <w:t>Jennifer Abrahamson, Strategic Communications ICRW</w:t>
      </w:r>
    </w:p>
    <w:p w:rsidR="009102DA" w:rsidRPr="007F4786" w:rsidRDefault="009102DA" w:rsidP="00C657FB">
      <w:pPr>
        <w:rPr>
          <w:rFonts w:cs="Arial"/>
          <w:highlight w:val="lightGray"/>
        </w:rPr>
      </w:pPr>
      <w:r w:rsidRPr="007F4786">
        <w:rPr>
          <w:rFonts w:cs="Arial"/>
          <w:highlight w:val="lightGray"/>
        </w:rPr>
        <w:t>Laura Brady, Research Program Associate ICRW</w:t>
      </w:r>
    </w:p>
    <w:p w:rsidR="009102DA" w:rsidRPr="007F4786" w:rsidRDefault="009102DA" w:rsidP="00C657FB">
      <w:pPr>
        <w:rPr>
          <w:rFonts w:cs="Arial"/>
          <w:highlight w:val="lightGray"/>
        </w:rPr>
      </w:pPr>
      <w:r w:rsidRPr="007F4786">
        <w:rPr>
          <w:rFonts w:cs="Arial"/>
          <w:highlight w:val="lightGray"/>
        </w:rPr>
        <w:t>Shawna Stich, Research Program Associate</w:t>
      </w:r>
    </w:p>
    <w:p w:rsidR="009102DA" w:rsidRPr="007F4786" w:rsidRDefault="009102DA" w:rsidP="00C657FB">
      <w:pPr>
        <w:rPr>
          <w:rFonts w:cs="Arial"/>
          <w:highlight w:val="lightGray"/>
        </w:rPr>
      </w:pPr>
      <w:r w:rsidRPr="007F4786">
        <w:rPr>
          <w:rFonts w:cs="Arial"/>
          <w:highlight w:val="lightGray"/>
        </w:rPr>
        <w:t>Jennifer McCleary-Sills, Second Team Leader (Fiji, Vanuatu) ICRW</w:t>
      </w:r>
    </w:p>
    <w:p w:rsidR="002824B7" w:rsidRPr="007F4786" w:rsidRDefault="00A25AC8" w:rsidP="009102DA">
      <w:pPr>
        <w:rPr>
          <w:rFonts w:cs="Arial"/>
        </w:rPr>
      </w:pPr>
      <w:r w:rsidRPr="007F4786">
        <w:rPr>
          <w:rFonts w:cs="Arial"/>
          <w:highlight w:val="lightGray"/>
        </w:rPr>
        <w:t>Felicity O’Brien</w:t>
      </w:r>
      <w:r w:rsidR="00AF4AF1" w:rsidRPr="007F4786">
        <w:rPr>
          <w:rFonts w:cs="Arial"/>
          <w:highlight w:val="lightGray"/>
        </w:rPr>
        <w:t xml:space="preserve"> and Corinne Tarnawsky,</w:t>
      </w:r>
      <w:r w:rsidR="009102DA" w:rsidRPr="007F4786">
        <w:rPr>
          <w:rFonts w:cs="Arial"/>
          <w:highlight w:val="lightGray"/>
        </w:rPr>
        <w:t xml:space="preserve"> DFAT Evaluation Manager</w:t>
      </w:r>
      <w:r w:rsidR="00AF4AF1" w:rsidRPr="007F4786">
        <w:rPr>
          <w:rFonts w:cs="Arial"/>
        </w:rPr>
        <w:t>s</w:t>
      </w:r>
    </w:p>
    <w:p w:rsidR="00367DA3" w:rsidRPr="007F4786" w:rsidRDefault="00367DA3" w:rsidP="005E3939">
      <w:pPr>
        <w:rPr>
          <w:rFonts w:cs="Arial"/>
          <w:b/>
          <w:lang w:eastAsia="en-AU"/>
        </w:rPr>
      </w:pPr>
    </w:p>
    <w:p w:rsidR="005E3939" w:rsidRPr="007F4786" w:rsidRDefault="00593A96" w:rsidP="000D316D">
      <w:pPr>
        <w:rPr>
          <w:rFonts w:cs="Arial"/>
          <w:b/>
          <w:sz w:val="22"/>
          <w:szCs w:val="22"/>
          <w:lang w:eastAsia="en-AU"/>
        </w:rPr>
      </w:pPr>
      <w:r w:rsidRPr="007F4786">
        <w:rPr>
          <w:rFonts w:cs="Arial"/>
          <w:b/>
          <w:sz w:val="22"/>
          <w:szCs w:val="22"/>
          <w:lang w:eastAsia="en-AU"/>
        </w:rPr>
        <w:t>DFAT’s</w:t>
      </w:r>
      <w:r w:rsidR="00367DA3" w:rsidRPr="007F4786">
        <w:rPr>
          <w:rFonts w:cs="Arial"/>
          <w:b/>
          <w:sz w:val="22"/>
          <w:szCs w:val="22"/>
          <w:lang w:eastAsia="en-AU"/>
        </w:rPr>
        <w:t xml:space="preserve"> response to the evaluation report</w:t>
      </w:r>
    </w:p>
    <w:p w:rsidR="008A61A8" w:rsidRPr="00B832F5" w:rsidRDefault="00B7122C" w:rsidP="00B7122C">
      <w:pPr>
        <w:rPr>
          <w:rFonts w:cs="Arial"/>
          <w:highlight w:val="lightGray"/>
        </w:rPr>
      </w:pPr>
      <w:r w:rsidRPr="00B832F5">
        <w:rPr>
          <w:rFonts w:cs="Arial"/>
          <w:highlight w:val="lightGray"/>
        </w:rPr>
        <w:t>DFAT is satisfied with t</w:t>
      </w:r>
      <w:r w:rsidR="00CE44A5" w:rsidRPr="00B832F5">
        <w:rPr>
          <w:rFonts w:cs="Arial"/>
          <w:highlight w:val="lightGray"/>
        </w:rPr>
        <w:t>he quality of the report</w:t>
      </w:r>
      <w:r w:rsidR="008A61A8" w:rsidRPr="00B832F5">
        <w:rPr>
          <w:rFonts w:cs="Arial"/>
          <w:highlight w:val="lightGray"/>
        </w:rPr>
        <w:t>, and notes its strengths in methodology and broad consultation with stakeholders</w:t>
      </w:r>
      <w:r w:rsidRPr="00B832F5">
        <w:rPr>
          <w:rFonts w:cs="Arial"/>
          <w:highlight w:val="lightGray"/>
        </w:rPr>
        <w:t xml:space="preserve">.  </w:t>
      </w:r>
    </w:p>
    <w:p w:rsidR="008A61A8" w:rsidRPr="00B832F5" w:rsidRDefault="008A61A8" w:rsidP="00B7122C">
      <w:pPr>
        <w:rPr>
          <w:rFonts w:cs="Arial"/>
          <w:highlight w:val="lightGray"/>
        </w:rPr>
      </w:pPr>
    </w:p>
    <w:p w:rsidR="002811C8" w:rsidRPr="00B832F5" w:rsidRDefault="00B7122C" w:rsidP="00B7122C">
      <w:pPr>
        <w:rPr>
          <w:rFonts w:cs="Arial"/>
          <w:highlight w:val="lightGray"/>
        </w:rPr>
      </w:pPr>
      <w:r w:rsidRPr="00B832F5">
        <w:rPr>
          <w:rFonts w:cs="Arial"/>
          <w:highlight w:val="lightGray"/>
        </w:rPr>
        <w:t xml:space="preserve">However, </w:t>
      </w:r>
      <w:r w:rsidR="009C48C6" w:rsidRPr="00B832F5">
        <w:rPr>
          <w:rFonts w:cs="Arial"/>
          <w:highlight w:val="lightGray"/>
        </w:rPr>
        <w:t xml:space="preserve">the report could have provided a greater body of evidence for some of the findings.  In particular, the evidence for scaling up of the Regional Training Program (RTP) could have been stronger.  The report could also have given a stronger narrative about whether current activities are addressing the </w:t>
      </w:r>
      <w:r w:rsidR="008E1A8B" w:rsidRPr="00B832F5">
        <w:rPr>
          <w:rFonts w:cs="Arial"/>
          <w:highlight w:val="lightGray"/>
        </w:rPr>
        <w:t xml:space="preserve">greatest </w:t>
      </w:r>
      <w:r w:rsidR="009C48C6" w:rsidRPr="00B832F5">
        <w:rPr>
          <w:rFonts w:cs="Arial"/>
          <w:highlight w:val="lightGray"/>
        </w:rPr>
        <w:t>areas of need.  The report could also have been more specific about which interventions could be replicated in other contexts.</w:t>
      </w:r>
    </w:p>
    <w:p w:rsidR="00C657FB" w:rsidRPr="00B832F5" w:rsidRDefault="00593A96" w:rsidP="00243A6B">
      <w:pPr>
        <w:rPr>
          <w:rFonts w:cs="Arial"/>
          <w:i/>
          <w:highlight w:val="lightGray"/>
        </w:rPr>
      </w:pPr>
      <w:r w:rsidRPr="00B832F5">
        <w:rPr>
          <w:rFonts w:cs="Arial"/>
          <w:i/>
          <w:highlight w:val="lightGray"/>
        </w:rPr>
        <w:t>DFAT’s</w:t>
      </w:r>
      <w:r w:rsidR="00C657FB" w:rsidRPr="00B832F5">
        <w:rPr>
          <w:rFonts w:cs="Arial"/>
          <w:i/>
          <w:highlight w:val="lightGray"/>
        </w:rPr>
        <w:t xml:space="preserve"> </w:t>
      </w:r>
      <w:r w:rsidR="00DC7D35" w:rsidRPr="00B832F5">
        <w:rPr>
          <w:rFonts w:cs="Arial"/>
          <w:i/>
          <w:highlight w:val="lightGray"/>
        </w:rPr>
        <w:t xml:space="preserve">overall </w:t>
      </w:r>
      <w:r w:rsidR="00EB3E0E" w:rsidRPr="00B832F5">
        <w:rPr>
          <w:rFonts w:cs="Arial"/>
          <w:i/>
          <w:highlight w:val="lightGray"/>
        </w:rPr>
        <w:t>response to</w:t>
      </w:r>
      <w:r w:rsidR="00C657FB" w:rsidRPr="00B832F5">
        <w:rPr>
          <w:rFonts w:cs="Arial"/>
          <w:i/>
          <w:highlight w:val="lightGray"/>
        </w:rPr>
        <w:t xml:space="preserve"> </w:t>
      </w:r>
      <w:r w:rsidR="00B432DE" w:rsidRPr="00B832F5">
        <w:rPr>
          <w:rFonts w:cs="Arial"/>
          <w:i/>
          <w:highlight w:val="lightGray"/>
        </w:rPr>
        <w:t>the</w:t>
      </w:r>
      <w:r w:rsidR="00C657FB" w:rsidRPr="00B832F5">
        <w:rPr>
          <w:rFonts w:cs="Arial"/>
          <w:i/>
          <w:highlight w:val="lightGray"/>
        </w:rPr>
        <w:t xml:space="preserve"> findings and recommendatio</w:t>
      </w:r>
      <w:r w:rsidR="003D7317" w:rsidRPr="00B832F5">
        <w:rPr>
          <w:rFonts w:cs="Arial"/>
          <w:i/>
          <w:highlight w:val="lightGray"/>
        </w:rPr>
        <w:t>ns</w:t>
      </w:r>
      <w:r w:rsidR="00E33E4E" w:rsidRPr="00B832F5">
        <w:rPr>
          <w:rFonts w:cs="Arial"/>
          <w:i/>
          <w:highlight w:val="lightGray"/>
        </w:rPr>
        <w:t xml:space="preserve"> </w:t>
      </w:r>
    </w:p>
    <w:p w:rsidR="00243A6B" w:rsidRPr="00B832F5" w:rsidRDefault="00CE44A5" w:rsidP="009C48C6">
      <w:pPr>
        <w:rPr>
          <w:rFonts w:cs="Arial"/>
          <w:highlight w:val="lightGray"/>
        </w:rPr>
      </w:pPr>
      <w:r w:rsidRPr="00B832F5">
        <w:rPr>
          <w:rFonts w:cs="Arial"/>
          <w:highlight w:val="lightGray"/>
        </w:rPr>
        <w:t xml:space="preserve">DFAT agrees with most of the finding and recommendations of the report, noting that in many cases they are recommendations to work in areas DFAT already invests in, or is about to invest in.  </w:t>
      </w:r>
      <w:r w:rsidR="008A61A8" w:rsidRPr="00B832F5">
        <w:rPr>
          <w:rFonts w:cs="Arial"/>
          <w:highlight w:val="lightGray"/>
        </w:rPr>
        <w:t xml:space="preserve">Some of the recommendations will have budget implications but others require a change in approach.  </w:t>
      </w:r>
      <w:r w:rsidRPr="00B832F5">
        <w:rPr>
          <w:rFonts w:cs="Arial"/>
          <w:highlight w:val="lightGray"/>
        </w:rPr>
        <w:t>A response to some of the recommendations will depend on the funds available to programs</w:t>
      </w:r>
      <w:r w:rsidR="00FD0C8C" w:rsidRPr="00B832F5">
        <w:rPr>
          <w:rFonts w:cs="Arial"/>
          <w:highlight w:val="lightGray"/>
        </w:rPr>
        <w:t xml:space="preserve"> (as in the case of more rigorous evaluations and longitudinal studies) and the expertise</w:t>
      </w:r>
      <w:r w:rsidR="009F6883" w:rsidRPr="00B832F5">
        <w:rPr>
          <w:rFonts w:cs="Arial"/>
          <w:highlight w:val="lightGray"/>
        </w:rPr>
        <w:t xml:space="preserve"> available to</w:t>
      </w:r>
      <w:r w:rsidR="00FD0C8C" w:rsidRPr="00B832F5">
        <w:rPr>
          <w:rFonts w:cs="Arial"/>
          <w:highlight w:val="lightGray"/>
        </w:rPr>
        <w:t xml:space="preserve"> program managers.</w:t>
      </w:r>
      <w:r w:rsidRPr="00B832F5">
        <w:rPr>
          <w:rFonts w:cs="Arial"/>
          <w:highlight w:val="lightGray"/>
        </w:rPr>
        <w:t xml:space="preserve"> </w:t>
      </w:r>
      <w:r w:rsidR="008A61A8" w:rsidRPr="00B832F5">
        <w:rPr>
          <w:rFonts w:cs="Arial"/>
          <w:highlight w:val="lightGray"/>
        </w:rPr>
        <w:t xml:space="preserve"> It should be noted that the review was conducted in an environment where </w:t>
      </w:r>
      <w:r w:rsidR="008E1A8B" w:rsidRPr="00B832F5">
        <w:rPr>
          <w:rFonts w:cs="Arial"/>
          <w:highlight w:val="lightGray"/>
        </w:rPr>
        <w:t>Australia</w:t>
      </w:r>
      <w:r w:rsidR="008A61A8" w:rsidRPr="00B832F5">
        <w:rPr>
          <w:rFonts w:cs="Arial"/>
          <w:highlight w:val="lightGray"/>
        </w:rPr>
        <w:t xml:space="preserve"> expected to scale up bilateral </w:t>
      </w:r>
      <w:r w:rsidR="008E1A8B" w:rsidRPr="00B832F5">
        <w:rPr>
          <w:rFonts w:cs="Arial"/>
          <w:highlight w:val="lightGray"/>
        </w:rPr>
        <w:t xml:space="preserve">aid </w:t>
      </w:r>
      <w:r w:rsidR="008A61A8" w:rsidRPr="00B832F5">
        <w:rPr>
          <w:rFonts w:cs="Arial"/>
          <w:highlight w:val="lightGray"/>
        </w:rPr>
        <w:t>programs significantly.</w:t>
      </w:r>
      <w:r w:rsidRPr="00B832F5">
        <w:rPr>
          <w:rFonts w:cs="Arial"/>
          <w:highlight w:val="lightGray"/>
        </w:rPr>
        <w:t xml:space="preserve"> </w:t>
      </w:r>
    </w:p>
    <w:p w:rsidR="00C00CFF" w:rsidRPr="00E5614B" w:rsidRDefault="00C00CFF" w:rsidP="00C00CFF">
      <w:pPr>
        <w:rPr>
          <w:rFonts w:cs="Arial"/>
        </w:rPr>
      </w:pPr>
      <w:r w:rsidRPr="00E5614B">
        <w:rPr>
          <w:rFonts w:cs="Arial"/>
        </w:rPr>
        <w:t xml:space="preserve">The implementation of any action is dependent on available budget within the Aid program. </w:t>
      </w:r>
    </w:p>
    <w:p w:rsidR="00C00CFF" w:rsidRPr="00B832F5" w:rsidRDefault="00C00CFF" w:rsidP="009C48C6">
      <w:pPr>
        <w:rPr>
          <w:rFonts w:cs="Arial"/>
          <w:highlight w:val="lightGray"/>
        </w:rPr>
      </w:pPr>
    </w:p>
    <w:p w:rsidR="00C657FB" w:rsidRPr="00B832F5" w:rsidRDefault="00C657FB" w:rsidP="00243A6B">
      <w:pPr>
        <w:rPr>
          <w:rFonts w:cs="Arial"/>
          <w:i/>
          <w:highlight w:val="lightGray"/>
        </w:rPr>
      </w:pPr>
      <w:r w:rsidRPr="00B832F5">
        <w:rPr>
          <w:rFonts w:cs="Arial"/>
          <w:i/>
          <w:highlight w:val="lightGray"/>
        </w:rPr>
        <w:t>Brief comments on future directions o</w:t>
      </w:r>
      <w:r w:rsidR="003D7317" w:rsidRPr="00B832F5">
        <w:rPr>
          <w:rFonts w:cs="Arial"/>
          <w:i/>
          <w:highlight w:val="lightGray"/>
        </w:rPr>
        <w:t>f sector / program / initiative</w:t>
      </w:r>
    </w:p>
    <w:p w:rsidR="00243A6B" w:rsidRPr="00B832F5" w:rsidRDefault="00FD0C8C" w:rsidP="00FD0C8C">
      <w:pPr>
        <w:rPr>
          <w:rFonts w:cs="Arial"/>
          <w:highlight w:val="lightGray"/>
        </w:rPr>
      </w:pPr>
      <w:r w:rsidRPr="00B832F5">
        <w:rPr>
          <w:rFonts w:cs="Arial"/>
          <w:highlight w:val="lightGray"/>
        </w:rPr>
        <w:t>Australia, through DFAT, will continue to invest in activities to end violence against women.</w:t>
      </w:r>
      <w:r w:rsidR="009F6883" w:rsidRPr="00B832F5">
        <w:rPr>
          <w:rFonts w:cs="Arial"/>
          <w:highlight w:val="lightGray"/>
        </w:rPr>
        <w:t xml:space="preserve">  </w:t>
      </w:r>
      <w:r w:rsidR="008A61A8" w:rsidRPr="00B832F5">
        <w:rPr>
          <w:rFonts w:cs="Arial"/>
          <w:highlight w:val="lightGray"/>
        </w:rPr>
        <w:t xml:space="preserve">This is likely to take place through the </w:t>
      </w:r>
      <w:r w:rsidR="008A61A8" w:rsidRPr="00B832F5">
        <w:rPr>
          <w:rFonts w:cs="Arial"/>
          <w:i/>
          <w:highlight w:val="lightGray"/>
        </w:rPr>
        <w:t xml:space="preserve">Pacific Women </w:t>
      </w:r>
      <w:r w:rsidR="008A61A8" w:rsidRPr="00B832F5">
        <w:rPr>
          <w:rFonts w:cs="Arial"/>
          <w:highlight w:val="lightGray"/>
        </w:rPr>
        <w:t xml:space="preserve">program as well as through bilateral investments in the law and justice, health and education sectors.  </w:t>
      </w:r>
    </w:p>
    <w:p w:rsidR="00243A6B" w:rsidRPr="00B832F5" w:rsidRDefault="00243A6B" w:rsidP="008A61A8">
      <w:pPr>
        <w:spacing w:before="0"/>
        <w:rPr>
          <w:rFonts w:cs="Arial"/>
          <w:i/>
          <w:highlight w:val="lightGray"/>
        </w:rPr>
      </w:pPr>
    </w:p>
    <w:p w:rsidR="00FD0C8C" w:rsidRPr="00B832F5" w:rsidRDefault="00FD0C8C" w:rsidP="00FD0C8C">
      <w:pPr>
        <w:rPr>
          <w:rFonts w:cs="Arial"/>
          <w:i/>
          <w:highlight w:val="lightGray"/>
        </w:rPr>
      </w:pPr>
    </w:p>
    <w:p w:rsidR="005C2C4F" w:rsidRPr="007F4786" w:rsidRDefault="005C2C4F" w:rsidP="000D316D">
      <w:pPr>
        <w:rPr>
          <w:rFonts w:cs="Arial"/>
          <w:b/>
          <w:sz w:val="22"/>
          <w:szCs w:val="22"/>
          <w:lang w:eastAsia="en-AU"/>
        </w:rPr>
        <w:sectPr w:rsidR="005C2C4F" w:rsidRPr="007F4786" w:rsidSect="00054700">
          <w:headerReference w:type="default" r:id="rId12"/>
          <w:footerReference w:type="default" r:id="rId13"/>
          <w:pgSz w:w="11906" w:h="16838"/>
          <w:pgMar w:top="1134" w:right="1134" w:bottom="1134" w:left="1134" w:header="567" w:footer="601" w:gutter="0"/>
          <w:cols w:space="708"/>
          <w:docGrid w:linePitch="360"/>
        </w:sectPr>
      </w:pPr>
    </w:p>
    <w:p w:rsidR="00C657FB" w:rsidRPr="007F4786" w:rsidRDefault="00593A96" w:rsidP="000D316D">
      <w:pPr>
        <w:rPr>
          <w:rFonts w:cs="Arial"/>
          <w:b/>
          <w:sz w:val="22"/>
          <w:szCs w:val="22"/>
          <w:lang w:eastAsia="en-AU"/>
        </w:rPr>
      </w:pPr>
      <w:r w:rsidRPr="007F4786">
        <w:rPr>
          <w:rFonts w:cs="Arial"/>
          <w:b/>
          <w:sz w:val="22"/>
          <w:szCs w:val="22"/>
          <w:lang w:eastAsia="en-AU"/>
        </w:rPr>
        <w:lastRenderedPageBreak/>
        <w:t>DFAT’s</w:t>
      </w:r>
      <w:r w:rsidR="00F63B43" w:rsidRPr="007F4786">
        <w:rPr>
          <w:rFonts w:cs="Arial"/>
          <w:b/>
          <w:sz w:val="22"/>
          <w:szCs w:val="22"/>
          <w:lang w:eastAsia="en-AU"/>
        </w:rPr>
        <w:t xml:space="preserve"> r</w:t>
      </w:r>
      <w:r w:rsidR="00C657FB" w:rsidRPr="007F4786">
        <w:rPr>
          <w:rFonts w:cs="Arial"/>
          <w:b/>
          <w:sz w:val="22"/>
          <w:szCs w:val="22"/>
          <w:lang w:eastAsia="en-AU"/>
        </w:rPr>
        <w:t>esponse to the specific rec</w:t>
      </w:r>
      <w:r w:rsidR="00367DA3" w:rsidRPr="007F4786">
        <w:rPr>
          <w:rFonts w:cs="Arial"/>
          <w:b/>
          <w:sz w:val="22"/>
          <w:szCs w:val="22"/>
          <w:lang w:eastAsia="en-AU"/>
        </w:rPr>
        <w:t>ommendations made in the report</w:t>
      </w:r>
    </w:p>
    <w:p w:rsidR="003B3C16" w:rsidRPr="00B832F5" w:rsidRDefault="003B3C16"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4503"/>
        <w:gridCol w:w="4677"/>
        <w:gridCol w:w="3261"/>
        <w:gridCol w:w="1701"/>
      </w:tblGrid>
      <w:tr w:rsidR="00AF4AF1" w:rsidRPr="00B832F5" w:rsidTr="00B1202C">
        <w:trPr>
          <w:cantSplit/>
          <w:tblHeader/>
        </w:trPr>
        <w:tc>
          <w:tcPr>
            <w:tcW w:w="4503" w:type="dxa"/>
            <w:shd w:val="clear" w:color="auto" w:fill="FFEC9B"/>
          </w:tcPr>
          <w:p w:rsidR="009D0A6D" w:rsidRPr="00B832F5" w:rsidRDefault="009D0A6D" w:rsidP="009D0A6D">
            <w:pPr>
              <w:spacing w:after="120"/>
              <w:jc w:val="center"/>
              <w:rPr>
                <w:rFonts w:cs="Arial"/>
                <w:b/>
                <w:szCs w:val="20"/>
              </w:rPr>
            </w:pPr>
            <w:r w:rsidRPr="00B832F5">
              <w:rPr>
                <w:rFonts w:cs="Arial"/>
                <w:b/>
                <w:szCs w:val="20"/>
              </w:rPr>
              <w:t xml:space="preserve">Recommendation </w:t>
            </w:r>
          </w:p>
        </w:tc>
        <w:tc>
          <w:tcPr>
            <w:tcW w:w="4677" w:type="dxa"/>
            <w:tcBorders>
              <w:right w:val="single" w:sz="4" w:space="0" w:color="auto"/>
            </w:tcBorders>
            <w:shd w:val="clear" w:color="auto" w:fill="FFEC9B"/>
            <w:vAlign w:val="center"/>
          </w:tcPr>
          <w:p w:rsidR="009D0A6D" w:rsidRPr="00B832F5" w:rsidRDefault="009D0A6D" w:rsidP="001467C6">
            <w:pPr>
              <w:spacing w:after="120"/>
              <w:jc w:val="center"/>
              <w:rPr>
                <w:rFonts w:cs="Arial"/>
                <w:b/>
                <w:szCs w:val="20"/>
              </w:rPr>
            </w:pPr>
            <w:r w:rsidRPr="00B832F5">
              <w:rPr>
                <w:rFonts w:cs="Arial"/>
                <w:b/>
                <w:szCs w:val="20"/>
              </w:rPr>
              <w:t>Response</w:t>
            </w:r>
          </w:p>
        </w:tc>
        <w:tc>
          <w:tcPr>
            <w:tcW w:w="3261" w:type="dxa"/>
            <w:tcBorders>
              <w:left w:val="single" w:sz="4" w:space="0" w:color="auto"/>
            </w:tcBorders>
            <w:shd w:val="clear" w:color="auto" w:fill="FFEC9B"/>
            <w:vAlign w:val="center"/>
          </w:tcPr>
          <w:p w:rsidR="009D0A6D" w:rsidRPr="00B832F5" w:rsidRDefault="009D0A6D" w:rsidP="001467C6">
            <w:pPr>
              <w:spacing w:after="120"/>
              <w:jc w:val="center"/>
              <w:rPr>
                <w:rFonts w:cs="Arial"/>
                <w:b/>
                <w:szCs w:val="20"/>
              </w:rPr>
            </w:pPr>
            <w:r w:rsidRPr="00B832F5">
              <w:rPr>
                <w:rFonts w:cs="Arial"/>
                <w:b/>
                <w:szCs w:val="20"/>
              </w:rPr>
              <w:t>Actions</w:t>
            </w:r>
          </w:p>
        </w:tc>
        <w:tc>
          <w:tcPr>
            <w:tcW w:w="1701" w:type="dxa"/>
            <w:tcBorders>
              <w:left w:val="single" w:sz="4" w:space="0" w:color="auto"/>
            </w:tcBorders>
            <w:shd w:val="clear" w:color="auto" w:fill="FFEC9B"/>
            <w:vAlign w:val="center"/>
          </w:tcPr>
          <w:p w:rsidR="009D0A6D" w:rsidRPr="00B832F5" w:rsidRDefault="009D0A6D" w:rsidP="001467C6">
            <w:pPr>
              <w:spacing w:after="120"/>
              <w:jc w:val="center"/>
              <w:rPr>
                <w:rFonts w:cs="Arial"/>
                <w:szCs w:val="20"/>
              </w:rPr>
            </w:pPr>
            <w:r w:rsidRPr="00E5614B">
              <w:rPr>
                <w:rFonts w:cs="Arial"/>
                <w:b/>
                <w:szCs w:val="20"/>
              </w:rPr>
              <w:t>Responsibility</w:t>
            </w:r>
          </w:p>
        </w:tc>
      </w:tr>
      <w:tr w:rsidR="005C2C4F" w:rsidRPr="00B832F5" w:rsidTr="00B1202C">
        <w:trPr>
          <w:cantSplit/>
        </w:trPr>
        <w:tc>
          <w:tcPr>
            <w:tcW w:w="14142" w:type="dxa"/>
            <w:gridSpan w:val="4"/>
            <w:shd w:val="clear" w:color="auto" w:fill="B8CCE4" w:themeFill="accent1" w:themeFillTint="66"/>
          </w:tcPr>
          <w:p w:rsidR="005C2C4F" w:rsidRPr="00E5614B" w:rsidRDefault="005C2C4F" w:rsidP="007C1337">
            <w:pPr>
              <w:spacing w:after="120"/>
              <w:ind w:left="426"/>
              <w:rPr>
                <w:rFonts w:cs="Arial"/>
                <w:b/>
                <w:i/>
                <w:szCs w:val="20"/>
              </w:rPr>
            </w:pPr>
            <w:r w:rsidRPr="00E5614B">
              <w:rPr>
                <w:rFonts w:cs="Arial"/>
                <w:b/>
                <w:i/>
                <w:szCs w:val="20"/>
              </w:rPr>
              <w:t>Preventing violence</w:t>
            </w:r>
          </w:p>
        </w:tc>
      </w:tr>
      <w:tr w:rsidR="00AF4AF1" w:rsidRPr="00B832F5" w:rsidTr="00AF3EFE">
        <w:trPr>
          <w:cantSplit/>
          <w:trHeight w:val="885"/>
        </w:trPr>
        <w:tc>
          <w:tcPr>
            <w:tcW w:w="4503" w:type="dxa"/>
            <w:tcBorders>
              <w:left w:val="nil"/>
              <w:bottom w:val="single" w:sz="4" w:space="0" w:color="808080"/>
            </w:tcBorders>
          </w:tcPr>
          <w:p w:rsidR="009D0A6D" w:rsidRPr="00B832F5" w:rsidRDefault="009D0A6D" w:rsidP="00175FFC">
            <w:pPr>
              <w:spacing w:after="120"/>
              <w:rPr>
                <w:rFonts w:cs="Arial"/>
                <w:b/>
                <w:szCs w:val="20"/>
              </w:rPr>
            </w:pPr>
            <w:r w:rsidRPr="00B832F5">
              <w:rPr>
                <w:rFonts w:cs="Arial"/>
                <w:b/>
                <w:szCs w:val="20"/>
              </w:rPr>
              <w:t xml:space="preserve">1. DFAT should consider leveraging this scale-up moment by investing in a rigorous, prospective evaluation of the Male Advocacy Program.  </w:t>
            </w:r>
            <w:r w:rsidRPr="00B832F5">
              <w:rPr>
                <w:rFonts w:cs="Arial"/>
              </w:rPr>
              <w:t>In doing so, it will be important to articulate and demonstrate how the individual-level changes observed so strongly in this review can spread to institutional and community levels. More in-depth data collection over time can also provide Male Advocates chances to express how important it is to their effectiveness to integrate with—and remain accountable to—the broader work of the crisis centres.</w:t>
            </w:r>
          </w:p>
        </w:tc>
        <w:tc>
          <w:tcPr>
            <w:tcW w:w="4677" w:type="dxa"/>
            <w:tcBorders>
              <w:right w:val="single" w:sz="4" w:space="0" w:color="auto"/>
            </w:tcBorders>
            <w:shd w:val="clear" w:color="auto" w:fill="auto"/>
          </w:tcPr>
          <w:p w:rsidR="009D0A6D" w:rsidRPr="00B832F5" w:rsidRDefault="009D0A6D" w:rsidP="00175FFC">
            <w:pPr>
              <w:spacing w:after="120"/>
              <w:rPr>
                <w:rFonts w:cs="Arial"/>
              </w:rPr>
            </w:pPr>
            <w:r w:rsidRPr="00B832F5">
              <w:rPr>
                <w:rFonts w:cs="Arial"/>
              </w:rPr>
              <w:t>Partially Agree.</w:t>
            </w:r>
          </w:p>
          <w:p w:rsidR="009D0A6D" w:rsidRPr="00B832F5" w:rsidRDefault="009D0A6D" w:rsidP="00175FFC">
            <w:pPr>
              <w:spacing w:after="120"/>
              <w:rPr>
                <w:rFonts w:cs="Arial"/>
              </w:rPr>
            </w:pPr>
            <w:r w:rsidRPr="00B832F5">
              <w:rPr>
                <w:rFonts w:cs="Arial"/>
              </w:rPr>
              <w:t xml:space="preserve">Rigorous longitudinal evaluations of the Male Advocacy Program and RTP in Fiji, and the Male Advocacy Program in Vanuatu is desirable, but should be conducted after the program has expanded in size (as intended for the RTP in Fiji).  The current investment is too small to warrant further evaluation, particularly because of the associated costs.  </w:t>
            </w:r>
          </w:p>
          <w:p w:rsidR="009D0A6D" w:rsidRPr="00B832F5" w:rsidRDefault="009D0A6D" w:rsidP="00BA2691">
            <w:pPr>
              <w:spacing w:after="120"/>
              <w:rPr>
                <w:rFonts w:cs="Arial"/>
              </w:rPr>
            </w:pPr>
            <w:r w:rsidRPr="00B832F5">
              <w:rPr>
                <w:rFonts w:cs="Arial"/>
              </w:rPr>
              <w:t xml:space="preserve">An interim step would be to analyse key factors in behaviour change of participants in becoming gender advocates, as part of ongoing monitoring and evaluation.  </w:t>
            </w:r>
          </w:p>
          <w:p w:rsidR="009D0A6D" w:rsidRPr="005160D5" w:rsidRDefault="009D0A6D" w:rsidP="009D0A6D">
            <w:pPr>
              <w:spacing w:after="120"/>
              <w:rPr>
                <w:rFonts w:cs="Arial"/>
              </w:rPr>
            </w:pPr>
          </w:p>
        </w:tc>
        <w:tc>
          <w:tcPr>
            <w:tcW w:w="3261" w:type="dxa"/>
            <w:tcBorders>
              <w:left w:val="single" w:sz="4" w:space="0" w:color="auto"/>
            </w:tcBorders>
            <w:shd w:val="clear" w:color="auto" w:fill="auto"/>
          </w:tcPr>
          <w:p w:rsidR="009D0A6D" w:rsidRPr="00B832F5" w:rsidRDefault="009D0A6D" w:rsidP="00BA2691">
            <w:pPr>
              <w:spacing w:after="120"/>
              <w:rPr>
                <w:rFonts w:cs="Arial"/>
              </w:rPr>
            </w:pPr>
            <w:r w:rsidRPr="00144877">
              <w:rPr>
                <w:rFonts w:cs="Arial"/>
              </w:rPr>
              <w:t>Suva and Port Vila Posts to consider analysis of behaviour change through regular evaluation of these VWC and FWCC activities.</w:t>
            </w:r>
          </w:p>
          <w:p w:rsidR="009D0A6D" w:rsidRPr="00B832F5" w:rsidRDefault="009D0A6D" w:rsidP="00BA2691">
            <w:pPr>
              <w:spacing w:after="120"/>
              <w:rPr>
                <w:rFonts w:cs="Arial"/>
              </w:rPr>
            </w:pPr>
          </w:p>
          <w:p w:rsidR="009D0A6D" w:rsidRDefault="009D0A6D" w:rsidP="009D0A6D">
            <w:pPr>
              <w:spacing w:after="120"/>
              <w:rPr>
                <w:rFonts w:cs="Arial"/>
              </w:rPr>
            </w:pPr>
            <w:r w:rsidRPr="00B832F5">
              <w:rPr>
                <w:rFonts w:cs="Arial"/>
              </w:rPr>
              <w:t>Suva Post to consider more rigorous evaluation of the RTP at a suitable time, building on the 2015 FWCC evaluation.  Ideally this would take place alongside the evaluation of FWCC’s male advocacy program.</w:t>
            </w:r>
          </w:p>
          <w:p w:rsidR="00B16500" w:rsidRDefault="00B16500" w:rsidP="009D0A6D">
            <w:pPr>
              <w:spacing w:after="120"/>
              <w:rPr>
                <w:rFonts w:cs="Arial"/>
              </w:rPr>
            </w:pPr>
          </w:p>
          <w:p w:rsidR="00B16500" w:rsidRPr="00B832F5" w:rsidRDefault="00B16500" w:rsidP="009D0A6D">
            <w:pPr>
              <w:spacing w:after="120"/>
              <w:rPr>
                <w:rFonts w:cs="Arial"/>
              </w:rPr>
            </w:pPr>
            <w:r>
              <w:rPr>
                <w:rFonts w:cs="Arial"/>
              </w:rPr>
              <w:t>Vanuatu Post to consider a more rigorous evaluation of its Male Advocacy program when it reviews VWC.</w:t>
            </w:r>
          </w:p>
        </w:tc>
        <w:tc>
          <w:tcPr>
            <w:tcW w:w="1701" w:type="dxa"/>
            <w:tcBorders>
              <w:left w:val="single" w:sz="4" w:space="0" w:color="auto"/>
            </w:tcBorders>
            <w:shd w:val="clear" w:color="auto" w:fill="auto"/>
          </w:tcPr>
          <w:p w:rsidR="009D0A6D" w:rsidRPr="00B832F5" w:rsidRDefault="009D0A6D" w:rsidP="00632714">
            <w:pPr>
              <w:spacing w:after="120"/>
              <w:rPr>
                <w:rFonts w:cs="Arial"/>
              </w:rPr>
            </w:pPr>
            <w:r w:rsidRPr="00B832F5">
              <w:rPr>
                <w:rFonts w:cs="Arial"/>
              </w:rPr>
              <w:t>FWCC Manager, Suva Post</w:t>
            </w:r>
          </w:p>
          <w:p w:rsidR="009D0A6D" w:rsidRPr="00B832F5" w:rsidRDefault="009D0A6D" w:rsidP="00632714">
            <w:pPr>
              <w:spacing w:after="120"/>
              <w:rPr>
                <w:rFonts w:cs="Arial"/>
              </w:rPr>
            </w:pPr>
            <w:r w:rsidRPr="00B832F5">
              <w:rPr>
                <w:rFonts w:cs="Arial"/>
              </w:rPr>
              <w:t>VWC Manager, Port Vila Post</w:t>
            </w:r>
          </w:p>
        </w:tc>
      </w:tr>
      <w:tr w:rsidR="00AF4AF1" w:rsidRPr="00B832F5" w:rsidTr="004805BB">
        <w:trPr>
          <w:cantSplit/>
          <w:trHeight w:val="885"/>
        </w:trPr>
        <w:tc>
          <w:tcPr>
            <w:tcW w:w="4503" w:type="dxa"/>
            <w:tcBorders>
              <w:left w:val="nil"/>
            </w:tcBorders>
          </w:tcPr>
          <w:p w:rsidR="00AF4AF1" w:rsidRPr="00B832F5" w:rsidRDefault="00050AA5" w:rsidP="00FF3BA8">
            <w:pPr>
              <w:spacing w:after="120"/>
              <w:rPr>
                <w:rFonts w:cs="Arial"/>
                <w:b/>
                <w:szCs w:val="20"/>
              </w:rPr>
            </w:pPr>
            <w:r w:rsidRPr="00B832F5">
              <w:rPr>
                <w:rFonts w:cs="Arial"/>
                <w:b/>
                <w:szCs w:val="20"/>
              </w:rPr>
              <w:lastRenderedPageBreak/>
              <w:t xml:space="preserve">2. </w:t>
            </w:r>
            <w:r w:rsidR="00AF4AF1" w:rsidRPr="00B832F5">
              <w:rPr>
                <w:rFonts w:cs="Arial"/>
                <w:b/>
                <w:szCs w:val="20"/>
              </w:rPr>
              <w:t xml:space="preserve">DFAT should consider supporting specific efforts to engage and recruit younger audiences of men and boys.  </w:t>
            </w:r>
            <w:r w:rsidR="00AF4AF1" w:rsidRPr="00E5614B">
              <w:rPr>
                <w:rFonts w:cs="Arial"/>
              </w:rPr>
              <w:t xml:space="preserve">Such efforts might continue to use sports teams and schools as a medium for reaching young men, but should also aim to reach out of school youth and </w:t>
            </w:r>
            <w:r w:rsidR="00AF4AF1" w:rsidRPr="00864D4A">
              <w:rPr>
                <w:rFonts w:cs="Arial"/>
              </w:rPr>
              <w:t xml:space="preserve">those who are not already involved in social networks with positive male role models. The exact approaches </w:t>
            </w:r>
            <w:r w:rsidR="00AF4AF1" w:rsidRPr="006F046B">
              <w:rPr>
                <w:rFonts w:cs="Arial"/>
              </w:rPr>
              <w:t>to be used will vary widely by context, but should be informed by the expertise of implementing partners in each country.</w:t>
            </w:r>
          </w:p>
        </w:tc>
        <w:tc>
          <w:tcPr>
            <w:tcW w:w="4677" w:type="dxa"/>
            <w:tcBorders>
              <w:right w:val="single" w:sz="4" w:space="0" w:color="auto"/>
            </w:tcBorders>
            <w:shd w:val="clear" w:color="auto" w:fill="auto"/>
          </w:tcPr>
          <w:p w:rsidR="00AF4AF1" w:rsidRPr="00B832F5" w:rsidRDefault="00AF4AF1" w:rsidP="00FF3BA8">
            <w:pPr>
              <w:spacing w:after="120"/>
              <w:rPr>
                <w:rFonts w:cs="Arial"/>
              </w:rPr>
            </w:pPr>
            <w:r w:rsidRPr="00B832F5">
              <w:rPr>
                <w:rFonts w:cs="Arial"/>
              </w:rPr>
              <w:t>Agree.</w:t>
            </w:r>
          </w:p>
          <w:p w:rsidR="00AF4AF1" w:rsidRPr="00B832F5" w:rsidRDefault="00AF4AF1" w:rsidP="00FF3BA8">
            <w:pPr>
              <w:spacing w:after="120"/>
              <w:rPr>
                <w:rFonts w:cs="Arial"/>
              </w:rPr>
            </w:pPr>
            <w:r w:rsidRPr="00B832F5">
              <w:rPr>
                <w:rFonts w:cs="Arial"/>
              </w:rPr>
              <w:t>DFAT agrees that intergenerational change necessitates the inclusion of youth in efforts to prevent violence against women and girls, and uphold women’s human rights.</w:t>
            </w:r>
          </w:p>
          <w:p w:rsidR="00AF4AF1" w:rsidRPr="00B832F5" w:rsidRDefault="00AF4AF1" w:rsidP="00FF3BA8">
            <w:pPr>
              <w:spacing w:after="120"/>
              <w:rPr>
                <w:rFonts w:cs="Arial"/>
              </w:rPr>
            </w:pPr>
            <w:r w:rsidRPr="00B832F5">
              <w:rPr>
                <w:rFonts w:cs="Arial"/>
              </w:rPr>
              <w:t>Efforts to include influential male leaders, regardless of age, will continue to be an important strategy to pursue.</w:t>
            </w:r>
          </w:p>
        </w:tc>
        <w:tc>
          <w:tcPr>
            <w:tcW w:w="3261" w:type="dxa"/>
            <w:tcBorders>
              <w:left w:val="single" w:sz="4" w:space="0" w:color="auto"/>
            </w:tcBorders>
            <w:shd w:val="clear" w:color="auto" w:fill="auto"/>
          </w:tcPr>
          <w:p w:rsidR="00AF4AF1" w:rsidRPr="00B832F5" w:rsidRDefault="00AF4AF1" w:rsidP="006E363D">
            <w:pPr>
              <w:spacing w:after="120"/>
              <w:rPr>
                <w:rFonts w:cs="Arial"/>
              </w:rPr>
            </w:pPr>
            <w:r w:rsidRPr="00B832F5">
              <w:rPr>
                <w:rFonts w:cs="Arial"/>
              </w:rPr>
              <w:t>Suva and Port Vila Posts to discuss strategies to include male youth, including any changes needed in the program to accommodate them, with FWCC and VWC respectively.</w:t>
            </w:r>
          </w:p>
          <w:p w:rsidR="00AF4AF1" w:rsidRPr="00B832F5" w:rsidRDefault="00AF4AF1" w:rsidP="006E363D">
            <w:pPr>
              <w:spacing w:after="120"/>
              <w:rPr>
                <w:rFonts w:cs="Arial"/>
              </w:rPr>
            </w:pPr>
          </w:p>
        </w:tc>
        <w:tc>
          <w:tcPr>
            <w:tcW w:w="1701" w:type="dxa"/>
            <w:tcBorders>
              <w:left w:val="single" w:sz="4" w:space="0" w:color="auto"/>
            </w:tcBorders>
            <w:shd w:val="clear" w:color="auto" w:fill="auto"/>
          </w:tcPr>
          <w:p w:rsidR="00AF4AF1" w:rsidRPr="00B832F5" w:rsidRDefault="00AF4AF1" w:rsidP="00FA4A88">
            <w:pPr>
              <w:spacing w:after="120"/>
              <w:rPr>
                <w:rFonts w:cs="Arial"/>
              </w:rPr>
            </w:pPr>
            <w:r w:rsidRPr="00B832F5">
              <w:rPr>
                <w:rFonts w:cs="Arial"/>
              </w:rPr>
              <w:t>FWCC Manager, Suva Post</w:t>
            </w:r>
          </w:p>
          <w:p w:rsidR="00AF4AF1" w:rsidRDefault="00AF4AF1" w:rsidP="00FA4A88">
            <w:pPr>
              <w:spacing w:after="120"/>
              <w:rPr>
                <w:rFonts w:cs="Arial"/>
              </w:rPr>
            </w:pPr>
            <w:r w:rsidRPr="00B832F5">
              <w:rPr>
                <w:rFonts w:cs="Arial"/>
              </w:rPr>
              <w:t>VWC Manager, Port Vila Post</w:t>
            </w:r>
          </w:p>
          <w:p w:rsidR="00D20928" w:rsidRDefault="00D20928" w:rsidP="00FA4A88">
            <w:pPr>
              <w:spacing w:after="120"/>
              <w:rPr>
                <w:rFonts w:cs="Arial"/>
              </w:rPr>
            </w:pPr>
          </w:p>
          <w:p w:rsidR="00D20928" w:rsidRPr="00B832F5" w:rsidRDefault="00D20928" w:rsidP="00FA4A88">
            <w:pPr>
              <w:spacing w:after="120"/>
              <w:rPr>
                <w:rFonts w:cs="Arial"/>
              </w:rPr>
            </w:pPr>
          </w:p>
        </w:tc>
      </w:tr>
      <w:tr w:rsidR="00050AA5" w:rsidRPr="00B832F5" w:rsidTr="004805BB">
        <w:trPr>
          <w:cantSplit/>
          <w:trHeight w:val="885"/>
        </w:trPr>
        <w:tc>
          <w:tcPr>
            <w:tcW w:w="4503" w:type="dxa"/>
            <w:tcBorders>
              <w:left w:val="nil"/>
              <w:bottom w:val="single" w:sz="4" w:space="0" w:color="808080"/>
            </w:tcBorders>
          </w:tcPr>
          <w:p w:rsidR="00050AA5" w:rsidRPr="00B832F5" w:rsidRDefault="00050AA5" w:rsidP="00C263B2">
            <w:pPr>
              <w:spacing w:after="120"/>
              <w:rPr>
                <w:rFonts w:cs="Arial"/>
                <w:b/>
                <w:szCs w:val="20"/>
              </w:rPr>
            </w:pPr>
            <w:r w:rsidRPr="00B832F5">
              <w:rPr>
                <w:rFonts w:cs="Arial"/>
                <w:b/>
                <w:szCs w:val="20"/>
              </w:rPr>
              <w:t xml:space="preserve">3. DFAT should consider supporting the FWCC, as a leader of other qualified partners to scale and tailor the RTP.  </w:t>
            </w:r>
            <w:r w:rsidRPr="00E5614B">
              <w:rPr>
                <w:rFonts w:cs="Arial"/>
              </w:rPr>
              <w:t>Such a process would include teaching hard skills in, for instance, (1) counselling, (2) community mobilisation planning and implementation a</w:t>
            </w:r>
            <w:r w:rsidRPr="00864D4A">
              <w:rPr>
                <w:rFonts w:cs="Arial"/>
              </w:rPr>
              <w:t>nd (3) training and capacity building. Further expansion could also make training available to other strategic groups, for instanc</w:t>
            </w:r>
            <w:r w:rsidRPr="006F046B">
              <w:rPr>
                <w:rFonts w:cs="Arial"/>
              </w:rPr>
              <w:t>e youth leaders and advocates, police, women with disability and media representatives.</w:t>
            </w:r>
          </w:p>
        </w:tc>
        <w:tc>
          <w:tcPr>
            <w:tcW w:w="4677" w:type="dxa"/>
            <w:tcBorders>
              <w:right w:val="single" w:sz="4" w:space="0" w:color="auto"/>
            </w:tcBorders>
            <w:shd w:val="clear" w:color="auto" w:fill="auto"/>
          </w:tcPr>
          <w:p w:rsidR="00050AA5" w:rsidRPr="00E5614B" w:rsidRDefault="00050AA5" w:rsidP="00C263B2">
            <w:pPr>
              <w:spacing w:after="120"/>
              <w:rPr>
                <w:rFonts w:cs="Arial"/>
              </w:rPr>
            </w:pPr>
            <w:r w:rsidRPr="00E5614B">
              <w:rPr>
                <w:rFonts w:cs="Arial"/>
              </w:rPr>
              <w:t xml:space="preserve">Agree.  </w:t>
            </w:r>
          </w:p>
          <w:p w:rsidR="00050AA5" w:rsidRPr="000F1885" w:rsidRDefault="00050AA5" w:rsidP="000C438C">
            <w:pPr>
              <w:spacing w:after="120"/>
              <w:rPr>
                <w:rFonts w:cs="Arial"/>
              </w:rPr>
            </w:pPr>
            <w:r w:rsidRPr="00864D4A">
              <w:rPr>
                <w:rFonts w:cs="Arial"/>
              </w:rPr>
              <w:t>DFAT is already providing assistance to FWCC to expand the RTP, including the establishment of a regional training institute.</w:t>
            </w:r>
            <w:r w:rsidR="00B1202C" w:rsidRPr="006F046B">
              <w:rPr>
                <w:rFonts w:cs="Arial"/>
              </w:rPr>
              <w:t xml:space="preserve"> </w:t>
            </w:r>
            <w:r w:rsidRPr="00E27A44">
              <w:rPr>
                <w:rFonts w:cs="Arial"/>
              </w:rPr>
              <w:t xml:space="preserve"> Additionally, DFAT provides supp</w:t>
            </w:r>
            <w:r w:rsidRPr="008C3C90">
              <w:rPr>
                <w:rFonts w:cs="Arial"/>
              </w:rPr>
              <w:t>ort to FWCC to run separate training on basic and advanced counselling skills, gender equality, human rights and sexual harassment.</w:t>
            </w:r>
          </w:p>
          <w:p w:rsidR="00050AA5" w:rsidRPr="00D20928" w:rsidRDefault="00050AA5" w:rsidP="000C438C">
            <w:pPr>
              <w:spacing w:after="120"/>
              <w:rPr>
                <w:rFonts w:cs="Arial"/>
              </w:rPr>
            </w:pPr>
            <w:r w:rsidRPr="000F1885">
              <w:rPr>
                <w:rFonts w:cs="Arial"/>
              </w:rPr>
              <w:t xml:space="preserve">Any scaling up should investigate how to build country partner capacity to run the training </w:t>
            </w:r>
            <w:r w:rsidR="00B1202C" w:rsidRPr="000F1885">
              <w:rPr>
                <w:rFonts w:cs="Arial"/>
              </w:rPr>
              <w:t>ov</w:t>
            </w:r>
            <w:r w:rsidRPr="000F1885">
              <w:rPr>
                <w:rFonts w:cs="Arial"/>
              </w:rPr>
              <w:t>er time so it can be delivered in-country</w:t>
            </w:r>
            <w:r w:rsidR="00B1202C" w:rsidRPr="000F1885">
              <w:rPr>
                <w:rFonts w:cs="Arial"/>
              </w:rPr>
              <w:t>.</w:t>
            </w:r>
            <w:r w:rsidRPr="00D20928">
              <w:rPr>
                <w:rFonts w:cs="Arial"/>
              </w:rPr>
              <w:t xml:space="preserve"> </w:t>
            </w:r>
          </w:p>
          <w:p w:rsidR="00050AA5" w:rsidRPr="00B832F5" w:rsidRDefault="00050AA5" w:rsidP="000709FA">
            <w:pPr>
              <w:spacing w:after="120"/>
              <w:rPr>
                <w:rFonts w:cs="Arial"/>
              </w:rPr>
            </w:pPr>
            <w:r w:rsidRPr="00B832F5">
              <w:rPr>
                <w:rFonts w:cs="Arial"/>
              </w:rPr>
              <w:t>Agree with the need for the RTP to be offered to a wide range of strategic groups, as well as more broadly across other programs (</w:t>
            </w:r>
            <w:r w:rsidR="00B1202C" w:rsidRPr="00B832F5">
              <w:rPr>
                <w:rFonts w:cs="Arial"/>
              </w:rPr>
              <w:t>eg. l</w:t>
            </w:r>
            <w:r w:rsidRPr="00B832F5">
              <w:rPr>
                <w:rFonts w:cs="Arial"/>
              </w:rPr>
              <w:t>aw and justice</w:t>
            </w:r>
            <w:r w:rsidR="00B1202C" w:rsidRPr="00B832F5">
              <w:rPr>
                <w:rFonts w:cs="Arial"/>
              </w:rPr>
              <w:t>, education</w:t>
            </w:r>
            <w:r w:rsidRPr="00B832F5">
              <w:rPr>
                <w:rFonts w:cs="Arial"/>
              </w:rPr>
              <w:t xml:space="preserve"> and health).</w:t>
            </w:r>
          </w:p>
        </w:tc>
        <w:tc>
          <w:tcPr>
            <w:tcW w:w="3261" w:type="dxa"/>
            <w:tcBorders>
              <w:left w:val="single" w:sz="4" w:space="0" w:color="auto"/>
            </w:tcBorders>
            <w:shd w:val="clear" w:color="auto" w:fill="auto"/>
          </w:tcPr>
          <w:p w:rsidR="00050AA5" w:rsidRPr="00B832F5" w:rsidRDefault="00050AA5" w:rsidP="00FA4A88">
            <w:pPr>
              <w:spacing w:after="120"/>
              <w:rPr>
                <w:rFonts w:cs="Arial"/>
              </w:rPr>
            </w:pPr>
            <w:r w:rsidRPr="00B832F5">
              <w:rPr>
                <w:rFonts w:cs="Arial"/>
              </w:rPr>
              <w:t>Suva Post to continue working with FWCC to establish a regional training institute to provide ongoing training on viole</w:t>
            </w:r>
            <w:r w:rsidR="00C846B5">
              <w:rPr>
                <w:rFonts w:cs="Arial"/>
              </w:rPr>
              <w:t>nce prevention and human rights</w:t>
            </w:r>
            <w:r w:rsidRPr="00B832F5">
              <w:rPr>
                <w:rFonts w:cs="Arial"/>
              </w:rPr>
              <w:t>.</w:t>
            </w:r>
          </w:p>
          <w:p w:rsidR="00050AA5" w:rsidRPr="00B832F5" w:rsidRDefault="00050AA5" w:rsidP="00FA4A88">
            <w:pPr>
              <w:spacing w:after="120"/>
              <w:rPr>
                <w:rFonts w:cs="Arial"/>
              </w:rPr>
            </w:pPr>
          </w:p>
          <w:p w:rsidR="00050AA5" w:rsidRPr="00B832F5" w:rsidRDefault="00050AA5" w:rsidP="00FA4A88">
            <w:pPr>
              <w:spacing w:after="120"/>
              <w:rPr>
                <w:rFonts w:cs="Arial"/>
              </w:rPr>
            </w:pPr>
            <w:r w:rsidRPr="00B832F5">
              <w:rPr>
                <w:rFonts w:cs="Arial"/>
              </w:rPr>
              <w:t>Pacific Posts to consider how to offer systematic and tailored training and capacity building on ending violence against women to particular sectors, such as health</w:t>
            </w:r>
            <w:r w:rsidR="000709FA" w:rsidRPr="00B832F5">
              <w:rPr>
                <w:rFonts w:cs="Arial"/>
              </w:rPr>
              <w:t>, education</w:t>
            </w:r>
            <w:r w:rsidRPr="00B832F5">
              <w:rPr>
                <w:rFonts w:cs="Arial"/>
              </w:rPr>
              <w:t xml:space="preserve"> and law and justice. </w:t>
            </w:r>
          </w:p>
          <w:p w:rsidR="00050AA5" w:rsidRPr="00B832F5" w:rsidRDefault="00D20928" w:rsidP="00FA4A88">
            <w:pPr>
              <w:spacing w:after="120"/>
              <w:rPr>
                <w:rFonts w:cs="Arial"/>
              </w:rPr>
            </w:pPr>
            <w:r>
              <w:rPr>
                <w:rFonts w:cs="Arial"/>
              </w:rPr>
              <w:t>DFAT is commissioning a study on counselling services available in the Pacific to determine how to best support an expansion of these services.</w:t>
            </w:r>
          </w:p>
          <w:p w:rsidR="00050AA5" w:rsidRPr="00B832F5" w:rsidRDefault="00050AA5" w:rsidP="002A704F">
            <w:pPr>
              <w:spacing w:after="120"/>
              <w:rPr>
                <w:rFonts w:cs="Arial"/>
              </w:rPr>
            </w:pPr>
          </w:p>
        </w:tc>
        <w:tc>
          <w:tcPr>
            <w:tcW w:w="1701" w:type="dxa"/>
            <w:tcBorders>
              <w:left w:val="single" w:sz="4" w:space="0" w:color="auto"/>
            </w:tcBorders>
            <w:shd w:val="clear" w:color="auto" w:fill="auto"/>
          </w:tcPr>
          <w:p w:rsidR="00050AA5" w:rsidRPr="00B832F5" w:rsidRDefault="00050AA5" w:rsidP="00632714">
            <w:pPr>
              <w:spacing w:after="120"/>
              <w:rPr>
                <w:rFonts w:cs="Arial"/>
              </w:rPr>
            </w:pPr>
            <w:r w:rsidRPr="00B832F5">
              <w:rPr>
                <w:rFonts w:cs="Arial"/>
              </w:rPr>
              <w:t>FWCC Manager, Suva Post</w:t>
            </w:r>
          </w:p>
          <w:p w:rsidR="00050AA5" w:rsidRPr="00B832F5" w:rsidRDefault="00050AA5" w:rsidP="00632714">
            <w:pPr>
              <w:spacing w:after="120"/>
              <w:rPr>
                <w:rFonts w:cs="Arial"/>
              </w:rPr>
            </w:pPr>
          </w:p>
          <w:p w:rsidR="00050AA5" w:rsidRPr="00B832F5" w:rsidRDefault="00050AA5" w:rsidP="00632714">
            <w:pPr>
              <w:spacing w:after="120"/>
              <w:rPr>
                <w:rFonts w:cs="Arial"/>
              </w:rPr>
            </w:pPr>
          </w:p>
          <w:p w:rsidR="00050AA5" w:rsidRPr="00B832F5" w:rsidRDefault="00050AA5" w:rsidP="00632714">
            <w:pPr>
              <w:spacing w:after="120"/>
              <w:rPr>
                <w:rFonts w:cs="Arial"/>
                <w:sz w:val="40"/>
              </w:rPr>
            </w:pPr>
          </w:p>
          <w:p w:rsidR="00050AA5" w:rsidRPr="00B832F5" w:rsidRDefault="00050AA5" w:rsidP="00632714">
            <w:pPr>
              <w:spacing w:after="120"/>
              <w:rPr>
                <w:rFonts w:cs="Arial"/>
              </w:rPr>
            </w:pPr>
            <w:r w:rsidRPr="00B832F5">
              <w:rPr>
                <w:rFonts w:cs="Arial"/>
              </w:rPr>
              <w:t>Pacific Posts</w:t>
            </w:r>
          </w:p>
        </w:tc>
      </w:tr>
      <w:tr w:rsidR="000709FA" w:rsidRPr="00B832F5" w:rsidTr="004805BB">
        <w:trPr>
          <w:cantSplit/>
          <w:trHeight w:val="885"/>
        </w:trPr>
        <w:tc>
          <w:tcPr>
            <w:tcW w:w="4503" w:type="dxa"/>
            <w:tcBorders>
              <w:left w:val="nil"/>
              <w:bottom w:val="single" w:sz="4" w:space="0" w:color="808080"/>
            </w:tcBorders>
          </w:tcPr>
          <w:p w:rsidR="000709FA" w:rsidRPr="00E26FD4" w:rsidRDefault="00F34841" w:rsidP="00E26FD4">
            <w:pPr>
              <w:spacing w:after="120"/>
              <w:rPr>
                <w:rFonts w:cs="Arial"/>
                <w:szCs w:val="20"/>
              </w:rPr>
            </w:pPr>
            <w:r w:rsidRPr="00B832F5">
              <w:rPr>
                <w:rFonts w:cs="Arial"/>
                <w:b/>
                <w:szCs w:val="20"/>
              </w:rPr>
              <w:lastRenderedPageBreak/>
              <w:t>4. DFAT should consider introducing requir</w:t>
            </w:r>
            <w:r w:rsidR="001767B4">
              <w:rPr>
                <w:rFonts w:cs="Arial"/>
                <w:b/>
                <w:szCs w:val="20"/>
              </w:rPr>
              <w:t>e</w:t>
            </w:r>
            <w:r w:rsidRPr="001767B4">
              <w:rPr>
                <w:rFonts w:cs="Arial"/>
                <w:b/>
                <w:szCs w:val="20"/>
              </w:rPr>
              <w:t xml:space="preserve">ments for ongoing monitoring and reporting of trainees.  </w:t>
            </w:r>
            <w:r w:rsidRPr="00144877">
              <w:rPr>
                <w:rFonts w:cs="Arial"/>
                <w:szCs w:val="20"/>
              </w:rPr>
              <w:t>Organisations and agencies sponsoring training participants need to have clearly defined objectives and monitoring mechanisms in place.  One such mechanism for accountability and monitoring is already being used by UN Women, which requires trainees sponsor</w:t>
            </w:r>
            <w:r w:rsidRPr="00B832F5">
              <w:rPr>
                <w:rFonts w:cs="Arial"/>
                <w:szCs w:val="20"/>
              </w:rPr>
              <w:t>ed by the UN to keep a journal during their RTP and complete periodic reporting</w:t>
            </w:r>
            <w:r w:rsidRPr="00E26FD4">
              <w:rPr>
                <w:rFonts w:cs="Arial"/>
                <w:szCs w:val="20"/>
              </w:rPr>
              <w:t xml:space="preserve"> in</w:t>
            </w:r>
            <w:r w:rsidR="00E26FD4">
              <w:rPr>
                <w:rFonts w:cs="Arial"/>
                <w:szCs w:val="20"/>
              </w:rPr>
              <w:t xml:space="preserve"> the</w:t>
            </w:r>
            <w:r w:rsidRPr="00E26FD4">
              <w:rPr>
                <w:rFonts w:cs="Arial"/>
                <w:szCs w:val="20"/>
              </w:rPr>
              <w:t xml:space="preserve"> months following graduation. These journals help with learning during training and the application of the learning when graduates return to their home countries and communities.</w:t>
            </w:r>
          </w:p>
        </w:tc>
        <w:tc>
          <w:tcPr>
            <w:tcW w:w="4677" w:type="dxa"/>
            <w:tcBorders>
              <w:right w:val="single" w:sz="4" w:space="0" w:color="auto"/>
            </w:tcBorders>
            <w:shd w:val="clear" w:color="auto" w:fill="auto"/>
          </w:tcPr>
          <w:p w:rsidR="000709FA" w:rsidRPr="00E26FD4" w:rsidRDefault="000709FA" w:rsidP="00C263B2">
            <w:pPr>
              <w:spacing w:after="120"/>
              <w:rPr>
                <w:rFonts w:cs="Arial"/>
              </w:rPr>
            </w:pPr>
            <w:r w:rsidRPr="00E26FD4">
              <w:rPr>
                <w:rFonts w:cs="Arial"/>
              </w:rPr>
              <w:t>Partially agree</w:t>
            </w:r>
            <w:r w:rsidR="009C1038" w:rsidRPr="00E26FD4">
              <w:rPr>
                <w:rFonts w:cs="Arial"/>
              </w:rPr>
              <w:t>.</w:t>
            </w:r>
          </w:p>
          <w:p w:rsidR="000709FA" w:rsidRPr="00B832F5" w:rsidRDefault="000709FA" w:rsidP="00C263B2">
            <w:pPr>
              <w:spacing w:after="120"/>
              <w:rPr>
                <w:rFonts w:cs="Arial"/>
              </w:rPr>
            </w:pPr>
            <w:r w:rsidRPr="00144877">
              <w:rPr>
                <w:rFonts w:cs="Arial"/>
              </w:rPr>
              <w:t>The need to have clearly defined objectives for trainees eg. of the Male Advocacy and RTP programs is clear.</w:t>
            </w:r>
          </w:p>
          <w:p w:rsidR="000709FA" w:rsidRPr="00B832F5" w:rsidRDefault="000709FA" w:rsidP="00C263B2">
            <w:pPr>
              <w:spacing w:after="120"/>
              <w:rPr>
                <w:rFonts w:cs="Arial"/>
              </w:rPr>
            </w:pPr>
            <w:r w:rsidRPr="00B832F5">
              <w:rPr>
                <w:rFonts w:cs="Arial"/>
              </w:rPr>
              <w:t>As above, DFAT will need to balance the need for ongoing feedback on the impact of training with the cost and effectiveness of reporting after one-off training.  Regular training through the RTP should assist with the need for ongoing reporting on the impact of training.</w:t>
            </w:r>
          </w:p>
        </w:tc>
        <w:tc>
          <w:tcPr>
            <w:tcW w:w="3261" w:type="dxa"/>
            <w:tcBorders>
              <w:left w:val="single" w:sz="4" w:space="0" w:color="auto"/>
            </w:tcBorders>
            <w:shd w:val="clear" w:color="auto" w:fill="auto"/>
          </w:tcPr>
          <w:p w:rsidR="000709FA" w:rsidRPr="00B832F5" w:rsidRDefault="000709FA" w:rsidP="00632714">
            <w:pPr>
              <w:spacing w:after="120"/>
              <w:rPr>
                <w:rFonts w:cs="Arial"/>
              </w:rPr>
            </w:pPr>
            <w:r w:rsidRPr="00B832F5">
              <w:rPr>
                <w:rFonts w:cs="Arial"/>
              </w:rPr>
              <w:t>Suva and Port Vila Posts to discuss with FWCC and VWC respectively and introduce further monitoring and reporting as appropriate.</w:t>
            </w:r>
          </w:p>
          <w:p w:rsidR="000709FA" w:rsidRPr="00B832F5" w:rsidRDefault="000709FA" w:rsidP="00632714">
            <w:pPr>
              <w:spacing w:after="120"/>
              <w:rPr>
                <w:rFonts w:cs="Arial"/>
              </w:rPr>
            </w:pPr>
            <w:r w:rsidRPr="00B832F5">
              <w:rPr>
                <w:rFonts w:cs="Arial"/>
              </w:rPr>
              <w:t>These monitoring ideas to be shared across Pacific Posts.</w:t>
            </w:r>
          </w:p>
        </w:tc>
        <w:tc>
          <w:tcPr>
            <w:tcW w:w="1701" w:type="dxa"/>
            <w:tcBorders>
              <w:left w:val="single" w:sz="4" w:space="0" w:color="auto"/>
            </w:tcBorders>
            <w:shd w:val="clear" w:color="auto" w:fill="auto"/>
          </w:tcPr>
          <w:p w:rsidR="000709FA" w:rsidRPr="00B832F5" w:rsidRDefault="000709FA" w:rsidP="004B2247">
            <w:pPr>
              <w:spacing w:after="120"/>
              <w:rPr>
                <w:rFonts w:cs="Arial"/>
              </w:rPr>
            </w:pPr>
            <w:r w:rsidRPr="00B832F5">
              <w:rPr>
                <w:rFonts w:cs="Arial"/>
              </w:rPr>
              <w:t>FWCC Manager, Suva Post</w:t>
            </w:r>
          </w:p>
          <w:p w:rsidR="000709FA" w:rsidRPr="00B832F5" w:rsidRDefault="000709FA" w:rsidP="00632714">
            <w:pPr>
              <w:spacing w:after="120"/>
              <w:rPr>
                <w:rFonts w:cs="Arial"/>
              </w:rPr>
            </w:pPr>
            <w:r w:rsidRPr="00B832F5">
              <w:rPr>
                <w:rFonts w:cs="Arial"/>
              </w:rPr>
              <w:t>VWC Manager, Port Vila Post</w:t>
            </w:r>
          </w:p>
        </w:tc>
      </w:tr>
      <w:tr w:rsidR="009C1038" w:rsidRPr="00B832F5" w:rsidTr="004805BB">
        <w:trPr>
          <w:cantSplit/>
          <w:trHeight w:val="885"/>
        </w:trPr>
        <w:tc>
          <w:tcPr>
            <w:tcW w:w="4503" w:type="dxa"/>
            <w:tcBorders>
              <w:left w:val="nil"/>
              <w:bottom w:val="single" w:sz="4" w:space="0" w:color="808080"/>
            </w:tcBorders>
          </w:tcPr>
          <w:p w:rsidR="009C1038" w:rsidRPr="00B832F5" w:rsidRDefault="009C1038" w:rsidP="00C263B2">
            <w:pPr>
              <w:spacing w:after="120"/>
              <w:rPr>
                <w:rFonts w:cs="Arial"/>
                <w:b/>
                <w:szCs w:val="20"/>
              </w:rPr>
            </w:pPr>
            <w:r w:rsidRPr="00B832F5">
              <w:rPr>
                <w:rFonts w:cs="Arial"/>
                <w:b/>
                <w:szCs w:val="20"/>
              </w:rPr>
              <w:lastRenderedPageBreak/>
              <w:t>5. DFAT should consider collaborating with leaders such as the FWCC and VWC to determine the feasibility of a small-scale pilot adaptation of a proven community mobilisation approach, such as the SASA! Methodology.</w:t>
            </w:r>
          </w:p>
        </w:tc>
        <w:tc>
          <w:tcPr>
            <w:tcW w:w="4677" w:type="dxa"/>
            <w:tcBorders>
              <w:right w:val="single" w:sz="4" w:space="0" w:color="auto"/>
            </w:tcBorders>
            <w:shd w:val="clear" w:color="auto" w:fill="auto"/>
          </w:tcPr>
          <w:p w:rsidR="009C1038" w:rsidRPr="00B832F5" w:rsidRDefault="009C1038" w:rsidP="00C263B2">
            <w:pPr>
              <w:spacing w:after="120"/>
              <w:rPr>
                <w:rFonts w:cs="Arial"/>
              </w:rPr>
            </w:pPr>
            <w:r w:rsidRPr="00B832F5">
              <w:rPr>
                <w:rFonts w:cs="Arial"/>
              </w:rPr>
              <w:t>Partially agree</w:t>
            </w:r>
            <w:r w:rsidR="00A52BD1" w:rsidRPr="00B832F5">
              <w:rPr>
                <w:rFonts w:cs="Arial"/>
              </w:rPr>
              <w:t>.</w:t>
            </w:r>
          </w:p>
          <w:p w:rsidR="009C1038" w:rsidRPr="00B832F5" w:rsidRDefault="009C1038" w:rsidP="00C263B2">
            <w:pPr>
              <w:spacing w:after="120"/>
              <w:rPr>
                <w:rFonts w:cs="Arial"/>
              </w:rPr>
            </w:pPr>
            <w:r w:rsidRPr="00B832F5">
              <w:rPr>
                <w:rFonts w:cs="Arial"/>
              </w:rPr>
              <w:t xml:space="preserve">The core components of SASA! include: local activism (public events, dramas, community conversations); media and advocacy (radio, film); communications materials; and training modules for different stakeholders.  The SASA! </w:t>
            </w:r>
            <w:proofErr w:type="gramStart"/>
            <w:r w:rsidRPr="00B832F5">
              <w:rPr>
                <w:rFonts w:cs="Arial"/>
              </w:rPr>
              <w:t>approach</w:t>
            </w:r>
            <w:proofErr w:type="gramEnd"/>
            <w:r w:rsidRPr="00B832F5">
              <w:rPr>
                <w:rFonts w:cs="Arial"/>
              </w:rPr>
              <w:t xml:space="preserve"> examines gender aspects of power, the link between VAW and HIV/AIDS and aims to change attitudes and behaviours.</w:t>
            </w:r>
            <w:r w:rsidR="00D20928">
              <w:rPr>
                <w:rFonts w:cs="Arial"/>
              </w:rPr>
              <w:t xml:space="preserve"> The SASA! Methodolo</w:t>
            </w:r>
            <w:r w:rsidR="00C846B5">
              <w:rPr>
                <w:rFonts w:cs="Arial"/>
              </w:rPr>
              <w:t>g</w:t>
            </w:r>
            <w:r w:rsidR="00D20928">
              <w:rPr>
                <w:rFonts w:cs="Arial"/>
              </w:rPr>
              <w:t>y, as a</w:t>
            </w:r>
            <w:r w:rsidR="00D20928" w:rsidRPr="007F0307">
              <w:rPr>
                <w:rFonts w:cs="Arial"/>
              </w:rPr>
              <w:t xml:space="preserve"> HIV/EVAW approach developed in Uganda</w:t>
            </w:r>
            <w:r w:rsidR="00D20928">
              <w:rPr>
                <w:rFonts w:cs="Arial"/>
              </w:rPr>
              <w:t>,</w:t>
            </w:r>
            <w:r w:rsidR="00D20928" w:rsidRPr="007F0307">
              <w:rPr>
                <w:rFonts w:cs="Arial"/>
              </w:rPr>
              <w:t xml:space="preserve"> may not always be an appropriate model for the Pacific.  </w:t>
            </w:r>
            <w:r w:rsidR="00D20928" w:rsidRPr="00E80B15">
              <w:rPr>
                <w:rFonts w:cs="Arial"/>
              </w:rPr>
              <w:t>There would, however, be value in ensuring awareness and prevention efforts are more coordinated, focused and consistent.</w:t>
            </w:r>
          </w:p>
          <w:p w:rsidR="009C1038" w:rsidRPr="00E80B15" w:rsidRDefault="00D20928" w:rsidP="00E80B15">
            <w:pPr>
              <w:spacing w:after="120"/>
              <w:rPr>
                <w:rFonts w:cs="Arial"/>
              </w:rPr>
            </w:pPr>
            <w:r>
              <w:rPr>
                <w:rFonts w:cs="Arial"/>
              </w:rPr>
              <w:t xml:space="preserve">Similar </w:t>
            </w:r>
            <w:r w:rsidR="009C1038" w:rsidRPr="00B832F5">
              <w:rPr>
                <w:rFonts w:cs="Arial"/>
              </w:rPr>
              <w:t xml:space="preserve">approaches are already used across the breadth of EVAW work supported by DFAT in the Pacific, and a broad range of materials and information is already available from partners such as VWC and FWCC.  </w:t>
            </w:r>
            <w:r w:rsidR="00A52BD1" w:rsidRPr="00B832F5">
              <w:rPr>
                <w:rFonts w:cs="Arial"/>
              </w:rPr>
              <w:t>For example, i</w:t>
            </w:r>
            <w:r w:rsidR="009C1038" w:rsidRPr="00B832F5">
              <w:rPr>
                <w:rFonts w:cs="Arial"/>
              </w:rPr>
              <w:t>n Solomon Islands, a 6 month design process has led to a ‘Safe Families’ Program, which uses a methodology to engage collaboratively with communities to identify local ways to prevent violence and facilitate coalition work.</w:t>
            </w:r>
            <w:r w:rsidR="00AC18AD" w:rsidRPr="00E5614B">
              <w:rPr>
                <w:rFonts w:cs="Arial"/>
              </w:rPr>
              <w:t xml:space="preserve">  </w:t>
            </w:r>
            <w:r w:rsidR="007F0307">
              <w:rPr>
                <w:rFonts w:cs="Arial"/>
              </w:rPr>
              <w:t>DFAT</w:t>
            </w:r>
            <w:r w:rsidR="00A52BD1" w:rsidRPr="007F0307">
              <w:rPr>
                <w:rFonts w:cs="Arial"/>
              </w:rPr>
              <w:t xml:space="preserve"> is funding the use of the SASA! Methodology in PNG.  </w:t>
            </w:r>
          </w:p>
        </w:tc>
        <w:tc>
          <w:tcPr>
            <w:tcW w:w="3261" w:type="dxa"/>
            <w:tcBorders>
              <w:left w:val="single" w:sz="4" w:space="0" w:color="auto"/>
            </w:tcBorders>
            <w:shd w:val="clear" w:color="auto" w:fill="auto"/>
          </w:tcPr>
          <w:p w:rsidR="009C1038" w:rsidRPr="00B832F5" w:rsidRDefault="009C1038" w:rsidP="00632714">
            <w:pPr>
              <w:spacing w:after="120"/>
              <w:rPr>
                <w:rFonts w:cs="Arial"/>
              </w:rPr>
            </w:pPr>
            <w:r w:rsidRPr="00E80B15">
              <w:rPr>
                <w:rFonts w:cs="Arial"/>
              </w:rPr>
              <w:t xml:space="preserve">Suva and Port Vila Posts to discuss </w:t>
            </w:r>
            <w:r w:rsidRPr="00144877">
              <w:rPr>
                <w:rFonts w:cs="Arial"/>
              </w:rPr>
              <w:t>the usefulness of the SASA! approach or a more coordinated approach with FWCC and VWC in programming discussions.</w:t>
            </w:r>
          </w:p>
          <w:p w:rsidR="009C1038" w:rsidRPr="00B832F5" w:rsidRDefault="009C1038" w:rsidP="00632714">
            <w:pPr>
              <w:spacing w:after="120"/>
              <w:rPr>
                <w:rFonts w:cs="Arial"/>
              </w:rPr>
            </w:pPr>
          </w:p>
          <w:p w:rsidR="009C1038" w:rsidRPr="00B832F5" w:rsidRDefault="009C1038" w:rsidP="00632714">
            <w:pPr>
              <w:spacing w:after="120"/>
              <w:rPr>
                <w:rFonts w:cs="Arial"/>
              </w:rPr>
            </w:pPr>
          </w:p>
          <w:p w:rsidR="009C1038" w:rsidRPr="00B832F5" w:rsidRDefault="009C1038" w:rsidP="003E465D">
            <w:pPr>
              <w:spacing w:after="120"/>
              <w:rPr>
                <w:rFonts w:cs="Arial"/>
              </w:rPr>
            </w:pPr>
            <w:r w:rsidRPr="00B832F5">
              <w:rPr>
                <w:rFonts w:cs="Arial"/>
                <w:i/>
              </w:rPr>
              <w:t>Pacific Women</w:t>
            </w:r>
            <w:r w:rsidRPr="00B832F5">
              <w:rPr>
                <w:rFonts w:cs="Arial"/>
              </w:rPr>
              <w:t xml:space="preserve"> </w:t>
            </w:r>
            <w:r w:rsidR="003E465D">
              <w:rPr>
                <w:rFonts w:cs="Arial"/>
              </w:rPr>
              <w:t>is developing a roadmap to guide future EVAW programming.  This will include a review of promising global practices which could be relevant to the Pacific, including SASA</w:t>
            </w:r>
            <w:proofErr w:type="gramStart"/>
            <w:r w:rsidR="003E465D">
              <w:rPr>
                <w:rFonts w:cs="Arial"/>
              </w:rPr>
              <w:t>!.</w:t>
            </w:r>
            <w:proofErr w:type="gramEnd"/>
            <w:r w:rsidR="003E465D">
              <w:rPr>
                <w:rFonts w:cs="Arial"/>
              </w:rPr>
              <w:t xml:space="preserve">  This information will be shared with program partners to inform discussion about prioritising future funding.  </w:t>
            </w:r>
          </w:p>
        </w:tc>
        <w:tc>
          <w:tcPr>
            <w:tcW w:w="1701" w:type="dxa"/>
            <w:tcBorders>
              <w:left w:val="single" w:sz="4" w:space="0" w:color="auto"/>
            </w:tcBorders>
            <w:shd w:val="clear" w:color="auto" w:fill="auto"/>
          </w:tcPr>
          <w:p w:rsidR="009C1038" w:rsidRPr="00B832F5" w:rsidRDefault="009C1038" w:rsidP="004C4102">
            <w:pPr>
              <w:spacing w:after="120"/>
              <w:rPr>
                <w:rFonts w:cs="Arial"/>
              </w:rPr>
            </w:pPr>
            <w:r w:rsidRPr="00B832F5">
              <w:rPr>
                <w:rFonts w:cs="Arial"/>
              </w:rPr>
              <w:t>FWCC Manager, Suva Post</w:t>
            </w:r>
          </w:p>
          <w:p w:rsidR="009C1038" w:rsidRPr="00B832F5" w:rsidRDefault="009C1038" w:rsidP="004C4102">
            <w:pPr>
              <w:spacing w:after="120"/>
              <w:rPr>
                <w:rFonts w:cs="Arial"/>
              </w:rPr>
            </w:pPr>
            <w:r w:rsidRPr="00B832F5">
              <w:rPr>
                <w:rFonts w:cs="Arial"/>
              </w:rPr>
              <w:t>VWC Manager, Port Vila Post</w:t>
            </w:r>
          </w:p>
          <w:p w:rsidR="009C1038" w:rsidRPr="00B832F5" w:rsidRDefault="009C1038" w:rsidP="004C4102">
            <w:pPr>
              <w:spacing w:after="120"/>
              <w:rPr>
                <w:rFonts w:cs="Arial"/>
              </w:rPr>
            </w:pPr>
          </w:p>
          <w:p w:rsidR="00AC18AD" w:rsidRPr="00B832F5" w:rsidRDefault="00AC18AD" w:rsidP="00AC18AD">
            <w:pPr>
              <w:spacing w:after="120"/>
              <w:rPr>
                <w:rFonts w:cs="Arial"/>
                <w:i/>
              </w:rPr>
            </w:pPr>
          </w:p>
          <w:p w:rsidR="00AC18AD" w:rsidRPr="00B832F5" w:rsidRDefault="00AC18AD" w:rsidP="00AC18AD">
            <w:pPr>
              <w:spacing w:after="120"/>
              <w:rPr>
                <w:rFonts w:cs="Arial"/>
                <w:i/>
              </w:rPr>
            </w:pPr>
          </w:p>
          <w:p w:rsidR="009C1038" w:rsidRPr="00B832F5" w:rsidRDefault="009C1038" w:rsidP="00AC18AD">
            <w:pPr>
              <w:spacing w:after="120"/>
              <w:rPr>
                <w:rFonts w:cs="Arial"/>
              </w:rPr>
            </w:pPr>
            <w:r w:rsidRPr="00B832F5">
              <w:rPr>
                <w:rFonts w:cs="Arial"/>
                <w:i/>
              </w:rPr>
              <w:t>Pacific Women</w:t>
            </w:r>
            <w:r w:rsidR="003E465D">
              <w:rPr>
                <w:rFonts w:cs="Arial"/>
                <w:i/>
              </w:rPr>
              <w:t>/DFAT</w:t>
            </w:r>
          </w:p>
        </w:tc>
      </w:tr>
      <w:tr w:rsidR="00827FB6" w:rsidRPr="00B832F5" w:rsidTr="004805BB">
        <w:trPr>
          <w:cantSplit/>
          <w:trHeight w:val="885"/>
        </w:trPr>
        <w:tc>
          <w:tcPr>
            <w:tcW w:w="4503" w:type="dxa"/>
            <w:tcBorders>
              <w:left w:val="nil"/>
            </w:tcBorders>
          </w:tcPr>
          <w:p w:rsidR="00827FB6" w:rsidRPr="00B832F5" w:rsidRDefault="00827FB6" w:rsidP="00C263B2">
            <w:pPr>
              <w:spacing w:after="120"/>
              <w:rPr>
                <w:rFonts w:cs="Arial"/>
                <w:b/>
                <w:szCs w:val="20"/>
              </w:rPr>
            </w:pPr>
            <w:r w:rsidRPr="00B832F5">
              <w:rPr>
                <w:rFonts w:cs="Arial"/>
                <w:b/>
                <w:szCs w:val="20"/>
              </w:rPr>
              <w:lastRenderedPageBreak/>
              <w:t>6. DFAT should consider supporting a pilot multi-level intervention that targets community members and alcohol sellers to address heavy alcohol consumption as a risk factor for violence against women.</w:t>
            </w:r>
          </w:p>
        </w:tc>
        <w:tc>
          <w:tcPr>
            <w:tcW w:w="4677" w:type="dxa"/>
            <w:tcBorders>
              <w:right w:val="single" w:sz="4" w:space="0" w:color="auto"/>
            </w:tcBorders>
            <w:shd w:val="clear" w:color="auto" w:fill="auto"/>
          </w:tcPr>
          <w:p w:rsidR="00827FB6" w:rsidRPr="00B832F5" w:rsidRDefault="00827FB6" w:rsidP="00C263B2">
            <w:pPr>
              <w:spacing w:after="120"/>
              <w:rPr>
                <w:rFonts w:cs="Arial"/>
              </w:rPr>
            </w:pPr>
            <w:r w:rsidRPr="00B832F5">
              <w:rPr>
                <w:rFonts w:cs="Arial"/>
              </w:rPr>
              <w:t>Partially Agree.</w:t>
            </w:r>
          </w:p>
          <w:p w:rsidR="00C846B5" w:rsidRDefault="00C846B5" w:rsidP="00C263B2">
            <w:pPr>
              <w:spacing w:after="120"/>
              <w:rPr>
                <w:rFonts w:cs="Arial"/>
              </w:rPr>
            </w:pPr>
            <w:r w:rsidRPr="005561DC">
              <w:rPr>
                <w:rFonts w:cs="Arial"/>
              </w:rPr>
              <w:t>DFAT could</w:t>
            </w:r>
            <w:r>
              <w:rPr>
                <w:rFonts w:cs="Arial"/>
              </w:rPr>
              <w:t xml:space="preserve"> </w:t>
            </w:r>
            <w:r w:rsidRPr="005561DC">
              <w:rPr>
                <w:rFonts w:cs="Arial"/>
              </w:rPr>
              <w:t>support local pilot initiatives to address heavy alcohol consumption through civil society or NGO programs.  A pilot could develop lessons and an approach for a broader health sector response.</w:t>
            </w:r>
          </w:p>
          <w:p w:rsidR="00C846B5" w:rsidRDefault="00C846B5" w:rsidP="00C263B2">
            <w:pPr>
              <w:spacing w:after="120"/>
              <w:rPr>
                <w:rFonts w:cs="Arial"/>
              </w:rPr>
            </w:pPr>
          </w:p>
          <w:p w:rsidR="00827FB6" w:rsidRPr="005561DC" w:rsidRDefault="00827FB6" w:rsidP="00C263B2">
            <w:pPr>
              <w:spacing w:after="120"/>
              <w:rPr>
                <w:rFonts w:cs="Arial"/>
              </w:rPr>
            </w:pPr>
            <w:r w:rsidRPr="00B832F5">
              <w:rPr>
                <w:rFonts w:cs="Arial"/>
              </w:rPr>
              <w:t xml:space="preserve">DFAT </w:t>
            </w:r>
            <w:r w:rsidR="00C846B5">
              <w:rPr>
                <w:rFonts w:cs="Arial"/>
              </w:rPr>
              <w:t xml:space="preserve">generally </w:t>
            </w:r>
            <w:r w:rsidRPr="00B832F5">
              <w:rPr>
                <w:rFonts w:cs="Arial"/>
              </w:rPr>
              <w:t xml:space="preserve">approaches the use/abuse of alcohol primarily as a public health issue in the context of non-communicable diseases, via our support for the health sector.  Any broader effort to address heavy alcohol consumption as a risk factor for violence against women should </w:t>
            </w:r>
            <w:r w:rsidRPr="005561DC">
              <w:rPr>
                <w:rFonts w:cs="Arial"/>
              </w:rPr>
              <w:t xml:space="preserve">occur through the health sector.  The focus of DFAT’s efforts should remain on addressing gender power relations as the root cause of violence against women, noting that alcohol </w:t>
            </w:r>
            <w:r w:rsidR="005561DC" w:rsidRPr="00BB29A1">
              <w:rPr>
                <w:rFonts w:cs="Arial"/>
              </w:rPr>
              <w:t xml:space="preserve">(and other substance) </w:t>
            </w:r>
            <w:r w:rsidRPr="005561DC">
              <w:rPr>
                <w:rFonts w:cs="Arial"/>
              </w:rPr>
              <w:t>abuse is an exacerbating factor.</w:t>
            </w:r>
          </w:p>
          <w:p w:rsidR="00827FB6" w:rsidRPr="005561DC" w:rsidRDefault="00827FB6" w:rsidP="00C263B2">
            <w:pPr>
              <w:spacing w:after="120"/>
              <w:rPr>
                <w:rFonts w:cs="Arial"/>
              </w:rPr>
            </w:pPr>
          </w:p>
          <w:p w:rsidR="00827FB6" w:rsidRPr="00144877" w:rsidRDefault="00827FB6" w:rsidP="005561DC">
            <w:pPr>
              <w:spacing w:after="120"/>
              <w:rPr>
                <w:rFonts w:cs="Arial"/>
              </w:rPr>
            </w:pPr>
          </w:p>
        </w:tc>
        <w:tc>
          <w:tcPr>
            <w:tcW w:w="3261" w:type="dxa"/>
            <w:tcBorders>
              <w:left w:val="single" w:sz="4" w:space="0" w:color="auto"/>
            </w:tcBorders>
            <w:shd w:val="clear" w:color="auto" w:fill="auto"/>
          </w:tcPr>
          <w:p w:rsidR="00827FB6" w:rsidRPr="00B832F5" w:rsidRDefault="00827FB6" w:rsidP="004C4102">
            <w:pPr>
              <w:spacing w:after="120"/>
              <w:rPr>
                <w:rFonts w:cs="Arial"/>
              </w:rPr>
            </w:pPr>
            <w:r w:rsidRPr="00B832F5">
              <w:rPr>
                <w:rFonts w:cs="Arial"/>
              </w:rPr>
              <w:t>Pacific Posts to consider how to support local stakeholders to address use/abuse of alcohol and other substances as a factor in violence against women.  This should be done according to country priorities</w:t>
            </w:r>
            <w:r w:rsidR="00F34841" w:rsidRPr="00B832F5">
              <w:rPr>
                <w:rFonts w:cs="Arial"/>
              </w:rPr>
              <w:t xml:space="preserve"> and</w:t>
            </w:r>
            <w:r w:rsidRPr="00B832F5">
              <w:rPr>
                <w:rFonts w:cs="Arial"/>
              </w:rPr>
              <w:t xml:space="preserve"> need</w:t>
            </w:r>
            <w:r w:rsidR="00F34841" w:rsidRPr="00B832F5">
              <w:rPr>
                <w:rFonts w:cs="Arial"/>
              </w:rPr>
              <w:t>s</w:t>
            </w:r>
            <w:r w:rsidRPr="00B832F5">
              <w:rPr>
                <w:rFonts w:cs="Arial"/>
              </w:rPr>
              <w:t xml:space="preserve"> according to local context and available budget. </w:t>
            </w:r>
            <w:r w:rsidRPr="00B832F5">
              <w:rPr>
                <w:rFonts w:cs="Arial"/>
                <w:color w:val="FF0000"/>
              </w:rPr>
              <w:t xml:space="preserve"> </w:t>
            </w:r>
            <w:r w:rsidRPr="00B832F5">
              <w:rPr>
                <w:rFonts w:cs="Arial"/>
              </w:rPr>
              <w:t>Solomon Islands Post should share their experiences in working in this area.</w:t>
            </w:r>
          </w:p>
          <w:p w:rsidR="005561DC" w:rsidRDefault="005561DC" w:rsidP="004C4102">
            <w:pPr>
              <w:spacing w:after="120"/>
              <w:rPr>
                <w:rFonts w:cs="Arial"/>
              </w:rPr>
            </w:pPr>
          </w:p>
          <w:p w:rsidR="00827FB6" w:rsidRPr="00144877" w:rsidRDefault="00827FB6" w:rsidP="004C4102">
            <w:pPr>
              <w:spacing w:after="120"/>
              <w:rPr>
                <w:rFonts w:cs="Arial"/>
              </w:rPr>
            </w:pPr>
            <w:r w:rsidRPr="005561DC">
              <w:rPr>
                <w:rFonts w:cs="Arial"/>
              </w:rPr>
              <w:t>DFAT Canberra Gender Equality and Disability Inclusion section (G</w:t>
            </w:r>
            <w:r w:rsidR="005D337B">
              <w:rPr>
                <w:rFonts w:cs="Arial"/>
              </w:rPr>
              <w:t>D</w:t>
            </w:r>
            <w:r w:rsidRPr="005561DC">
              <w:rPr>
                <w:rFonts w:cs="Arial"/>
              </w:rPr>
              <w:t xml:space="preserve">I) to liaise with the Human Development (including Health) section to look at how the health sector is addressing heavy alcohol consumption. </w:t>
            </w:r>
          </w:p>
          <w:p w:rsidR="00827FB6" w:rsidRPr="00144877" w:rsidRDefault="003E465D" w:rsidP="004C4102">
            <w:pPr>
              <w:spacing w:after="120"/>
              <w:rPr>
                <w:rFonts w:cs="Arial"/>
              </w:rPr>
            </w:pPr>
            <w:r>
              <w:rPr>
                <w:rFonts w:cs="Arial"/>
              </w:rPr>
              <w:t xml:space="preserve">The Samoa Post is funding a </w:t>
            </w:r>
            <w:r w:rsidR="005D337B">
              <w:rPr>
                <w:rFonts w:cs="Arial"/>
              </w:rPr>
              <w:t>case manager at the newly established drug and alcohol court.  The outcomes of this initiative will be closely monitored.</w:t>
            </w:r>
          </w:p>
          <w:p w:rsidR="00827FB6" w:rsidRPr="00B832F5" w:rsidRDefault="00827FB6" w:rsidP="004C4102">
            <w:pPr>
              <w:spacing w:after="120"/>
              <w:rPr>
                <w:rFonts w:cs="Arial"/>
              </w:rPr>
            </w:pPr>
          </w:p>
        </w:tc>
        <w:tc>
          <w:tcPr>
            <w:tcW w:w="1701" w:type="dxa"/>
            <w:tcBorders>
              <w:left w:val="single" w:sz="4" w:space="0" w:color="auto"/>
            </w:tcBorders>
            <w:shd w:val="clear" w:color="auto" w:fill="auto"/>
          </w:tcPr>
          <w:p w:rsidR="00827FB6" w:rsidRPr="00B832F5" w:rsidRDefault="00827FB6" w:rsidP="00632714">
            <w:pPr>
              <w:spacing w:after="120"/>
              <w:rPr>
                <w:rFonts w:cs="Arial"/>
              </w:rPr>
            </w:pPr>
            <w:r w:rsidRPr="00B832F5">
              <w:rPr>
                <w:rFonts w:cs="Arial"/>
              </w:rPr>
              <w:t>Pacific Posts</w:t>
            </w: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827FB6" w:rsidP="00632714">
            <w:pPr>
              <w:spacing w:after="120"/>
              <w:rPr>
                <w:rFonts w:cs="Arial"/>
              </w:rPr>
            </w:pPr>
          </w:p>
          <w:p w:rsidR="00827FB6" w:rsidRPr="00B832F5" w:rsidRDefault="00F34841" w:rsidP="005D337B">
            <w:pPr>
              <w:spacing w:after="120"/>
              <w:rPr>
                <w:rFonts w:cs="Arial"/>
              </w:rPr>
            </w:pPr>
            <w:r w:rsidRPr="00B832F5">
              <w:rPr>
                <w:rFonts w:cs="Arial"/>
              </w:rPr>
              <w:t>G</w:t>
            </w:r>
            <w:r w:rsidR="005D337B">
              <w:rPr>
                <w:rFonts w:cs="Arial"/>
              </w:rPr>
              <w:t>DI</w:t>
            </w:r>
          </w:p>
        </w:tc>
      </w:tr>
    </w:tbl>
    <w:p w:rsidR="008C42D7" w:rsidRPr="00E5614B" w:rsidRDefault="008C42D7">
      <w:pPr>
        <w:rPr>
          <w:rFonts w:cs="Arial"/>
        </w:rPr>
      </w:pPr>
    </w:p>
    <w:p w:rsidR="008C42D7" w:rsidRPr="006F046B" w:rsidRDefault="008C42D7">
      <w:pPr>
        <w:rPr>
          <w:rFonts w:cs="Arial"/>
        </w:rPr>
      </w:pPr>
      <w:r w:rsidRPr="00864D4A">
        <w:rPr>
          <w:rFonts w:cs="Arial"/>
          <w:b/>
          <w:iCs/>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4197"/>
        <w:gridCol w:w="4983"/>
        <w:gridCol w:w="3261"/>
        <w:gridCol w:w="1701"/>
      </w:tblGrid>
      <w:tr w:rsidR="006B1AEA" w:rsidRPr="00B832F5" w:rsidTr="001C450A">
        <w:trPr>
          <w:cantSplit/>
          <w:tblHeader/>
        </w:trPr>
        <w:tc>
          <w:tcPr>
            <w:tcW w:w="4197" w:type="dxa"/>
            <w:shd w:val="clear" w:color="auto" w:fill="FFEC9B"/>
          </w:tcPr>
          <w:p w:rsidR="006B1AEA" w:rsidRPr="00B832F5" w:rsidRDefault="006B1AEA" w:rsidP="006B1AEA">
            <w:pPr>
              <w:spacing w:after="120"/>
              <w:jc w:val="center"/>
              <w:rPr>
                <w:rFonts w:cs="Arial"/>
                <w:b/>
                <w:szCs w:val="20"/>
              </w:rPr>
            </w:pPr>
            <w:r w:rsidRPr="00B832F5">
              <w:rPr>
                <w:rFonts w:cs="Arial"/>
                <w:b/>
                <w:szCs w:val="20"/>
              </w:rPr>
              <w:lastRenderedPageBreak/>
              <w:t xml:space="preserve">Recommendation </w:t>
            </w:r>
          </w:p>
        </w:tc>
        <w:tc>
          <w:tcPr>
            <w:tcW w:w="4983" w:type="dxa"/>
            <w:tcBorders>
              <w:right w:val="single" w:sz="4" w:space="0" w:color="auto"/>
            </w:tcBorders>
            <w:shd w:val="clear" w:color="auto" w:fill="FFEC9B"/>
            <w:vAlign w:val="center"/>
          </w:tcPr>
          <w:p w:rsidR="006B1AEA" w:rsidRPr="00B832F5" w:rsidRDefault="006B1AEA" w:rsidP="009A226C">
            <w:pPr>
              <w:spacing w:after="120"/>
              <w:jc w:val="center"/>
              <w:rPr>
                <w:rFonts w:cs="Arial"/>
                <w:b/>
                <w:szCs w:val="20"/>
              </w:rPr>
            </w:pPr>
            <w:r w:rsidRPr="00B832F5">
              <w:rPr>
                <w:rFonts w:cs="Arial"/>
                <w:b/>
                <w:szCs w:val="20"/>
              </w:rPr>
              <w:t>Response</w:t>
            </w:r>
          </w:p>
        </w:tc>
        <w:tc>
          <w:tcPr>
            <w:tcW w:w="3261" w:type="dxa"/>
            <w:tcBorders>
              <w:left w:val="single" w:sz="4" w:space="0" w:color="auto"/>
            </w:tcBorders>
            <w:shd w:val="clear" w:color="auto" w:fill="FFEC9B"/>
            <w:vAlign w:val="center"/>
          </w:tcPr>
          <w:p w:rsidR="006B1AEA" w:rsidRPr="00B832F5" w:rsidRDefault="006B1AEA" w:rsidP="009A226C">
            <w:pPr>
              <w:spacing w:after="120"/>
              <w:jc w:val="center"/>
              <w:rPr>
                <w:rFonts w:cs="Arial"/>
                <w:b/>
                <w:szCs w:val="20"/>
              </w:rPr>
            </w:pPr>
            <w:r w:rsidRPr="00B832F5">
              <w:rPr>
                <w:rFonts w:cs="Arial"/>
                <w:b/>
                <w:szCs w:val="20"/>
              </w:rPr>
              <w:t>Actions</w:t>
            </w:r>
          </w:p>
        </w:tc>
        <w:tc>
          <w:tcPr>
            <w:tcW w:w="1701" w:type="dxa"/>
            <w:tcBorders>
              <w:left w:val="single" w:sz="4" w:space="0" w:color="auto"/>
            </w:tcBorders>
            <w:shd w:val="clear" w:color="auto" w:fill="FFEC9B"/>
            <w:vAlign w:val="center"/>
          </w:tcPr>
          <w:p w:rsidR="006B1AEA" w:rsidRPr="00B832F5" w:rsidRDefault="006B1AEA" w:rsidP="009A226C">
            <w:pPr>
              <w:spacing w:after="120"/>
              <w:jc w:val="center"/>
              <w:rPr>
                <w:rFonts w:cs="Arial"/>
                <w:szCs w:val="20"/>
              </w:rPr>
            </w:pPr>
            <w:r w:rsidRPr="00E5614B">
              <w:rPr>
                <w:rFonts w:cs="Arial"/>
                <w:b/>
                <w:szCs w:val="20"/>
              </w:rPr>
              <w:t>Responsibility</w:t>
            </w:r>
          </w:p>
        </w:tc>
      </w:tr>
      <w:tr w:rsidR="005C2C4F" w:rsidRPr="00B832F5" w:rsidTr="001C450A">
        <w:trPr>
          <w:cantSplit/>
          <w:trHeight w:val="526"/>
        </w:trPr>
        <w:tc>
          <w:tcPr>
            <w:tcW w:w="14142" w:type="dxa"/>
            <w:gridSpan w:val="4"/>
            <w:shd w:val="clear" w:color="auto" w:fill="B8CCE4" w:themeFill="accent1" w:themeFillTint="66"/>
          </w:tcPr>
          <w:p w:rsidR="005C2C4F" w:rsidRPr="00B832F5" w:rsidRDefault="005C2C4F" w:rsidP="00524245">
            <w:pPr>
              <w:spacing w:after="120"/>
              <w:rPr>
                <w:rFonts w:cs="Arial"/>
              </w:rPr>
            </w:pPr>
            <w:r w:rsidRPr="00E5614B">
              <w:rPr>
                <w:rFonts w:cs="Arial"/>
                <w:b/>
                <w:i/>
                <w:szCs w:val="20"/>
              </w:rPr>
              <w:t>Increasing women’s access to support services</w:t>
            </w:r>
          </w:p>
        </w:tc>
      </w:tr>
      <w:tr w:rsidR="006B1AEA" w:rsidRPr="00B832F5" w:rsidTr="00AF3EFE">
        <w:trPr>
          <w:cantSplit/>
          <w:trHeight w:val="885"/>
        </w:trPr>
        <w:tc>
          <w:tcPr>
            <w:tcW w:w="4197" w:type="dxa"/>
            <w:tcBorders>
              <w:left w:val="nil"/>
            </w:tcBorders>
          </w:tcPr>
          <w:p w:rsidR="006B1AEA" w:rsidRPr="00B832F5" w:rsidRDefault="006B1AEA" w:rsidP="00C263B2">
            <w:pPr>
              <w:spacing w:after="120"/>
              <w:rPr>
                <w:rFonts w:cs="Arial"/>
                <w:b/>
                <w:szCs w:val="20"/>
              </w:rPr>
            </w:pPr>
            <w:r w:rsidRPr="00B832F5">
              <w:rPr>
                <w:rFonts w:cs="Arial"/>
                <w:b/>
                <w:szCs w:val="20"/>
              </w:rPr>
              <w:t>7. DFAT should continue to provide core support to these types of integrated models of service provision.</w:t>
            </w:r>
          </w:p>
        </w:tc>
        <w:tc>
          <w:tcPr>
            <w:tcW w:w="4983" w:type="dxa"/>
            <w:tcBorders>
              <w:right w:val="single" w:sz="4" w:space="0" w:color="auto"/>
            </w:tcBorders>
            <w:shd w:val="clear" w:color="auto" w:fill="auto"/>
          </w:tcPr>
          <w:p w:rsidR="006B1AEA" w:rsidRPr="005561DC" w:rsidRDefault="006B1AEA" w:rsidP="00C263B2">
            <w:pPr>
              <w:spacing w:after="120"/>
              <w:rPr>
                <w:rFonts w:cs="Arial"/>
              </w:rPr>
            </w:pPr>
            <w:r w:rsidRPr="00B832F5">
              <w:rPr>
                <w:rFonts w:cs="Arial"/>
              </w:rPr>
              <w:t>Agree</w:t>
            </w:r>
            <w:r w:rsidRPr="005561DC">
              <w:rPr>
                <w:rFonts w:cs="Arial"/>
              </w:rPr>
              <w:t>.</w:t>
            </w:r>
          </w:p>
          <w:p w:rsidR="006B1AEA" w:rsidRPr="005561DC" w:rsidRDefault="006B1AEA" w:rsidP="00C263B2">
            <w:pPr>
              <w:spacing w:after="120"/>
              <w:rPr>
                <w:rFonts w:cs="Arial"/>
              </w:rPr>
            </w:pPr>
            <w:r w:rsidRPr="00144877">
              <w:rPr>
                <w:rFonts w:cs="Arial"/>
              </w:rPr>
              <w:t>DFAT is committed to supporting integrated models of service provision</w:t>
            </w:r>
            <w:r w:rsidRPr="005561DC">
              <w:rPr>
                <w:rFonts w:cs="Arial"/>
              </w:rPr>
              <w:t>.</w:t>
            </w:r>
          </w:p>
        </w:tc>
        <w:tc>
          <w:tcPr>
            <w:tcW w:w="3261" w:type="dxa"/>
            <w:tcBorders>
              <w:left w:val="single" w:sz="4" w:space="0" w:color="auto"/>
            </w:tcBorders>
            <w:shd w:val="clear" w:color="auto" w:fill="auto"/>
          </w:tcPr>
          <w:p w:rsidR="006B1AEA" w:rsidRPr="00144877" w:rsidRDefault="006B1AEA" w:rsidP="00632714">
            <w:pPr>
              <w:spacing w:after="120"/>
              <w:rPr>
                <w:rFonts w:cs="Arial"/>
              </w:rPr>
            </w:pPr>
            <w:r w:rsidRPr="00144877">
              <w:rPr>
                <w:rFonts w:cs="Arial"/>
              </w:rPr>
              <w:t xml:space="preserve">No </w:t>
            </w:r>
            <w:r w:rsidR="005D337B">
              <w:rPr>
                <w:rFonts w:cs="Arial"/>
              </w:rPr>
              <w:t xml:space="preserve">new </w:t>
            </w:r>
            <w:r w:rsidRPr="00144877">
              <w:rPr>
                <w:rFonts w:cs="Arial"/>
              </w:rPr>
              <w:t>action required</w:t>
            </w:r>
          </w:p>
        </w:tc>
        <w:tc>
          <w:tcPr>
            <w:tcW w:w="1701" w:type="dxa"/>
            <w:tcBorders>
              <w:left w:val="single" w:sz="4" w:space="0" w:color="auto"/>
            </w:tcBorders>
            <w:shd w:val="clear" w:color="auto" w:fill="auto"/>
          </w:tcPr>
          <w:p w:rsidR="006B1AEA" w:rsidRPr="00B832F5" w:rsidRDefault="006B1AEA" w:rsidP="00632714">
            <w:pPr>
              <w:spacing w:after="120"/>
              <w:rPr>
                <w:rFonts w:cs="Arial"/>
              </w:rPr>
            </w:pPr>
            <w:r w:rsidRPr="00B832F5">
              <w:rPr>
                <w:rFonts w:cs="Arial"/>
              </w:rPr>
              <w:t>N/a</w:t>
            </w:r>
          </w:p>
        </w:tc>
      </w:tr>
      <w:tr w:rsidR="001C450A" w:rsidRPr="00B832F5" w:rsidTr="00AF3EFE">
        <w:trPr>
          <w:cantSplit/>
          <w:trHeight w:val="885"/>
        </w:trPr>
        <w:tc>
          <w:tcPr>
            <w:tcW w:w="4197" w:type="dxa"/>
            <w:tcBorders>
              <w:left w:val="nil"/>
              <w:bottom w:val="single" w:sz="4" w:space="0" w:color="808080"/>
            </w:tcBorders>
          </w:tcPr>
          <w:p w:rsidR="001C450A" w:rsidRPr="00B832F5" w:rsidRDefault="001C450A" w:rsidP="00C263B2">
            <w:pPr>
              <w:spacing w:after="120"/>
              <w:rPr>
                <w:rFonts w:cs="Arial"/>
                <w:b/>
                <w:szCs w:val="20"/>
              </w:rPr>
            </w:pPr>
            <w:r w:rsidRPr="00B832F5">
              <w:rPr>
                <w:rFonts w:cs="Arial"/>
                <w:b/>
                <w:szCs w:val="20"/>
              </w:rPr>
              <w:t>8. The review team recommends that DFAT consider providing direct support to PNG FSCs, particularly for the establishment of additional centres, provision of standardised training for healthcare providers, and the application of consistent treatment protocols across centres.</w:t>
            </w:r>
          </w:p>
        </w:tc>
        <w:tc>
          <w:tcPr>
            <w:tcW w:w="4983" w:type="dxa"/>
            <w:tcBorders>
              <w:right w:val="single" w:sz="4" w:space="0" w:color="auto"/>
            </w:tcBorders>
            <w:shd w:val="clear" w:color="auto" w:fill="auto"/>
          </w:tcPr>
          <w:p w:rsidR="001C450A" w:rsidRPr="00B832F5" w:rsidRDefault="001C450A" w:rsidP="002A704F">
            <w:pPr>
              <w:spacing w:after="120"/>
              <w:rPr>
                <w:rFonts w:cs="Arial"/>
              </w:rPr>
            </w:pPr>
            <w:r w:rsidRPr="00B832F5">
              <w:rPr>
                <w:rFonts w:cs="Arial"/>
              </w:rPr>
              <w:t xml:space="preserve">Agree. </w:t>
            </w:r>
          </w:p>
          <w:p w:rsidR="001C450A" w:rsidRPr="00B832F5" w:rsidRDefault="001C450A" w:rsidP="002A704F">
            <w:pPr>
              <w:spacing w:after="120"/>
              <w:rPr>
                <w:rFonts w:cs="Arial"/>
              </w:rPr>
            </w:pPr>
            <w:r w:rsidRPr="00B832F5">
              <w:rPr>
                <w:rFonts w:cs="Arial"/>
              </w:rPr>
              <w:t xml:space="preserve">PNG country plan for </w:t>
            </w:r>
            <w:r w:rsidRPr="00B832F5">
              <w:rPr>
                <w:rFonts w:cs="Arial"/>
                <w:i/>
              </w:rPr>
              <w:t>Pacific Women</w:t>
            </w:r>
            <w:r w:rsidRPr="00B832F5">
              <w:rPr>
                <w:rFonts w:cs="Arial"/>
              </w:rPr>
              <w:t xml:space="preserve"> earmarks support for FSCs. </w:t>
            </w:r>
          </w:p>
        </w:tc>
        <w:tc>
          <w:tcPr>
            <w:tcW w:w="3261" w:type="dxa"/>
            <w:tcBorders>
              <w:left w:val="single" w:sz="4" w:space="0" w:color="auto"/>
            </w:tcBorders>
            <w:shd w:val="clear" w:color="auto" w:fill="auto"/>
          </w:tcPr>
          <w:p w:rsidR="001C450A" w:rsidRPr="00B832F5" w:rsidRDefault="001C450A" w:rsidP="00632714">
            <w:pPr>
              <w:spacing w:after="120"/>
              <w:rPr>
                <w:rFonts w:cs="Arial"/>
              </w:rPr>
            </w:pPr>
            <w:r w:rsidRPr="00B832F5">
              <w:rPr>
                <w:rFonts w:cs="Arial"/>
              </w:rPr>
              <w:t>Post to oversee the PNG Partnership for Development, which includes the agreement to build three FSCs in 2015.</w:t>
            </w:r>
          </w:p>
        </w:tc>
        <w:tc>
          <w:tcPr>
            <w:tcW w:w="1701" w:type="dxa"/>
            <w:tcBorders>
              <w:left w:val="single" w:sz="4" w:space="0" w:color="auto"/>
            </w:tcBorders>
            <w:shd w:val="clear" w:color="auto" w:fill="auto"/>
          </w:tcPr>
          <w:p w:rsidR="001C450A" w:rsidRPr="00B832F5" w:rsidRDefault="001C450A" w:rsidP="00632714">
            <w:pPr>
              <w:spacing w:after="120"/>
              <w:rPr>
                <w:rFonts w:cs="Arial"/>
              </w:rPr>
            </w:pPr>
            <w:r w:rsidRPr="00B832F5">
              <w:rPr>
                <w:rFonts w:cs="Arial"/>
              </w:rPr>
              <w:t>Port Moresby Post</w:t>
            </w:r>
          </w:p>
        </w:tc>
      </w:tr>
      <w:tr w:rsidR="00C768F9" w:rsidRPr="00B832F5" w:rsidTr="005561DC">
        <w:trPr>
          <w:cantSplit/>
          <w:trHeight w:val="3740"/>
        </w:trPr>
        <w:tc>
          <w:tcPr>
            <w:tcW w:w="4197" w:type="dxa"/>
            <w:tcBorders>
              <w:left w:val="nil"/>
              <w:bottom w:val="single" w:sz="4" w:space="0" w:color="808080"/>
            </w:tcBorders>
          </w:tcPr>
          <w:p w:rsidR="00C768F9" w:rsidRPr="005561DC" w:rsidRDefault="00C768F9" w:rsidP="00C263B2">
            <w:pPr>
              <w:spacing w:after="120"/>
              <w:rPr>
                <w:rFonts w:cs="Arial"/>
                <w:b/>
                <w:szCs w:val="20"/>
              </w:rPr>
            </w:pPr>
            <w:r w:rsidRPr="005561DC">
              <w:rPr>
                <w:rFonts w:cs="Arial"/>
                <w:b/>
                <w:szCs w:val="20"/>
              </w:rPr>
              <w:t>9. DFAT should consider broadening support for community-based services including safe houses, shelters, and crisis counselling as well as referral networks to facilitate survivors of violence in accessing the needed care and support.</w:t>
            </w:r>
          </w:p>
        </w:tc>
        <w:tc>
          <w:tcPr>
            <w:tcW w:w="4983" w:type="dxa"/>
            <w:tcBorders>
              <w:right w:val="single" w:sz="4" w:space="0" w:color="auto"/>
            </w:tcBorders>
            <w:shd w:val="clear" w:color="auto" w:fill="auto"/>
          </w:tcPr>
          <w:p w:rsidR="00C768F9" w:rsidRPr="005561DC" w:rsidRDefault="00C768F9" w:rsidP="00C263B2">
            <w:pPr>
              <w:spacing w:after="120"/>
              <w:rPr>
                <w:rFonts w:cs="Arial"/>
              </w:rPr>
            </w:pPr>
            <w:r w:rsidRPr="005561DC">
              <w:rPr>
                <w:rFonts w:cs="Arial"/>
              </w:rPr>
              <w:t>Agree.</w:t>
            </w:r>
          </w:p>
          <w:p w:rsidR="00C768F9" w:rsidRPr="005561DC" w:rsidRDefault="00C768F9" w:rsidP="004D280D">
            <w:pPr>
              <w:spacing w:after="120"/>
              <w:rPr>
                <w:rFonts w:cs="Arial"/>
              </w:rPr>
            </w:pPr>
            <w:r w:rsidRPr="005561DC">
              <w:rPr>
                <w:rFonts w:cs="Arial"/>
              </w:rPr>
              <w:t>DFAT intends to continue supporting community-based services and referral networks such as the CAVAW in Vanuatu.  Expansion of services will depend on budget available and other country priorities.</w:t>
            </w:r>
          </w:p>
        </w:tc>
        <w:tc>
          <w:tcPr>
            <w:tcW w:w="3261" w:type="dxa"/>
            <w:tcBorders>
              <w:left w:val="single" w:sz="4" w:space="0" w:color="auto"/>
            </w:tcBorders>
            <w:shd w:val="clear" w:color="auto" w:fill="auto"/>
          </w:tcPr>
          <w:p w:rsidR="00C768F9" w:rsidRPr="005561DC" w:rsidRDefault="00C768F9" w:rsidP="00F3599A">
            <w:pPr>
              <w:spacing w:after="120"/>
              <w:rPr>
                <w:rFonts w:cs="Arial"/>
              </w:rPr>
            </w:pPr>
            <w:r w:rsidRPr="005561DC">
              <w:rPr>
                <w:rFonts w:cs="Arial"/>
              </w:rPr>
              <w:t>All Posts, with support from DFAT Canberra, to consider how to expand community-based services for survivors of violence.</w:t>
            </w:r>
          </w:p>
          <w:p w:rsidR="00C768F9" w:rsidRPr="00B832F5" w:rsidRDefault="004D280D" w:rsidP="00F3599A">
            <w:pPr>
              <w:spacing w:after="120"/>
              <w:rPr>
                <w:rFonts w:cs="Arial"/>
              </w:rPr>
            </w:pPr>
            <w:r w:rsidRPr="00144877">
              <w:rPr>
                <w:rFonts w:cs="Arial"/>
              </w:rPr>
              <w:t xml:space="preserve">PNG to continue to support refuges where appropriate, noting current efforts to </w:t>
            </w:r>
            <w:r w:rsidR="00C768F9" w:rsidRPr="00B832F5">
              <w:rPr>
                <w:rFonts w:cs="Arial"/>
              </w:rPr>
              <w:t>triple the size of the existing refuge in Port Moresby</w:t>
            </w:r>
            <w:r w:rsidRPr="00B832F5">
              <w:rPr>
                <w:rFonts w:cs="Arial"/>
              </w:rPr>
              <w:t xml:space="preserve"> and</w:t>
            </w:r>
            <w:r w:rsidR="00C768F9" w:rsidRPr="00B832F5">
              <w:rPr>
                <w:rFonts w:cs="Arial"/>
              </w:rPr>
              <w:t xml:space="preserve"> build accommodation for over 50 children</w:t>
            </w:r>
            <w:r w:rsidRPr="00B832F5">
              <w:rPr>
                <w:rFonts w:cs="Arial"/>
              </w:rPr>
              <w:t>, upgrade security of a</w:t>
            </w:r>
            <w:r w:rsidR="00C768F9" w:rsidRPr="00B832F5">
              <w:rPr>
                <w:rFonts w:cs="Arial"/>
              </w:rPr>
              <w:t xml:space="preserve"> children’s shelter in Lae</w:t>
            </w:r>
            <w:r w:rsidRPr="00B832F5">
              <w:rPr>
                <w:rFonts w:cs="Arial"/>
              </w:rPr>
              <w:t xml:space="preserve"> and design a shelter for </w:t>
            </w:r>
            <w:proofErr w:type="spellStart"/>
            <w:r w:rsidRPr="00B832F5">
              <w:rPr>
                <w:rFonts w:cs="Arial"/>
              </w:rPr>
              <w:t>Buka</w:t>
            </w:r>
            <w:proofErr w:type="spellEnd"/>
            <w:r w:rsidRPr="00B832F5">
              <w:rPr>
                <w:rFonts w:cs="Arial"/>
              </w:rPr>
              <w:t>, Bougainville.</w:t>
            </w:r>
          </w:p>
        </w:tc>
        <w:tc>
          <w:tcPr>
            <w:tcW w:w="1701" w:type="dxa"/>
            <w:tcBorders>
              <w:left w:val="single" w:sz="4" w:space="0" w:color="auto"/>
            </w:tcBorders>
            <w:shd w:val="clear" w:color="auto" w:fill="auto"/>
          </w:tcPr>
          <w:p w:rsidR="00C768F9" w:rsidRPr="00B832F5" w:rsidRDefault="00C768F9" w:rsidP="00F3599A">
            <w:pPr>
              <w:spacing w:after="120"/>
              <w:rPr>
                <w:rFonts w:cs="Arial"/>
              </w:rPr>
            </w:pPr>
            <w:r w:rsidRPr="00B832F5">
              <w:rPr>
                <w:rFonts w:cs="Arial"/>
              </w:rPr>
              <w:t>All Posts.</w:t>
            </w:r>
          </w:p>
        </w:tc>
      </w:tr>
      <w:tr w:rsidR="00566A75" w:rsidRPr="00F97F08" w:rsidTr="00AF3EFE">
        <w:trPr>
          <w:cantSplit/>
          <w:trHeight w:val="885"/>
        </w:trPr>
        <w:tc>
          <w:tcPr>
            <w:tcW w:w="4197" w:type="dxa"/>
            <w:tcBorders>
              <w:left w:val="nil"/>
              <w:bottom w:val="single" w:sz="4" w:space="0" w:color="808080"/>
            </w:tcBorders>
          </w:tcPr>
          <w:p w:rsidR="00566A75" w:rsidRPr="00F97F08" w:rsidRDefault="00566A75" w:rsidP="009C5AFE">
            <w:pPr>
              <w:rPr>
                <w:rFonts w:cs="Arial"/>
                <w:b/>
                <w:szCs w:val="20"/>
              </w:rPr>
            </w:pPr>
            <w:r w:rsidRPr="00F97F08">
              <w:rPr>
                <w:rFonts w:cs="Arial"/>
                <w:b/>
                <w:szCs w:val="20"/>
              </w:rPr>
              <w:lastRenderedPageBreak/>
              <w:t>10. DFAT should explore opportunities, in alignment with its well-documented objective to support and protect the rights of all Pacific women, to eliminate service barriers for the most marginalised women.</w:t>
            </w:r>
          </w:p>
        </w:tc>
        <w:tc>
          <w:tcPr>
            <w:tcW w:w="4983" w:type="dxa"/>
            <w:tcBorders>
              <w:right w:val="single" w:sz="4" w:space="0" w:color="auto"/>
            </w:tcBorders>
            <w:shd w:val="clear" w:color="auto" w:fill="auto"/>
          </w:tcPr>
          <w:p w:rsidR="00566A75" w:rsidRPr="00F97F08" w:rsidRDefault="00566A75" w:rsidP="009C5AFE">
            <w:pPr>
              <w:rPr>
                <w:rFonts w:cs="Arial"/>
              </w:rPr>
            </w:pPr>
            <w:r w:rsidRPr="00F97F08">
              <w:rPr>
                <w:rFonts w:cs="Arial"/>
              </w:rPr>
              <w:t>Agree.</w:t>
            </w:r>
          </w:p>
          <w:p w:rsidR="00566A75" w:rsidRPr="00F97F08" w:rsidRDefault="00566A75" w:rsidP="009C5AFE">
            <w:pPr>
              <w:rPr>
                <w:rFonts w:cs="Arial"/>
              </w:rPr>
            </w:pPr>
            <w:r w:rsidRPr="00F97F08">
              <w:rPr>
                <w:rFonts w:cs="Arial"/>
              </w:rPr>
              <w:t xml:space="preserve">DFAT has a strong </w:t>
            </w:r>
            <w:r w:rsidR="00AF7B9E">
              <w:rPr>
                <w:rFonts w:cs="Arial"/>
              </w:rPr>
              <w:t xml:space="preserve">policy </w:t>
            </w:r>
            <w:r w:rsidRPr="00F97F08">
              <w:rPr>
                <w:rFonts w:cs="Arial"/>
              </w:rPr>
              <w:t>focus on access to services for people with disability, as well as other marginalised groups.  Our approach could be strengthened by ensuring partners collect appropriate data on service users, involve representatives of marginalised groups and ensure accessibility of services to all women.</w:t>
            </w:r>
            <w:r w:rsidR="003E794F">
              <w:rPr>
                <w:rFonts w:cs="Arial"/>
              </w:rPr>
              <w:t xml:space="preserve">  This is specified in the </w:t>
            </w:r>
            <w:r w:rsidR="003E794F" w:rsidRPr="00E559F4">
              <w:rPr>
                <w:rFonts w:cs="Arial"/>
                <w:i/>
              </w:rPr>
              <w:t>Pacific Women</w:t>
            </w:r>
            <w:r w:rsidR="003E794F">
              <w:rPr>
                <w:rFonts w:cs="Arial"/>
              </w:rPr>
              <w:t xml:space="preserve"> monitoring and evaluation framework.</w:t>
            </w:r>
          </w:p>
        </w:tc>
        <w:tc>
          <w:tcPr>
            <w:tcW w:w="3261" w:type="dxa"/>
            <w:tcBorders>
              <w:left w:val="single" w:sz="4" w:space="0" w:color="auto"/>
            </w:tcBorders>
            <w:shd w:val="clear" w:color="auto" w:fill="auto"/>
          </w:tcPr>
          <w:p w:rsidR="00566A75" w:rsidRPr="00F97F08" w:rsidRDefault="00566A75" w:rsidP="00632714">
            <w:pPr>
              <w:spacing w:after="120"/>
              <w:rPr>
                <w:rFonts w:cs="Arial"/>
                <w:szCs w:val="20"/>
              </w:rPr>
            </w:pPr>
            <w:r w:rsidRPr="00F97F08">
              <w:rPr>
                <w:rFonts w:cs="Arial"/>
              </w:rPr>
              <w:t xml:space="preserve">All Posts to work with implementing partners to </w:t>
            </w:r>
            <w:r w:rsidRPr="00F97F08">
              <w:rPr>
                <w:rFonts w:cs="Arial"/>
                <w:szCs w:val="20"/>
              </w:rPr>
              <w:t>ensure:</w:t>
            </w:r>
          </w:p>
          <w:p w:rsidR="00566A75" w:rsidRPr="00F97F08" w:rsidRDefault="00566A75" w:rsidP="00021D32">
            <w:pPr>
              <w:pStyle w:val="ListParagraph"/>
              <w:numPr>
                <w:ilvl w:val="0"/>
                <w:numId w:val="9"/>
              </w:numPr>
              <w:spacing w:after="120"/>
              <w:rPr>
                <w:rFonts w:ascii="Arial" w:hAnsi="Arial" w:cs="Arial"/>
              </w:rPr>
            </w:pPr>
            <w:r w:rsidRPr="00F97F08">
              <w:rPr>
                <w:rFonts w:ascii="Arial" w:hAnsi="Arial" w:cs="Arial"/>
                <w:sz w:val="20"/>
                <w:szCs w:val="20"/>
              </w:rPr>
              <w:t>Collection of data on marginalised groups to inform programming</w:t>
            </w:r>
          </w:p>
          <w:p w:rsidR="00566A75" w:rsidRPr="00F97F08" w:rsidRDefault="00566A75" w:rsidP="00021D32">
            <w:pPr>
              <w:pStyle w:val="ListParagraph"/>
              <w:numPr>
                <w:ilvl w:val="0"/>
                <w:numId w:val="9"/>
              </w:numPr>
              <w:spacing w:after="120"/>
              <w:rPr>
                <w:rFonts w:ascii="Arial" w:hAnsi="Arial" w:cs="Arial"/>
              </w:rPr>
            </w:pPr>
            <w:r w:rsidRPr="00B832F5">
              <w:rPr>
                <w:rFonts w:ascii="Arial" w:hAnsi="Arial" w:cs="Arial"/>
                <w:sz w:val="20"/>
                <w:szCs w:val="20"/>
              </w:rPr>
              <w:t xml:space="preserve">Inclusion of </w:t>
            </w:r>
            <w:r w:rsidRPr="00876C84">
              <w:rPr>
                <w:rFonts w:ascii="Arial" w:hAnsi="Arial" w:cs="Arial"/>
                <w:sz w:val="20"/>
                <w:szCs w:val="20"/>
              </w:rPr>
              <w:t xml:space="preserve">marginalised </w:t>
            </w:r>
            <w:r w:rsidRPr="00F97F08">
              <w:rPr>
                <w:rFonts w:ascii="Arial" w:hAnsi="Arial" w:cs="Arial"/>
                <w:sz w:val="20"/>
                <w:szCs w:val="20"/>
              </w:rPr>
              <w:t>groups in planning and implementation, for example by including the local national Disabled People’s Organisation (DPO)</w:t>
            </w:r>
          </w:p>
          <w:p w:rsidR="00566A75" w:rsidRPr="00F97F08" w:rsidRDefault="00566A75" w:rsidP="00021D32">
            <w:pPr>
              <w:pStyle w:val="ListParagraph"/>
              <w:numPr>
                <w:ilvl w:val="0"/>
                <w:numId w:val="9"/>
              </w:numPr>
              <w:spacing w:after="120"/>
              <w:rPr>
                <w:rFonts w:ascii="Arial" w:hAnsi="Arial" w:cs="Arial"/>
              </w:rPr>
            </w:pPr>
            <w:r w:rsidRPr="00B832F5">
              <w:rPr>
                <w:rFonts w:ascii="Arial" w:hAnsi="Arial" w:cs="Arial"/>
                <w:sz w:val="20"/>
                <w:szCs w:val="20"/>
              </w:rPr>
              <w:t>That programs and services are accessible to marginalised groups.</w:t>
            </w:r>
          </w:p>
        </w:tc>
        <w:tc>
          <w:tcPr>
            <w:tcW w:w="1701" w:type="dxa"/>
            <w:tcBorders>
              <w:left w:val="single" w:sz="4" w:space="0" w:color="auto"/>
            </w:tcBorders>
            <w:shd w:val="clear" w:color="auto" w:fill="auto"/>
          </w:tcPr>
          <w:p w:rsidR="00566A75" w:rsidRPr="00876C84" w:rsidRDefault="00566A75" w:rsidP="00632714">
            <w:pPr>
              <w:spacing w:after="120"/>
              <w:rPr>
                <w:rFonts w:cs="Arial"/>
              </w:rPr>
            </w:pPr>
            <w:r w:rsidRPr="00B832F5">
              <w:rPr>
                <w:rFonts w:cs="Arial"/>
              </w:rPr>
              <w:t>All P</w:t>
            </w:r>
            <w:r w:rsidRPr="00876C84">
              <w:rPr>
                <w:rFonts w:cs="Arial"/>
              </w:rPr>
              <w:t>osts</w:t>
            </w:r>
          </w:p>
        </w:tc>
      </w:tr>
      <w:tr w:rsidR="004805BB" w:rsidRPr="00B832F5" w:rsidTr="00AF3EFE">
        <w:trPr>
          <w:cantSplit/>
          <w:trHeight w:val="885"/>
        </w:trPr>
        <w:tc>
          <w:tcPr>
            <w:tcW w:w="4197" w:type="dxa"/>
            <w:tcBorders>
              <w:left w:val="nil"/>
            </w:tcBorders>
          </w:tcPr>
          <w:p w:rsidR="004805BB" w:rsidRPr="00B832F5" w:rsidRDefault="004805BB" w:rsidP="00F94839">
            <w:pPr>
              <w:rPr>
                <w:rFonts w:cs="Arial"/>
                <w:b/>
                <w:szCs w:val="20"/>
              </w:rPr>
            </w:pPr>
            <w:r w:rsidRPr="00144877">
              <w:rPr>
                <w:rFonts w:cs="Arial"/>
                <w:b/>
                <w:szCs w:val="20"/>
              </w:rPr>
              <w:t>11. Strengthen the demand side of justice with expansion of legal aid services</w:t>
            </w:r>
            <w:r w:rsidRPr="00B832F5">
              <w:rPr>
                <w:rFonts w:cs="Arial"/>
                <w:b/>
                <w:szCs w:val="20"/>
              </w:rPr>
              <w:t xml:space="preserve"> (in PNG)</w:t>
            </w:r>
          </w:p>
        </w:tc>
        <w:tc>
          <w:tcPr>
            <w:tcW w:w="4983" w:type="dxa"/>
            <w:tcBorders>
              <w:right w:val="single" w:sz="4" w:space="0" w:color="auto"/>
            </w:tcBorders>
            <w:shd w:val="clear" w:color="auto" w:fill="auto"/>
          </w:tcPr>
          <w:p w:rsidR="004805BB" w:rsidRPr="00B832F5" w:rsidRDefault="004805BB" w:rsidP="009C5AFE">
            <w:pPr>
              <w:rPr>
                <w:rFonts w:cs="Arial"/>
              </w:rPr>
            </w:pPr>
            <w:r w:rsidRPr="00B832F5">
              <w:rPr>
                <w:rFonts w:cs="Arial"/>
              </w:rPr>
              <w:t>Agree.</w:t>
            </w:r>
          </w:p>
          <w:p w:rsidR="004805BB" w:rsidRPr="006F046B" w:rsidRDefault="004805BB" w:rsidP="002B7CB3">
            <w:pPr>
              <w:tabs>
                <w:tab w:val="left" w:pos="0"/>
              </w:tabs>
              <w:rPr>
                <w:rFonts w:cs="Arial"/>
              </w:rPr>
            </w:pPr>
            <w:r w:rsidRPr="00E5614B">
              <w:rPr>
                <w:rFonts w:cs="Arial"/>
              </w:rPr>
              <w:t>PALJP has supported expanded access to legal aid through the Public Solicitor’s Office, which now has a branch or legal aid desk in at least 17 provinces and circuits to all 35 loc</w:t>
            </w:r>
            <w:r w:rsidRPr="00864D4A">
              <w:rPr>
                <w:rFonts w:cs="Arial"/>
              </w:rPr>
              <w:t xml:space="preserve">ations with the national court.  </w:t>
            </w:r>
          </w:p>
          <w:p w:rsidR="004805BB" w:rsidRPr="008C3C90" w:rsidRDefault="004805BB" w:rsidP="002B7CB3">
            <w:pPr>
              <w:tabs>
                <w:tab w:val="left" w:pos="0"/>
              </w:tabs>
              <w:rPr>
                <w:rFonts w:cs="Arial"/>
              </w:rPr>
            </w:pPr>
            <w:r w:rsidRPr="00E27A44">
              <w:rPr>
                <w:rFonts w:cs="Arial"/>
              </w:rPr>
              <w:t xml:space="preserve">Current capacity is on a positive trajectory to more fully meet the established need for legal aid services. </w:t>
            </w:r>
          </w:p>
          <w:p w:rsidR="004805BB" w:rsidRPr="00B832F5" w:rsidRDefault="004805BB" w:rsidP="009C5AFE">
            <w:pPr>
              <w:rPr>
                <w:rFonts w:cs="Arial"/>
              </w:rPr>
            </w:pPr>
            <w:r w:rsidRPr="00B832F5">
              <w:rPr>
                <w:rFonts w:cs="Arial"/>
              </w:rPr>
              <w:t>The new design for law and justice includes a component to extend the demand side of better justice, and support promising community practices that reduce violence.</w:t>
            </w:r>
          </w:p>
          <w:p w:rsidR="004805BB" w:rsidRPr="00B832F5" w:rsidRDefault="004805BB" w:rsidP="009C5AFE">
            <w:pPr>
              <w:rPr>
                <w:rFonts w:cs="Arial"/>
              </w:rPr>
            </w:pPr>
          </w:p>
        </w:tc>
        <w:tc>
          <w:tcPr>
            <w:tcW w:w="3261" w:type="dxa"/>
            <w:tcBorders>
              <w:left w:val="single" w:sz="4" w:space="0" w:color="auto"/>
            </w:tcBorders>
            <w:shd w:val="clear" w:color="auto" w:fill="auto"/>
          </w:tcPr>
          <w:p w:rsidR="004805BB" w:rsidRPr="00B832F5" w:rsidRDefault="004805BB" w:rsidP="00632714">
            <w:pPr>
              <w:spacing w:after="120"/>
              <w:rPr>
                <w:rFonts w:cs="Arial"/>
              </w:rPr>
            </w:pPr>
            <w:r w:rsidRPr="00B832F5">
              <w:rPr>
                <w:rFonts w:cs="Arial"/>
              </w:rPr>
              <w:t>Port Moresby Post to monitor legal aid capacity compared to need for services.</w:t>
            </w:r>
          </w:p>
          <w:p w:rsidR="004805BB" w:rsidRPr="00B832F5" w:rsidRDefault="004805BB" w:rsidP="00632714">
            <w:pPr>
              <w:spacing w:after="120"/>
              <w:rPr>
                <w:rFonts w:cs="Arial"/>
              </w:rPr>
            </w:pPr>
          </w:p>
        </w:tc>
        <w:tc>
          <w:tcPr>
            <w:tcW w:w="1701" w:type="dxa"/>
            <w:tcBorders>
              <w:left w:val="single" w:sz="4" w:space="0" w:color="auto"/>
            </w:tcBorders>
            <w:shd w:val="clear" w:color="auto" w:fill="auto"/>
          </w:tcPr>
          <w:p w:rsidR="004805BB" w:rsidRPr="00B832F5" w:rsidRDefault="004805BB" w:rsidP="00632714">
            <w:pPr>
              <w:spacing w:after="120"/>
              <w:rPr>
                <w:rFonts w:cs="Arial"/>
              </w:rPr>
            </w:pPr>
            <w:r w:rsidRPr="00B832F5">
              <w:rPr>
                <w:rFonts w:cs="Arial"/>
              </w:rPr>
              <w:t>Port Moresby Post</w:t>
            </w:r>
          </w:p>
        </w:tc>
      </w:tr>
    </w:tbl>
    <w:p w:rsidR="006E5F65" w:rsidRPr="00E5614B" w:rsidRDefault="006E5F65">
      <w:pPr>
        <w:rPr>
          <w:rFonts w:cs="Arial"/>
        </w:rPr>
      </w:pPr>
      <w:r w:rsidRPr="00E5614B">
        <w:rPr>
          <w:rFonts w:cs="Arial"/>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949"/>
        <w:gridCol w:w="4228"/>
        <w:gridCol w:w="4264"/>
        <w:gridCol w:w="2152"/>
      </w:tblGrid>
      <w:tr w:rsidR="004805BB" w:rsidRPr="00B832F5" w:rsidTr="00FA5DA4">
        <w:trPr>
          <w:cantSplit/>
          <w:tblHeader/>
        </w:trPr>
        <w:tc>
          <w:tcPr>
            <w:tcW w:w="3949" w:type="dxa"/>
            <w:shd w:val="clear" w:color="auto" w:fill="FFEC9B"/>
          </w:tcPr>
          <w:p w:rsidR="004805BB" w:rsidRPr="00B832F5" w:rsidRDefault="004805BB" w:rsidP="004805BB">
            <w:pPr>
              <w:spacing w:after="120"/>
              <w:jc w:val="center"/>
              <w:rPr>
                <w:rFonts w:cs="Arial"/>
                <w:b/>
                <w:szCs w:val="20"/>
              </w:rPr>
            </w:pPr>
            <w:r w:rsidRPr="00B832F5">
              <w:rPr>
                <w:rFonts w:cs="Arial"/>
                <w:b/>
                <w:szCs w:val="20"/>
              </w:rPr>
              <w:lastRenderedPageBreak/>
              <w:t xml:space="preserve">Recommendation </w:t>
            </w:r>
          </w:p>
        </w:tc>
        <w:tc>
          <w:tcPr>
            <w:tcW w:w="4228" w:type="dxa"/>
            <w:tcBorders>
              <w:right w:val="single" w:sz="4" w:space="0" w:color="auto"/>
            </w:tcBorders>
            <w:shd w:val="clear" w:color="auto" w:fill="FFEC9B"/>
            <w:vAlign w:val="center"/>
          </w:tcPr>
          <w:p w:rsidR="004805BB" w:rsidRPr="00B832F5" w:rsidRDefault="004805BB" w:rsidP="008E1A8B">
            <w:pPr>
              <w:spacing w:after="120"/>
              <w:jc w:val="center"/>
              <w:rPr>
                <w:rFonts w:cs="Arial"/>
                <w:b/>
                <w:szCs w:val="20"/>
              </w:rPr>
            </w:pPr>
            <w:r w:rsidRPr="00B832F5">
              <w:rPr>
                <w:rFonts w:cs="Arial"/>
                <w:b/>
                <w:szCs w:val="20"/>
              </w:rPr>
              <w:t>Response</w:t>
            </w:r>
          </w:p>
        </w:tc>
        <w:tc>
          <w:tcPr>
            <w:tcW w:w="4264" w:type="dxa"/>
            <w:tcBorders>
              <w:left w:val="single" w:sz="4" w:space="0" w:color="auto"/>
            </w:tcBorders>
            <w:shd w:val="clear" w:color="auto" w:fill="FFEC9B"/>
            <w:vAlign w:val="center"/>
          </w:tcPr>
          <w:p w:rsidR="004805BB" w:rsidRPr="00B832F5" w:rsidRDefault="004805BB" w:rsidP="008E1A8B">
            <w:pPr>
              <w:spacing w:after="120"/>
              <w:jc w:val="center"/>
              <w:rPr>
                <w:rFonts w:cs="Arial"/>
                <w:b/>
                <w:szCs w:val="20"/>
              </w:rPr>
            </w:pPr>
            <w:r w:rsidRPr="00B832F5">
              <w:rPr>
                <w:rFonts w:cs="Arial"/>
                <w:b/>
                <w:szCs w:val="20"/>
              </w:rPr>
              <w:t>Actions</w:t>
            </w:r>
          </w:p>
        </w:tc>
        <w:tc>
          <w:tcPr>
            <w:tcW w:w="2152" w:type="dxa"/>
            <w:tcBorders>
              <w:left w:val="single" w:sz="4" w:space="0" w:color="auto"/>
            </w:tcBorders>
            <w:shd w:val="clear" w:color="auto" w:fill="FFEC9B"/>
            <w:vAlign w:val="center"/>
          </w:tcPr>
          <w:p w:rsidR="004805BB" w:rsidRPr="00B832F5" w:rsidRDefault="004805BB" w:rsidP="008E1A8B">
            <w:pPr>
              <w:spacing w:after="120"/>
              <w:jc w:val="center"/>
              <w:rPr>
                <w:rFonts w:cs="Arial"/>
                <w:szCs w:val="20"/>
              </w:rPr>
            </w:pPr>
            <w:r w:rsidRPr="00E5614B">
              <w:rPr>
                <w:rFonts w:cs="Arial"/>
                <w:b/>
                <w:szCs w:val="20"/>
              </w:rPr>
              <w:t>Responsibility</w:t>
            </w:r>
          </w:p>
        </w:tc>
      </w:tr>
      <w:tr w:rsidR="005C2C4F" w:rsidRPr="00B832F5" w:rsidTr="00FA5DA4">
        <w:trPr>
          <w:cantSplit/>
          <w:trHeight w:val="582"/>
        </w:trPr>
        <w:tc>
          <w:tcPr>
            <w:tcW w:w="14593" w:type="dxa"/>
            <w:gridSpan w:val="4"/>
            <w:shd w:val="clear" w:color="auto" w:fill="B8CCE4" w:themeFill="accent1" w:themeFillTint="66"/>
          </w:tcPr>
          <w:p w:rsidR="005C2C4F" w:rsidRPr="00B832F5" w:rsidRDefault="005C2C4F" w:rsidP="007C1337">
            <w:pPr>
              <w:spacing w:after="120"/>
              <w:ind w:left="426"/>
              <w:rPr>
                <w:rFonts w:cs="Arial"/>
                <w:b/>
                <w:i/>
              </w:rPr>
            </w:pPr>
            <w:r w:rsidRPr="00B832F5">
              <w:rPr>
                <w:rFonts w:cs="Arial"/>
                <w:b/>
                <w:i/>
              </w:rPr>
              <w:t>Increasing women’s access to justice</w:t>
            </w:r>
          </w:p>
        </w:tc>
      </w:tr>
      <w:tr w:rsidR="00FA5DA4" w:rsidRPr="00B832F5" w:rsidTr="00FA5DA4">
        <w:trPr>
          <w:cantSplit/>
          <w:trHeight w:val="885"/>
        </w:trPr>
        <w:tc>
          <w:tcPr>
            <w:tcW w:w="3949" w:type="dxa"/>
            <w:tcBorders>
              <w:left w:val="nil"/>
            </w:tcBorders>
          </w:tcPr>
          <w:p w:rsidR="004805BB" w:rsidRPr="00B832F5" w:rsidRDefault="004805BB" w:rsidP="00362C6C">
            <w:pPr>
              <w:spacing w:after="120"/>
              <w:rPr>
                <w:rFonts w:cs="Arial"/>
                <w:b/>
                <w:szCs w:val="20"/>
              </w:rPr>
            </w:pPr>
            <w:r w:rsidRPr="00B832F5">
              <w:rPr>
                <w:rFonts w:cs="Arial"/>
                <w:b/>
                <w:szCs w:val="20"/>
              </w:rPr>
              <w:t>12. DFAT should continue to invest in the development of the FSV training curriculum development for FSVU staff and new police recruits and provide the requisite technical assistance to ensure training is systematically implemented.</w:t>
            </w:r>
          </w:p>
        </w:tc>
        <w:tc>
          <w:tcPr>
            <w:tcW w:w="4228" w:type="dxa"/>
            <w:tcBorders>
              <w:right w:val="single" w:sz="4" w:space="0" w:color="auto"/>
            </w:tcBorders>
            <w:shd w:val="clear" w:color="auto" w:fill="auto"/>
          </w:tcPr>
          <w:p w:rsidR="004805BB" w:rsidRPr="00B832F5" w:rsidRDefault="004805BB" w:rsidP="00362C6C">
            <w:pPr>
              <w:spacing w:after="120"/>
              <w:rPr>
                <w:rFonts w:cs="Arial"/>
              </w:rPr>
            </w:pPr>
            <w:r w:rsidRPr="00B832F5">
              <w:rPr>
                <w:rFonts w:cs="Arial"/>
              </w:rPr>
              <w:t xml:space="preserve">Agree. </w:t>
            </w:r>
          </w:p>
          <w:p w:rsidR="004805BB" w:rsidRPr="00B832F5" w:rsidRDefault="004805BB" w:rsidP="00362C6C">
            <w:pPr>
              <w:spacing w:after="120"/>
              <w:rPr>
                <w:rFonts w:cs="Arial"/>
              </w:rPr>
            </w:pPr>
            <w:r w:rsidRPr="00B832F5">
              <w:rPr>
                <w:rFonts w:cs="Arial"/>
              </w:rPr>
              <w:t>The FSV training curriculum was completed in 2014 and new recruits are receiving training through the National Police Training College in Port Moresby.  In addition to this, 25 Police trainers from 20 provinces have been trained as trainers and are training officers at the provincial level.</w:t>
            </w:r>
          </w:p>
          <w:p w:rsidR="004805BB" w:rsidRPr="00B832F5" w:rsidRDefault="004805BB" w:rsidP="004834A6">
            <w:pPr>
              <w:spacing w:after="120"/>
              <w:rPr>
                <w:rFonts w:cs="Arial"/>
              </w:rPr>
            </w:pPr>
            <w:r w:rsidRPr="00B832F5">
              <w:rPr>
                <w:rFonts w:cs="Arial"/>
              </w:rPr>
              <w:t>The curriculum was intended to be shared with interested stakeholders and it can be easily modified to suit different contexts and audiences.</w:t>
            </w:r>
          </w:p>
        </w:tc>
        <w:tc>
          <w:tcPr>
            <w:tcW w:w="4264" w:type="dxa"/>
            <w:tcBorders>
              <w:left w:val="single" w:sz="4" w:space="0" w:color="auto"/>
            </w:tcBorders>
            <w:shd w:val="clear" w:color="auto" w:fill="auto"/>
          </w:tcPr>
          <w:p w:rsidR="004805BB" w:rsidRPr="00B832F5" w:rsidRDefault="004805BB" w:rsidP="00FA5DA4">
            <w:pPr>
              <w:spacing w:after="120"/>
              <w:rPr>
                <w:rFonts w:cs="Arial"/>
              </w:rPr>
            </w:pPr>
            <w:r w:rsidRPr="00B832F5">
              <w:rPr>
                <w:rFonts w:cs="Arial"/>
              </w:rPr>
              <w:t xml:space="preserve">PNG law and justice program </w:t>
            </w:r>
            <w:r w:rsidR="00FA5DA4" w:rsidRPr="00B832F5">
              <w:rPr>
                <w:rFonts w:cs="Arial"/>
              </w:rPr>
              <w:t xml:space="preserve">to </w:t>
            </w:r>
            <w:r w:rsidRPr="00B832F5">
              <w:rPr>
                <w:rFonts w:cs="Arial"/>
              </w:rPr>
              <w:t xml:space="preserve">continue to have a focus on training for FSVU staff. The FSVU Review (see recommendation </w:t>
            </w:r>
            <w:r w:rsidR="00FA5DA4" w:rsidRPr="00B832F5">
              <w:rPr>
                <w:rFonts w:cs="Arial"/>
              </w:rPr>
              <w:t xml:space="preserve">13 </w:t>
            </w:r>
            <w:r w:rsidRPr="00B832F5">
              <w:rPr>
                <w:rFonts w:cs="Arial"/>
              </w:rPr>
              <w:t>below) will provide recommendations for the new PNG law and justice program on how this may be improved.</w:t>
            </w:r>
          </w:p>
        </w:tc>
        <w:tc>
          <w:tcPr>
            <w:tcW w:w="2152" w:type="dxa"/>
            <w:tcBorders>
              <w:left w:val="single" w:sz="4" w:space="0" w:color="auto"/>
            </w:tcBorders>
            <w:shd w:val="clear" w:color="auto" w:fill="auto"/>
          </w:tcPr>
          <w:p w:rsidR="004805BB" w:rsidRPr="00B832F5" w:rsidRDefault="004805BB" w:rsidP="00632714">
            <w:pPr>
              <w:spacing w:after="120"/>
              <w:rPr>
                <w:rFonts w:cs="Arial"/>
              </w:rPr>
            </w:pPr>
            <w:r w:rsidRPr="00B832F5">
              <w:rPr>
                <w:rFonts w:cs="Arial"/>
              </w:rPr>
              <w:t>Port Moresby Post.</w:t>
            </w:r>
          </w:p>
        </w:tc>
      </w:tr>
      <w:tr w:rsidR="00FA5DA4" w:rsidRPr="00B832F5" w:rsidTr="00AF3EFE">
        <w:trPr>
          <w:cantSplit/>
          <w:trHeight w:val="885"/>
        </w:trPr>
        <w:tc>
          <w:tcPr>
            <w:tcW w:w="3949" w:type="dxa"/>
            <w:tcBorders>
              <w:bottom w:val="single" w:sz="4" w:space="0" w:color="808080"/>
            </w:tcBorders>
          </w:tcPr>
          <w:p w:rsidR="00FA5DA4" w:rsidRPr="00B832F5" w:rsidRDefault="00FA5DA4" w:rsidP="00C263B2">
            <w:pPr>
              <w:spacing w:after="120"/>
              <w:rPr>
                <w:rFonts w:cs="Arial"/>
                <w:b/>
                <w:szCs w:val="20"/>
              </w:rPr>
            </w:pPr>
            <w:r w:rsidRPr="00B832F5">
              <w:rPr>
                <w:rFonts w:cs="Arial"/>
                <w:b/>
                <w:szCs w:val="20"/>
              </w:rPr>
              <w:t>13. DFAT has an opportunity to support the continued scale-up of FSVUs across PNG.  DFAT should therefore invest in formative research focused on the highest-performing FSVUs (such as the one in Goroka), and use the findings to inform the strategic expansion of the initiative.</w:t>
            </w:r>
          </w:p>
        </w:tc>
        <w:tc>
          <w:tcPr>
            <w:tcW w:w="4228" w:type="dxa"/>
            <w:tcBorders>
              <w:bottom w:val="single" w:sz="4" w:space="0" w:color="808080"/>
              <w:right w:val="single" w:sz="4" w:space="0" w:color="auto"/>
            </w:tcBorders>
            <w:shd w:val="clear" w:color="auto" w:fill="auto"/>
          </w:tcPr>
          <w:p w:rsidR="00FA5DA4" w:rsidRPr="00E559F4" w:rsidRDefault="00FA5DA4" w:rsidP="00C263B2">
            <w:pPr>
              <w:spacing w:after="120"/>
              <w:rPr>
                <w:rFonts w:cs="Arial"/>
              </w:rPr>
            </w:pPr>
            <w:r w:rsidRPr="00E559F4">
              <w:rPr>
                <w:rFonts w:cs="Arial"/>
              </w:rPr>
              <w:t>Agree.</w:t>
            </w:r>
          </w:p>
          <w:p w:rsidR="00FA5DA4" w:rsidRPr="00B832F5" w:rsidRDefault="00FA5DA4" w:rsidP="006F046B">
            <w:pPr>
              <w:spacing w:after="120"/>
              <w:rPr>
                <w:rFonts w:cs="Arial"/>
              </w:rPr>
            </w:pPr>
            <w:r w:rsidRPr="00E559F4">
              <w:rPr>
                <w:rFonts w:cs="Arial"/>
              </w:rPr>
              <w:t xml:space="preserve">The PNG Law and Justice program </w:t>
            </w:r>
            <w:r w:rsidR="006F046B" w:rsidRPr="00E559F4">
              <w:rPr>
                <w:rFonts w:cs="Arial"/>
              </w:rPr>
              <w:t xml:space="preserve">has </w:t>
            </w:r>
            <w:r w:rsidRPr="00E559F4">
              <w:rPr>
                <w:rFonts w:cs="Arial"/>
              </w:rPr>
              <w:t>conduct</w:t>
            </w:r>
            <w:r w:rsidR="006F046B" w:rsidRPr="00E559F4">
              <w:rPr>
                <w:rFonts w:cs="Arial"/>
              </w:rPr>
              <w:t>ed</w:t>
            </w:r>
            <w:r w:rsidRPr="00E559F4">
              <w:rPr>
                <w:rFonts w:cs="Arial"/>
              </w:rPr>
              <w:t xml:space="preserve"> a review of its investment in FSVUs in 2015 to assess capacity, progress and enable further support.</w:t>
            </w:r>
            <w:r w:rsidRPr="00B832F5">
              <w:rPr>
                <w:rFonts w:cs="Arial"/>
              </w:rPr>
              <w:t xml:space="preserve">  </w:t>
            </w:r>
          </w:p>
        </w:tc>
        <w:tc>
          <w:tcPr>
            <w:tcW w:w="4264" w:type="dxa"/>
            <w:tcBorders>
              <w:left w:val="single" w:sz="4" w:space="0" w:color="auto"/>
            </w:tcBorders>
            <w:shd w:val="clear" w:color="auto" w:fill="auto"/>
          </w:tcPr>
          <w:p w:rsidR="00FA5DA4" w:rsidRPr="00B832F5" w:rsidRDefault="00FA5DA4" w:rsidP="00FA5DA4">
            <w:pPr>
              <w:spacing w:after="120"/>
              <w:rPr>
                <w:rFonts w:cs="Arial"/>
              </w:rPr>
            </w:pPr>
            <w:r w:rsidRPr="00B832F5">
              <w:rPr>
                <w:rFonts w:cs="Arial"/>
              </w:rPr>
              <w:t xml:space="preserve">PNG Post to incorporate recommendations from the review into the new design.  </w:t>
            </w:r>
          </w:p>
        </w:tc>
        <w:tc>
          <w:tcPr>
            <w:tcW w:w="2152" w:type="dxa"/>
            <w:tcBorders>
              <w:left w:val="single" w:sz="4" w:space="0" w:color="auto"/>
            </w:tcBorders>
            <w:shd w:val="clear" w:color="auto" w:fill="auto"/>
          </w:tcPr>
          <w:p w:rsidR="00FA5DA4" w:rsidRPr="00B832F5" w:rsidRDefault="00FA5DA4" w:rsidP="00632714">
            <w:pPr>
              <w:spacing w:after="120"/>
              <w:rPr>
                <w:rFonts w:cs="Arial"/>
              </w:rPr>
            </w:pPr>
            <w:r w:rsidRPr="00B832F5">
              <w:rPr>
                <w:rFonts w:cs="Arial"/>
              </w:rPr>
              <w:t>Port Moresby Post.</w:t>
            </w:r>
          </w:p>
        </w:tc>
      </w:tr>
      <w:tr w:rsidR="00FC2575" w:rsidRPr="00B832F5" w:rsidTr="00AF3EFE">
        <w:trPr>
          <w:cantSplit/>
          <w:trHeight w:val="885"/>
        </w:trPr>
        <w:tc>
          <w:tcPr>
            <w:tcW w:w="3949" w:type="dxa"/>
            <w:tcBorders>
              <w:left w:val="nil"/>
              <w:bottom w:val="single" w:sz="4" w:space="0" w:color="808080"/>
            </w:tcBorders>
          </w:tcPr>
          <w:p w:rsidR="00FC2575" w:rsidRPr="00B832F5" w:rsidDel="00362C6C" w:rsidRDefault="00FC2575" w:rsidP="005B4048">
            <w:pPr>
              <w:spacing w:after="120"/>
              <w:rPr>
                <w:rFonts w:cs="Arial"/>
                <w:b/>
                <w:szCs w:val="20"/>
              </w:rPr>
            </w:pPr>
            <w:r w:rsidRPr="00B832F5">
              <w:rPr>
                <w:rFonts w:cs="Arial"/>
                <w:b/>
                <w:szCs w:val="20"/>
              </w:rPr>
              <w:lastRenderedPageBreak/>
              <w:t xml:space="preserve">14. Expanding Family and Sexual Offences Unit of the OPP to other provinces.  </w:t>
            </w:r>
            <w:r w:rsidRPr="00E5614B">
              <w:rPr>
                <w:rFonts w:cs="Arial"/>
              </w:rPr>
              <w:t>Along with continued support for expanding the FASO Unit in the National Capital District, the review team recommends that DFAT invest in replicating the unit in other provinces. The review team further recommends that priority for scaling be given to Goroka, where communication, cooperation and coordination among law and justice agencies show promising developments.</w:t>
            </w:r>
          </w:p>
        </w:tc>
        <w:tc>
          <w:tcPr>
            <w:tcW w:w="4228" w:type="dxa"/>
            <w:tcBorders>
              <w:right w:val="single" w:sz="4" w:space="0" w:color="auto"/>
            </w:tcBorders>
            <w:shd w:val="clear" w:color="auto" w:fill="auto"/>
          </w:tcPr>
          <w:p w:rsidR="007F4786" w:rsidRDefault="00FC2575" w:rsidP="005B4048">
            <w:pPr>
              <w:spacing w:after="120"/>
              <w:rPr>
                <w:rFonts w:cs="Arial"/>
              </w:rPr>
            </w:pPr>
            <w:r w:rsidRPr="00E5614B">
              <w:rPr>
                <w:rFonts w:cs="Arial"/>
              </w:rPr>
              <w:t xml:space="preserve">Disagree.  </w:t>
            </w:r>
          </w:p>
          <w:p w:rsidR="00FC2575" w:rsidRPr="007F4786" w:rsidRDefault="00864D4A" w:rsidP="005B4048">
            <w:pPr>
              <w:spacing w:after="120"/>
              <w:rPr>
                <w:rFonts w:cs="Arial"/>
              </w:rPr>
            </w:pPr>
            <w:r w:rsidRPr="007F4786">
              <w:rPr>
                <w:rFonts w:cs="Calibri"/>
                <w:lang w:val="en-US"/>
              </w:rPr>
              <w:t xml:space="preserve">The Provincial offices of the Office of the Public Prosecutor (OPP) are usually only staffed by one or two prosecutors.  Only the OPP </w:t>
            </w:r>
            <w:proofErr w:type="spellStart"/>
            <w:r w:rsidRPr="007F4786">
              <w:rPr>
                <w:rFonts w:cs="Calibri"/>
                <w:lang w:val="en-US"/>
              </w:rPr>
              <w:t>Waigani</w:t>
            </w:r>
            <w:proofErr w:type="spellEnd"/>
            <w:r w:rsidRPr="007F4786">
              <w:rPr>
                <w:rFonts w:cs="Calibri"/>
                <w:lang w:val="en-US"/>
              </w:rPr>
              <w:t xml:space="preserve"> office has a sufficient number of prosecutors to form </w:t>
            </w:r>
            <w:proofErr w:type="spellStart"/>
            <w:r w:rsidRPr="007F4786">
              <w:rPr>
                <w:rFonts w:cs="Calibri"/>
                <w:lang w:val="en-US"/>
              </w:rPr>
              <w:t>specialised</w:t>
            </w:r>
            <w:proofErr w:type="spellEnd"/>
            <w:r w:rsidRPr="007F4786">
              <w:rPr>
                <w:rFonts w:cs="Calibri"/>
                <w:lang w:val="en-US"/>
              </w:rPr>
              <w:t xml:space="preserve"> Units, which already exist there.  It is not practical for this recommendation to be implemented.</w:t>
            </w:r>
            <w:r w:rsidR="00FC2575" w:rsidRPr="007F4786">
              <w:rPr>
                <w:rFonts w:cs="Arial"/>
              </w:rPr>
              <w:t xml:space="preserve">  </w:t>
            </w:r>
          </w:p>
          <w:p w:rsidR="00FC2575" w:rsidRPr="005407E9" w:rsidRDefault="00FC2575" w:rsidP="005B4048">
            <w:pPr>
              <w:spacing w:after="120"/>
              <w:rPr>
                <w:rFonts w:cs="Arial"/>
              </w:rPr>
            </w:pPr>
            <w:r w:rsidRPr="00E5614B">
              <w:rPr>
                <w:rFonts w:cs="Arial"/>
              </w:rPr>
              <w:t>DFAT is, however, dedicated to supporting the Office of the Public Prosecutor to build the capacity of the prosecutors in provincial branches, so they understand the complexities of prosecuting cases involving sexual offences and are equipped to provide effective legal support to FSV su</w:t>
            </w:r>
            <w:r w:rsidRPr="00864D4A">
              <w:rPr>
                <w:rFonts w:cs="Arial"/>
              </w:rPr>
              <w:t xml:space="preserve">rvivors. </w:t>
            </w:r>
          </w:p>
          <w:p w:rsidR="00FC2575" w:rsidRPr="00144877" w:rsidRDefault="00FC2575" w:rsidP="005B4048">
            <w:pPr>
              <w:rPr>
                <w:rFonts w:cs="Arial"/>
                <w:color w:val="1F497D"/>
              </w:rPr>
            </w:pPr>
            <w:r w:rsidRPr="00B832F5">
              <w:rPr>
                <w:rFonts w:cs="Arial"/>
              </w:rPr>
              <w:t>Under the Strongim Gavman Program DFAT will continue to support a prose</w:t>
            </w:r>
            <w:r w:rsidRPr="00144877">
              <w:rPr>
                <w:rFonts w:cs="Arial"/>
              </w:rPr>
              <w:t>cutions adviser, who is dedicated to supporting the regions with a particular focus on FSV.</w:t>
            </w:r>
          </w:p>
          <w:p w:rsidR="00FC2575" w:rsidRPr="00E5614B" w:rsidRDefault="00FC2575" w:rsidP="005B4048">
            <w:pPr>
              <w:spacing w:after="120"/>
              <w:rPr>
                <w:rFonts w:cs="Arial"/>
                <w:b/>
                <w:color w:val="1F497D"/>
              </w:rPr>
            </w:pPr>
          </w:p>
        </w:tc>
        <w:tc>
          <w:tcPr>
            <w:tcW w:w="4264" w:type="dxa"/>
            <w:tcBorders>
              <w:left w:val="single" w:sz="4" w:space="0" w:color="auto"/>
            </w:tcBorders>
            <w:shd w:val="clear" w:color="auto" w:fill="auto"/>
          </w:tcPr>
          <w:p w:rsidR="00FC2575" w:rsidRPr="00B832F5" w:rsidRDefault="00FC2575" w:rsidP="00632714">
            <w:pPr>
              <w:spacing w:after="120"/>
              <w:rPr>
                <w:rFonts w:cs="Arial"/>
              </w:rPr>
            </w:pPr>
            <w:r w:rsidRPr="00B832F5">
              <w:rPr>
                <w:rFonts w:cs="Arial"/>
              </w:rPr>
              <w:t xml:space="preserve">No action required.  </w:t>
            </w:r>
          </w:p>
          <w:p w:rsidR="00FC2575" w:rsidRPr="00B832F5" w:rsidRDefault="00FC2575" w:rsidP="00632714">
            <w:pPr>
              <w:spacing w:after="120"/>
              <w:rPr>
                <w:rFonts w:cs="Arial"/>
              </w:rPr>
            </w:pPr>
            <w:r w:rsidRPr="00B832F5">
              <w:rPr>
                <w:rFonts w:cs="Arial"/>
              </w:rPr>
              <w:t>DFAT will build the capacity of current prosecutors in provincial branches to support FSV survivors.</w:t>
            </w:r>
          </w:p>
        </w:tc>
        <w:tc>
          <w:tcPr>
            <w:tcW w:w="2152" w:type="dxa"/>
            <w:tcBorders>
              <w:left w:val="single" w:sz="4" w:space="0" w:color="auto"/>
            </w:tcBorders>
            <w:shd w:val="clear" w:color="auto" w:fill="auto"/>
          </w:tcPr>
          <w:p w:rsidR="00FC2575" w:rsidRPr="00B832F5" w:rsidRDefault="00FC2575" w:rsidP="00632714">
            <w:pPr>
              <w:spacing w:after="120"/>
              <w:rPr>
                <w:rFonts w:cs="Arial"/>
              </w:rPr>
            </w:pPr>
            <w:r w:rsidRPr="00B832F5">
              <w:rPr>
                <w:rFonts w:cs="Arial"/>
              </w:rPr>
              <w:t>N/a</w:t>
            </w:r>
          </w:p>
        </w:tc>
      </w:tr>
      <w:tr w:rsidR="00583FEC" w:rsidRPr="00B832F5" w:rsidTr="00AF3EFE">
        <w:trPr>
          <w:cantSplit/>
          <w:trHeight w:val="885"/>
        </w:trPr>
        <w:tc>
          <w:tcPr>
            <w:tcW w:w="3949" w:type="dxa"/>
            <w:tcBorders>
              <w:left w:val="nil"/>
              <w:bottom w:val="single" w:sz="4" w:space="0" w:color="808080"/>
            </w:tcBorders>
          </w:tcPr>
          <w:p w:rsidR="00583FEC" w:rsidRPr="00B832F5" w:rsidRDefault="00583FEC" w:rsidP="00C263B2">
            <w:pPr>
              <w:spacing w:after="120"/>
              <w:rPr>
                <w:rFonts w:cs="Arial"/>
                <w:b/>
                <w:szCs w:val="20"/>
              </w:rPr>
            </w:pPr>
            <w:r w:rsidRPr="00B832F5">
              <w:rPr>
                <w:rFonts w:cs="Arial"/>
                <w:b/>
                <w:szCs w:val="20"/>
              </w:rPr>
              <w:t>15. DFAT should support the VCLMS in developing a systematic, long-term training and capacity building strategy for village courts, with emphasis on refresher sessions.</w:t>
            </w:r>
          </w:p>
        </w:tc>
        <w:tc>
          <w:tcPr>
            <w:tcW w:w="4228" w:type="dxa"/>
            <w:tcBorders>
              <w:right w:val="single" w:sz="4" w:space="0" w:color="auto"/>
            </w:tcBorders>
            <w:shd w:val="clear" w:color="auto" w:fill="auto"/>
          </w:tcPr>
          <w:p w:rsidR="007F4786" w:rsidRDefault="00583FEC" w:rsidP="00F20A22">
            <w:pPr>
              <w:spacing w:after="120"/>
              <w:rPr>
                <w:rFonts w:cs="Arial"/>
              </w:rPr>
            </w:pPr>
            <w:r w:rsidRPr="00B832F5">
              <w:rPr>
                <w:rFonts w:cs="Arial"/>
              </w:rPr>
              <w:t>Agree</w:t>
            </w:r>
            <w:r w:rsidRPr="00AF7B9E">
              <w:rPr>
                <w:rFonts w:cs="Arial"/>
              </w:rPr>
              <w:t>.</w:t>
            </w:r>
          </w:p>
          <w:p w:rsidR="00583FEC" w:rsidRPr="00144877" w:rsidRDefault="00583FEC" w:rsidP="00F20A22">
            <w:pPr>
              <w:spacing w:after="120"/>
              <w:rPr>
                <w:rFonts w:cs="Arial"/>
              </w:rPr>
            </w:pPr>
            <w:r w:rsidRPr="00144877">
              <w:rPr>
                <w:rFonts w:cs="Arial"/>
              </w:rPr>
              <w:t xml:space="preserve">In PNG, the Village Court Training Manual was developed in 2014 and is being rolled out in the six priority provinces (identified in PALJP) and the Autonomous Region of Bougainville.  51 </w:t>
            </w:r>
            <w:r w:rsidR="000F3735" w:rsidRPr="00B832F5">
              <w:rPr>
                <w:rFonts w:cs="Arial"/>
              </w:rPr>
              <w:t>vill</w:t>
            </w:r>
            <w:r w:rsidR="000F3735" w:rsidRPr="00AF7B9E">
              <w:rPr>
                <w:rFonts w:cs="Arial"/>
              </w:rPr>
              <w:t>age</w:t>
            </w:r>
            <w:r w:rsidRPr="00AF7B9E">
              <w:rPr>
                <w:rFonts w:cs="Arial"/>
              </w:rPr>
              <w:t xml:space="preserve"> courts have been trained as trainers and over 850 village court officials have received training.</w:t>
            </w:r>
          </w:p>
        </w:tc>
        <w:tc>
          <w:tcPr>
            <w:tcW w:w="4264" w:type="dxa"/>
            <w:tcBorders>
              <w:left w:val="single" w:sz="4" w:space="0" w:color="auto"/>
            </w:tcBorders>
            <w:shd w:val="clear" w:color="auto" w:fill="auto"/>
          </w:tcPr>
          <w:p w:rsidR="00583FEC" w:rsidRPr="005407E9" w:rsidRDefault="00583FEC" w:rsidP="00632714">
            <w:pPr>
              <w:spacing w:after="120"/>
              <w:rPr>
                <w:rFonts w:cs="Arial"/>
              </w:rPr>
            </w:pPr>
            <w:r w:rsidRPr="00B832F5">
              <w:rPr>
                <w:rFonts w:cs="Arial"/>
              </w:rPr>
              <w:t xml:space="preserve">Training to be continued in priority provinces and </w:t>
            </w:r>
            <w:r w:rsidRPr="00B16500">
              <w:rPr>
                <w:rFonts w:cs="Arial"/>
              </w:rPr>
              <w:t xml:space="preserve">will be a continued focus in the new </w:t>
            </w:r>
            <w:r w:rsidR="005407E9" w:rsidRPr="00B16500">
              <w:rPr>
                <w:rFonts w:cs="Arial"/>
              </w:rPr>
              <w:t xml:space="preserve">PNG law and justice </w:t>
            </w:r>
            <w:r w:rsidRPr="00B16500">
              <w:rPr>
                <w:rFonts w:cs="Arial"/>
              </w:rPr>
              <w:t>program</w:t>
            </w:r>
            <w:r w:rsidR="005407E9" w:rsidRPr="00B16500">
              <w:rPr>
                <w:rFonts w:cs="Arial"/>
              </w:rPr>
              <w:t>.</w:t>
            </w:r>
          </w:p>
        </w:tc>
        <w:tc>
          <w:tcPr>
            <w:tcW w:w="2152" w:type="dxa"/>
            <w:tcBorders>
              <w:left w:val="single" w:sz="4" w:space="0" w:color="auto"/>
            </w:tcBorders>
            <w:shd w:val="clear" w:color="auto" w:fill="auto"/>
          </w:tcPr>
          <w:p w:rsidR="00583FEC" w:rsidRPr="00144877" w:rsidRDefault="00583FEC" w:rsidP="00632714">
            <w:pPr>
              <w:spacing w:after="120"/>
              <w:rPr>
                <w:rFonts w:cs="Arial"/>
              </w:rPr>
            </w:pPr>
            <w:r w:rsidRPr="00144877">
              <w:rPr>
                <w:rFonts w:cs="Arial"/>
              </w:rPr>
              <w:t>Law &amp; Justice team, PNG Post</w:t>
            </w:r>
          </w:p>
        </w:tc>
      </w:tr>
      <w:tr w:rsidR="00583FEC" w:rsidRPr="00B832F5" w:rsidTr="00AF3EFE">
        <w:trPr>
          <w:cantSplit/>
          <w:trHeight w:val="885"/>
        </w:trPr>
        <w:tc>
          <w:tcPr>
            <w:tcW w:w="3949" w:type="dxa"/>
            <w:tcBorders>
              <w:left w:val="nil"/>
            </w:tcBorders>
          </w:tcPr>
          <w:p w:rsidR="00583FEC" w:rsidRPr="00B832F5" w:rsidRDefault="00583FEC" w:rsidP="00C263B2">
            <w:pPr>
              <w:spacing w:after="120"/>
              <w:rPr>
                <w:rFonts w:cs="Arial"/>
                <w:b/>
                <w:szCs w:val="20"/>
              </w:rPr>
            </w:pPr>
            <w:r w:rsidRPr="00B832F5">
              <w:rPr>
                <w:rFonts w:cs="Arial"/>
                <w:b/>
                <w:szCs w:val="20"/>
              </w:rPr>
              <w:lastRenderedPageBreak/>
              <w:t>16. Through PALJP and VCLMS, DFAT should explore the feasibility of training village court magistrates in a secondary role aimed at violence prevention through community education and awareness-raising.</w:t>
            </w:r>
          </w:p>
        </w:tc>
        <w:tc>
          <w:tcPr>
            <w:tcW w:w="4228" w:type="dxa"/>
            <w:tcBorders>
              <w:right w:val="single" w:sz="4" w:space="0" w:color="auto"/>
            </w:tcBorders>
            <w:shd w:val="clear" w:color="auto" w:fill="auto"/>
          </w:tcPr>
          <w:p w:rsidR="00583FEC" w:rsidRPr="00B832F5" w:rsidRDefault="00B944CE" w:rsidP="00C263B2">
            <w:pPr>
              <w:spacing w:after="120"/>
              <w:rPr>
                <w:rFonts w:cs="Arial"/>
              </w:rPr>
            </w:pPr>
            <w:r>
              <w:rPr>
                <w:rFonts w:cs="Arial"/>
              </w:rPr>
              <w:t>Disagree</w:t>
            </w:r>
            <w:r w:rsidR="00583FEC" w:rsidRPr="00B832F5">
              <w:rPr>
                <w:rFonts w:cs="Arial"/>
              </w:rPr>
              <w:t>.</w:t>
            </w:r>
          </w:p>
          <w:p w:rsidR="00583FEC" w:rsidRPr="00144877" w:rsidRDefault="00B944CE" w:rsidP="00B944CE">
            <w:pPr>
              <w:spacing w:after="120"/>
              <w:rPr>
                <w:rFonts w:cs="Arial"/>
              </w:rPr>
            </w:pPr>
            <w:r>
              <w:rPr>
                <w:rFonts w:cs="Arial"/>
              </w:rPr>
              <w:t>While PNG Post agrees that village court magistrates could potentially play a role in violence prevention, this is not the primary role of VCLMS.  The new Law and Justice program is focusing on building capacity of magistrates in their existing roles, in light of new and amended legislation on domestic violence.</w:t>
            </w:r>
          </w:p>
        </w:tc>
        <w:tc>
          <w:tcPr>
            <w:tcW w:w="4264" w:type="dxa"/>
            <w:tcBorders>
              <w:left w:val="single" w:sz="4" w:space="0" w:color="auto"/>
            </w:tcBorders>
            <w:shd w:val="clear" w:color="auto" w:fill="auto"/>
          </w:tcPr>
          <w:p w:rsidR="00583FEC" w:rsidRPr="007B012E" w:rsidRDefault="00B944CE" w:rsidP="00B944CE">
            <w:pPr>
              <w:spacing w:after="120"/>
              <w:rPr>
                <w:rFonts w:cs="Arial"/>
              </w:rPr>
            </w:pPr>
            <w:r>
              <w:rPr>
                <w:rFonts w:cs="Arial"/>
              </w:rPr>
              <w:t>No action.</w:t>
            </w:r>
          </w:p>
        </w:tc>
        <w:tc>
          <w:tcPr>
            <w:tcW w:w="2152" w:type="dxa"/>
            <w:tcBorders>
              <w:left w:val="single" w:sz="4" w:space="0" w:color="auto"/>
            </w:tcBorders>
            <w:shd w:val="clear" w:color="auto" w:fill="auto"/>
          </w:tcPr>
          <w:p w:rsidR="00583FEC" w:rsidRPr="00144877" w:rsidRDefault="00583FEC" w:rsidP="00632714">
            <w:pPr>
              <w:spacing w:after="120"/>
              <w:rPr>
                <w:rFonts w:cs="Arial"/>
              </w:rPr>
            </w:pPr>
            <w:r w:rsidRPr="00144877">
              <w:rPr>
                <w:rFonts w:cs="Arial"/>
              </w:rPr>
              <w:t>Law &amp; Justice Team, PNG Post.</w:t>
            </w:r>
          </w:p>
        </w:tc>
      </w:tr>
      <w:tr w:rsidR="00F86876" w:rsidRPr="00B832F5" w:rsidTr="00AF3EFE">
        <w:trPr>
          <w:cantSplit/>
          <w:trHeight w:val="885"/>
        </w:trPr>
        <w:tc>
          <w:tcPr>
            <w:tcW w:w="3949" w:type="dxa"/>
            <w:tcBorders>
              <w:left w:val="nil"/>
            </w:tcBorders>
          </w:tcPr>
          <w:p w:rsidR="00F86876" w:rsidRPr="00E559F4" w:rsidRDefault="00F86876" w:rsidP="00C263B2">
            <w:pPr>
              <w:spacing w:after="120"/>
              <w:rPr>
                <w:rFonts w:cs="Arial"/>
                <w:b/>
                <w:szCs w:val="20"/>
              </w:rPr>
            </w:pPr>
            <w:r w:rsidRPr="00E559F4">
              <w:rPr>
                <w:rFonts w:cs="Arial"/>
                <w:b/>
                <w:szCs w:val="20"/>
              </w:rPr>
              <w:t>17. DFAT should consider providing funding to devise and pilot a methodology for transforming kastom court mediations in cases of violence to protect and promote women’s rights, if the implementing partners (FWCC and VWC) support and steer the idea.</w:t>
            </w:r>
          </w:p>
        </w:tc>
        <w:tc>
          <w:tcPr>
            <w:tcW w:w="4228" w:type="dxa"/>
            <w:tcBorders>
              <w:right w:val="single" w:sz="4" w:space="0" w:color="auto"/>
            </w:tcBorders>
            <w:shd w:val="clear" w:color="auto" w:fill="auto"/>
          </w:tcPr>
          <w:p w:rsidR="00F86876" w:rsidRPr="00E559F4" w:rsidRDefault="00F86876" w:rsidP="00C263B2">
            <w:pPr>
              <w:spacing w:after="120"/>
              <w:rPr>
                <w:rFonts w:cs="Arial"/>
              </w:rPr>
            </w:pPr>
            <w:r w:rsidRPr="00E559F4">
              <w:rPr>
                <w:rFonts w:cs="Arial"/>
              </w:rPr>
              <w:t>Partially agree</w:t>
            </w:r>
            <w:r w:rsidR="007F4786">
              <w:rPr>
                <w:rFonts w:cs="Arial"/>
              </w:rPr>
              <w:t>.</w:t>
            </w:r>
          </w:p>
          <w:p w:rsidR="00F86876" w:rsidRPr="00E559F4" w:rsidRDefault="00EB06B7" w:rsidP="00C263B2">
            <w:pPr>
              <w:spacing w:after="120"/>
              <w:rPr>
                <w:rFonts w:cs="Arial"/>
              </w:rPr>
            </w:pPr>
            <w:r w:rsidRPr="00E559F4">
              <w:rPr>
                <w:rFonts w:cs="Arial"/>
              </w:rPr>
              <w:t xml:space="preserve">Vanuatu doesn’t have ‘kastom’ courts, but is doing targeted research on village level dispute resolution as part of the new police and justice support program, which will involve VWC. </w:t>
            </w:r>
          </w:p>
          <w:p w:rsidR="00F86876" w:rsidRPr="00E559F4" w:rsidRDefault="00EB06B7" w:rsidP="00EB06B7">
            <w:pPr>
              <w:spacing w:after="120"/>
              <w:rPr>
                <w:rFonts w:cs="Arial"/>
              </w:rPr>
            </w:pPr>
            <w:r w:rsidRPr="00E559F4">
              <w:rPr>
                <w:rFonts w:cs="Arial"/>
              </w:rPr>
              <w:t>In</w:t>
            </w:r>
            <w:r w:rsidR="00F86876" w:rsidRPr="00E559F4">
              <w:rPr>
                <w:rFonts w:cs="Arial"/>
              </w:rPr>
              <w:t xml:space="preserve"> PNG</w:t>
            </w:r>
            <w:r w:rsidRPr="00E559F4">
              <w:rPr>
                <w:rFonts w:cs="Arial"/>
              </w:rPr>
              <w:t xml:space="preserve">, </w:t>
            </w:r>
            <w:r w:rsidR="00F86876" w:rsidRPr="00E559F4">
              <w:rPr>
                <w:rFonts w:cs="Arial"/>
              </w:rPr>
              <w:t>the Village Court Training Curriculum already has a module designed to equip village court magistrates in Gender and the handling of family and sexual violence cases.  It is not clear what the role of FWCC would be in ‘supporting/leading’ this.</w:t>
            </w:r>
          </w:p>
        </w:tc>
        <w:tc>
          <w:tcPr>
            <w:tcW w:w="4264" w:type="dxa"/>
            <w:tcBorders>
              <w:left w:val="single" w:sz="4" w:space="0" w:color="auto"/>
            </w:tcBorders>
            <w:shd w:val="clear" w:color="auto" w:fill="auto"/>
          </w:tcPr>
          <w:p w:rsidR="00F86876" w:rsidRPr="00144877" w:rsidRDefault="00F86876" w:rsidP="009C6BC2">
            <w:pPr>
              <w:spacing w:after="120"/>
              <w:rPr>
                <w:rFonts w:cs="Arial"/>
              </w:rPr>
            </w:pPr>
            <w:r w:rsidRPr="00B832F5">
              <w:rPr>
                <w:rFonts w:cs="Arial"/>
              </w:rPr>
              <w:t xml:space="preserve">Port Vila and Port Moresby Posts to </w:t>
            </w:r>
            <w:r w:rsidR="009C6BC2" w:rsidRPr="00B832F5">
              <w:rPr>
                <w:rFonts w:cs="Arial"/>
              </w:rPr>
              <w:t xml:space="preserve">continue existing work on local level dispute resolution to inform any pilot in the </w:t>
            </w:r>
            <w:r w:rsidR="009C6BC2" w:rsidRPr="00144877">
              <w:rPr>
                <w:rFonts w:cs="Arial"/>
              </w:rPr>
              <w:t>future</w:t>
            </w:r>
            <w:r w:rsidRPr="00144877">
              <w:rPr>
                <w:rFonts w:cs="Arial"/>
              </w:rPr>
              <w:t>.</w:t>
            </w:r>
          </w:p>
        </w:tc>
        <w:tc>
          <w:tcPr>
            <w:tcW w:w="2152" w:type="dxa"/>
            <w:tcBorders>
              <w:left w:val="single" w:sz="4" w:space="0" w:color="auto"/>
            </w:tcBorders>
            <w:shd w:val="clear" w:color="auto" w:fill="auto"/>
          </w:tcPr>
          <w:p w:rsidR="00F86876" w:rsidRPr="00144877" w:rsidRDefault="00F86876" w:rsidP="00632714">
            <w:pPr>
              <w:spacing w:after="120"/>
              <w:rPr>
                <w:rFonts w:cs="Arial"/>
              </w:rPr>
            </w:pPr>
            <w:r w:rsidRPr="00144877">
              <w:rPr>
                <w:rFonts w:cs="Arial"/>
              </w:rPr>
              <w:t>Law and Justice Managers, Port Vila and Port Moresby Posts</w:t>
            </w:r>
          </w:p>
          <w:p w:rsidR="00F86876" w:rsidRPr="00144877" w:rsidRDefault="00F86876" w:rsidP="00632714">
            <w:pPr>
              <w:spacing w:after="120"/>
              <w:rPr>
                <w:rFonts w:cs="Arial"/>
              </w:rPr>
            </w:pPr>
          </w:p>
        </w:tc>
      </w:tr>
    </w:tbl>
    <w:p w:rsidR="008C42D7" w:rsidRDefault="008C42D7">
      <w:pPr>
        <w:rPr>
          <w:rFonts w:cs="Arial"/>
        </w:rPr>
      </w:pPr>
    </w:p>
    <w:p w:rsidR="00DF4311" w:rsidRDefault="00DF4311">
      <w:pPr>
        <w:rPr>
          <w:rFonts w:cs="Arial"/>
        </w:rPr>
      </w:pPr>
    </w:p>
    <w:p w:rsidR="00DF4311" w:rsidRDefault="00DF4311">
      <w:pPr>
        <w:rPr>
          <w:rFonts w:cs="Arial"/>
        </w:rPr>
      </w:pPr>
    </w:p>
    <w:p w:rsidR="00DF4311" w:rsidRDefault="00DF4311">
      <w:pPr>
        <w:rPr>
          <w:rFonts w:cs="Arial"/>
        </w:rPr>
      </w:pPr>
    </w:p>
    <w:p w:rsidR="00DF4311" w:rsidRPr="00E5614B" w:rsidRDefault="00DF4311">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936"/>
        <w:gridCol w:w="4252"/>
        <w:gridCol w:w="3206"/>
        <w:gridCol w:w="3173"/>
      </w:tblGrid>
      <w:tr w:rsidR="009C6BC2" w:rsidRPr="00B832F5" w:rsidTr="009C6BC2">
        <w:trPr>
          <w:cantSplit/>
          <w:tblHeader/>
        </w:trPr>
        <w:tc>
          <w:tcPr>
            <w:tcW w:w="3936" w:type="dxa"/>
            <w:shd w:val="clear" w:color="auto" w:fill="FFEC9B"/>
          </w:tcPr>
          <w:p w:rsidR="009C6BC2" w:rsidRPr="00B832F5" w:rsidRDefault="009C6BC2" w:rsidP="009C6BC2">
            <w:pPr>
              <w:spacing w:after="120"/>
              <w:jc w:val="center"/>
              <w:rPr>
                <w:rFonts w:cs="Arial"/>
                <w:b/>
                <w:szCs w:val="20"/>
              </w:rPr>
            </w:pPr>
            <w:r w:rsidRPr="00B832F5">
              <w:rPr>
                <w:rFonts w:cs="Arial"/>
                <w:b/>
                <w:szCs w:val="20"/>
              </w:rPr>
              <w:lastRenderedPageBreak/>
              <w:t xml:space="preserve">Recommendation </w:t>
            </w:r>
          </w:p>
        </w:tc>
        <w:tc>
          <w:tcPr>
            <w:tcW w:w="4252" w:type="dxa"/>
            <w:tcBorders>
              <w:right w:val="single" w:sz="4" w:space="0" w:color="auto"/>
            </w:tcBorders>
            <w:shd w:val="clear" w:color="auto" w:fill="FFEC9B"/>
            <w:vAlign w:val="center"/>
          </w:tcPr>
          <w:p w:rsidR="009C6BC2" w:rsidRPr="00B832F5" w:rsidRDefault="009C6BC2" w:rsidP="009A226C">
            <w:pPr>
              <w:spacing w:after="120"/>
              <w:jc w:val="center"/>
              <w:rPr>
                <w:rFonts w:cs="Arial"/>
                <w:b/>
                <w:szCs w:val="20"/>
              </w:rPr>
            </w:pPr>
            <w:r w:rsidRPr="00B832F5">
              <w:rPr>
                <w:rFonts w:cs="Arial"/>
                <w:b/>
                <w:szCs w:val="20"/>
              </w:rPr>
              <w:t>Response</w:t>
            </w:r>
          </w:p>
        </w:tc>
        <w:tc>
          <w:tcPr>
            <w:tcW w:w="3206" w:type="dxa"/>
            <w:tcBorders>
              <w:left w:val="single" w:sz="4" w:space="0" w:color="auto"/>
            </w:tcBorders>
            <w:shd w:val="clear" w:color="auto" w:fill="FFEC9B"/>
            <w:vAlign w:val="center"/>
          </w:tcPr>
          <w:p w:rsidR="009C6BC2" w:rsidRPr="00B832F5" w:rsidRDefault="009C6BC2" w:rsidP="009A226C">
            <w:pPr>
              <w:spacing w:after="120"/>
              <w:jc w:val="center"/>
              <w:rPr>
                <w:rFonts w:cs="Arial"/>
                <w:b/>
                <w:szCs w:val="20"/>
              </w:rPr>
            </w:pPr>
            <w:r w:rsidRPr="00B832F5">
              <w:rPr>
                <w:rFonts w:cs="Arial"/>
                <w:b/>
                <w:szCs w:val="20"/>
              </w:rPr>
              <w:t>Actions</w:t>
            </w:r>
          </w:p>
        </w:tc>
        <w:tc>
          <w:tcPr>
            <w:tcW w:w="3173" w:type="dxa"/>
            <w:tcBorders>
              <w:left w:val="single" w:sz="4" w:space="0" w:color="auto"/>
            </w:tcBorders>
            <w:shd w:val="clear" w:color="auto" w:fill="FFEC9B"/>
            <w:vAlign w:val="center"/>
          </w:tcPr>
          <w:p w:rsidR="009C6BC2" w:rsidRPr="00B832F5" w:rsidRDefault="009C6BC2" w:rsidP="009A226C">
            <w:pPr>
              <w:spacing w:after="120"/>
              <w:jc w:val="center"/>
              <w:rPr>
                <w:rFonts w:cs="Arial"/>
                <w:szCs w:val="20"/>
              </w:rPr>
            </w:pPr>
            <w:r w:rsidRPr="00E5614B">
              <w:rPr>
                <w:rFonts w:cs="Arial"/>
                <w:b/>
                <w:szCs w:val="20"/>
              </w:rPr>
              <w:t>Responsibility</w:t>
            </w:r>
          </w:p>
        </w:tc>
      </w:tr>
      <w:tr w:rsidR="006E5F65" w:rsidRPr="00B832F5" w:rsidTr="009C6BC2">
        <w:trPr>
          <w:cantSplit/>
          <w:trHeight w:val="418"/>
        </w:trPr>
        <w:tc>
          <w:tcPr>
            <w:tcW w:w="14567" w:type="dxa"/>
            <w:gridSpan w:val="4"/>
            <w:shd w:val="clear" w:color="auto" w:fill="B8CCE4" w:themeFill="accent1" w:themeFillTint="66"/>
          </w:tcPr>
          <w:p w:rsidR="006E5F65" w:rsidRPr="00B832F5" w:rsidRDefault="006E5F65" w:rsidP="00280A1C">
            <w:pPr>
              <w:spacing w:after="120"/>
              <w:ind w:left="426"/>
              <w:rPr>
                <w:rFonts w:cs="Arial"/>
                <w:b/>
                <w:i/>
              </w:rPr>
            </w:pPr>
            <w:r w:rsidRPr="00E5614B">
              <w:rPr>
                <w:rFonts w:cs="Arial"/>
                <w:b/>
                <w:i/>
              </w:rPr>
              <w:t>Strengthening the enabling environment</w:t>
            </w:r>
          </w:p>
        </w:tc>
      </w:tr>
      <w:tr w:rsidR="00FF7C39" w:rsidRPr="00B832F5" w:rsidTr="00AF3EFE">
        <w:trPr>
          <w:cantSplit/>
          <w:trHeight w:val="885"/>
        </w:trPr>
        <w:tc>
          <w:tcPr>
            <w:tcW w:w="3936" w:type="dxa"/>
            <w:tcBorders>
              <w:left w:val="nil"/>
              <w:bottom w:val="single" w:sz="4" w:space="0" w:color="808080"/>
            </w:tcBorders>
          </w:tcPr>
          <w:p w:rsidR="00FF7C39" w:rsidRPr="00E5614B" w:rsidRDefault="00FF7C39" w:rsidP="00AD4D4F">
            <w:pPr>
              <w:tabs>
                <w:tab w:val="left" w:pos="0"/>
              </w:tabs>
              <w:spacing w:after="120"/>
              <w:rPr>
                <w:rFonts w:cs="Arial"/>
              </w:rPr>
            </w:pPr>
            <w:r w:rsidRPr="00B832F5">
              <w:rPr>
                <w:rFonts w:cs="Arial"/>
                <w:b/>
                <w:szCs w:val="20"/>
              </w:rPr>
              <w:t>18. Based on the intervention in Goroka, for example, PALJP should expand and promote sector-wide responses to violence within the Eastern Highlands and in other provinces.</w:t>
            </w:r>
          </w:p>
          <w:p w:rsidR="00FF7C39" w:rsidRPr="00B832F5" w:rsidRDefault="00FF7C39" w:rsidP="00C263B2">
            <w:pPr>
              <w:spacing w:after="120"/>
              <w:rPr>
                <w:rFonts w:cs="Arial"/>
                <w:b/>
              </w:rPr>
            </w:pPr>
          </w:p>
        </w:tc>
        <w:tc>
          <w:tcPr>
            <w:tcW w:w="4252" w:type="dxa"/>
            <w:tcBorders>
              <w:right w:val="single" w:sz="4" w:space="0" w:color="auto"/>
            </w:tcBorders>
            <w:shd w:val="clear" w:color="auto" w:fill="auto"/>
          </w:tcPr>
          <w:p w:rsidR="001D5E11" w:rsidRPr="00B832F5" w:rsidRDefault="000B4316" w:rsidP="003C1A4F">
            <w:pPr>
              <w:spacing w:after="120"/>
              <w:rPr>
                <w:rFonts w:cs="Arial"/>
              </w:rPr>
            </w:pPr>
            <w:r>
              <w:rPr>
                <w:rFonts w:cs="Arial"/>
              </w:rPr>
              <w:t xml:space="preserve">Partially </w:t>
            </w:r>
            <w:r w:rsidR="001D5E11" w:rsidRPr="00B832F5">
              <w:rPr>
                <w:rFonts w:cs="Arial"/>
              </w:rPr>
              <w:t>Agree.</w:t>
            </w:r>
          </w:p>
          <w:p w:rsidR="001D5E11" w:rsidRPr="00144877" w:rsidRDefault="00FF7C39" w:rsidP="003C1A4F">
            <w:pPr>
              <w:spacing w:after="120"/>
              <w:rPr>
                <w:rFonts w:cs="Arial"/>
              </w:rPr>
            </w:pPr>
            <w:r w:rsidRPr="007F4786">
              <w:rPr>
                <w:rFonts w:cs="Arial"/>
              </w:rPr>
              <w:t xml:space="preserve">PALJP concluded operations in the Eastern Highlands Province after providing over 8 years of support there.  The positive example </w:t>
            </w:r>
            <w:r w:rsidR="00E559F4" w:rsidRPr="007F4786">
              <w:rPr>
                <w:rFonts w:cs="Arial"/>
              </w:rPr>
              <w:t xml:space="preserve">of </w:t>
            </w:r>
            <w:r w:rsidRPr="007F4786">
              <w:rPr>
                <w:rFonts w:cs="Arial"/>
              </w:rPr>
              <w:t xml:space="preserve">cross-sectoral service provision </w:t>
            </w:r>
            <w:r w:rsidR="00E559F4" w:rsidRPr="007F4786">
              <w:rPr>
                <w:rFonts w:cs="Arial"/>
              </w:rPr>
              <w:t>it demonstrated is still applicable</w:t>
            </w:r>
            <w:r w:rsidR="00E559F4">
              <w:rPr>
                <w:rFonts w:cs="Arial"/>
              </w:rPr>
              <w:t xml:space="preserve"> to </w:t>
            </w:r>
            <w:r w:rsidRPr="00B832F5">
              <w:rPr>
                <w:rFonts w:cs="Arial"/>
              </w:rPr>
              <w:t>other provinces.</w:t>
            </w:r>
            <w:r w:rsidRPr="00144877">
              <w:rPr>
                <w:rFonts w:cs="Arial"/>
              </w:rPr>
              <w:t xml:space="preserve">  Several provinces have effective ‘referral mechanisms’ or support networks for survivors of FSV between the hospitals, police stations, courts &amp; prosecutor’s office, welfare divisions of the Community Development provincial offices as well as NGO’s and church based organizations.</w:t>
            </w:r>
          </w:p>
          <w:p w:rsidR="000B4316" w:rsidRPr="00B832F5" w:rsidRDefault="000B4316" w:rsidP="000B4316">
            <w:pPr>
              <w:spacing w:after="120"/>
              <w:rPr>
                <w:rFonts w:cs="Arial"/>
              </w:rPr>
            </w:pPr>
            <w:r w:rsidRPr="00B832F5">
              <w:rPr>
                <w:rFonts w:cs="Arial"/>
              </w:rPr>
              <w:t xml:space="preserve">The program will continue to support referral networks in the new design through improved coordination and collaboration between FSV partners at the provincial level.  Some provinces currently hold regular monthly meetings to discuss case management issues </w:t>
            </w:r>
            <w:proofErr w:type="spellStart"/>
            <w:r w:rsidRPr="00B832F5">
              <w:rPr>
                <w:rFonts w:cs="Arial"/>
              </w:rPr>
              <w:t>i.e</w:t>
            </w:r>
            <w:proofErr w:type="spellEnd"/>
            <w:r w:rsidRPr="00B832F5">
              <w:rPr>
                <w:rFonts w:cs="Arial"/>
              </w:rPr>
              <w:t xml:space="preserve"> </w:t>
            </w:r>
            <w:proofErr w:type="spellStart"/>
            <w:r w:rsidRPr="00B832F5">
              <w:rPr>
                <w:rFonts w:cs="Arial"/>
              </w:rPr>
              <w:t>Lae</w:t>
            </w:r>
            <w:proofErr w:type="spellEnd"/>
            <w:r w:rsidRPr="00B832F5">
              <w:rPr>
                <w:rFonts w:cs="Arial"/>
              </w:rPr>
              <w:t xml:space="preserve">, </w:t>
            </w:r>
            <w:proofErr w:type="spellStart"/>
            <w:r w:rsidRPr="00B832F5">
              <w:rPr>
                <w:rFonts w:cs="Arial"/>
              </w:rPr>
              <w:t>Morobe</w:t>
            </w:r>
            <w:proofErr w:type="spellEnd"/>
            <w:r w:rsidRPr="00B832F5">
              <w:rPr>
                <w:rFonts w:cs="Arial"/>
              </w:rPr>
              <w:t xml:space="preserve"> Province</w:t>
            </w:r>
          </w:p>
          <w:p w:rsidR="001D5E11" w:rsidRPr="00144877" w:rsidRDefault="001D5E11" w:rsidP="003C1A4F">
            <w:pPr>
              <w:spacing w:after="120"/>
              <w:rPr>
                <w:rFonts w:cs="Arial"/>
              </w:rPr>
            </w:pPr>
          </w:p>
          <w:p w:rsidR="00FF7C39" w:rsidRPr="00144877" w:rsidRDefault="00FF7C39" w:rsidP="003C1A4F">
            <w:pPr>
              <w:spacing w:after="120"/>
              <w:rPr>
                <w:rFonts w:cs="Arial"/>
              </w:rPr>
            </w:pPr>
          </w:p>
        </w:tc>
        <w:tc>
          <w:tcPr>
            <w:tcW w:w="3206" w:type="dxa"/>
            <w:tcBorders>
              <w:left w:val="single" w:sz="4" w:space="0" w:color="auto"/>
            </w:tcBorders>
            <w:shd w:val="clear" w:color="auto" w:fill="auto"/>
          </w:tcPr>
          <w:p w:rsidR="00FF7C39" w:rsidRPr="00B832F5" w:rsidRDefault="00FF7C39" w:rsidP="001D5E11">
            <w:pPr>
              <w:spacing w:after="120"/>
              <w:rPr>
                <w:rFonts w:cs="Arial"/>
              </w:rPr>
            </w:pPr>
            <w:r w:rsidRPr="00B832F5">
              <w:rPr>
                <w:rFonts w:cs="Arial"/>
              </w:rPr>
              <w:t>Where relevant</w:t>
            </w:r>
            <w:r w:rsidR="001D5E11" w:rsidRPr="00B832F5">
              <w:rPr>
                <w:rFonts w:cs="Arial"/>
              </w:rPr>
              <w:t>, the</w:t>
            </w:r>
            <w:r w:rsidRPr="00B832F5">
              <w:rPr>
                <w:rFonts w:cs="Arial"/>
              </w:rPr>
              <w:t xml:space="preserve"> PNG law and justice program will include support </w:t>
            </w:r>
            <w:r w:rsidR="001D5E11" w:rsidRPr="00B832F5">
              <w:rPr>
                <w:rFonts w:cs="Arial"/>
              </w:rPr>
              <w:t>to</w:t>
            </w:r>
            <w:r w:rsidRPr="00B832F5">
              <w:rPr>
                <w:rFonts w:cs="Arial"/>
              </w:rPr>
              <w:t xml:space="preserve"> mechanisms</w:t>
            </w:r>
            <w:r w:rsidR="001D5E11" w:rsidRPr="00B832F5">
              <w:rPr>
                <w:rFonts w:cs="Arial"/>
              </w:rPr>
              <w:t xml:space="preserve"> which promote sector wide responses in the Eastern Highlands</w:t>
            </w:r>
            <w:r w:rsidRPr="00B832F5">
              <w:rPr>
                <w:rFonts w:cs="Arial"/>
              </w:rPr>
              <w:t>.</w:t>
            </w:r>
          </w:p>
        </w:tc>
        <w:tc>
          <w:tcPr>
            <w:tcW w:w="3173" w:type="dxa"/>
            <w:tcBorders>
              <w:left w:val="single" w:sz="4" w:space="0" w:color="auto"/>
            </w:tcBorders>
            <w:shd w:val="clear" w:color="auto" w:fill="auto"/>
          </w:tcPr>
          <w:p w:rsidR="00FF7C39" w:rsidRPr="00B832F5" w:rsidRDefault="00FF7C39" w:rsidP="00632714">
            <w:pPr>
              <w:spacing w:after="120"/>
              <w:rPr>
                <w:rFonts w:cs="Arial"/>
              </w:rPr>
            </w:pPr>
            <w:r w:rsidRPr="00B832F5">
              <w:rPr>
                <w:rFonts w:cs="Arial"/>
              </w:rPr>
              <w:t>Law and Justice and Gender Equality Managers, Port Moresby Post.</w:t>
            </w:r>
          </w:p>
        </w:tc>
      </w:tr>
      <w:tr w:rsidR="001D5E11" w:rsidRPr="00B832F5" w:rsidTr="00AF3EFE">
        <w:trPr>
          <w:cantSplit/>
          <w:trHeight w:val="885"/>
        </w:trPr>
        <w:tc>
          <w:tcPr>
            <w:tcW w:w="3936" w:type="dxa"/>
            <w:tcBorders>
              <w:left w:val="nil"/>
            </w:tcBorders>
          </w:tcPr>
          <w:p w:rsidR="001D5E11" w:rsidRPr="00B832F5" w:rsidRDefault="001D5E11" w:rsidP="00C263B2">
            <w:pPr>
              <w:spacing w:after="120"/>
              <w:rPr>
                <w:rFonts w:cs="Arial"/>
                <w:b/>
                <w:szCs w:val="20"/>
              </w:rPr>
            </w:pPr>
            <w:r w:rsidRPr="00B832F5">
              <w:rPr>
                <w:rFonts w:cs="Arial"/>
                <w:b/>
                <w:szCs w:val="20"/>
              </w:rPr>
              <w:lastRenderedPageBreak/>
              <w:t>19. DFAT can contribute significantly to building the evidence on what is working to effectively prevent and respond to violence against women by introducing the newly developed M&amp;E framework to select pilot countries where it supports EVAW programming.</w:t>
            </w:r>
          </w:p>
        </w:tc>
        <w:tc>
          <w:tcPr>
            <w:tcW w:w="4252" w:type="dxa"/>
            <w:tcBorders>
              <w:right w:val="single" w:sz="4" w:space="0" w:color="auto"/>
            </w:tcBorders>
            <w:shd w:val="clear" w:color="auto" w:fill="auto"/>
          </w:tcPr>
          <w:p w:rsidR="001D5E11" w:rsidRPr="00B832F5" w:rsidRDefault="001D5E11" w:rsidP="00C263B2">
            <w:pPr>
              <w:spacing w:after="120"/>
              <w:rPr>
                <w:rFonts w:cs="Arial"/>
              </w:rPr>
            </w:pPr>
            <w:r w:rsidRPr="00B832F5">
              <w:rPr>
                <w:rFonts w:cs="Arial"/>
              </w:rPr>
              <w:t>Partially agree</w:t>
            </w:r>
            <w:r w:rsidR="007F4786">
              <w:rPr>
                <w:rFonts w:cs="Arial"/>
              </w:rPr>
              <w:t>.</w:t>
            </w:r>
          </w:p>
          <w:p w:rsidR="001D5E11" w:rsidRPr="00B832F5" w:rsidRDefault="001D5E11" w:rsidP="009F6883">
            <w:pPr>
              <w:spacing w:after="120"/>
              <w:rPr>
                <w:rFonts w:cs="Arial"/>
              </w:rPr>
            </w:pPr>
            <w:r w:rsidRPr="00B832F5">
              <w:rPr>
                <w:rFonts w:cs="Arial"/>
              </w:rPr>
              <w:t xml:space="preserve">DFAT has circulated the ICRW 2013 M&amp;E framework to EVAW managers in the Pacific for their information and use as appropriate.  The intention is to pilot it in select countries.  Before this can happen, however, it needs to be reconsidered in the context of new benchmarks and monitoring requirements of the newly merged DFAT.  It should also be consistent with the </w:t>
            </w:r>
            <w:r w:rsidRPr="00B832F5">
              <w:rPr>
                <w:rFonts w:cs="Arial"/>
                <w:i/>
              </w:rPr>
              <w:t xml:space="preserve">Pacific Women Shaping Pacific Development </w:t>
            </w:r>
            <w:r w:rsidRPr="00B832F5">
              <w:rPr>
                <w:rFonts w:cs="Arial"/>
              </w:rPr>
              <w:t>M&amp;E principles.</w:t>
            </w:r>
          </w:p>
        </w:tc>
        <w:tc>
          <w:tcPr>
            <w:tcW w:w="3206" w:type="dxa"/>
            <w:tcBorders>
              <w:left w:val="single" w:sz="4" w:space="0" w:color="auto"/>
            </w:tcBorders>
            <w:shd w:val="clear" w:color="auto" w:fill="auto"/>
          </w:tcPr>
          <w:p w:rsidR="001D5E11" w:rsidRPr="00B832F5" w:rsidRDefault="001D5E11" w:rsidP="00865423">
            <w:pPr>
              <w:spacing w:after="120"/>
              <w:rPr>
                <w:rFonts w:cs="Arial"/>
              </w:rPr>
            </w:pPr>
            <w:r w:rsidRPr="00B832F5">
              <w:rPr>
                <w:rFonts w:cs="Arial"/>
              </w:rPr>
              <w:t xml:space="preserve">M&amp;E framework to be revised in light of new DFAT requirements for monitoring and benchmarking, and approach under the </w:t>
            </w:r>
            <w:r w:rsidRPr="00B832F5">
              <w:rPr>
                <w:rFonts w:cs="Arial"/>
                <w:i/>
              </w:rPr>
              <w:t>Pacific Women</w:t>
            </w:r>
            <w:r w:rsidRPr="00E5614B">
              <w:rPr>
                <w:rFonts w:cs="Arial"/>
              </w:rPr>
              <w:t xml:space="preserve"> program.</w:t>
            </w:r>
          </w:p>
        </w:tc>
        <w:tc>
          <w:tcPr>
            <w:tcW w:w="3173" w:type="dxa"/>
            <w:tcBorders>
              <w:left w:val="single" w:sz="4" w:space="0" w:color="auto"/>
            </w:tcBorders>
            <w:shd w:val="clear" w:color="auto" w:fill="auto"/>
          </w:tcPr>
          <w:p w:rsidR="001D5E11" w:rsidRPr="00B832F5" w:rsidRDefault="001D5E11" w:rsidP="00E62DA7">
            <w:pPr>
              <w:spacing w:after="120"/>
              <w:rPr>
                <w:rFonts w:cs="Arial"/>
              </w:rPr>
            </w:pPr>
            <w:r w:rsidRPr="00B832F5">
              <w:rPr>
                <w:rFonts w:cs="Arial"/>
              </w:rPr>
              <w:t>G</w:t>
            </w:r>
            <w:r w:rsidR="00E62DA7" w:rsidRPr="00B832F5">
              <w:rPr>
                <w:rFonts w:cs="Arial"/>
              </w:rPr>
              <w:t>ender Equality and Disability Inclusion section (G</w:t>
            </w:r>
            <w:r w:rsidR="003E794F">
              <w:rPr>
                <w:rFonts w:cs="Arial"/>
              </w:rPr>
              <w:t>D</w:t>
            </w:r>
            <w:r w:rsidRPr="00B832F5">
              <w:rPr>
                <w:rFonts w:cs="Arial"/>
              </w:rPr>
              <w:t>I</w:t>
            </w:r>
            <w:r w:rsidR="00E62DA7" w:rsidRPr="00B832F5">
              <w:rPr>
                <w:rFonts w:cs="Arial"/>
              </w:rPr>
              <w:t>)</w:t>
            </w:r>
            <w:r w:rsidRPr="00B832F5">
              <w:rPr>
                <w:rFonts w:cs="Arial"/>
              </w:rPr>
              <w:t xml:space="preserve"> </w:t>
            </w:r>
          </w:p>
        </w:tc>
      </w:tr>
      <w:tr w:rsidR="00EB18D0" w:rsidRPr="00B832F5" w:rsidTr="00AF3EFE">
        <w:trPr>
          <w:cantSplit/>
          <w:trHeight w:val="885"/>
        </w:trPr>
        <w:tc>
          <w:tcPr>
            <w:tcW w:w="3936" w:type="dxa"/>
            <w:tcBorders>
              <w:left w:val="nil"/>
              <w:bottom w:val="single" w:sz="4" w:space="0" w:color="808080"/>
            </w:tcBorders>
          </w:tcPr>
          <w:p w:rsidR="00EB18D0" w:rsidRPr="00B832F5" w:rsidRDefault="00EB18D0" w:rsidP="00C263B2">
            <w:pPr>
              <w:spacing w:after="120"/>
              <w:rPr>
                <w:rFonts w:cs="Arial"/>
                <w:b/>
                <w:szCs w:val="20"/>
              </w:rPr>
            </w:pPr>
            <w:r w:rsidRPr="00B832F5">
              <w:rPr>
                <w:rFonts w:cs="Arial"/>
                <w:b/>
                <w:szCs w:val="20"/>
              </w:rPr>
              <w:t>20. DFAT should work across the gender equality pillars of its thematic strategy to identify, develop and test initiatives to promote women’s leadership and political participation.</w:t>
            </w:r>
          </w:p>
        </w:tc>
        <w:tc>
          <w:tcPr>
            <w:tcW w:w="4252" w:type="dxa"/>
            <w:tcBorders>
              <w:right w:val="single" w:sz="4" w:space="0" w:color="auto"/>
            </w:tcBorders>
            <w:shd w:val="clear" w:color="auto" w:fill="auto"/>
          </w:tcPr>
          <w:p w:rsidR="00EB18D0" w:rsidRPr="00B832F5" w:rsidRDefault="00EB18D0" w:rsidP="00C263B2">
            <w:pPr>
              <w:spacing w:after="120"/>
              <w:rPr>
                <w:rFonts w:cs="Arial"/>
              </w:rPr>
            </w:pPr>
            <w:r w:rsidRPr="00B832F5">
              <w:rPr>
                <w:rFonts w:cs="Arial"/>
              </w:rPr>
              <w:t>Agree.</w:t>
            </w:r>
          </w:p>
          <w:p w:rsidR="00EB18D0" w:rsidRPr="00B832F5" w:rsidRDefault="00EB18D0" w:rsidP="00A509E4">
            <w:pPr>
              <w:spacing w:after="120"/>
              <w:rPr>
                <w:rFonts w:cs="Arial"/>
              </w:rPr>
            </w:pPr>
            <w:r w:rsidRPr="00B832F5">
              <w:rPr>
                <w:rFonts w:cs="Arial"/>
              </w:rPr>
              <w:t xml:space="preserve">Women’s leadership and political participation is critical and a key focus of DFAT’s work in the Pacific through </w:t>
            </w:r>
            <w:r w:rsidRPr="00B832F5">
              <w:rPr>
                <w:rFonts w:cs="Arial"/>
                <w:i/>
              </w:rPr>
              <w:t>Pacific Women</w:t>
            </w:r>
            <w:r w:rsidRPr="00B832F5">
              <w:rPr>
                <w:rFonts w:cs="Arial"/>
              </w:rPr>
              <w:t>, a ten year, $320 million initiative.  It is also mainstreamed through other non-gender specific programs.</w:t>
            </w:r>
          </w:p>
        </w:tc>
        <w:tc>
          <w:tcPr>
            <w:tcW w:w="3206" w:type="dxa"/>
            <w:tcBorders>
              <w:left w:val="single" w:sz="4" w:space="0" w:color="auto"/>
            </w:tcBorders>
            <w:shd w:val="clear" w:color="auto" w:fill="auto"/>
          </w:tcPr>
          <w:p w:rsidR="00EB18D0" w:rsidRPr="00B832F5" w:rsidRDefault="00EB18D0" w:rsidP="00632714">
            <w:pPr>
              <w:spacing w:after="120"/>
              <w:rPr>
                <w:rFonts w:cs="Arial"/>
              </w:rPr>
            </w:pPr>
            <w:r w:rsidRPr="00B832F5">
              <w:rPr>
                <w:rFonts w:cs="Arial"/>
                <w:i/>
              </w:rPr>
              <w:t>Pacific Women</w:t>
            </w:r>
            <w:r w:rsidRPr="00B832F5">
              <w:rPr>
                <w:rFonts w:cs="Arial"/>
              </w:rPr>
              <w:t xml:space="preserve"> to continue its work on women’s leadership and political participation across the region.</w:t>
            </w:r>
          </w:p>
          <w:p w:rsidR="00EB18D0" w:rsidRPr="00B832F5" w:rsidRDefault="00EB18D0" w:rsidP="00632714">
            <w:pPr>
              <w:spacing w:after="120"/>
              <w:rPr>
                <w:rFonts w:cs="Arial"/>
              </w:rPr>
            </w:pPr>
            <w:r w:rsidRPr="00B832F5">
              <w:rPr>
                <w:rFonts w:cs="Arial"/>
              </w:rPr>
              <w:t xml:space="preserve">DFAT programs in the Pacific to continue efforts to mainstream </w:t>
            </w:r>
            <w:r w:rsidR="000F3735" w:rsidRPr="00B832F5">
              <w:rPr>
                <w:rFonts w:cs="Arial"/>
              </w:rPr>
              <w:t>women’s leadership</w:t>
            </w:r>
            <w:r w:rsidRPr="00B832F5">
              <w:rPr>
                <w:rFonts w:cs="Arial"/>
              </w:rPr>
              <w:t xml:space="preserve"> and decision-making.</w:t>
            </w:r>
          </w:p>
        </w:tc>
        <w:tc>
          <w:tcPr>
            <w:tcW w:w="3173" w:type="dxa"/>
            <w:tcBorders>
              <w:left w:val="single" w:sz="4" w:space="0" w:color="auto"/>
            </w:tcBorders>
            <w:shd w:val="clear" w:color="auto" w:fill="auto"/>
          </w:tcPr>
          <w:p w:rsidR="00EB18D0" w:rsidRPr="00B832F5" w:rsidRDefault="00EB18D0" w:rsidP="00632714">
            <w:pPr>
              <w:spacing w:after="120"/>
              <w:rPr>
                <w:rFonts w:cs="Arial"/>
              </w:rPr>
            </w:pPr>
            <w:r w:rsidRPr="00B832F5">
              <w:rPr>
                <w:rFonts w:cs="Arial"/>
                <w:i/>
              </w:rPr>
              <w:t>Pacific Women</w:t>
            </w:r>
            <w:r w:rsidRPr="00B832F5">
              <w:rPr>
                <w:rFonts w:cs="Arial"/>
              </w:rPr>
              <w:t xml:space="preserve"> management team in Canberra and Suva.</w:t>
            </w:r>
          </w:p>
          <w:p w:rsidR="00EB18D0" w:rsidRPr="00B832F5" w:rsidRDefault="00EB18D0" w:rsidP="00632714">
            <w:pPr>
              <w:spacing w:after="120"/>
              <w:rPr>
                <w:rFonts w:cs="Arial"/>
              </w:rPr>
            </w:pPr>
            <w:r w:rsidRPr="00B832F5">
              <w:rPr>
                <w:rFonts w:cs="Arial"/>
              </w:rPr>
              <w:t>All Pacific programs.</w:t>
            </w:r>
          </w:p>
        </w:tc>
      </w:tr>
      <w:tr w:rsidR="00EB18D0" w:rsidRPr="00B832F5" w:rsidTr="00AF3EFE">
        <w:trPr>
          <w:cantSplit/>
          <w:trHeight w:val="885"/>
        </w:trPr>
        <w:tc>
          <w:tcPr>
            <w:tcW w:w="3936" w:type="dxa"/>
            <w:tcBorders>
              <w:left w:val="nil"/>
              <w:bottom w:val="single" w:sz="4" w:space="0" w:color="808080"/>
            </w:tcBorders>
          </w:tcPr>
          <w:p w:rsidR="00EB18D0" w:rsidRPr="00B832F5" w:rsidRDefault="00EB18D0" w:rsidP="00C263B2">
            <w:pPr>
              <w:spacing w:after="120"/>
              <w:rPr>
                <w:rFonts w:cs="Arial"/>
                <w:b/>
                <w:szCs w:val="20"/>
              </w:rPr>
            </w:pPr>
            <w:r w:rsidRPr="00B832F5">
              <w:rPr>
                <w:rFonts w:cs="Arial"/>
                <w:b/>
                <w:szCs w:val="20"/>
              </w:rPr>
              <w:lastRenderedPageBreak/>
              <w:t>21. DFAT should work with program designers and implementers to conduct and evaluate programs that aim to reduce women’s economic dependence and income inequality.</w:t>
            </w:r>
          </w:p>
          <w:p w:rsidR="00EB18D0" w:rsidRPr="00B832F5" w:rsidRDefault="00AF3EFE" w:rsidP="00C263B2">
            <w:pPr>
              <w:spacing w:after="120"/>
              <w:rPr>
                <w:rFonts w:cs="Arial"/>
                <w:b/>
                <w:i/>
                <w:szCs w:val="20"/>
              </w:rPr>
            </w:pPr>
            <w:r w:rsidRPr="00E5614B">
              <w:rPr>
                <w:rFonts w:cs="Arial"/>
                <w:i/>
              </w:rPr>
              <w:t>Note this is linked with ensuring these programs: ‘contribute to DFAT’s ability to provide clear guidance on how to program to reduce experiences of violence.’</w:t>
            </w:r>
          </w:p>
          <w:p w:rsidR="00EB18D0" w:rsidRPr="00B832F5" w:rsidRDefault="00EB18D0" w:rsidP="00865423">
            <w:pPr>
              <w:spacing w:after="120"/>
              <w:rPr>
                <w:rFonts w:cs="Arial"/>
                <w:b/>
                <w:szCs w:val="20"/>
              </w:rPr>
            </w:pPr>
          </w:p>
        </w:tc>
        <w:tc>
          <w:tcPr>
            <w:tcW w:w="4252" w:type="dxa"/>
            <w:tcBorders>
              <w:bottom w:val="single" w:sz="4" w:space="0" w:color="808080"/>
              <w:right w:val="single" w:sz="4" w:space="0" w:color="auto"/>
            </w:tcBorders>
            <w:shd w:val="clear" w:color="auto" w:fill="auto"/>
          </w:tcPr>
          <w:p w:rsidR="00EB18D0" w:rsidRPr="00B832F5" w:rsidRDefault="00EB18D0" w:rsidP="00C263B2">
            <w:pPr>
              <w:spacing w:after="120"/>
              <w:rPr>
                <w:rFonts w:cs="Arial"/>
              </w:rPr>
            </w:pPr>
            <w:r w:rsidRPr="00B832F5">
              <w:rPr>
                <w:rFonts w:cs="Arial"/>
              </w:rPr>
              <w:t>Agree.</w:t>
            </w:r>
          </w:p>
          <w:p w:rsidR="00EB18D0" w:rsidRPr="00B832F5" w:rsidRDefault="00EB18D0" w:rsidP="006A5B66">
            <w:pPr>
              <w:spacing w:after="120"/>
              <w:rPr>
                <w:rFonts w:cs="Arial"/>
              </w:rPr>
            </w:pPr>
            <w:r w:rsidRPr="00B832F5">
              <w:rPr>
                <w:rFonts w:cs="Arial"/>
              </w:rPr>
              <w:t xml:space="preserve">Women’s economic empowerment is critical and a key focus of DFAT’s work in the Pacific, through both mainstream programs and </w:t>
            </w:r>
            <w:r w:rsidRPr="00B832F5">
              <w:rPr>
                <w:rFonts w:cs="Arial"/>
                <w:i/>
              </w:rPr>
              <w:t>Pacific Women</w:t>
            </w:r>
            <w:r w:rsidRPr="00B832F5">
              <w:rPr>
                <w:rFonts w:cs="Arial"/>
              </w:rPr>
              <w:t xml:space="preserve">.  </w:t>
            </w:r>
          </w:p>
          <w:p w:rsidR="00EB18D0" w:rsidRPr="00B832F5" w:rsidRDefault="00EB18D0" w:rsidP="00A440C9">
            <w:pPr>
              <w:spacing w:after="120"/>
              <w:rPr>
                <w:rFonts w:cs="Arial"/>
              </w:rPr>
            </w:pPr>
            <w:r w:rsidRPr="00B832F5">
              <w:rPr>
                <w:rFonts w:cs="Arial"/>
              </w:rPr>
              <w:t>DFAT is funding the Australian National University’s State, Society and Governance in Melanesia (SSGM) program to undertake research in Melanesia on the links between violence against women and women’s economic empowerment.  DFAT will use this research to inform and guide both programs on ending violence, and economic empowerment programs, to reduce women’s experience of violence.</w:t>
            </w:r>
          </w:p>
        </w:tc>
        <w:tc>
          <w:tcPr>
            <w:tcW w:w="3206" w:type="dxa"/>
            <w:tcBorders>
              <w:left w:val="single" w:sz="4" w:space="0" w:color="auto"/>
              <w:bottom w:val="single" w:sz="4" w:space="0" w:color="808080"/>
            </w:tcBorders>
            <w:shd w:val="clear" w:color="auto" w:fill="auto"/>
          </w:tcPr>
          <w:p w:rsidR="00EB18D0" w:rsidRPr="00B832F5" w:rsidRDefault="00EB18D0" w:rsidP="00632714">
            <w:pPr>
              <w:spacing w:after="120"/>
              <w:rPr>
                <w:rFonts w:cs="Arial"/>
              </w:rPr>
            </w:pPr>
            <w:r w:rsidRPr="00B832F5">
              <w:rPr>
                <w:rFonts w:cs="Arial"/>
              </w:rPr>
              <w:t>DFAT programs in the Pacific to continue efforts to reduce women’s economic dependence and income inequality through economic empowerment programs for women.</w:t>
            </w:r>
          </w:p>
          <w:p w:rsidR="00EB18D0" w:rsidRPr="00B832F5" w:rsidRDefault="00EB18D0" w:rsidP="00632714">
            <w:pPr>
              <w:spacing w:after="120"/>
              <w:rPr>
                <w:rFonts w:cs="Arial"/>
              </w:rPr>
            </w:pPr>
            <w:r w:rsidRPr="00B832F5">
              <w:rPr>
                <w:rFonts w:cs="Arial"/>
              </w:rPr>
              <w:t>Gender Equality and Disability Inclusion section</w:t>
            </w:r>
            <w:r w:rsidR="00AF3EFE" w:rsidRPr="00B832F5">
              <w:rPr>
                <w:rFonts w:cs="Arial"/>
              </w:rPr>
              <w:t xml:space="preserve"> (G</w:t>
            </w:r>
            <w:r w:rsidR="003E794F">
              <w:rPr>
                <w:rFonts w:cs="Arial"/>
              </w:rPr>
              <w:t>D</w:t>
            </w:r>
            <w:r w:rsidR="00AF3EFE" w:rsidRPr="00B832F5">
              <w:rPr>
                <w:rFonts w:cs="Arial"/>
              </w:rPr>
              <w:t>I)</w:t>
            </w:r>
            <w:r w:rsidRPr="00B832F5">
              <w:rPr>
                <w:rFonts w:cs="Arial"/>
              </w:rPr>
              <w:t xml:space="preserve"> to monitor and distribute results of the SSGM research to all Posts, for implementation in EVAW and economic empowerment programs</w:t>
            </w:r>
          </w:p>
          <w:p w:rsidR="00EB18D0" w:rsidRPr="00B832F5" w:rsidRDefault="00EB18D0" w:rsidP="00A509E4">
            <w:pPr>
              <w:spacing w:after="120"/>
              <w:rPr>
                <w:rFonts w:cs="Arial"/>
              </w:rPr>
            </w:pPr>
          </w:p>
        </w:tc>
        <w:tc>
          <w:tcPr>
            <w:tcW w:w="3173" w:type="dxa"/>
            <w:tcBorders>
              <w:left w:val="single" w:sz="4" w:space="0" w:color="auto"/>
              <w:bottom w:val="single" w:sz="4" w:space="0" w:color="808080"/>
            </w:tcBorders>
            <w:shd w:val="clear" w:color="auto" w:fill="auto"/>
          </w:tcPr>
          <w:p w:rsidR="00EB18D0" w:rsidRPr="00B832F5" w:rsidRDefault="00EB18D0" w:rsidP="000C438C">
            <w:pPr>
              <w:spacing w:after="120"/>
              <w:rPr>
                <w:rFonts w:cs="Arial"/>
                <w:i/>
              </w:rPr>
            </w:pPr>
            <w:r w:rsidRPr="00B832F5">
              <w:rPr>
                <w:rFonts w:cs="Arial"/>
              </w:rPr>
              <w:t xml:space="preserve"> All Pacific programs, including </w:t>
            </w:r>
            <w:r w:rsidRPr="00B832F5">
              <w:rPr>
                <w:rFonts w:cs="Arial"/>
                <w:i/>
              </w:rPr>
              <w:t>Pacific Women.</w:t>
            </w:r>
          </w:p>
          <w:p w:rsidR="00EB18D0" w:rsidRPr="00B832F5" w:rsidRDefault="00EB18D0" w:rsidP="000C438C">
            <w:pPr>
              <w:spacing w:after="120"/>
              <w:rPr>
                <w:rFonts w:cs="Arial"/>
                <w:i/>
              </w:rPr>
            </w:pPr>
          </w:p>
          <w:p w:rsidR="00EB18D0" w:rsidRPr="00B832F5" w:rsidRDefault="00EB18D0" w:rsidP="000C438C">
            <w:pPr>
              <w:spacing w:after="120"/>
              <w:rPr>
                <w:rFonts w:cs="Arial"/>
              </w:rPr>
            </w:pPr>
            <w:r w:rsidRPr="00B832F5">
              <w:rPr>
                <w:rFonts w:cs="Arial"/>
              </w:rPr>
              <w:t>Manager, SSGM research, G</w:t>
            </w:r>
            <w:r w:rsidR="003E794F">
              <w:rPr>
                <w:rFonts w:cs="Arial"/>
              </w:rPr>
              <w:t>D</w:t>
            </w:r>
            <w:r w:rsidRPr="00B832F5">
              <w:rPr>
                <w:rFonts w:cs="Arial"/>
              </w:rPr>
              <w:t>I.</w:t>
            </w:r>
          </w:p>
        </w:tc>
      </w:tr>
    </w:tbl>
    <w:p w:rsidR="00C657FB" w:rsidRPr="00B832F5" w:rsidRDefault="00C657FB" w:rsidP="00C657FB">
      <w:pPr>
        <w:rPr>
          <w:rFonts w:cs="Arial"/>
        </w:rPr>
      </w:pPr>
    </w:p>
    <w:p w:rsidR="00C657FB" w:rsidRPr="00B832F5" w:rsidRDefault="00C657FB" w:rsidP="00C657FB">
      <w:pPr>
        <w:rPr>
          <w:rFonts w:cs="Arial"/>
        </w:rPr>
      </w:pPr>
    </w:p>
    <w:p w:rsidR="00C657FB" w:rsidRPr="00B832F5" w:rsidRDefault="00C657FB" w:rsidP="00C657FB">
      <w:pPr>
        <w:rPr>
          <w:rFonts w:cs="Arial"/>
        </w:rPr>
      </w:pPr>
    </w:p>
    <w:sectPr w:rsidR="00C657FB" w:rsidRPr="00B832F5" w:rsidSect="008A61A8">
      <w:pgSz w:w="16838" w:h="11906" w:orient="landscape"/>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A4" w:rsidRDefault="009F4CA4">
      <w:pPr>
        <w:pStyle w:val="Table-list-number"/>
      </w:pPr>
      <w:r>
        <w:separator/>
      </w:r>
    </w:p>
  </w:endnote>
  <w:endnote w:type="continuationSeparator" w:id="0">
    <w:p w:rsidR="009F4CA4" w:rsidRDefault="009F4CA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6D" w:rsidRPr="00AE52D5" w:rsidRDefault="009D0A6D"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5A1499">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5A1499">
      <w:rPr>
        <w:rStyle w:val="PageNumber"/>
        <w:noProof/>
      </w:rPr>
      <w:t>18</w:t>
    </w:r>
    <w:r w:rsidRPr="00AE52D5">
      <w:rPr>
        <w:rStyle w:val="PageNumber"/>
      </w:rPr>
      <w:fldChar w:fldCharType="end"/>
    </w:r>
  </w:p>
  <w:p w:rsidR="009D0A6D" w:rsidRPr="00AE52D5" w:rsidRDefault="009D0A6D"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rsidR="009D0A6D" w:rsidRPr="000815FC" w:rsidRDefault="009D0A6D"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A4" w:rsidRDefault="009F4CA4">
      <w:pPr>
        <w:pStyle w:val="Table-list-number"/>
      </w:pPr>
      <w:r>
        <w:separator/>
      </w:r>
    </w:p>
  </w:footnote>
  <w:footnote w:type="continuationSeparator" w:id="0">
    <w:p w:rsidR="009F4CA4" w:rsidRDefault="009F4CA4">
      <w:pPr>
        <w:pStyle w:val="Table-list-number"/>
      </w:pPr>
      <w:r>
        <w:continuationSeparator/>
      </w:r>
    </w:p>
  </w:footnote>
  <w:footnote w:id="1">
    <w:p w:rsidR="0097147B" w:rsidRDefault="0097147B" w:rsidP="0097147B">
      <w:pPr>
        <w:rPr>
          <w:rFonts w:cs="Arial"/>
          <w:color w:val="FF0000"/>
        </w:rPr>
      </w:pPr>
      <w:r>
        <w:rPr>
          <w:rStyle w:val="FootnoteReference"/>
        </w:rPr>
        <w:footnoteRef/>
      </w:r>
      <w:r>
        <w:t xml:space="preserve"> </w:t>
      </w:r>
      <w:r w:rsidRPr="007F4786">
        <w:rPr>
          <w:rFonts w:cs="Arial"/>
        </w:rPr>
        <w:t xml:space="preserve">In response to PNG’s new adviser regulations, Australian officials are no longer working as advisers inside PNG’s central departments. </w:t>
      </w:r>
    </w:p>
    <w:p w:rsidR="0097147B" w:rsidRPr="007F4786" w:rsidRDefault="0097147B">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6D" w:rsidRPr="00077243" w:rsidRDefault="009D0A6D"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AA2436"/>
    <w:lvl w:ilvl="0">
      <w:start w:val="1"/>
      <w:numFmt w:val="bullet"/>
      <w:pStyle w:val="ListBullet"/>
      <w:lvlText w:val=""/>
      <w:lvlJc w:val="left"/>
      <w:pPr>
        <w:ind w:left="360" w:hanging="360"/>
      </w:pPr>
      <w:rPr>
        <w:rFonts w:ascii="Wingdings" w:hAnsi="Wingdings" w:hint="default"/>
        <w:color w:val="auto"/>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913A0D"/>
    <w:multiLevelType w:val="hybridMultilevel"/>
    <w:tmpl w:val="AA2E36DE"/>
    <w:lvl w:ilvl="0" w:tplc="4F0E64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4D3B07"/>
    <w:multiLevelType w:val="hybridMultilevel"/>
    <w:tmpl w:val="675CD0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25A907DA"/>
    <w:multiLevelType w:val="hybridMultilevel"/>
    <w:tmpl w:val="1194D304"/>
    <w:lvl w:ilvl="0" w:tplc="E27C49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A1765"/>
    <w:multiLevelType w:val="hybridMultilevel"/>
    <w:tmpl w:val="2CB46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0C12A7E"/>
    <w:multiLevelType w:val="hybridMultilevel"/>
    <w:tmpl w:val="ED6CEAF6"/>
    <w:lvl w:ilvl="0" w:tplc="7A743992">
      <w:start w:val="1"/>
      <w:numFmt w:val="lowerLetter"/>
      <w:lvlText w:val="(%1)"/>
      <w:lvlJc w:val="left"/>
      <w:pPr>
        <w:tabs>
          <w:tab w:val="num" w:pos="1140"/>
        </w:tabs>
        <w:ind w:left="1140" w:hanging="720"/>
      </w:pPr>
      <w:rPr>
        <w:rFonts w:hint="default"/>
      </w:rPr>
    </w:lvl>
    <w:lvl w:ilvl="1" w:tplc="B99C10DC">
      <w:start w:val="1"/>
      <w:numFmt w:val="decimal"/>
      <w:lvlText w:val="%2."/>
      <w:lvlJc w:val="left"/>
      <w:pPr>
        <w:tabs>
          <w:tab w:val="num" w:pos="1500"/>
        </w:tabs>
        <w:ind w:left="1500" w:hanging="360"/>
      </w:pPr>
      <w:rPr>
        <w:rFonts w:hint="default"/>
        <w:i/>
      </w:rPr>
    </w:lvl>
    <w:lvl w:ilvl="2" w:tplc="0C09001B">
      <w:start w:val="1"/>
      <w:numFmt w:val="lowerRoman"/>
      <w:lvlText w:val="%3."/>
      <w:lvlJc w:val="right"/>
      <w:pPr>
        <w:tabs>
          <w:tab w:val="num" w:pos="2220"/>
        </w:tabs>
        <w:ind w:left="2220" w:hanging="180"/>
      </w:pPr>
    </w:lvl>
    <w:lvl w:ilvl="3" w:tplc="8F702228">
      <w:start w:val="1"/>
      <w:numFmt w:val="lowerLetter"/>
      <w:lvlText w:val="%4."/>
      <w:lvlJc w:val="left"/>
      <w:pPr>
        <w:ind w:left="2940" w:hanging="360"/>
      </w:pPr>
      <w:rPr>
        <w:rFonts w:hint="default"/>
      </w:r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9">
    <w:nsid w:val="32594861"/>
    <w:multiLevelType w:val="hybridMultilevel"/>
    <w:tmpl w:val="F6664794"/>
    <w:lvl w:ilvl="0" w:tplc="B2D87C1A">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3B2B2BF4"/>
    <w:multiLevelType w:val="hybridMultilevel"/>
    <w:tmpl w:val="74789EC8"/>
    <w:lvl w:ilvl="0" w:tplc="87DA256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7A6253"/>
    <w:multiLevelType w:val="hybridMultilevel"/>
    <w:tmpl w:val="E0E2F8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40CB7B44"/>
    <w:multiLevelType w:val="hybridMultilevel"/>
    <w:tmpl w:val="C7128E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4D4A471E"/>
    <w:multiLevelType w:val="hybridMultilevel"/>
    <w:tmpl w:val="3E8A9504"/>
    <w:lvl w:ilvl="0" w:tplc="DC3217B4">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4F9371AD"/>
    <w:multiLevelType w:val="hybridMultilevel"/>
    <w:tmpl w:val="5F34E816"/>
    <w:lvl w:ilvl="0" w:tplc="6CCA16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FC96FB8"/>
    <w:multiLevelType w:val="hybridMultilevel"/>
    <w:tmpl w:val="324272EA"/>
    <w:lvl w:ilvl="0" w:tplc="09F41864">
      <w:numFmt w:val="bullet"/>
      <w:lvlText w:val="-"/>
      <w:lvlJc w:val="left"/>
      <w:pPr>
        <w:ind w:left="720" w:hanging="360"/>
      </w:pPr>
      <w:rPr>
        <w:rFonts w:ascii="Times New Roman" w:eastAsia="MS Minng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976A32"/>
    <w:multiLevelType w:val="hybridMultilevel"/>
    <w:tmpl w:val="5798CFC8"/>
    <w:lvl w:ilvl="0" w:tplc="DD0EF7F4">
      <w:numFmt w:val="bullet"/>
      <w:lvlText w:val="-"/>
      <w:lvlJc w:val="left"/>
      <w:pPr>
        <w:ind w:left="720" w:hanging="360"/>
      </w:pPr>
      <w:rPr>
        <w:rFonts w:ascii="Arial" w:eastAsia="Times New Roman" w:hAnsi="Arial" w:cs="Aria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0">
    <w:nsid w:val="736957AF"/>
    <w:multiLevelType w:val="hybridMultilevel"/>
    <w:tmpl w:val="3E8A9504"/>
    <w:lvl w:ilvl="0" w:tplc="DC3217B4">
      <w:start w:val="1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4855146"/>
    <w:multiLevelType w:val="hybridMultilevel"/>
    <w:tmpl w:val="58B0ABFC"/>
    <w:lvl w:ilvl="0" w:tplc="18469E6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DFB5F12"/>
    <w:multiLevelType w:val="multilevel"/>
    <w:tmpl w:val="1B3C1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19"/>
  </w:num>
  <w:num w:numId="5">
    <w:abstractNumId w:val="22"/>
  </w:num>
  <w:num w:numId="6">
    <w:abstractNumId w:val="1"/>
  </w:num>
  <w:num w:numId="7">
    <w:abstractNumId w:val="23"/>
  </w:num>
  <w:num w:numId="8">
    <w:abstractNumId w:val="17"/>
  </w:num>
  <w:num w:numId="9">
    <w:abstractNumId w:val="18"/>
  </w:num>
  <w:num w:numId="10">
    <w:abstractNumId w:val="2"/>
  </w:num>
  <w:num w:numId="11">
    <w:abstractNumId w:val="10"/>
  </w:num>
  <w:num w:numId="12">
    <w:abstractNumId w:val="24"/>
  </w:num>
  <w:num w:numId="13">
    <w:abstractNumId w:val="3"/>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5"/>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1D32"/>
    <w:rsid w:val="000272E0"/>
    <w:rsid w:val="00031779"/>
    <w:rsid w:val="00040EB8"/>
    <w:rsid w:val="000412DD"/>
    <w:rsid w:val="00050AA5"/>
    <w:rsid w:val="00052316"/>
    <w:rsid w:val="00054700"/>
    <w:rsid w:val="00054FFD"/>
    <w:rsid w:val="00067C95"/>
    <w:rsid w:val="000709FA"/>
    <w:rsid w:val="0007162A"/>
    <w:rsid w:val="00071CEC"/>
    <w:rsid w:val="000728D3"/>
    <w:rsid w:val="000733A7"/>
    <w:rsid w:val="000765F5"/>
    <w:rsid w:val="00077243"/>
    <w:rsid w:val="000815FC"/>
    <w:rsid w:val="000869CE"/>
    <w:rsid w:val="00094CE2"/>
    <w:rsid w:val="0009690E"/>
    <w:rsid w:val="000A77DB"/>
    <w:rsid w:val="000B4316"/>
    <w:rsid w:val="000B520A"/>
    <w:rsid w:val="000B7AFD"/>
    <w:rsid w:val="000C438C"/>
    <w:rsid w:val="000C4574"/>
    <w:rsid w:val="000D316D"/>
    <w:rsid w:val="000D38AE"/>
    <w:rsid w:val="000D511B"/>
    <w:rsid w:val="000E1475"/>
    <w:rsid w:val="000E1958"/>
    <w:rsid w:val="000F1885"/>
    <w:rsid w:val="000F3735"/>
    <w:rsid w:val="000F3F58"/>
    <w:rsid w:val="000F51D5"/>
    <w:rsid w:val="000F5FF5"/>
    <w:rsid w:val="0010006D"/>
    <w:rsid w:val="00102362"/>
    <w:rsid w:val="00104963"/>
    <w:rsid w:val="001077BF"/>
    <w:rsid w:val="00113C84"/>
    <w:rsid w:val="00116D39"/>
    <w:rsid w:val="00121F43"/>
    <w:rsid w:val="001236CF"/>
    <w:rsid w:val="00123C3E"/>
    <w:rsid w:val="0012582F"/>
    <w:rsid w:val="00133FC3"/>
    <w:rsid w:val="00134B6C"/>
    <w:rsid w:val="00136122"/>
    <w:rsid w:val="001378B7"/>
    <w:rsid w:val="00140289"/>
    <w:rsid w:val="00144877"/>
    <w:rsid w:val="00144AF1"/>
    <w:rsid w:val="001461C8"/>
    <w:rsid w:val="001467C6"/>
    <w:rsid w:val="00151891"/>
    <w:rsid w:val="00153F2A"/>
    <w:rsid w:val="001614B0"/>
    <w:rsid w:val="00161591"/>
    <w:rsid w:val="001620B2"/>
    <w:rsid w:val="0016457C"/>
    <w:rsid w:val="00173632"/>
    <w:rsid w:val="00175FFC"/>
    <w:rsid w:val="001767B4"/>
    <w:rsid w:val="00177AC0"/>
    <w:rsid w:val="0018318E"/>
    <w:rsid w:val="00184728"/>
    <w:rsid w:val="001874BC"/>
    <w:rsid w:val="001917F6"/>
    <w:rsid w:val="001B0161"/>
    <w:rsid w:val="001B1EE4"/>
    <w:rsid w:val="001B5DEE"/>
    <w:rsid w:val="001C450A"/>
    <w:rsid w:val="001D5E11"/>
    <w:rsid w:val="001D601B"/>
    <w:rsid w:val="001D7353"/>
    <w:rsid w:val="001E3D24"/>
    <w:rsid w:val="001E4372"/>
    <w:rsid w:val="001E4FCC"/>
    <w:rsid w:val="001F548E"/>
    <w:rsid w:val="00201759"/>
    <w:rsid w:val="00205942"/>
    <w:rsid w:val="00206132"/>
    <w:rsid w:val="00214F7F"/>
    <w:rsid w:val="00221D53"/>
    <w:rsid w:val="00223581"/>
    <w:rsid w:val="00232239"/>
    <w:rsid w:val="002425E0"/>
    <w:rsid w:val="00243A6B"/>
    <w:rsid w:val="00245265"/>
    <w:rsid w:val="00246F6E"/>
    <w:rsid w:val="00250414"/>
    <w:rsid w:val="00250CB9"/>
    <w:rsid w:val="002524DA"/>
    <w:rsid w:val="002546B7"/>
    <w:rsid w:val="00255DF0"/>
    <w:rsid w:val="00264366"/>
    <w:rsid w:val="002740FA"/>
    <w:rsid w:val="00276F45"/>
    <w:rsid w:val="00280A1C"/>
    <w:rsid w:val="002811C8"/>
    <w:rsid w:val="002824B7"/>
    <w:rsid w:val="002839B9"/>
    <w:rsid w:val="00284948"/>
    <w:rsid w:val="0029717D"/>
    <w:rsid w:val="002A704F"/>
    <w:rsid w:val="002B2279"/>
    <w:rsid w:val="002B2BA6"/>
    <w:rsid w:val="002B5216"/>
    <w:rsid w:val="002B7CB3"/>
    <w:rsid w:val="002C5773"/>
    <w:rsid w:val="002D1173"/>
    <w:rsid w:val="002D4C96"/>
    <w:rsid w:val="002E0EA2"/>
    <w:rsid w:val="002E2BEE"/>
    <w:rsid w:val="002E5BB6"/>
    <w:rsid w:val="002E7065"/>
    <w:rsid w:val="002E7A09"/>
    <w:rsid w:val="002F001E"/>
    <w:rsid w:val="002F13CD"/>
    <w:rsid w:val="002F3803"/>
    <w:rsid w:val="0030264B"/>
    <w:rsid w:val="00310523"/>
    <w:rsid w:val="00310FA6"/>
    <w:rsid w:val="00326D2A"/>
    <w:rsid w:val="00327F16"/>
    <w:rsid w:val="00334E51"/>
    <w:rsid w:val="00342870"/>
    <w:rsid w:val="00345F77"/>
    <w:rsid w:val="00350917"/>
    <w:rsid w:val="0035724B"/>
    <w:rsid w:val="00362C6C"/>
    <w:rsid w:val="00367DA3"/>
    <w:rsid w:val="003719DB"/>
    <w:rsid w:val="00371B8D"/>
    <w:rsid w:val="00373EB2"/>
    <w:rsid w:val="0037535E"/>
    <w:rsid w:val="0039002F"/>
    <w:rsid w:val="00390A59"/>
    <w:rsid w:val="00394C72"/>
    <w:rsid w:val="00397F85"/>
    <w:rsid w:val="003A09AD"/>
    <w:rsid w:val="003A09DD"/>
    <w:rsid w:val="003A273C"/>
    <w:rsid w:val="003A36D5"/>
    <w:rsid w:val="003A4D26"/>
    <w:rsid w:val="003B2717"/>
    <w:rsid w:val="003B3C16"/>
    <w:rsid w:val="003B518A"/>
    <w:rsid w:val="003C0A67"/>
    <w:rsid w:val="003C1A4F"/>
    <w:rsid w:val="003C24EC"/>
    <w:rsid w:val="003C25ED"/>
    <w:rsid w:val="003C3EFC"/>
    <w:rsid w:val="003D0C24"/>
    <w:rsid w:val="003D236A"/>
    <w:rsid w:val="003D4CAC"/>
    <w:rsid w:val="003D548A"/>
    <w:rsid w:val="003D5CFC"/>
    <w:rsid w:val="003D6E0A"/>
    <w:rsid w:val="003D7317"/>
    <w:rsid w:val="003E0DFE"/>
    <w:rsid w:val="003E2603"/>
    <w:rsid w:val="003E3E3E"/>
    <w:rsid w:val="003E465D"/>
    <w:rsid w:val="003E6561"/>
    <w:rsid w:val="003E794F"/>
    <w:rsid w:val="003E7BC4"/>
    <w:rsid w:val="003F0F7E"/>
    <w:rsid w:val="003F2997"/>
    <w:rsid w:val="003F43CF"/>
    <w:rsid w:val="003F43F9"/>
    <w:rsid w:val="003F7C64"/>
    <w:rsid w:val="004032D0"/>
    <w:rsid w:val="0040454B"/>
    <w:rsid w:val="00406563"/>
    <w:rsid w:val="00406867"/>
    <w:rsid w:val="00406CD2"/>
    <w:rsid w:val="00410A12"/>
    <w:rsid w:val="00411862"/>
    <w:rsid w:val="00416565"/>
    <w:rsid w:val="004221A5"/>
    <w:rsid w:val="00433152"/>
    <w:rsid w:val="00434134"/>
    <w:rsid w:val="00435780"/>
    <w:rsid w:val="00444D45"/>
    <w:rsid w:val="00454766"/>
    <w:rsid w:val="004555E2"/>
    <w:rsid w:val="00455F94"/>
    <w:rsid w:val="00456E9B"/>
    <w:rsid w:val="00461D80"/>
    <w:rsid w:val="00466CDA"/>
    <w:rsid w:val="004707CB"/>
    <w:rsid w:val="00473AA7"/>
    <w:rsid w:val="00476FDC"/>
    <w:rsid w:val="0047719C"/>
    <w:rsid w:val="004805BB"/>
    <w:rsid w:val="004834A6"/>
    <w:rsid w:val="00496DB3"/>
    <w:rsid w:val="004A100E"/>
    <w:rsid w:val="004A56A0"/>
    <w:rsid w:val="004B2247"/>
    <w:rsid w:val="004C00C0"/>
    <w:rsid w:val="004C4102"/>
    <w:rsid w:val="004C429D"/>
    <w:rsid w:val="004C675F"/>
    <w:rsid w:val="004D280D"/>
    <w:rsid w:val="004D3454"/>
    <w:rsid w:val="004D4886"/>
    <w:rsid w:val="004D6F8E"/>
    <w:rsid w:val="004E0A16"/>
    <w:rsid w:val="004E150A"/>
    <w:rsid w:val="004E37BD"/>
    <w:rsid w:val="004F5F17"/>
    <w:rsid w:val="004F6B6E"/>
    <w:rsid w:val="00504689"/>
    <w:rsid w:val="005077AB"/>
    <w:rsid w:val="005149FE"/>
    <w:rsid w:val="005154F9"/>
    <w:rsid w:val="005160D5"/>
    <w:rsid w:val="0052010E"/>
    <w:rsid w:val="00522766"/>
    <w:rsid w:val="00523BBF"/>
    <w:rsid w:val="00524245"/>
    <w:rsid w:val="00530283"/>
    <w:rsid w:val="00530F01"/>
    <w:rsid w:val="005407E9"/>
    <w:rsid w:val="005477B9"/>
    <w:rsid w:val="00550E26"/>
    <w:rsid w:val="005561DC"/>
    <w:rsid w:val="00556E3E"/>
    <w:rsid w:val="00564D20"/>
    <w:rsid w:val="00566A75"/>
    <w:rsid w:val="005672CB"/>
    <w:rsid w:val="00576EED"/>
    <w:rsid w:val="005829CA"/>
    <w:rsid w:val="00583FEC"/>
    <w:rsid w:val="00586B72"/>
    <w:rsid w:val="0059065C"/>
    <w:rsid w:val="005928E6"/>
    <w:rsid w:val="005938CD"/>
    <w:rsid w:val="00593A96"/>
    <w:rsid w:val="00593DB7"/>
    <w:rsid w:val="0059519C"/>
    <w:rsid w:val="00596949"/>
    <w:rsid w:val="005A1499"/>
    <w:rsid w:val="005A4455"/>
    <w:rsid w:val="005A47C3"/>
    <w:rsid w:val="005A6B4A"/>
    <w:rsid w:val="005A7156"/>
    <w:rsid w:val="005A7776"/>
    <w:rsid w:val="005B4048"/>
    <w:rsid w:val="005C258E"/>
    <w:rsid w:val="005C2C4F"/>
    <w:rsid w:val="005D008B"/>
    <w:rsid w:val="005D337B"/>
    <w:rsid w:val="005D3F4B"/>
    <w:rsid w:val="005E0F91"/>
    <w:rsid w:val="005E3939"/>
    <w:rsid w:val="00611E1D"/>
    <w:rsid w:val="0061231E"/>
    <w:rsid w:val="00614E79"/>
    <w:rsid w:val="00614EC8"/>
    <w:rsid w:val="006153BC"/>
    <w:rsid w:val="00630522"/>
    <w:rsid w:val="00632714"/>
    <w:rsid w:val="00636F15"/>
    <w:rsid w:val="00642F53"/>
    <w:rsid w:val="00650EF6"/>
    <w:rsid w:val="00654BC0"/>
    <w:rsid w:val="00656E2F"/>
    <w:rsid w:val="00670D9D"/>
    <w:rsid w:val="00677BF8"/>
    <w:rsid w:val="00681953"/>
    <w:rsid w:val="00681FC6"/>
    <w:rsid w:val="00683EB4"/>
    <w:rsid w:val="00691182"/>
    <w:rsid w:val="00696A03"/>
    <w:rsid w:val="006A069A"/>
    <w:rsid w:val="006A33F8"/>
    <w:rsid w:val="006A5B66"/>
    <w:rsid w:val="006A6864"/>
    <w:rsid w:val="006B0754"/>
    <w:rsid w:val="006B0F3C"/>
    <w:rsid w:val="006B1AEA"/>
    <w:rsid w:val="006B204D"/>
    <w:rsid w:val="006B4A7A"/>
    <w:rsid w:val="006B5E30"/>
    <w:rsid w:val="006B7BFE"/>
    <w:rsid w:val="006C2142"/>
    <w:rsid w:val="006C26A2"/>
    <w:rsid w:val="006D31BA"/>
    <w:rsid w:val="006D7297"/>
    <w:rsid w:val="006E0843"/>
    <w:rsid w:val="006E08F6"/>
    <w:rsid w:val="006E363D"/>
    <w:rsid w:val="006E5F65"/>
    <w:rsid w:val="006E7AD3"/>
    <w:rsid w:val="006F046B"/>
    <w:rsid w:val="006F3BA7"/>
    <w:rsid w:val="00710271"/>
    <w:rsid w:val="007104C5"/>
    <w:rsid w:val="0072064D"/>
    <w:rsid w:val="0073166C"/>
    <w:rsid w:val="007328CA"/>
    <w:rsid w:val="007336DD"/>
    <w:rsid w:val="00736C2B"/>
    <w:rsid w:val="00737CD8"/>
    <w:rsid w:val="00743FDA"/>
    <w:rsid w:val="00744139"/>
    <w:rsid w:val="00745FD9"/>
    <w:rsid w:val="007478C2"/>
    <w:rsid w:val="00747B90"/>
    <w:rsid w:val="00755ECE"/>
    <w:rsid w:val="007565C7"/>
    <w:rsid w:val="007617BD"/>
    <w:rsid w:val="00762F7B"/>
    <w:rsid w:val="00767EB4"/>
    <w:rsid w:val="007717B2"/>
    <w:rsid w:val="0077265D"/>
    <w:rsid w:val="0077790F"/>
    <w:rsid w:val="007820D0"/>
    <w:rsid w:val="00783EFE"/>
    <w:rsid w:val="00783F58"/>
    <w:rsid w:val="007B012E"/>
    <w:rsid w:val="007B042E"/>
    <w:rsid w:val="007C0E48"/>
    <w:rsid w:val="007C1337"/>
    <w:rsid w:val="007C5FAB"/>
    <w:rsid w:val="007D2631"/>
    <w:rsid w:val="007E37A6"/>
    <w:rsid w:val="007E4E22"/>
    <w:rsid w:val="007E4FE8"/>
    <w:rsid w:val="007E60A1"/>
    <w:rsid w:val="007E694D"/>
    <w:rsid w:val="007F0307"/>
    <w:rsid w:val="007F06C6"/>
    <w:rsid w:val="007F1D48"/>
    <w:rsid w:val="007F3EE5"/>
    <w:rsid w:val="007F4786"/>
    <w:rsid w:val="00800650"/>
    <w:rsid w:val="00802A54"/>
    <w:rsid w:val="00804AEF"/>
    <w:rsid w:val="00804D49"/>
    <w:rsid w:val="00806888"/>
    <w:rsid w:val="00814D47"/>
    <w:rsid w:val="0081654C"/>
    <w:rsid w:val="00816584"/>
    <w:rsid w:val="00817570"/>
    <w:rsid w:val="00827FB6"/>
    <w:rsid w:val="00831FE2"/>
    <w:rsid w:val="00843412"/>
    <w:rsid w:val="00843D42"/>
    <w:rsid w:val="00845B17"/>
    <w:rsid w:val="00847FA2"/>
    <w:rsid w:val="00864A76"/>
    <w:rsid w:val="00864D4A"/>
    <w:rsid w:val="00865423"/>
    <w:rsid w:val="00867D81"/>
    <w:rsid w:val="008729EB"/>
    <w:rsid w:val="0087604D"/>
    <w:rsid w:val="00876C84"/>
    <w:rsid w:val="00886689"/>
    <w:rsid w:val="00887304"/>
    <w:rsid w:val="00894472"/>
    <w:rsid w:val="008A61A8"/>
    <w:rsid w:val="008B3156"/>
    <w:rsid w:val="008B7666"/>
    <w:rsid w:val="008C0D9D"/>
    <w:rsid w:val="008C3C90"/>
    <w:rsid w:val="008C42D7"/>
    <w:rsid w:val="008D105C"/>
    <w:rsid w:val="008D6B75"/>
    <w:rsid w:val="008D716B"/>
    <w:rsid w:val="008D7666"/>
    <w:rsid w:val="008E0C4C"/>
    <w:rsid w:val="008E1A8B"/>
    <w:rsid w:val="008E35A9"/>
    <w:rsid w:val="008F1131"/>
    <w:rsid w:val="008F36C7"/>
    <w:rsid w:val="00903364"/>
    <w:rsid w:val="009102DA"/>
    <w:rsid w:val="0091135C"/>
    <w:rsid w:val="00913F5E"/>
    <w:rsid w:val="00921CBF"/>
    <w:rsid w:val="00923B0C"/>
    <w:rsid w:val="009247FD"/>
    <w:rsid w:val="00933765"/>
    <w:rsid w:val="00936948"/>
    <w:rsid w:val="00944BC2"/>
    <w:rsid w:val="00945BD1"/>
    <w:rsid w:val="009526A3"/>
    <w:rsid w:val="00953FAD"/>
    <w:rsid w:val="0095688C"/>
    <w:rsid w:val="00963C76"/>
    <w:rsid w:val="00963FE5"/>
    <w:rsid w:val="0096702A"/>
    <w:rsid w:val="0097147B"/>
    <w:rsid w:val="00975EFF"/>
    <w:rsid w:val="00982318"/>
    <w:rsid w:val="00983442"/>
    <w:rsid w:val="00990CEF"/>
    <w:rsid w:val="00993D41"/>
    <w:rsid w:val="009A226C"/>
    <w:rsid w:val="009A4B0D"/>
    <w:rsid w:val="009B1EDE"/>
    <w:rsid w:val="009B4B2D"/>
    <w:rsid w:val="009B6244"/>
    <w:rsid w:val="009B6A20"/>
    <w:rsid w:val="009C1038"/>
    <w:rsid w:val="009C235A"/>
    <w:rsid w:val="009C34DA"/>
    <w:rsid w:val="009C48C6"/>
    <w:rsid w:val="009C5AFE"/>
    <w:rsid w:val="009C6A38"/>
    <w:rsid w:val="009C6BC2"/>
    <w:rsid w:val="009C73C2"/>
    <w:rsid w:val="009D0A6D"/>
    <w:rsid w:val="009D62FF"/>
    <w:rsid w:val="009D6DE1"/>
    <w:rsid w:val="009D7187"/>
    <w:rsid w:val="009E74C0"/>
    <w:rsid w:val="009F4CA4"/>
    <w:rsid w:val="009F6883"/>
    <w:rsid w:val="00A02130"/>
    <w:rsid w:val="00A04888"/>
    <w:rsid w:val="00A215D7"/>
    <w:rsid w:val="00A236A7"/>
    <w:rsid w:val="00A2540E"/>
    <w:rsid w:val="00A25AC8"/>
    <w:rsid w:val="00A268C7"/>
    <w:rsid w:val="00A32596"/>
    <w:rsid w:val="00A33696"/>
    <w:rsid w:val="00A36EBD"/>
    <w:rsid w:val="00A435F6"/>
    <w:rsid w:val="00A440C9"/>
    <w:rsid w:val="00A44E49"/>
    <w:rsid w:val="00A5059C"/>
    <w:rsid w:val="00A509E4"/>
    <w:rsid w:val="00A519CC"/>
    <w:rsid w:val="00A5273A"/>
    <w:rsid w:val="00A52BD1"/>
    <w:rsid w:val="00A53647"/>
    <w:rsid w:val="00A558C5"/>
    <w:rsid w:val="00A55C90"/>
    <w:rsid w:val="00A71362"/>
    <w:rsid w:val="00A75B48"/>
    <w:rsid w:val="00A85757"/>
    <w:rsid w:val="00A91D3A"/>
    <w:rsid w:val="00A94B71"/>
    <w:rsid w:val="00AA4991"/>
    <w:rsid w:val="00AB4268"/>
    <w:rsid w:val="00AB6960"/>
    <w:rsid w:val="00AC18AD"/>
    <w:rsid w:val="00AC30B2"/>
    <w:rsid w:val="00AC3332"/>
    <w:rsid w:val="00AD1B8A"/>
    <w:rsid w:val="00AD4D4F"/>
    <w:rsid w:val="00AE250D"/>
    <w:rsid w:val="00AE52D5"/>
    <w:rsid w:val="00AE5F85"/>
    <w:rsid w:val="00AE6401"/>
    <w:rsid w:val="00AE7561"/>
    <w:rsid w:val="00AF1433"/>
    <w:rsid w:val="00AF367C"/>
    <w:rsid w:val="00AF3EFE"/>
    <w:rsid w:val="00AF4AF1"/>
    <w:rsid w:val="00AF4FCA"/>
    <w:rsid w:val="00AF7B9E"/>
    <w:rsid w:val="00B008B4"/>
    <w:rsid w:val="00B04101"/>
    <w:rsid w:val="00B045C1"/>
    <w:rsid w:val="00B06A1E"/>
    <w:rsid w:val="00B07AD5"/>
    <w:rsid w:val="00B11A4D"/>
    <w:rsid w:val="00B1202C"/>
    <w:rsid w:val="00B142DC"/>
    <w:rsid w:val="00B16500"/>
    <w:rsid w:val="00B2057A"/>
    <w:rsid w:val="00B2593F"/>
    <w:rsid w:val="00B34C74"/>
    <w:rsid w:val="00B35F23"/>
    <w:rsid w:val="00B362C7"/>
    <w:rsid w:val="00B369D1"/>
    <w:rsid w:val="00B41A17"/>
    <w:rsid w:val="00B432DE"/>
    <w:rsid w:val="00B4437C"/>
    <w:rsid w:val="00B57DC4"/>
    <w:rsid w:val="00B67F3E"/>
    <w:rsid w:val="00B7122C"/>
    <w:rsid w:val="00B75863"/>
    <w:rsid w:val="00B766F4"/>
    <w:rsid w:val="00B77266"/>
    <w:rsid w:val="00B8200C"/>
    <w:rsid w:val="00B832F5"/>
    <w:rsid w:val="00B84249"/>
    <w:rsid w:val="00B86E2F"/>
    <w:rsid w:val="00B91940"/>
    <w:rsid w:val="00B93E67"/>
    <w:rsid w:val="00B944CE"/>
    <w:rsid w:val="00B9551F"/>
    <w:rsid w:val="00BA2691"/>
    <w:rsid w:val="00BA3C47"/>
    <w:rsid w:val="00BB53D4"/>
    <w:rsid w:val="00BC2C84"/>
    <w:rsid w:val="00BC5D5C"/>
    <w:rsid w:val="00BF3562"/>
    <w:rsid w:val="00BF3735"/>
    <w:rsid w:val="00C00100"/>
    <w:rsid w:val="00C00CFF"/>
    <w:rsid w:val="00C01019"/>
    <w:rsid w:val="00C0509D"/>
    <w:rsid w:val="00C0520A"/>
    <w:rsid w:val="00C13229"/>
    <w:rsid w:val="00C16B9D"/>
    <w:rsid w:val="00C20446"/>
    <w:rsid w:val="00C263B2"/>
    <w:rsid w:val="00C42279"/>
    <w:rsid w:val="00C441FE"/>
    <w:rsid w:val="00C4776D"/>
    <w:rsid w:val="00C51434"/>
    <w:rsid w:val="00C53398"/>
    <w:rsid w:val="00C55C49"/>
    <w:rsid w:val="00C6299D"/>
    <w:rsid w:val="00C64683"/>
    <w:rsid w:val="00C64B11"/>
    <w:rsid w:val="00C65145"/>
    <w:rsid w:val="00C657FB"/>
    <w:rsid w:val="00C65A25"/>
    <w:rsid w:val="00C65DDC"/>
    <w:rsid w:val="00C66DAE"/>
    <w:rsid w:val="00C679C9"/>
    <w:rsid w:val="00C700FD"/>
    <w:rsid w:val="00C768F9"/>
    <w:rsid w:val="00C76F1A"/>
    <w:rsid w:val="00C77C7A"/>
    <w:rsid w:val="00C8100B"/>
    <w:rsid w:val="00C846B5"/>
    <w:rsid w:val="00C8709B"/>
    <w:rsid w:val="00C96FCA"/>
    <w:rsid w:val="00CA2397"/>
    <w:rsid w:val="00CA3900"/>
    <w:rsid w:val="00CA5F98"/>
    <w:rsid w:val="00CB0D9F"/>
    <w:rsid w:val="00CB13C6"/>
    <w:rsid w:val="00CB24A3"/>
    <w:rsid w:val="00CC30D7"/>
    <w:rsid w:val="00CC5199"/>
    <w:rsid w:val="00CC7AE9"/>
    <w:rsid w:val="00CD0227"/>
    <w:rsid w:val="00CD7E91"/>
    <w:rsid w:val="00CE0C47"/>
    <w:rsid w:val="00CE44A5"/>
    <w:rsid w:val="00CF08F0"/>
    <w:rsid w:val="00D02F70"/>
    <w:rsid w:val="00D06DCD"/>
    <w:rsid w:val="00D132BF"/>
    <w:rsid w:val="00D17961"/>
    <w:rsid w:val="00D20928"/>
    <w:rsid w:val="00D250E0"/>
    <w:rsid w:val="00D273CD"/>
    <w:rsid w:val="00D34B08"/>
    <w:rsid w:val="00D3542B"/>
    <w:rsid w:val="00D35C20"/>
    <w:rsid w:val="00D4711F"/>
    <w:rsid w:val="00D4771A"/>
    <w:rsid w:val="00D66ACD"/>
    <w:rsid w:val="00D709F8"/>
    <w:rsid w:val="00D721A2"/>
    <w:rsid w:val="00D72611"/>
    <w:rsid w:val="00D760FF"/>
    <w:rsid w:val="00D81AE0"/>
    <w:rsid w:val="00D82FCE"/>
    <w:rsid w:val="00D91610"/>
    <w:rsid w:val="00D9527A"/>
    <w:rsid w:val="00D95EB1"/>
    <w:rsid w:val="00D97C41"/>
    <w:rsid w:val="00DB1297"/>
    <w:rsid w:val="00DB20B2"/>
    <w:rsid w:val="00DC06C0"/>
    <w:rsid w:val="00DC4205"/>
    <w:rsid w:val="00DC583A"/>
    <w:rsid w:val="00DC5878"/>
    <w:rsid w:val="00DC73A5"/>
    <w:rsid w:val="00DC7D35"/>
    <w:rsid w:val="00DE11AB"/>
    <w:rsid w:val="00DE2470"/>
    <w:rsid w:val="00DF4256"/>
    <w:rsid w:val="00DF4311"/>
    <w:rsid w:val="00DF62D0"/>
    <w:rsid w:val="00E03AEE"/>
    <w:rsid w:val="00E10870"/>
    <w:rsid w:val="00E12A1C"/>
    <w:rsid w:val="00E12F7B"/>
    <w:rsid w:val="00E17AEC"/>
    <w:rsid w:val="00E20030"/>
    <w:rsid w:val="00E22C5E"/>
    <w:rsid w:val="00E245E4"/>
    <w:rsid w:val="00E26EE6"/>
    <w:rsid w:val="00E26FD4"/>
    <w:rsid w:val="00E27A44"/>
    <w:rsid w:val="00E27F4A"/>
    <w:rsid w:val="00E30F79"/>
    <w:rsid w:val="00E315C2"/>
    <w:rsid w:val="00E33E4E"/>
    <w:rsid w:val="00E36400"/>
    <w:rsid w:val="00E37B74"/>
    <w:rsid w:val="00E44075"/>
    <w:rsid w:val="00E50AA1"/>
    <w:rsid w:val="00E5268B"/>
    <w:rsid w:val="00E539A4"/>
    <w:rsid w:val="00E559F4"/>
    <w:rsid w:val="00E5614B"/>
    <w:rsid w:val="00E57B1B"/>
    <w:rsid w:val="00E605EE"/>
    <w:rsid w:val="00E6298A"/>
    <w:rsid w:val="00E62DA7"/>
    <w:rsid w:val="00E67963"/>
    <w:rsid w:val="00E77EAF"/>
    <w:rsid w:val="00E77FE7"/>
    <w:rsid w:val="00E80B15"/>
    <w:rsid w:val="00E854B4"/>
    <w:rsid w:val="00E86F3D"/>
    <w:rsid w:val="00E879FB"/>
    <w:rsid w:val="00E9095B"/>
    <w:rsid w:val="00E9260F"/>
    <w:rsid w:val="00E9448D"/>
    <w:rsid w:val="00EA1AA0"/>
    <w:rsid w:val="00EA5124"/>
    <w:rsid w:val="00EA6987"/>
    <w:rsid w:val="00EA6FCD"/>
    <w:rsid w:val="00EB06B7"/>
    <w:rsid w:val="00EB18D0"/>
    <w:rsid w:val="00EB3E0E"/>
    <w:rsid w:val="00EB3F2D"/>
    <w:rsid w:val="00EB74F2"/>
    <w:rsid w:val="00EC262F"/>
    <w:rsid w:val="00EC54C2"/>
    <w:rsid w:val="00EC6A26"/>
    <w:rsid w:val="00EF02B3"/>
    <w:rsid w:val="00EF116F"/>
    <w:rsid w:val="00EF4E9E"/>
    <w:rsid w:val="00EF51DB"/>
    <w:rsid w:val="00F00F21"/>
    <w:rsid w:val="00F01177"/>
    <w:rsid w:val="00F0610B"/>
    <w:rsid w:val="00F1048B"/>
    <w:rsid w:val="00F13AF9"/>
    <w:rsid w:val="00F20A22"/>
    <w:rsid w:val="00F22F68"/>
    <w:rsid w:val="00F22FFA"/>
    <w:rsid w:val="00F31F3B"/>
    <w:rsid w:val="00F34841"/>
    <w:rsid w:val="00F3599A"/>
    <w:rsid w:val="00F36188"/>
    <w:rsid w:val="00F3700D"/>
    <w:rsid w:val="00F37B61"/>
    <w:rsid w:val="00F37DD4"/>
    <w:rsid w:val="00F4512D"/>
    <w:rsid w:val="00F52AAB"/>
    <w:rsid w:val="00F52EA1"/>
    <w:rsid w:val="00F570DB"/>
    <w:rsid w:val="00F61634"/>
    <w:rsid w:val="00F63B43"/>
    <w:rsid w:val="00F67830"/>
    <w:rsid w:val="00F86876"/>
    <w:rsid w:val="00F90450"/>
    <w:rsid w:val="00F931EC"/>
    <w:rsid w:val="00F94839"/>
    <w:rsid w:val="00F97F08"/>
    <w:rsid w:val="00FA2BD3"/>
    <w:rsid w:val="00FA42B9"/>
    <w:rsid w:val="00FA4A88"/>
    <w:rsid w:val="00FA5AC3"/>
    <w:rsid w:val="00FA5DA4"/>
    <w:rsid w:val="00FB4715"/>
    <w:rsid w:val="00FC2575"/>
    <w:rsid w:val="00FC2E73"/>
    <w:rsid w:val="00FC32FD"/>
    <w:rsid w:val="00FD0C8C"/>
    <w:rsid w:val="00FE16B3"/>
    <w:rsid w:val="00FE5571"/>
    <w:rsid w:val="00FF0910"/>
    <w:rsid w:val="00FF1F92"/>
    <w:rsid w:val="00FF247F"/>
    <w:rsid w:val="00FF3066"/>
    <w:rsid w:val="00FF31DD"/>
    <w:rsid w:val="00FF3BA8"/>
    <w:rsid w:val="00FF5A97"/>
    <w:rsid w:val="00FF6C48"/>
    <w:rsid w:val="00FF7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BodyText">
    <w:name w:val="Body Text"/>
    <w:basedOn w:val="Normal"/>
    <w:link w:val="BodyTextChar"/>
    <w:uiPriority w:val="99"/>
    <w:rsid w:val="00327F16"/>
    <w:pPr>
      <w:spacing w:before="0" w:after="120"/>
    </w:pPr>
    <w:rPr>
      <w:rFonts w:ascii="Garamond" w:eastAsia="MS Minngs" w:hAnsi="Garamond"/>
      <w:sz w:val="24"/>
      <w:lang w:eastAsia="ja-JP"/>
    </w:rPr>
  </w:style>
  <w:style w:type="character" w:customStyle="1" w:styleId="BodyTextChar">
    <w:name w:val="Body Text Char"/>
    <w:basedOn w:val="DefaultParagraphFont"/>
    <w:link w:val="BodyText"/>
    <w:uiPriority w:val="99"/>
    <w:rsid w:val="00327F16"/>
    <w:rPr>
      <w:rFonts w:ascii="Garamond" w:eastAsia="MS Minngs" w:hAnsi="Garamond"/>
      <w:sz w:val="24"/>
      <w:szCs w:val="24"/>
      <w:lang w:eastAsia="ja-JP"/>
    </w:rPr>
  </w:style>
  <w:style w:type="paragraph" w:styleId="ListParagraph">
    <w:name w:val="List Paragraph"/>
    <w:basedOn w:val="Normal"/>
    <w:uiPriority w:val="34"/>
    <w:qFormat/>
    <w:rsid w:val="00327F16"/>
    <w:pPr>
      <w:spacing w:before="0"/>
      <w:ind w:left="720"/>
      <w:contextualSpacing/>
    </w:pPr>
    <w:rPr>
      <w:rFonts w:ascii="Cambria" w:eastAsia="MS ??" w:hAnsi="Cambria"/>
      <w:sz w:val="24"/>
      <w:lang w:val="en-US"/>
    </w:rPr>
  </w:style>
  <w:style w:type="paragraph" w:styleId="FootnoteText">
    <w:name w:val="footnote text"/>
    <w:aliases w:val="Char Char Char Char,Char Char Char Char Char Char Char,Char Char Char Char Char Char,Char Char Char Char Char Char Char Char Char Char,Char Char Char Char Char Char Char Char Char Char  Char,Char Char Char"/>
    <w:basedOn w:val="Normal"/>
    <w:link w:val="FootnoteTextChar1"/>
    <w:uiPriority w:val="99"/>
    <w:rsid w:val="00327F16"/>
    <w:pPr>
      <w:spacing w:before="0"/>
    </w:pPr>
    <w:rPr>
      <w:rFonts w:ascii="Cambria" w:eastAsia="MS ??" w:hAnsi="Cambria"/>
      <w:sz w:val="24"/>
      <w:lang w:val="en-US"/>
    </w:rPr>
  </w:style>
  <w:style w:type="character" w:customStyle="1" w:styleId="FootnoteTextChar">
    <w:name w:val="Footnote Text Char"/>
    <w:basedOn w:val="DefaultParagraphFont"/>
    <w:rsid w:val="00327F16"/>
    <w:rPr>
      <w:rFonts w:ascii="Arial" w:hAnsi="Arial"/>
      <w:lang w:eastAsia="en-US"/>
    </w:rPr>
  </w:style>
  <w:style w:type="character" w:customStyle="1" w:styleId="FootnoteTextChar1">
    <w:name w:val="Footnote Text Char1"/>
    <w:aliases w:val="Char Char Char Char Char,Char Char Char Char Char Char Char Char,Char Char Char Char Char Char Char1,Char Char Char Char Char Char Char Char Char Char Char,Char Char Char Char Char Char Char Char Char Char  Char Char"/>
    <w:link w:val="FootnoteText"/>
    <w:uiPriority w:val="99"/>
    <w:locked/>
    <w:rsid w:val="00327F16"/>
    <w:rPr>
      <w:rFonts w:ascii="Cambria" w:eastAsia="MS ??" w:hAnsi="Cambria"/>
      <w:sz w:val="24"/>
      <w:szCs w:val="24"/>
      <w:lang w:val="en-US" w:eastAsia="en-US"/>
    </w:rPr>
  </w:style>
  <w:style w:type="character" w:styleId="FootnoteReference">
    <w:name w:val="footnote reference"/>
    <w:basedOn w:val="DefaultParagraphFont"/>
    <w:uiPriority w:val="99"/>
    <w:rsid w:val="00327F16"/>
    <w:rPr>
      <w:rFonts w:cs="Times New Roman"/>
      <w:vertAlign w:val="superscript"/>
    </w:rPr>
  </w:style>
  <w:style w:type="paragraph" w:customStyle="1" w:styleId="Default">
    <w:name w:val="Default"/>
    <w:rsid w:val="00530F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4B2247"/>
    <w:rPr>
      <w:b/>
      <w:bCs/>
    </w:rPr>
  </w:style>
  <w:style w:type="paragraph" w:styleId="Revision">
    <w:name w:val="Revision"/>
    <w:hidden/>
    <w:uiPriority w:val="99"/>
    <w:semiHidden/>
    <w:rsid w:val="00205942"/>
    <w:rPr>
      <w:rFonts w:ascii="Arial" w:hAnsi="Arial"/>
      <w:szCs w:val="24"/>
      <w:lang w:eastAsia="en-US"/>
    </w:rPr>
  </w:style>
  <w:style w:type="character" w:customStyle="1" w:styleId="CommentTextChar">
    <w:name w:val="Comment Text Char"/>
    <w:link w:val="CommentText"/>
    <w:semiHidden/>
    <w:locked/>
    <w:rsid w:val="00AE6401"/>
    <w:rPr>
      <w:rFonts w:ascii="Arial" w:hAnsi="Arial"/>
      <w:lang w:eastAsia="en-US"/>
    </w:rPr>
  </w:style>
  <w:style w:type="paragraph" w:customStyle="1" w:styleId="shadedtext">
    <w:name w:val="shaded text"/>
    <w:basedOn w:val="BodyText"/>
    <w:rsid w:val="0073166C"/>
    <w:pPr>
      <w:pBdr>
        <w:top w:val="single" w:sz="48" w:space="1" w:color="E5DFEC" w:themeColor="accent4" w:themeTint="33"/>
        <w:left w:val="single" w:sz="48" w:space="4" w:color="E5DFEC" w:themeColor="accent4" w:themeTint="33"/>
        <w:bottom w:val="single" w:sz="48" w:space="1" w:color="E5DFEC" w:themeColor="accent4" w:themeTint="33"/>
        <w:right w:val="single" w:sz="48" w:space="4" w:color="E5DFEC" w:themeColor="accent4" w:themeTint="33"/>
      </w:pBdr>
      <w:shd w:val="clear" w:color="auto" w:fill="E5DFEC" w:themeFill="accent4" w:themeFillTint="33"/>
      <w:spacing w:line="288" w:lineRule="auto"/>
      <w:ind w:left="227" w:right="227"/>
    </w:pPr>
    <w:rPr>
      <w:rFonts w:ascii="Arial" w:hAnsi="Arial"/>
      <w:sz w:val="20"/>
    </w:rPr>
  </w:style>
  <w:style w:type="paragraph" w:styleId="ListBullet">
    <w:name w:val="List Bullet"/>
    <w:basedOn w:val="Normal"/>
    <w:unhideWhenUsed/>
    <w:qFormat/>
    <w:rsid w:val="00F94839"/>
    <w:pPr>
      <w:numPr>
        <w:numId w:val="23"/>
      </w:numPr>
      <w:spacing w:before="0" w:after="120" w:line="288" w:lineRule="auto"/>
    </w:pPr>
    <w:rPr>
      <w:rFonts w:eastAsia="MS ??"/>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Bullet"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BodyText">
    <w:name w:val="Body Text"/>
    <w:basedOn w:val="Normal"/>
    <w:link w:val="BodyTextChar"/>
    <w:uiPriority w:val="99"/>
    <w:rsid w:val="00327F16"/>
    <w:pPr>
      <w:spacing w:before="0" w:after="120"/>
    </w:pPr>
    <w:rPr>
      <w:rFonts w:ascii="Garamond" w:eastAsia="MS Minngs" w:hAnsi="Garamond"/>
      <w:sz w:val="24"/>
      <w:lang w:eastAsia="ja-JP"/>
    </w:rPr>
  </w:style>
  <w:style w:type="character" w:customStyle="1" w:styleId="BodyTextChar">
    <w:name w:val="Body Text Char"/>
    <w:basedOn w:val="DefaultParagraphFont"/>
    <w:link w:val="BodyText"/>
    <w:uiPriority w:val="99"/>
    <w:rsid w:val="00327F16"/>
    <w:rPr>
      <w:rFonts w:ascii="Garamond" w:eastAsia="MS Minngs" w:hAnsi="Garamond"/>
      <w:sz w:val="24"/>
      <w:szCs w:val="24"/>
      <w:lang w:eastAsia="ja-JP"/>
    </w:rPr>
  </w:style>
  <w:style w:type="paragraph" w:styleId="ListParagraph">
    <w:name w:val="List Paragraph"/>
    <w:basedOn w:val="Normal"/>
    <w:uiPriority w:val="34"/>
    <w:qFormat/>
    <w:rsid w:val="00327F16"/>
    <w:pPr>
      <w:spacing w:before="0"/>
      <w:ind w:left="720"/>
      <w:contextualSpacing/>
    </w:pPr>
    <w:rPr>
      <w:rFonts w:ascii="Cambria" w:eastAsia="MS ??" w:hAnsi="Cambria"/>
      <w:sz w:val="24"/>
      <w:lang w:val="en-US"/>
    </w:rPr>
  </w:style>
  <w:style w:type="paragraph" w:styleId="FootnoteText">
    <w:name w:val="footnote text"/>
    <w:aliases w:val="Char Char Char Char,Char Char Char Char Char Char Char,Char Char Char Char Char Char,Char Char Char Char Char Char Char Char Char Char,Char Char Char Char Char Char Char Char Char Char  Char,Char Char Char"/>
    <w:basedOn w:val="Normal"/>
    <w:link w:val="FootnoteTextChar1"/>
    <w:uiPriority w:val="99"/>
    <w:rsid w:val="00327F16"/>
    <w:pPr>
      <w:spacing w:before="0"/>
    </w:pPr>
    <w:rPr>
      <w:rFonts w:ascii="Cambria" w:eastAsia="MS ??" w:hAnsi="Cambria"/>
      <w:sz w:val="24"/>
      <w:lang w:val="en-US"/>
    </w:rPr>
  </w:style>
  <w:style w:type="character" w:customStyle="1" w:styleId="FootnoteTextChar">
    <w:name w:val="Footnote Text Char"/>
    <w:basedOn w:val="DefaultParagraphFont"/>
    <w:rsid w:val="00327F16"/>
    <w:rPr>
      <w:rFonts w:ascii="Arial" w:hAnsi="Arial"/>
      <w:lang w:eastAsia="en-US"/>
    </w:rPr>
  </w:style>
  <w:style w:type="character" w:customStyle="1" w:styleId="FootnoteTextChar1">
    <w:name w:val="Footnote Text Char1"/>
    <w:aliases w:val="Char Char Char Char Char,Char Char Char Char Char Char Char Char,Char Char Char Char Char Char Char1,Char Char Char Char Char Char Char Char Char Char Char,Char Char Char Char Char Char Char Char Char Char  Char Char"/>
    <w:link w:val="FootnoteText"/>
    <w:uiPriority w:val="99"/>
    <w:locked/>
    <w:rsid w:val="00327F16"/>
    <w:rPr>
      <w:rFonts w:ascii="Cambria" w:eastAsia="MS ??" w:hAnsi="Cambria"/>
      <w:sz w:val="24"/>
      <w:szCs w:val="24"/>
      <w:lang w:val="en-US" w:eastAsia="en-US"/>
    </w:rPr>
  </w:style>
  <w:style w:type="character" w:styleId="FootnoteReference">
    <w:name w:val="footnote reference"/>
    <w:basedOn w:val="DefaultParagraphFont"/>
    <w:uiPriority w:val="99"/>
    <w:rsid w:val="00327F16"/>
    <w:rPr>
      <w:rFonts w:cs="Times New Roman"/>
      <w:vertAlign w:val="superscript"/>
    </w:rPr>
  </w:style>
  <w:style w:type="paragraph" w:customStyle="1" w:styleId="Default">
    <w:name w:val="Default"/>
    <w:rsid w:val="00530F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4B2247"/>
    <w:rPr>
      <w:b/>
      <w:bCs/>
    </w:rPr>
  </w:style>
  <w:style w:type="paragraph" w:styleId="Revision">
    <w:name w:val="Revision"/>
    <w:hidden/>
    <w:uiPriority w:val="99"/>
    <w:semiHidden/>
    <w:rsid w:val="00205942"/>
    <w:rPr>
      <w:rFonts w:ascii="Arial" w:hAnsi="Arial"/>
      <w:szCs w:val="24"/>
      <w:lang w:eastAsia="en-US"/>
    </w:rPr>
  </w:style>
  <w:style w:type="character" w:customStyle="1" w:styleId="CommentTextChar">
    <w:name w:val="Comment Text Char"/>
    <w:link w:val="CommentText"/>
    <w:semiHidden/>
    <w:locked/>
    <w:rsid w:val="00AE6401"/>
    <w:rPr>
      <w:rFonts w:ascii="Arial" w:hAnsi="Arial"/>
      <w:lang w:eastAsia="en-US"/>
    </w:rPr>
  </w:style>
  <w:style w:type="paragraph" w:customStyle="1" w:styleId="shadedtext">
    <w:name w:val="shaded text"/>
    <w:basedOn w:val="BodyText"/>
    <w:rsid w:val="0073166C"/>
    <w:pPr>
      <w:pBdr>
        <w:top w:val="single" w:sz="48" w:space="1" w:color="E5DFEC" w:themeColor="accent4" w:themeTint="33"/>
        <w:left w:val="single" w:sz="48" w:space="4" w:color="E5DFEC" w:themeColor="accent4" w:themeTint="33"/>
        <w:bottom w:val="single" w:sz="48" w:space="1" w:color="E5DFEC" w:themeColor="accent4" w:themeTint="33"/>
        <w:right w:val="single" w:sz="48" w:space="4" w:color="E5DFEC" w:themeColor="accent4" w:themeTint="33"/>
      </w:pBdr>
      <w:shd w:val="clear" w:color="auto" w:fill="E5DFEC" w:themeFill="accent4" w:themeFillTint="33"/>
      <w:spacing w:line="288" w:lineRule="auto"/>
      <w:ind w:left="227" w:right="227"/>
    </w:pPr>
    <w:rPr>
      <w:rFonts w:ascii="Arial" w:hAnsi="Arial"/>
      <w:sz w:val="20"/>
    </w:rPr>
  </w:style>
  <w:style w:type="paragraph" w:styleId="ListBullet">
    <w:name w:val="List Bullet"/>
    <w:basedOn w:val="Normal"/>
    <w:unhideWhenUsed/>
    <w:qFormat/>
    <w:rsid w:val="00F94839"/>
    <w:pPr>
      <w:numPr>
        <w:numId w:val="23"/>
      </w:numPr>
      <w:spacing w:before="0" w:after="120" w:line="288" w:lineRule="auto"/>
    </w:pPr>
    <w:rPr>
      <w:rFonts w:eastAsia="MS ??"/>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8028">
      <w:bodyDiv w:val="1"/>
      <w:marLeft w:val="0"/>
      <w:marRight w:val="0"/>
      <w:marTop w:val="0"/>
      <w:marBottom w:val="0"/>
      <w:divBdr>
        <w:top w:val="none" w:sz="0" w:space="0" w:color="auto"/>
        <w:left w:val="none" w:sz="0" w:space="0" w:color="auto"/>
        <w:bottom w:val="none" w:sz="0" w:space="0" w:color="auto"/>
        <w:right w:val="none" w:sz="0" w:space="0" w:color="auto"/>
      </w:divBdr>
    </w:div>
    <w:div w:id="193421751">
      <w:bodyDiv w:val="1"/>
      <w:marLeft w:val="0"/>
      <w:marRight w:val="0"/>
      <w:marTop w:val="0"/>
      <w:marBottom w:val="0"/>
      <w:divBdr>
        <w:top w:val="none" w:sz="0" w:space="0" w:color="auto"/>
        <w:left w:val="none" w:sz="0" w:space="0" w:color="auto"/>
        <w:bottom w:val="none" w:sz="0" w:space="0" w:color="auto"/>
        <w:right w:val="none" w:sz="0" w:space="0" w:color="auto"/>
      </w:divBdr>
    </w:div>
    <w:div w:id="408504769">
      <w:bodyDiv w:val="1"/>
      <w:marLeft w:val="0"/>
      <w:marRight w:val="0"/>
      <w:marTop w:val="0"/>
      <w:marBottom w:val="0"/>
      <w:divBdr>
        <w:top w:val="none" w:sz="0" w:space="0" w:color="auto"/>
        <w:left w:val="none" w:sz="0" w:space="0" w:color="auto"/>
        <w:bottom w:val="none" w:sz="0" w:space="0" w:color="auto"/>
        <w:right w:val="none" w:sz="0" w:space="0" w:color="auto"/>
      </w:divBdr>
    </w:div>
    <w:div w:id="534344715">
      <w:bodyDiv w:val="1"/>
      <w:marLeft w:val="0"/>
      <w:marRight w:val="0"/>
      <w:marTop w:val="0"/>
      <w:marBottom w:val="0"/>
      <w:divBdr>
        <w:top w:val="none" w:sz="0" w:space="0" w:color="auto"/>
        <w:left w:val="none" w:sz="0" w:space="0" w:color="auto"/>
        <w:bottom w:val="none" w:sz="0" w:space="0" w:color="auto"/>
        <w:right w:val="none" w:sz="0" w:space="0" w:color="auto"/>
      </w:divBdr>
    </w:div>
    <w:div w:id="537471144">
      <w:bodyDiv w:val="1"/>
      <w:marLeft w:val="0"/>
      <w:marRight w:val="0"/>
      <w:marTop w:val="0"/>
      <w:marBottom w:val="0"/>
      <w:divBdr>
        <w:top w:val="none" w:sz="0" w:space="0" w:color="auto"/>
        <w:left w:val="none" w:sz="0" w:space="0" w:color="auto"/>
        <w:bottom w:val="none" w:sz="0" w:space="0" w:color="auto"/>
        <w:right w:val="none" w:sz="0" w:space="0" w:color="auto"/>
      </w:divBdr>
    </w:div>
    <w:div w:id="545920830">
      <w:bodyDiv w:val="1"/>
      <w:marLeft w:val="0"/>
      <w:marRight w:val="0"/>
      <w:marTop w:val="0"/>
      <w:marBottom w:val="0"/>
      <w:divBdr>
        <w:top w:val="none" w:sz="0" w:space="0" w:color="auto"/>
        <w:left w:val="none" w:sz="0" w:space="0" w:color="auto"/>
        <w:bottom w:val="none" w:sz="0" w:space="0" w:color="auto"/>
        <w:right w:val="none" w:sz="0" w:space="0" w:color="auto"/>
      </w:divBdr>
    </w:div>
    <w:div w:id="668826667">
      <w:bodyDiv w:val="1"/>
      <w:marLeft w:val="0"/>
      <w:marRight w:val="0"/>
      <w:marTop w:val="0"/>
      <w:marBottom w:val="0"/>
      <w:divBdr>
        <w:top w:val="none" w:sz="0" w:space="0" w:color="auto"/>
        <w:left w:val="none" w:sz="0" w:space="0" w:color="auto"/>
        <w:bottom w:val="none" w:sz="0" w:space="0" w:color="auto"/>
        <w:right w:val="none" w:sz="0" w:space="0" w:color="auto"/>
      </w:divBdr>
    </w:div>
    <w:div w:id="668947096">
      <w:bodyDiv w:val="1"/>
      <w:marLeft w:val="0"/>
      <w:marRight w:val="0"/>
      <w:marTop w:val="0"/>
      <w:marBottom w:val="0"/>
      <w:divBdr>
        <w:top w:val="none" w:sz="0" w:space="0" w:color="auto"/>
        <w:left w:val="none" w:sz="0" w:space="0" w:color="auto"/>
        <w:bottom w:val="none" w:sz="0" w:space="0" w:color="auto"/>
        <w:right w:val="none" w:sz="0" w:space="0" w:color="auto"/>
      </w:divBdr>
    </w:div>
    <w:div w:id="742021119">
      <w:bodyDiv w:val="1"/>
      <w:marLeft w:val="0"/>
      <w:marRight w:val="0"/>
      <w:marTop w:val="0"/>
      <w:marBottom w:val="0"/>
      <w:divBdr>
        <w:top w:val="none" w:sz="0" w:space="0" w:color="auto"/>
        <w:left w:val="none" w:sz="0" w:space="0" w:color="auto"/>
        <w:bottom w:val="none" w:sz="0" w:space="0" w:color="auto"/>
        <w:right w:val="none" w:sz="0" w:space="0" w:color="auto"/>
      </w:divBdr>
    </w:div>
    <w:div w:id="1047949728">
      <w:bodyDiv w:val="1"/>
      <w:marLeft w:val="0"/>
      <w:marRight w:val="0"/>
      <w:marTop w:val="0"/>
      <w:marBottom w:val="0"/>
      <w:divBdr>
        <w:top w:val="none" w:sz="0" w:space="0" w:color="auto"/>
        <w:left w:val="none" w:sz="0" w:space="0" w:color="auto"/>
        <w:bottom w:val="none" w:sz="0" w:space="0" w:color="auto"/>
        <w:right w:val="none" w:sz="0" w:space="0" w:color="auto"/>
      </w:divBdr>
    </w:div>
    <w:div w:id="1088575451">
      <w:bodyDiv w:val="1"/>
      <w:marLeft w:val="0"/>
      <w:marRight w:val="0"/>
      <w:marTop w:val="0"/>
      <w:marBottom w:val="0"/>
      <w:divBdr>
        <w:top w:val="none" w:sz="0" w:space="0" w:color="auto"/>
        <w:left w:val="none" w:sz="0" w:space="0" w:color="auto"/>
        <w:bottom w:val="none" w:sz="0" w:space="0" w:color="auto"/>
        <w:right w:val="none" w:sz="0" w:space="0" w:color="auto"/>
      </w:divBdr>
    </w:div>
    <w:div w:id="1123384650">
      <w:bodyDiv w:val="1"/>
      <w:marLeft w:val="0"/>
      <w:marRight w:val="0"/>
      <w:marTop w:val="0"/>
      <w:marBottom w:val="0"/>
      <w:divBdr>
        <w:top w:val="none" w:sz="0" w:space="0" w:color="auto"/>
        <w:left w:val="none" w:sz="0" w:space="0" w:color="auto"/>
        <w:bottom w:val="none" w:sz="0" w:space="0" w:color="auto"/>
        <w:right w:val="none" w:sz="0" w:space="0" w:color="auto"/>
      </w:divBdr>
    </w:div>
    <w:div w:id="1126465191">
      <w:bodyDiv w:val="1"/>
      <w:marLeft w:val="0"/>
      <w:marRight w:val="0"/>
      <w:marTop w:val="0"/>
      <w:marBottom w:val="0"/>
      <w:divBdr>
        <w:top w:val="none" w:sz="0" w:space="0" w:color="auto"/>
        <w:left w:val="none" w:sz="0" w:space="0" w:color="auto"/>
        <w:bottom w:val="none" w:sz="0" w:space="0" w:color="auto"/>
        <w:right w:val="none" w:sz="0" w:space="0" w:color="auto"/>
      </w:divBdr>
    </w:div>
    <w:div w:id="1289698717">
      <w:bodyDiv w:val="1"/>
      <w:marLeft w:val="0"/>
      <w:marRight w:val="0"/>
      <w:marTop w:val="0"/>
      <w:marBottom w:val="0"/>
      <w:divBdr>
        <w:top w:val="none" w:sz="0" w:space="0" w:color="auto"/>
        <w:left w:val="none" w:sz="0" w:space="0" w:color="auto"/>
        <w:bottom w:val="none" w:sz="0" w:space="0" w:color="auto"/>
        <w:right w:val="none" w:sz="0" w:space="0" w:color="auto"/>
      </w:divBdr>
    </w:div>
    <w:div w:id="1314604521">
      <w:bodyDiv w:val="1"/>
      <w:marLeft w:val="0"/>
      <w:marRight w:val="0"/>
      <w:marTop w:val="0"/>
      <w:marBottom w:val="0"/>
      <w:divBdr>
        <w:top w:val="none" w:sz="0" w:space="0" w:color="auto"/>
        <w:left w:val="none" w:sz="0" w:space="0" w:color="auto"/>
        <w:bottom w:val="none" w:sz="0" w:space="0" w:color="auto"/>
        <w:right w:val="none" w:sz="0" w:space="0" w:color="auto"/>
      </w:divBdr>
    </w:div>
    <w:div w:id="1607342646">
      <w:bodyDiv w:val="1"/>
      <w:marLeft w:val="0"/>
      <w:marRight w:val="0"/>
      <w:marTop w:val="0"/>
      <w:marBottom w:val="0"/>
      <w:divBdr>
        <w:top w:val="none" w:sz="0" w:space="0" w:color="auto"/>
        <w:left w:val="none" w:sz="0" w:space="0" w:color="auto"/>
        <w:bottom w:val="none" w:sz="0" w:space="0" w:color="auto"/>
        <w:right w:val="none" w:sz="0" w:space="0" w:color="auto"/>
      </w:divBdr>
    </w:div>
    <w:div w:id="1787233662">
      <w:bodyDiv w:val="1"/>
      <w:marLeft w:val="0"/>
      <w:marRight w:val="0"/>
      <w:marTop w:val="0"/>
      <w:marBottom w:val="0"/>
      <w:divBdr>
        <w:top w:val="none" w:sz="0" w:space="0" w:color="auto"/>
        <w:left w:val="none" w:sz="0" w:space="0" w:color="auto"/>
        <w:bottom w:val="none" w:sz="0" w:space="0" w:color="auto"/>
        <w:right w:val="none" w:sz="0" w:space="0" w:color="auto"/>
      </w:divBdr>
    </w:div>
    <w:div w:id="1789465707">
      <w:bodyDiv w:val="1"/>
      <w:marLeft w:val="0"/>
      <w:marRight w:val="0"/>
      <w:marTop w:val="0"/>
      <w:marBottom w:val="0"/>
      <w:divBdr>
        <w:top w:val="none" w:sz="0" w:space="0" w:color="auto"/>
        <w:left w:val="none" w:sz="0" w:space="0" w:color="auto"/>
        <w:bottom w:val="none" w:sz="0" w:space="0" w:color="auto"/>
        <w:right w:val="none" w:sz="0" w:space="0" w:color="auto"/>
      </w:divBdr>
    </w:div>
    <w:div w:id="1809275295">
      <w:bodyDiv w:val="1"/>
      <w:marLeft w:val="0"/>
      <w:marRight w:val="0"/>
      <w:marTop w:val="0"/>
      <w:marBottom w:val="0"/>
      <w:divBdr>
        <w:top w:val="none" w:sz="0" w:space="0" w:color="auto"/>
        <w:left w:val="none" w:sz="0" w:space="0" w:color="auto"/>
        <w:bottom w:val="none" w:sz="0" w:space="0" w:color="auto"/>
        <w:right w:val="none" w:sz="0" w:space="0" w:color="auto"/>
      </w:divBdr>
    </w:div>
    <w:div w:id="2051493514">
      <w:bodyDiv w:val="1"/>
      <w:marLeft w:val="0"/>
      <w:marRight w:val="0"/>
      <w:marTop w:val="0"/>
      <w:marBottom w:val="0"/>
      <w:divBdr>
        <w:top w:val="none" w:sz="0" w:space="0" w:color="auto"/>
        <w:left w:val="none" w:sz="0" w:space="0" w:color="auto"/>
        <w:bottom w:val="none" w:sz="0" w:space="0" w:color="auto"/>
        <w:right w:val="none" w:sz="0" w:space="0" w:color="auto"/>
      </w:divBdr>
      <w:divsChild>
        <w:div w:id="777066134">
          <w:marLeft w:val="0"/>
          <w:marRight w:val="0"/>
          <w:marTop w:val="150"/>
          <w:marBottom w:val="150"/>
          <w:divBdr>
            <w:top w:val="single" w:sz="48" w:space="0" w:color="FFFFFF"/>
            <w:left w:val="single" w:sz="48" w:space="0" w:color="FFFFFF"/>
            <w:bottom w:val="single" w:sz="48" w:space="0" w:color="FFFFFF"/>
            <w:right w:val="single" w:sz="48" w:space="0" w:color="FFFFFF"/>
          </w:divBdr>
          <w:divsChild>
            <w:div w:id="321084821">
              <w:marLeft w:val="0"/>
              <w:marRight w:val="0"/>
              <w:marTop w:val="150"/>
              <w:marBottom w:val="150"/>
              <w:divBdr>
                <w:top w:val="none" w:sz="0" w:space="0" w:color="auto"/>
                <w:left w:val="none" w:sz="0" w:space="0" w:color="auto"/>
                <w:bottom w:val="none" w:sz="0" w:space="0" w:color="auto"/>
                <w:right w:val="none" w:sz="0" w:space="0" w:color="auto"/>
              </w:divBdr>
              <w:divsChild>
                <w:div w:id="115292488">
                  <w:marLeft w:val="0"/>
                  <w:marRight w:val="0"/>
                  <w:marTop w:val="0"/>
                  <w:marBottom w:val="0"/>
                  <w:divBdr>
                    <w:top w:val="none" w:sz="0" w:space="0" w:color="auto"/>
                    <w:left w:val="none" w:sz="0" w:space="0" w:color="auto"/>
                    <w:bottom w:val="none" w:sz="0" w:space="0" w:color="auto"/>
                    <w:right w:val="none" w:sz="0" w:space="0" w:color="auto"/>
                  </w:divBdr>
                  <w:divsChild>
                    <w:div w:id="1000474111">
                      <w:marLeft w:val="0"/>
                      <w:marRight w:val="0"/>
                      <w:marTop w:val="0"/>
                      <w:marBottom w:val="150"/>
                      <w:divBdr>
                        <w:top w:val="single" w:sz="6" w:space="7" w:color="DDDDDD"/>
                        <w:left w:val="single" w:sz="6" w:space="7" w:color="DDDDDD"/>
                        <w:bottom w:val="single" w:sz="6" w:space="7" w:color="DDDDDD"/>
                        <w:right w:val="single" w:sz="6" w:space="7" w:color="DDDDDD"/>
                      </w:divBdr>
                      <w:divsChild>
                        <w:div w:id="1071779169">
                          <w:marLeft w:val="0"/>
                          <w:marRight w:val="0"/>
                          <w:marTop w:val="0"/>
                          <w:marBottom w:val="0"/>
                          <w:divBdr>
                            <w:top w:val="none" w:sz="0" w:space="0" w:color="auto"/>
                            <w:left w:val="none" w:sz="0" w:space="0" w:color="auto"/>
                            <w:bottom w:val="none" w:sz="0" w:space="0" w:color="auto"/>
                            <w:right w:val="none" w:sz="0" w:space="0" w:color="auto"/>
                          </w:divBdr>
                          <w:divsChild>
                            <w:div w:id="1472626508">
                              <w:marLeft w:val="0"/>
                              <w:marRight w:val="0"/>
                              <w:marTop w:val="0"/>
                              <w:marBottom w:val="0"/>
                              <w:divBdr>
                                <w:top w:val="none" w:sz="0" w:space="0" w:color="auto"/>
                                <w:left w:val="none" w:sz="0" w:space="0" w:color="auto"/>
                                <w:bottom w:val="none" w:sz="0" w:space="0" w:color="auto"/>
                                <w:right w:val="none" w:sz="0" w:space="0" w:color="auto"/>
                              </w:divBdr>
                              <w:divsChild>
                                <w:div w:id="1643537984">
                                  <w:blockQuote w:val="1"/>
                                  <w:marLeft w:val="225"/>
                                  <w:marRight w:val="225"/>
                                  <w:marTop w:val="0"/>
                                  <w:marBottom w:val="225"/>
                                  <w:divBdr>
                                    <w:top w:val="single" w:sz="6" w:space="8" w:color="91D8D6"/>
                                    <w:left w:val="single" w:sz="6" w:space="11" w:color="91D8D6"/>
                                    <w:bottom w:val="single" w:sz="6" w:space="0" w:color="91D8D6"/>
                                    <w:right w:val="single" w:sz="6" w:space="15" w:color="91D8D6"/>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8189D-A0BA-4631-AD7E-541BA7E398E8}"/>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customXml/itemProps4.xml><?xml version="1.0" encoding="utf-8"?>
<ds:datastoreItem xmlns:ds="http://schemas.openxmlformats.org/officeDocument/2006/customXml" ds:itemID="{1D01928D-9D54-4A35-B8B3-5C039B439739}"/>
</file>

<file path=docProps/app.xml><?xml version="1.0" encoding="utf-8"?>
<Properties xmlns="http://schemas.openxmlformats.org/officeDocument/2006/extended-properties" xmlns:vt="http://schemas.openxmlformats.org/officeDocument/2006/docPropsVTypes">
  <Template>D666E14F</Template>
  <TotalTime>1</TotalTime>
  <Pages>18</Pages>
  <Words>4695</Words>
  <Characters>26856</Characters>
  <Application>Microsoft Office Word</Application>
  <DocSecurity>0</DocSecurity>
  <Lines>959</Lines>
  <Paragraphs>362</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31189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Ffrench, Tom</cp:lastModifiedBy>
  <cp:revision>2</cp:revision>
  <cp:lastPrinted>2015-12-03T23:53:00Z</cp:lastPrinted>
  <dcterms:created xsi:type="dcterms:W3CDTF">2016-03-08T05:56:00Z</dcterms:created>
  <dcterms:modified xsi:type="dcterms:W3CDTF">2016-03-08T05:56:00Z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Group">
    <vt:lpwstr>Managing Programs</vt:lpwstr>
  </property>
  <property fmtid="{D5CDD505-2E9C-101B-9397-08002B2CF9AE}" pid="20" name="Owner">
    <vt:lpwstr>ADG. Quality Performance and Results</vt:lpwstr>
  </property>
  <property fmtid="{D5CDD505-2E9C-101B-9397-08002B2CF9AE}" pid="21" name="Doc Number">
    <vt:lpwstr>158</vt:lpwstr>
  </property>
  <property fmtid="{D5CDD505-2E9C-101B-9397-08002B2CF9AE}" pid="22" name="Date of Release">
    <vt:lpwstr>2012-12-11T13:00:00+00:00</vt:lpwstr>
  </property>
  <property fmtid="{D5CDD505-2E9C-101B-9397-08002B2CF9AE}" pid="23" name="Date of Review">
    <vt:lpwstr>2013-11-30T13:00:00+00:00</vt:lpwstr>
  </property>
  <property fmtid="{D5CDD505-2E9C-101B-9397-08002B2CF9AE}" pid="24" name="TitusGUID">
    <vt:lpwstr>965cd63c-6216-4cea-a976-d40cfedd9002</vt:lpwstr>
  </property>
  <property fmtid="{D5CDD505-2E9C-101B-9397-08002B2CF9AE}" pid="25" name="SEC">
    <vt:lpwstr>UNCLASSIFIED</vt:lpwstr>
  </property>
  <property fmtid="{D5CDD505-2E9C-101B-9397-08002B2CF9AE}" pid="26" name="DLM">
    <vt:lpwstr>No DLM</vt:lpwstr>
  </property>
  <property fmtid="{D5CDD505-2E9C-101B-9397-08002B2CF9AE}" pid="27" name="display_urn">
    <vt:lpwstr>Salvatore Carluccio</vt:lpwstr>
  </property>
  <property fmtid="{D5CDD505-2E9C-101B-9397-08002B2CF9AE}" pid="28" name="_SourceUrl">
    <vt:lpwstr/>
  </property>
  <property fmtid="{D5CDD505-2E9C-101B-9397-08002B2CF9AE}" pid="29" name="_SharedFileIndex">
    <vt:lpwstr/>
  </property>
</Properties>
</file>