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D0C" w:rsidRPr="007451B9" w:rsidRDefault="00E35D0C" w:rsidP="00E35D0C">
      <w:pPr>
        <w:pStyle w:val="Heading1"/>
        <w:spacing w:after="300"/>
        <w:rPr>
          <w:color w:val="auto"/>
        </w:rPr>
      </w:pPr>
      <w:bookmarkStart w:id="0" w:name="_Toc475348267"/>
      <w:bookmarkStart w:id="1" w:name="_GoBack"/>
      <w:bookmarkEnd w:id="1"/>
      <w:r w:rsidRPr="007451B9">
        <w:rPr>
          <w:color w:val="auto"/>
        </w:rPr>
        <w:t xml:space="preserve">Management Response </w:t>
      </w:r>
      <w:r w:rsidR="00666706">
        <w:rPr>
          <w:color w:val="auto"/>
        </w:rPr>
        <w:t>TO the pacific women mid-term independent evaluation</w:t>
      </w:r>
      <w:bookmarkEnd w:id="0"/>
    </w:p>
    <w:p w:rsidR="00E35D0C" w:rsidRPr="002B1079" w:rsidRDefault="00E35D0C" w:rsidP="00E35D0C">
      <w:pPr>
        <w:pStyle w:val="Heading3"/>
      </w:pPr>
      <w:r>
        <w:t>Summary of management r</w:t>
      </w:r>
      <w:r w:rsidRPr="002B1079">
        <w:t xml:space="preserve">esponse </w:t>
      </w:r>
    </w:p>
    <w:p w:rsidR="00E35D0C" w:rsidRDefault="000D4183" w:rsidP="00E35D0C">
      <w:pPr>
        <w:pStyle w:val="BodyText"/>
      </w:pPr>
      <w:r>
        <w:t xml:space="preserve">DFAT welcomes this evaluation, which we view as a constructive and </w:t>
      </w:r>
      <w:proofErr w:type="gramStart"/>
      <w:r>
        <w:t>well informed</w:t>
      </w:r>
      <w:proofErr w:type="gramEnd"/>
      <w:r>
        <w:t xml:space="preserve"> contribution to strengthening the Pacific Women program going forward. We generally agree with the proposed set of recommendations, with only </w:t>
      </w:r>
      <w:r w:rsidR="00F72625">
        <w:t xml:space="preserve">one </w:t>
      </w:r>
      <w:r>
        <w:t xml:space="preserve">exception (to the </w:t>
      </w:r>
      <w:r w:rsidR="00003C06">
        <w:t>nine</w:t>
      </w:r>
      <w:r>
        <w:t xml:space="preserve">). We will move </w:t>
      </w:r>
      <w:proofErr w:type="gramStart"/>
      <w:r>
        <w:t>to quickly implement</w:t>
      </w:r>
      <w:proofErr w:type="gramEnd"/>
      <w:r>
        <w:t xml:space="preserve"> most of the identified changes in early 2018.</w:t>
      </w:r>
    </w:p>
    <w:tbl>
      <w:tblPr>
        <w:tblStyle w:val="DFATTable1"/>
        <w:tblW w:w="10098"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2514"/>
        <w:gridCol w:w="6"/>
        <w:gridCol w:w="7"/>
        <w:gridCol w:w="1843"/>
        <w:gridCol w:w="369"/>
        <w:gridCol w:w="27"/>
        <w:gridCol w:w="1543"/>
        <w:gridCol w:w="7"/>
        <w:gridCol w:w="368"/>
        <w:gridCol w:w="10"/>
        <w:gridCol w:w="1428"/>
        <w:gridCol w:w="8"/>
        <w:gridCol w:w="102"/>
        <w:gridCol w:w="1758"/>
        <w:gridCol w:w="93"/>
        <w:gridCol w:w="15"/>
      </w:tblGrid>
      <w:tr w:rsidR="00472267" w:rsidRPr="00EF3E85" w:rsidTr="00666706">
        <w:trPr>
          <w:gridAfter w:val="1"/>
          <w:cnfStyle w:val="100000000000" w:firstRow="1" w:lastRow="0" w:firstColumn="0" w:lastColumn="0" w:oddVBand="0" w:evenVBand="0" w:oddHBand="0" w:evenHBand="0" w:firstRowFirstColumn="0" w:firstRowLastColumn="0" w:lastRowFirstColumn="0" w:lastRowLastColumn="0"/>
          <w:wAfter w:w="15" w:type="dxa"/>
          <w:trHeight w:val="1587"/>
        </w:trPr>
        <w:tc>
          <w:tcPr>
            <w:cnfStyle w:val="001000000000" w:firstRow="0" w:lastRow="0" w:firstColumn="1" w:lastColumn="0" w:oddVBand="0" w:evenVBand="0" w:oddHBand="0" w:evenHBand="0" w:firstRowFirstColumn="0" w:firstRowLastColumn="0" w:lastRowFirstColumn="0" w:lastRowLastColumn="0"/>
            <w:tcW w:w="2514" w:type="dxa"/>
            <w:hideMark/>
          </w:tcPr>
          <w:p w:rsidR="00E35D0C" w:rsidRPr="00EF3E85" w:rsidRDefault="00E35D0C" w:rsidP="00866A29">
            <w:pPr>
              <w:pStyle w:val="TableHeaderRow"/>
              <w:rPr>
                <w:szCs w:val="22"/>
              </w:rPr>
            </w:pPr>
            <w:r w:rsidRPr="00EF3E85">
              <w:rPr>
                <w:szCs w:val="22"/>
              </w:rPr>
              <w:lastRenderedPageBreak/>
              <w:t>Recommendation</w:t>
            </w:r>
          </w:p>
        </w:tc>
        <w:tc>
          <w:tcPr>
            <w:tcW w:w="1856" w:type="dxa"/>
            <w:gridSpan w:val="3"/>
            <w:hideMark/>
          </w:tcPr>
          <w:p w:rsidR="00E35D0C" w:rsidRPr="00EF3E85" w:rsidRDefault="00E35D0C" w:rsidP="00866A29">
            <w:pPr>
              <w:pStyle w:val="TableHeaderRow"/>
              <w:cnfStyle w:val="100000000000" w:firstRow="1" w:lastRow="0" w:firstColumn="0" w:lastColumn="0" w:oddVBand="0" w:evenVBand="0" w:oddHBand="0" w:evenHBand="0" w:firstRowFirstColumn="0" w:firstRowLastColumn="0" w:lastRowFirstColumn="0" w:lastRowLastColumn="0"/>
              <w:rPr>
                <w:szCs w:val="22"/>
              </w:rPr>
            </w:pPr>
            <w:r w:rsidRPr="00EF3E85">
              <w:rPr>
                <w:szCs w:val="22"/>
              </w:rPr>
              <w:t xml:space="preserve">Response </w:t>
            </w:r>
            <w:r w:rsidRPr="00EF3E85">
              <w:rPr>
                <w:szCs w:val="22"/>
              </w:rPr>
              <w:br/>
            </w:r>
            <w:r w:rsidRPr="00EF3E85">
              <w:rPr>
                <w:rFonts w:asciiTheme="majorHAnsi" w:hAnsiTheme="majorHAnsi"/>
                <w:szCs w:val="22"/>
              </w:rPr>
              <w:t>[Note: Select one option from the column below, delete others]</w:t>
            </w:r>
          </w:p>
        </w:tc>
        <w:tc>
          <w:tcPr>
            <w:tcW w:w="1939" w:type="dxa"/>
            <w:gridSpan w:val="3"/>
            <w:hideMark/>
          </w:tcPr>
          <w:p w:rsidR="00E35D0C" w:rsidRPr="00EF3E85" w:rsidRDefault="00E35D0C" w:rsidP="00866A29">
            <w:pPr>
              <w:pStyle w:val="TableHeaderRow"/>
              <w:cnfStyle w:val="100000000000" w:firstRow="1" w:lastRow="0" w:firstColumn="0" w:lastColumn="0" w:oddVBand="0" w:evenVBand="0" w:oddHBand="0" w:evenHBand="0" w:firstRowFirstColumn="0" w:firstRowLastColumn="0" w:lastRowFirstColumn="0" w:lastRowLastColumn="0"/>
              <w:rPr>
                <w:szCs w:val="22"/>
              </w:rPr>
            </w:pPr>
            <w:r w:rsidRPr="00EF3E85">
              <w:rPr>
                <w:szCs w:val="22"/>
              </w:rPr>
              <w:t xml:space="preserve">Explanation </w:t>
            </w:r>
          </w:p>
        </w:tc>
        <w:tc>
          <w:tcPr>
            <w:tcW w:w="1923" w:type="dxa"/>
            <w:gridSpan w:val="6"/>
            <w:hideMark/>
          </w:tcPr>
          <w:p w:rsidR="00E35D0C" w:rsidRPr="00EF3E85" w:rsidRDefault="00E35D0C" w:rsidP="00866A29">
            <w:pPr>
              <w:pStyle w:val="TableHeaderRow"/>
              <w:cnfStyle w:val="100000000000" w:firstRow="1" w:lastRow="0" w:firstColumn="0" w:lastColumn="0" w:oddVBand="0" w:evenVBand="0" w:oddHBand="0" w:evenHBand="0" w:firstRowFirstColumn="0" w:firstRowLastColumn="0" w:lastRowFirstColumn="0" w:lastRowLastColumn="0"/>
              <w:rPr>
                <w:szCs w:val="22"/>
              </w:rPr>
            </w:pPr>
            <w:r w:rsidRPr="00EF3E85">
              <w:rPr>
                <w:szCs w:val="22"/>
              </w:rPr>
              <w:t xml:space="preserve">Action plan </w:t>
            </w:r>
          </w:p>
        </w:tc>
        <w:tc>
          <w:tcPr>
            <w:tcW w:w="1851" w:type="dxa"/>
            <w:gridSpan w:val="2"/>
            <w:hideMark/>
          </w:tcPr>
          <w:p w:rsidR="00E35D0C" w:rsidRPr="00EF3E85" w:rsidRDefault="00E35D0C" w:rsidP="00866A29">
            <w:pPr>
              <w:pStyle w:val="TableHeaderRow"/>
              <w:cnfStyle w:val="100000000000" w:firstRow="1" w:lastRow="0" w:firstColumn="0" w:lastColumn="0" w:oddVBand="0" w:evenVBand="0" w:oddHBand="0" w:evenHBand="0" w:firstRowFirstColumn="0" w:firstRowLastColumn="0" w:lastRowFirstColumn="0" w:lastRowLastColumn="0"/>
              <w:rPr>
                <w:szCs w:val="22"/>
              </w:rPr>
            </w:pPr>
            <w:r w:rsidRPr="00EF3E85">
              <w:rPr>
                <w:szCs w:val="22"/>
              </w:rPr>
              <w:t>Timeframe</w:t>
            </w:r>
          </w:p>
          <w:p w:rsidR="00E35D0C" w:rsidRPr="00EF3E85" w:rsidRDefault="00E35D0C" w:rsidP="00866A29">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szCs w:val="22"/>
              </w:rPr>
            </w:pPr>
            <w:r w:rsidRPr="00EF3E85">
              <w:rPr>
                <w:rFonts w:asciiTheme="majorHAnsi" w:hAnsiTheme="majorHAnsi"/>
                <w:szCs w:val="22"/>
              </w:rPr>
              <w:t>[If practical, please specify timeframe here]</w:t>
            </w:r>
          </w:p>
        </w:tc>
      </w:tr>
      <w:tr w:rsidR="00472267" w:rsidRPr="00EF3E85" w:rsidTr="00666706">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2514" w:type="dxa"/>
          </w:tcPr>
          <w:p w:rsidR="00E35D0C" w:rsidRPr="00EF3E85" w:rsidRDefault="00E35D0C" w:rsidP="00D814D5">
            <w:pPr>
              <w:pStyle w:val="Heading3"/>
              <w:spacing w:before="120" w:after="60" w:line="260" w:lineRule="atLeast"/>
              <w:contextualSpacing w:val="0"/>
              <w:outlineLvl w:val="2"/>
              <w:rPr>
                <w:b/>
                <w:sz w:val="22"/>
                <w:szCs w:val="22"/>
              </w:rPr>
            </w:pPr>
            <w:r w:rsidRPr="00EF3E85">
              <w:rPr>
                <w:b/>
                <w:sz w:val="22"/>
                <w:szCs w:val="22"/>
              </w:rPr>
              <w:t>Recommendation 1</w:t>
            </w:r>
          </w:p>
          <w:p w:rsidR="00E35D0C" w:rsidRPr="00EF3E85" w:rsidRDefault="00A465A1" w:rsidP="00D814D5">
            <w:pPr>
              <w:pStyle w:val="BodyText"/>
              <w:rPr>
                <w:rFonts w:asciiTheme="majorHAnsi" w:eastAsiaTheme="majorEastAsia" w:hAnsiTheme="majorHAnsi" w:cstheme="majorBidi"/>
                <w:bCs/>
                <w:lang w:val="en-AU"/>
              </w:rPr>
            </w:pPr>
            <w:r w:rsidRPr="00EF3E85">
              <w:rPr>
                <w:rFonts w:asciiTheme="majorHAnsi" w:eastAsiaTheme="majorEastAsia" w:hAnsiTheme="majorHAnsi" w:cstheme="majorBidi"/>
                <w:bCs/>
                <w:lang w:val="en-AU"/>
              </w:rPr>
              <w:t xml:space="preserve">Ensure that stakeholders understand the role of the </w:t>
            </w:r>
            <w:r w:rsidRPr="00EF3E85">
              <w:rPr>
                <w:rFonts w:asciiTheme="majorHAnsi" w:eastAsiaTheme="majorEastAsia" w:hAnsiTheme="majorHAnsi" w:cstheme="majorBidi"/>
                <w:bCs/>
                <w:i/>
                <w:lang w:val="en-AU"/>
              </w:rPr>
              <w:t>Pacific Women</w:t>
            </w:r>
            <w:r w:rsidRPr="00EF3E85">
              <w:rPr>
                <w:rFonts w:asciiTheme="majorHAnsi" w:eastAsiaTheme="majorEastAsia" w:hAnsiTheme="majorHAnsi" w:cstheme="majorBidi"/>
                <w:bCs/>
                <w:lang w:val="en-AU"/>
              </w:rPr>
              <w:t xml:space="preserve"> Support Unit and that </w:t>
            </w:r>
            <w:r w:rsidRPr="00EF3E85">
              <w:rPr>
                <w:rFonts w:asciiTheme="majorHAnsi" w:eastAsiaTheme="majorEastAsia" w:hAnsiTheme="majorHAnsi" w:cstheme="majorBidi"/>
                <w:bCs/>
                <w:i/>
                <w:lang w:val="en-AU"/>
              </w:rPr>
              <w:t>Pacific Women</w:t>
            </w:r>
            <w:r w:rsidRPr="00EF3E85">
              <w:rPr>
                <w:rFonts w:asciiTheme="majorHAnsi" w:eastAsiaTheme="majorEastAsia" w:hAnsiTheme="majorHAnsi" w:cstheme="majorBidi"/>
                <w:bCs/>
                <w:lang w:val="en-AU"/>
              </w:rPr>
              <w:t xml:space="preserve"> is not a grants program.</w:t>
            </w:r>
          </w:p>
        </w:tc>
        <w:tc>
          <w:tcPr>
            <w:tcW w:w="1856" w:type="dxa"/>
            <w:gridSpan w:val="3"/>
            <w:shd w:val="clear" w:color="auto" w:fill="92D050"/>
            <w:hideMark/>
          </w:tcPr>
          <w:p w:rsidR="00E35D0C" w:rsidRPr="00EF3E85" w:rsidRDefault="00E35D0C" w:rsidP="00D814D5">
            <w:pPr>
              <w:pStyle w:val="Heading3"/>
              <w:spacing w:before="120" w:after="60" w:line="260" w:lineRule="atLeast"/>
              <w:contextualSpacing w:val="0"/>
              <w:outlineLvl w:val="2"/>
              <w:cnfStyle w:val="000000100000" w:firstRow="0" w:lastRow="0" w:firstColumn="0" w:lastColumn="0" w:oddVBand="0" w:evenVBand="0" w:oddHBand="1" w:evenHBand="0" w:firstRowFirstColumn="0" w:firstRowLastColumn="0" w:lastRowFirstColumn="0" w:lastRowLastColumn="0"/>
              <w:rPr>
                <w:sz w:val="22"/>
                <w:szCs w:val="22"/>
              </w:rPr>
            </w:pPr>
            <w:r w:rsidRPr="00EF3E85">
              <w:rPr>
                <w:sz w:val="22"/>
                <w:szCs w:val="22"/>
              </w:rPr>
              <w:t xml:space="preserve">Agree </w:t>
            </w:r>
          </w:p>
        </w:tc>
        <w:tc>
          <w:tcPr>
            <w:tcW w:w="1939" w:type="dxa"/>
            <w:gridSpan w:val="3"/>
          </w:tcPr>
          <w:p w:rsidR="00A465A1" w:rsidRPr="00EF3E85" w:rsidRDefault="00805C71" w:rsidP="00472267">
            <w:pPr>
              <w:pStyle w:val="BodyText"/>
              <w:cnfStyle w:val="000000100000" w:firstRow="0" w:lastRow="0" w:firstColumn="0" w:lastColumn="0" w:oddVBand="0" w:evenVBand="0" w:oddHBand="1" w:evenHBand="0" w:firstRowFirstColumn="0" w:firstRowLastColumn="0" w:lastRowFirstColumn="0" w:lastRowLastColumn="0"/>
            </w:pPr>
            <w:r w:rsidRPr="00EF3E85">
              <w:t xml:space="preserve">DFAT will </w:t>
            </w:r>
            <w:r w:rsidR="00472267" w:rsidRPr="00EF3E85">
              <w:t xml:space="preserve">clarify the </w:t>
            </w:r>
            <w:r w:rsidR="00472267">
              <w:t xml:space="preserve">contractual </w:t>
            </w:r>
            <w:r w:rsidR="00472267" w:rsidRPr="00EF3E85">
              <w:t xml:space="preserve">role of the </w:t>
            </w:r>
            <w:r w:rsidR="00472267" w:rsidRPr="00EF3E85">
              <w:rPr>
                <w:i/>
              </w:rPr>
              <w:t>Pacific Women</w:t>
            </w:r>
            <w:r w:rsidR="00472267" w:rsidRPr="00EF3E85">
              <w:t xml:space="preserve"> Support Unit</w:t>
            </w:r>
            <w:r w:rsidR="00472267">
              <w:t xml:space="preserve"> in the course of engagement with </w:t>
            </w:r>
            <w:proofErr w:type="spellStart"/>
            <w:r w:rsidR="00472267">
              <w:t>GoPNG</w:t>
            </w:r>
            <w:proofErr w:type="spellEnd"/>
            <w:r w:rsidR="00472267">
              <w:t xml:space="preserve"> stakeholders, program partners and bilateral counterparts.</w:t>
            </w:r>
          </w:p>
        </w:tc>
        <w:tc>
          <w:tcPr>
            <w:tcW w:w="1923" w:type="dxa"/>
            <w:gridSpan w:val="6"/>
          </w:tcPr>
          <w:p w:rsidR="00E35D0C" w:rsidRPr="00EF3E85" w:rsidRDefault="00F91FD9" w:rsidP="00F91FD9">
            <w:pPr>
              <w:pStyle w:val="BodyText"/>
              <w:cnfStyle w:val="000000100000" w:firstRow="0" w:lastRow="0" w:firstColumn="0" w:lastColumn="0" w:oddVBand="0" w:evenVBand="0" w:oddHBand="1" w:evenHBand="0" w:firstRowFirstColumn="0" w:firstRowLastColumn="0" w:lastRowFirstColumn="0" w:lastRowLastColumn="0"/>
            </w:pPr>
            <w:r>
              <w:t>Post and desk</w:t>
            </w:r>
            <w:r w:rsidRPr="00EF3E85">
              <w:t xml:space="preserve"> </w:t>
            </w:r>
            <w:r w:rsidR="00805C71" w:rsidRPr="00EF3E85">
              <w:t xml:space="preserve">will </w:t>
            </w:r>
            <w:r>
              <w:t>action</w:t>
            </w:r>
            <w:r w:rsidRPr="00EF3E85">
              <w:t xml:space="preserve"> </w:t>
            </w:r>
            <w:r w:rsidR="00805C71" w:rsidRPr="00EF3E85">
              <w:t xml:space="preserve">this </w:t>
            </w:r>
            <w:r>
              <w:t>through</w:t>
            </w:r>
            <w:r w:rsidR="00805C71" w:rsidRPr="00EF3E85">
              <w:t xml:space="preserve"> </w:t>
            </w:r>
            <w:r w:rsidR="00D13129" w:rsidRPr="00EF3E85">
              <w:t xml:space="preserve">ongoing </w:t>
            </w:r>
            <w:r w:rsidR="00805C71" w:rsidRPr="00EF3E85">
              <w:t xml:space="preserve">engagement with </w:t>
            </w:r>
            <w:r w:rsidR="00D13129" w:rsidRPr="00EF3E85">
              <w:t>partners and stakeholders</w:t>
            </w:r>
            <w:r w:rsidR="00003C06">
              <w:t>.</w:t>
            </w:r>
            <w:r w:rsidR="00D13129" w:rsidRPr="00EF3E85">
              <w:t xml:space="preserve"> </w:t>
            </w:r>
          </w:p>
        </w:tc>
        <w:tc>
          <w:tcPr>
            <w:tcW w:w="1851" w:type="dxa"/>
            <w:gridSpan w:val="2"/>
          </w:tcPr>
          <w:p w:rsidR="00E35D0C" w:rsidRPr="00EF3E85" w:rsidRDefault="00EF3E85" w:rsidP="00F72625">
            <w:pPr>
              <w:pStyle w:val="BodyText"/>
              <w:cnfStyle w:val="000000100000" w:firstRow="0" w:lastRow="0" w:firstColumn="0" w:lastColumn="0" w:oddVBand="0" w:evenVBand="0" w:oddHBand="1" w:evenHBand="0" w:firstRowFirstColumn="0" w:firstRowLastColumn="0" w:lastRowFirstColumn="0" w:lastRowLastColumn="0"/>
            </w:pPr>
            <w:r>
              <w:t>Ongoing.</w:t>
            </w:r>
          </w:p>
        </w:tc>
      </w:tr>
      <w:tr w:rsidR="00472267" w:rsidRPr="00EF3E85" w:rsidTr="00666706">
        <w:trPr>
          <w:gridAfter w:val="1"/>
          <w:cnfStyle w:val="000000010000" w:firstRow="0" w:lastRow="0" w:firstColumn="0" w:lastColumn="0" w:oddVBand="0" w:evenVBand="0" w:oddHBand="0" w:evenHBand="1"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2514" w:type="dxa"/>
          </w:tcPr>
          <w:p w:rsidR="00A465A1" w:rsidRPr="00EF3E85" w:rsidRDefault="00A465A1" w:rsidP="00D814D5">
            <w:pPr>
              <w:pStyle w:val="Heading3"/>
              <w:spacing w:before="120" w:after="60" w:line="260" w:lineRule="atLeast"/>
              <w:contextualSpacing w:val="0"/>
              <w:outlineLvl w:val="2"/>
              <w:rPr>
                <w:b/>
                <w:sz w:val="22"/>
                <w:szCs w:val="22"/>
              </w:rPr>
            </w:pPr>
            <w:r w:rsidRPr="00EF3E85">
              <w:rPr>
                <w:b/>
                <w:sz w:val="22"/>
                <w:szCs w:val="22"/>
              </w:rPr>
              <w:t xml:space="preserve">Recommendation 2 </w:t>
            </w:r>
          </w:p>
          <w:p w:rsidR="00A465A1" w:rsidRPr="00EF3E85" w:rsidRDefault="00A465A1" w:rsidP="00D814D5">
            <w:pPr>
              <w:pStyle w:val="Heading3"/>
              <w:spacing w:before="120" w:after="60" w:line="260" w:lineRule="atLeast"/>
              <w:contextualSpacing w:val="0"/>
              <w:outlineLvl w:val="2"/>
              <w:rPr>
                <w:sz w:val="22"/>
                <w:szCs w:val="22"/>
              </w:rPr>
            </w:pPr>
            <w:r w:rsidRPr="00EF3E85">
              <w:rPr>
                <w:sz w:val="22"/>
                <w:szCs w:val="22"/>
              </w:rPr>
              <w:t xml:space="preserve">Continue to build relationships with the Government of Papua New Guinea, especially the Department for Community Development and Religion, the Department of National Planning and Monitoring, and the Bougainville Department of Community Development. This could include providing Program reporting that clearly identifies </w:t>
            </w:r>
            <w:r w:rsidRPr="00EF3E85">
              <w:rPr>
                <w:i/>
                <w:sz w:val="22"/>
                <w:szCs w:val="22"/>
              </w:rPr>
              <w:t>Pacific Women</w:t>
            </w:r>
            <w:r w:rsidRPr="00EF3E85">
              <w:rPr>
                <w:sz w:val="22"/>
                <w:szCs w:val="22"/>
              </w:rPr>
              <w:t xml:space="preserve"> contributions to the Government’s strategic and policy commitments.</w:t>
            </w:r>
          </w:p>
        </w:tc>
        <w:tc>
          <w:tcPr>
            <w:tcW w:w="1856" w:type="dxa"/>
            <w:gridSpan w:val="3"/>
            <w:shd w:val="clear" w:color="auto" w:fill="92D050"/>
          </w:tcPr>
          <w:p w:rsidR="00A465A1" w:rsidRPr="00EF3E85" w:rsidRDefault="00A465A1" w:rsidP="00D814D5">
            <w:pPr>
              <w:pStyle w:val="Heading3"/>
              <w:spacing w:before="120" w:after="60" w:line="260" w:lineRule="atLeast"/>
              <w:contextualSpacing w:val="0"/>
              <w:outlineLvl w:val="2"/>
              <w:cnfStyle w:val="000000010000" w:firstRow="0" w:lastRow="0" w:firstColumn="0" w:lastColumn="0" w:oddVBand="0" w:evenVBand="0" w:oddHBand="0" w:evenHBand="1" w:firstRowFirstColumn="0" w:firstRowLastColumn="0" w:lastRowFirstColumn="0" w:lastRowLastColumn="0"/>
              <w:rPr>
                <w:sz w:val="22"/>
                <w:szCs w:val="22"/>
              </w:rPr>
            </w:pPr>
            <w:r w:rsidRPr="00EF3E85">
              <w:rPr>
                <w:sz w:val="22"/>
                <w:szCs w:val="22"/>
              </w:rPr>
              <w:t xml:space="preserve">Agree </w:t>
            </w:r>
          </w:p>
        </w:tc>
        <w:tc>
          <w:tcPr>
            <w:tcW w:w="1939" w:type="dxa"/>
            <w:gridSpan w:val="3"/>
          </w:tcPr>
          <w:p w:rsidR="00A465A1" w:rsidRPr="00EF3E85" w:rsidRDefault="00A465A1" w:rsidP="00D814D5">
            <w:pPr>
              <w:pStyle w:val="BodyText"/>
              <w:cnfStyle w:val="000000010000" w:firstRow="0" w:lastRow="0" w:firstColumn="0" w:lastColumn="0" w:oddVBand="0" w:evenVBand="0" w:oddHBand="0" w:evenHBand="1" w:firstRowFirstColumn="0" w:firstRowLastColumn="0" w:lastRowFirstColumn="0" w:lastRowLastColumn="0"/>
            </w:pPr>
            <w:r w:rsidRPr="00EF3E85">
              <w:t xml:space="preserve">DFAT will </w:t>
            </w:r>
            <w:r w:rsidR="00EF3E85">
              <w:t xml:space="preserve">continue to identify opportunities to engage with the </w:t>
            </w:r>
            <w:proofErr w:type="spellStart"/>
            <w:r w:rsidR="00EF3E85">
              <w:t>GoPNG</w:t>
            </w:r>
            <w:proofErr w:type="spellEnd"/>
            <w:r w:rsidR="00EF3E85">
              <w:t xml:space="preserve"> on </w:t>
            </w:r>
            <w:r w:rsidRPr="00EF3E85">
              <w:t xml:space="preserve">the role and place of </w:t>
            </w:r>
            <w:r w:rsidR="00003C06">
              <w:t xml:space="preserve">the </w:t>
            </w:r>
            <w:r w:rsidRPr="00EF3E85">
              <w:rPr>
                <w:i/>
              </w:rPr>
              <w:t>Pacific Women</w:t>
            </w:r>
            <w:r w:rsidRPr="00EF3E85">
              <w:t xml:space="preserve"> Program as </w:t>
            </w:r>
            <w:r w:rsidR="00EF3E85">
              <w:t xml:space="preserve">a </w:t>
            </w:r>
            <w:r w:rsidRPr="00EF3E85">
              <w:t xml:space="preserve">major bilateral investment vehicle while advancing diplomatic relations with key </w:t>
            </w:r>
            <w:proofErr w:type="spellStart"/>
            <w:r w:rsidRPr="00EF3E85">
              <w:t>GoPNG</w:t>
            </w:r>
            <w:proofErr w:type="spellEnd"/>
            <w:r w:rsidRPr="00EF3E85">
              <w:t xml:space="preserve"> partners. </w:t>
            </w:r>
          </w:p>
        </w:tc>
        <w:tc>
          <w:tcPr>
            <w:tcW w:w="1923" w:type="dxa"/>
            <w:gridSpan w:val="6"/>
          </w:tcPr>
          <w:p w:rsidR="00472267" w:rsidRDefault="00F91FD9">
            <w:pPr>
              <w:pStyle w:val="BodyText"/>
              <w:cnfStyle w:val="000000010000" w:firstRow="0" w:lastRow="0" w:firstColumn="0" w:lastColumn="0" w:oddVBand="0" w:evenVBand="0" w:oddHBand="0" w:evenHBand="1" w:firstRowFirstColumn="0" w:firstRowLastColumn="0" w:lastRowFirstColumn="0" w:lastRowLastColumn="0"/>
            </w:pPr>
            <w:r>
              <w:t>Post</w:t>
            </w:r>
            <w:r w:rsidRPr="00EF3E85">
              <w:t xml:space="preserve"> </w:t>
            </w:r>
            <w:r w:rsidR="00A465A1" w:rsidRPr="00EF3E85">
              <w:t xml:space="preserve">will </w:t>
            </w:r>
            <w:r>
              <w:t>action</w:t>
            </w:r>
            <w:r w:rsidRPr="00EF3E85">
              <w:t xml:space="preserve"> </w:t>
            </w:r>
            <w:r w:rsidR="00A465A1" w:rsidRPr="00EF3E85">
              <w:t xml:space="preserve">this </w:t>
            </w:r>
            <w:r>
              <w:t>through</w:t>
            </w:r>
            <w:r w:rsidR="00A465A1" w:rsidRPr="00EF3E85">
              <w:t xml:space="preserve"> direct engagement with </w:t>
            </w:r>
            <w:r w:rsidR="00EF3E85">
              <w:t xml:space="preserve">key </w:t>
            </w:r>
            <w:proofErr w:type="spellStart"/>
            <w:r w:rsidR="00A465A1" w:rsidRPr="00EF3E85">
              <w:t>GoPNG</w:t>
            </w:r>
            <w:proofErr w:type="spellEnd"/>
            <w:r w:rsidR="00A465A1" w:rsidRPr="00EF3E85">
              <w:t xml:space="preserve"> agencies</w:t>
            </w:r>
            <w:r w:rsidR="00472267">
              <w:t>, such as the recent meeting between the Minister for Community Development and the Ambassador for Women and Girls (on 1 December 2017).</w:t>
            </w:r>
            <w:r w:rsidR="00EF3E85">
              <w:t xml:space="preserve"> </w:t>
            </w:r>
          </w:p>
          <w:p w:rsidR="00472267" w:rsidRDefault="00472267">
            <w:pPr>
              <w:pStyle w:val="BodyText"/>
              <w:cnfStyle w:val="000000010000" w:firstRow="0" w:lastRow="0" w:firstColumn="0" w:lastColumn="0" w:oddVBand="0" w:evenVBand="0" w:oddHBand="0" w:evenHBand="1" w:firstRowFirstColumn="0" w:firstRowLastColumn="0" w:lastRowFirstColumn="0" w:lastRowLastColumn="0"/>
            </w:pPr>
          </w:p>
          <w:p w:rsidR="00A465A1" w:rsidRPr="00EF3E85" w:rsidRDefault="00EF3E85" w:rsidP="00472267">
            <w:pPr>
              <w:pStyle w:val="BodyText"/>
              <w:cnfStyle w:val="000000010000" w:firstRow="0" w:lastRow="0" w:firstColumn="0" w:lastColumn="0" w:oddVBand="0" w:evenVBand="0" w:oddHBand="0" w:evenHBand="1" w:firstRowFirstColumn="0" w:firstRowLastColumn="0" w:lastRowFirstColumn="0" w:lastRowLastColumn="0"/>
            </w:pPr>
            <w:r>
              <w:t xml:space="preserve">DFAT will offer </w:t>
            </w:r>
            <w:proofErr w:type="spellStart"/>
            <w:r>
              <w:t>GoPNG</w:t>
            </w:r>
            <w:proofErr w:type="spellEnd"/>
            <w:r>
              <w:t xml:space="preserve"> stakeholders verbal updates on the </w:t>
            </w:r>
            <w:r>
              <w:rPr>
                <w:i/>
              </w:rPr>
              <w:t xml:space="preserve">Pacific Women </w:t>
            </w:r>
            <w:r>
              <w:t>on a regular basis as well as provide copies of the PNG and Bougainville Performance Reports.</w:t>
            </w:r>
          </w:p>
        </w:tc>
        <w:tc>
          <w:tcPr>
            <w:tcW w:w="1851" w:type="dxa"/>
            <w:gridSpan w:val="2"/>
          </w:tcPr>
          <w:p w:rsidR="00A465A1" w:rsidRDefault="00EF3E85" w:rsidP="00D814D5">
            <w:pPr>
              <w:pStyle w:val="BodyText"/>
              <w:cnfStyle w:val="000000010000" w:firstRow="0" w:lastRow="0" w:firstColumn="0" w:lastColumn="0" w:oddVBand="0" w:evenVBand="0" w:oddHBand="0" w:evenHBand="1" w:firstRowFirstColumn="0" w:firstRowLastColumn="0" w:lastRowFirstColumn="0" w:lastRowLastColumn="0"/>
            </w:pPr>
            <w:r>
              <w:t xml:space="preserve">Ongoing. </w:t>
            </w:r>
          </w:p>
          <w:p w:rsidR="00EF3E85" w:rsidRPr="00EF3E85" w:rsidRDefault="00F72625" w:rsidP="00D814D5">
            <w:pPr>
              <w:pStyle w:val="BodyText"/>
              <w:cnfStyle w:val="000000010000" w:firstRow="0" w:lastRow="0" w:firstColumn="0" w:lastColumn="0" w:oddVBand="0" w:evenVBand="0" w:oddHBand="0" w:evenHBand="1" w:firstRowFirstColumn="0" w:firstRowLastColumn="0" w:lastRowFirstColumn="0" w:lastRowLastColumn="0"/>
            </w:pPr>
            <w:r>
              <w:t>Performance r</w:t>
            </w:r>
            <w:r w:rsidR="00EF3E85">
              <w:t xml:space="preserve">eports </w:t>
            </w:r>
            <w:proofErr w:type="gramStart"/>
            <w:r w:rsidR="00EF3E85">
              <w:t>will be shared</w:t>
            </w:r>
            <w:proofErr w:type="gramEnd"/>
            <w:r w:rsidR="00EF3E85">
              <w:t xml:space="preserve"> in May 2018.</w:t>
            </w:r>
          </w:p>
        </w:tc>
      </w:tr>
      <w:tr w:rsidR="00472267" w:rsidRPr="00EF3E85" w:rsidTr="00666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4" w:type="dxa"/>
            <w:hideMark/>
          </w:tcPr>
          <w:p w:rsidR="00A465A1" w:rsidRPr="00EF3E85" w:rsidRDefault="00A465A1" w:rsidP="00D814D5">
            <w:pPr>
              <w:pStyle w:val="Heading3"/>
              <w:spacing w:before="120" w:after="60" w:line="260" w:lineRule="atLeast"/>
              <w:contextualSpacing w:val="0"/>
              <w:outlineLvl w:val="2"/>
              <w:rPr>
                <w:b/>
                <w:sz w:val="22"/>
                <w:szCs w:val="22"/>
              </w:rPr>
            </w:pPr>
            <w:r w:rsidRPr="00EF3E85">
              <w:rPr>
                <w:b/>
                <w:sz w:val="22"/>
                <w:szCs w:val="22"/>
              </w:rPr>
              <w:lastRenderedPageBreak/>
              <w:t xml:space="preserve">Recommendation </w:t>
            </w:r>
            <w:r w:rsidR="00D13129" w:rsidRPr="00EF3E85">
              <w:rPr>
                <w:b/>
                <w:sz w:val="22"/>
                <w:szCs w:val="22"/>
              </w:rPr>
              <w:t>3</w:t>
            </w:r>
          </w:p>
          <w:p w:rsidR="00D13129" w:rsidRPr="00EF3E85" w:rsidRDefault="00A465A1" w:rsidP="00D814D5">
            <w:pPr>
              <w:pStyle w:val="Heading3"/>
              <w:spacing w:before="120" w:after="60" w:line="260" w:lineRule="atLeast"/>
              <w:contextualSpacing w:val="0"/>
              <w:outlineLvl w:val="2"/>
              <w:rPr>
                <w:i/>
                <w:sz w:val="22"/>
                <w:szCs w:val="22"/>
              </w:rPr>
            </w:pPr>
            <w:bookmarkStart w:id="2" w:name="_Hlk493421903"/>
            <w:r w:rsidRPr="00EF3E85">
              <w:rPr>
                <w:sz w:val="22"/>
                <w:szCs w:val="22"/>
              </w:rPr>
              <w:t>Review the theory of change within the Papua New Guinea program in consultation with implementing partners and stakeholders.</w:t>
            </w:r>
            <w:bookmarkEnd w:id="2"/>
            <w:r w:rsidRPr="00EF3E85">
              <w:rPr>
                <w:sz w:val="22"/>
                <w:szCs w:val="22"/>
              </w:rPr>
              <w:t xml:space="preserve">  </w:t>
            </w:r>
          </w:p>
        </w:tc>
        <w:tc>
          <w:tcPr>
            <w:tcW w:w="1856" w:type="dxa"/>
            <w:gridSpan w:val="3"/>
            <w:shd w:val="clear" w:color="auto" w:fill="92D050"/>
            <w:hideMark/>
          </w:tcPr>
          <w:p w:rsidR="00A465A1" w:rsidRPr="00EF3E85" w:rsidRDefault="00A465A1" w:rsidP="00D814D5">
            <w:pPr>
              <w:pStyle w:val="Heading3"/>
              <w:spacing w:before="120" w:after="60" w:line="260" w:lineRule="atLeast"/>
              <w:contextualSpacing w:val="0"/>
              <w:outlineLvl w:val="2"/>
              <w:cnfStyle w:val="000000100000" w:firstRow="0" w:lastRow="0" w:firstColumn="0" w:lastColumn="0" w:oddVBand="0" w:evenVBand="0" w:oddHBand="1" w:evenHBand="0" w:firstRowFirstColumn="0" w:firstRowLastColumn="0" w:lastRowFirstColumn="0" w:lastRowLastColumn="0"/>
              <w:rPr>
                <w:sz w:val="22"/>
                <w:szCs w:val="22"/>
              </w:rPr>
            </w:pPr>
            <w:r w:rsidRPr="00EF3E85">
              <w:rPr>
                <w:sz w:val="22"/>
                <w:szCs w:val="22"/>
              </w:rPr>
              <w:t xml:space="preserve">Agree </w:t>
            </w:r>
          </w:p>
        </w:tc>
        <w:tc>
          <w:tcPr>
            <w:tcW w:w="1946" w:type="dxa"/>
            <w:gridSpan w:val="4"/>
          </w:tcPr>
          <w:p w:rsidR="00A465A1" w:rsidRPr="00EF3E85" w:rsidRDefault="00003C06">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A</w:t>
            </w:r>
            <w:r w:rsidR="00A465A1" w:rsidRPr="00EF3E85">
              <w:rPr>
                <w:rFonts w:asciiTheme="majorHAnsi" w:hAnsiTheme="majorHAnsi"/>
              </w:rPr>
              <w:t>gree that it</w:t>
            </w:r>
            <w:r w:rsidR="00185054">
              <w:rPr>
                <w:rFonts w:asciiTheme="majorHAnsi" w:hAnsiTheme="majorHAnsi"/>
              </w:rPr>
              <w:t xml:space="preserve"> is</w:t>
            </w:r>
            <w:r w:rsidR="00A465A1" w:rsidRPr="00EF3E85">
              <w:rPr>
                <w:rFonts w:asciiTheme="majorHAnsi" w:hAnsiTheme="majorHAnsi"/>
              </w:rPr>
              <w:t xml:space="preserve"> timely to review and reflect on the theory of change with partners and stakeholders</w:t>
            </w:r>
            <w:r w:rsidR="00D814D5">
              <w:rPr>
                <w:rFonts w:asciiTheme="majorHAnsi" w:hAnsiTheme="majorHAnsi"/>
              </w:rPr>
              <w:t>.</w:t>
            </w:r>
          </w:p>
        </w:tc>
        <w:tc>
          <w:tcPr>
            <w:tcW w:w="1916" w:type="dxa"/>
            <w:gridSpan w:val="5"/>
          </w:tcPr>
          <w:p w:rsidR="00A465A1" w:rsidRPr="00EF3E85" w:rsidRDefault="00F91FD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Post </w:t>
            </w:r>
            <w:r w:rsidR="00A465A1" w:rsidRPr="00EF3E85">
              <w:rPr>
                <w:rFonts w:asciiTheme="majorHAnsi" w:hAnsiTheme="majorHAnsi"/>
              </w:rPr>
              <w:t xml:space="preserve">will convene an inclusive meeting to review the </w:t>
            </w:r>
            <w:r w:rsidR="00D13129" w:rsidRPr="00EF3E85">
              <w:rPr>
                <w:rFonts w:asciiTheme="majorHAnsi" w:hAnsiTheme="majorHAnsi"/>
              </w:rPr>
              <w:t xml:space="preserve">Monitoring and Evaluation </w:t>
            </w:r>
            <w:proofErr w:type="gramStart"/>
            <w:r w:rsidR="00D13129" w:rsidRPr="00EF3E85">
              <w:rPr>
                <w:rFonts w:asciiTheme="majorHAnsi" w:hAnsiTheme="majorHAnsi"/>
              </w:rPr>
              <w:t>Framework which</w:t>
            </w:r>
            <w:proofErr w:type="gramEnd"/>
            <w:r w:rsidR="00D13129" w:rsidRPr="00EF3E85">
              <w:rPr>
                <w:rFonts w:asciiTheme="majorHAnsi" w:hAnsiTheme="majorHAnsi"/>
              </w:rPr>
              <w:t xml:space="preserve"> will include </w:t>
            </w:r>
            <w:r w:rsidR="00A465A1" w:rsidRPr="00EF3E85">
              <w:rPr>
                <w:rFonts w:asciiTheme="majorHAnsi" w:hAnsiTheme="majorHAnsi"/>
              </w:rPr>
              <w:t>the theory of change</w:t>
            </w:r>
            <w:r w:rsidR="00D814D5">
              <w:rPr>
                <w:rFonts w:asciiTheme="majorHAnsi" w:hAnsiTheme="majorHAnsi"/>
              </w:rPr>
              <w:t>.</w:t>
            </w:r>
          </w:p>
        </w:tc>
        <w:tc>
          <w:tcPr>
            <w:tcW w:w="1866" w:type="dxa"/>
            <w:gridSpan w:val="3"/>
          </w:tcPr>
          <w:p w:rsidR="00A465A1" w:rsidRPr="00EF3E85" w:rsidRDefault="00083875" w:rsidP="00D814D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Second</w:t>
            </w:r>
            <w:r w:rsidR="00A465A1" w:rsidRPr="00EF3E85">
              <w:rPr>
                <w:rFonts w:asciiTheme="majorHAnsi" w:hAnsiTheme="majorHAnsi"/>
              </w:rPr>
              <w:t xml:space="preserve"> quarter of 2018</w:t>
            </w:r>
          </w:p>
        </w:tc>
      </w:tr>
      <w:tr w:rsidR="00472267" w:rsidRPr="00EF3E85" w:rsidTr="00666706">
        <w:trPr>
          <w:gridAfter w:val="1"/>
          <w:cnfStyle w:val="000000010000" w:firstRow="0" w:lastRow="0" w:firstColumn="0" w:lastColumn="0" w:oddVBand="0" w:evenVBand="0" w:oddHBand="0" w:evenHBand="1"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2514" w:type="dxa"/>
            <w:hideMark/>
          </w:tcPr>
          <w:p w:rsidR="00D13129" w:rsidRPr="00EF3E85" w:rsidRDefault="00D13129" w:rsidP="00D814D5">
            <w:pPr>
              <w:pStyle w:val="Heading3"/>
              <w:spacing w:before="120" w:after="60" w:line="260" w:lineRule="atLeast"/>
              <w:contextualSpacing w:val="0"/>
              <w:outlineLvl w:val="2"/>
              <w:rPr>
                <w:b/>
                <w:sz w:val="22"/>
                <w:szCs w:val="22"/>
              </w:rPr>
            </w:pPr>
            <w:r w:rsidRPr="00EF3E85">
              <w:rPr>
                <w:b/>
                <w:sz w:val="22"/>
                <w:szCs w:val="22"/>
              </w:rPr>
              <w:t>Recommendation 4</w:t>
            </w:r>
          </w:p>
          <w:p w:rsidR="00D13129" w:rsidRPr="00EF3E85" w:rsidRDefault="00D13129" w:rsidP="00D814D5">
            <w:pPr>
              <w:pStyle w:val="Heading3"/>
              <w:spacing w:before="120" w:after="60" w:line="260" w:lineRule="atLeast"/>
              <w:contextualSpacing w:val="0"/>
              <w:outlineLvl w:val="2"/>
              <w:rPr>
                <w:i/>
                <w:sz w:val="22"/>
                <w:szCs w:val="22"/>
              </w:rPr>
            </w:pPr>
            <w:r w:rsidRPr="00EF3E85">
              <w:rPr>
                <w:sz w:val="22"/>
                <w:szCs w:val="22"/>
              </w:rPr>
              <w:t xml:space="preserve">Do more to engage the Papua New Guinea Reference Group in advising DFAT on key strategic decisions, for example: should the program maintain its present course of working on violence reduction and services in a relatively large number of provinces, while adding more activities on women’s economic empowerment and leadership and influence to selected geographies? If </w:t>
            </w:r>
            <w:proofErr w:type="gramStart"/>
            <w:r w:rsidRPr="00EF3E85">
              <w:rPr>
                <w:sz w:val="22"/>
                <w:szCs w:val="22"/>
              </w:rPr>
              <w:t>so</w:t>
            </w:r>
            <w:proofErr w:type="gramEnd"/>
            <w:r w:rsidRPr="00EF3E85">
              <w:rPr>
                <w:sz w:val="22"/>
                <w:szCs w:val="22"/>
              </w:rPr>
              <w:t xml:space="preserve"> which specific geographies (urban areas, districts, provinces) should be the focus?</w:t>
            </w:r>
          </w:p>
        </w:tc>
        <w:tc>
          <w:tcPr>
            <w:tcW w:w="1856" w:type="dxa"/>
            <w:gridSpan w:val="3"/>
            <w:shd w:val="clear" w:color="auto" w:fill="92D050"/>
            <w:hideMark/>
          </w:tcPr>
          <w:p w:rsidR="00D13129" w:rsidRPr="00EF3E85" w:rsidRDefault="00D13129" w:rsidP="00D814D5">
            <w:pPr>
              <w:pStyle w:val="Heading3"/>
              <w:spacing w:before="120" w:after="60" w:line="260" w:lineRule="atLeast"/>
              <w:contextualSpacing w:val="0"/>
              <w:outlineLvl w:val="2"/>
              <w:cnfStyle w:val="000000010000" w:firstRow="0" w:lastRow="0" w:firstColumn="0" w:lastColumn="0" w:oddVBand="0" w:evenVBand="0" w:oddHBand="0" w:evenHBand="1" w:firstRowFirstColumn="0" w:firstRowLastColumn="0" w:lastRowFirstColumn="0" w:lastRowLastColumn="0"/>
              <w:rPr>
                <w:sz w:val="22"/>
                <w:szCs w:val="22"/>
              </w:rPr>
            </w:pPr>
            <w:r w:rsidRPr="00EF3E85">
              <w:rPr>
                <w:sz w:val="22"/>
                <w:szCs w:val="22"/>
              </w:rPr>
              <w:t>Agree</w:t>
            </w:r>
          </w:p>
        </w:tc>
        <w:tc>
          <w:tcPr>
            <w:tcW w:w="1946" w:type="dxa"/>
            <w:gridSpan w:val="4"/>
          </w:tcPr>
          <w:p w:rsidR="00D13129" w:rsidRPr="00EF3E85" w:rsidRDefault="00D13129" w:rsidP="00D814D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EF3E85">
              <w:rPr>
                <w:rFonts w:asciiTheme="majorHAnsi" w:hAnsiTheme="majorHAnsi"/>
              </w:rPr>
              <w:t>DFAT fully supports this recommendation.</w:t>
            </w:r>
          </w:p>
        </w:tc>
        <w:tc>
          <w:tcPr>
            <w:tcW w:w="1916" w:type="dxa"/>
            <w:gridSpan w:val="5"/>
          </w:tcPr>
          <w:p w:rsidR="00D13129" w:rsidRPr="00EF3E85" w:rsidRDefault="00F91FD9">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Post</w:t>
            </w:r>
            <w:r w:rsidR="00D13129" w:rsidRPr="00EF3E85">
              <w:rPr>
                <w:rFonts w:asciiTheme="majorHAnsi" w:hAnsiTheme="majorHAnsi"/>
              </w:rPr>
              <w:t xml:space="preserve"> will </w:t>
            </w:r>
            <w:r w:rsidR="00003C06">
              <w:rPr>
                <w:rFonts w:asciiTheme="majorHAnsi" w:hAnsiTheme="majorHAnsi"/>
              </w:rPr>
              <w:t xml:space="preserve">initiate these discussions </w:t>
            </w:r>
            <w:r w:rsidR="00D13129" w:rsidRPr="00EF3E85">
              <w:rPr>
                <w:rFonts w:asciiTheme="majorHAnsi" w:hAnsiTheme="majorHAnsi"/>
              </w:rPr>
              <w:t xml:space="preserve">in </w:t>
            </w:r>
            <w:r w:rsidR="00185054">
              <w:rPr>
                <w:rFonts w:asciiTheme="majorHAnsi" w:hAnsiTheme="majorHAnsi"/>
              </w:rPr>
              <w:t xml:space="preserve">future </w:t>
            </w:r>
            <w:r w:rsidR="00D13129" w:rsidRPr="00EF3E85">
              <w:rPr>
                <w:rFonts w:asciiTheme="majorHAnsi" w:hAnsiTheme="majorHAnsi"/>
              </w:rPr>
              <w:t>PNG Reference Group meetings</w:t>
            </w:r>
            <w:r w:rsidR="00003C06">
              <w:rPr>
                <w:rFonts w:asciiTheme="majorHAnsi" w:hAnsiTheme="majorHAnsi"/>
              </w:rPr>
              <w:t>, as well as</w:t>
            </w:r>
            <w:r w:rsidR="00D814D5">
              <w:rPr>
                <w:rFonts w:asciiTheme="majorHAnsi" w:hAnsiTheme="majorHAnsi"/>
              </w:rPr>
              <w:t xml:space="preserve"> other informal opportunities to engage. </w:t>
            </w:r>
            <w:r w:rsidR="00185054">
              <w:rPr>
                <w:rFonts w:asciiTheme="majorHAnsi" w:hAnsiTheme="majorHAnsi"/>
              </w:rPr>
              <w:t>We will take into account other DFAT-funded programs and bilateral priorities.</w:t>
            </w:r>
          </w:p>
        </w:tc>
        <w:tc>
          <w:tcPr>
            <w:tcW w:w="1851" w:type="dxa"/>
            <w:gridSpan w:val="2"/>
          </w:tcPr>
          <w:p w:rsidR="00D13129" w:rsidRPr="00EF3E85" w:rsidRDefault="00083875" w:rsidP="00D814D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Ongoing</w:t>
            </w:r>
          </w:p>
        </w:tc>
      </w:tr>
      <w:tr w:rsidR="00472267" w:rsidTr="00666706">
        <w:trPr>
          <w:gridAfter w:val="2"/>
          <w:cnfStyle w:val="000000100000" w:firstRow="0" w:lastRow="0" w:firstColumn="0" w:lastColumn="0" w:oddVBand="0" w:evenVBand="0" w:oddHBand="1" w:evenHBand="0" w:firstRowFirstColumn="0" w:firstRowLastColumn="0" w:lastRowFirstColumn="0" w:lastRowLastColumn="0"/>
          <w:wAfter w:w="108" w:type="dxa"/>
        </w:trPr>
        <w:tc>
          <w:tcPr>
            <w:cnfStyle w:val="001000000000" w:firstRow="0" w:lastRow="0" w:firstColumn="1" w:lastColumn="0" w:oddVBand="0" w:evenVBand="0" w:oddHBand="0" w:evenHBand="0" w:firstRowFirstColumn="0" w:firstRowLastColumn="0" w:lastRowFirstColumn="0" w:lastRowLastColumn="0"/>
            <w:tcW w:w="2520" w:type="dxa"/>
            <w:gridSpan w:val="2"/>
            <w:hideMark/>
          </w:tcPr>
          <w:p w:rsidR="00073FFC" w:rsidRPr="00D814D5" w:rsidRDefault="00073FFC" w:rsidP="00D814D5">
            <w:pPr>
              <w:pStyle w:val="Heading3"/>
              <w:spacing w:before="120" w:after="60" w:line="260" w:lineRule="atLeast"/>
              <w:contextualSpacing w:val="0"/>
              <w:outlineLvl w:val="2"/>
              <w:rPr>
                <w:b/>
                <w:sz w:val="22"/>
                <w:szCs w:val="22"/>
              </w:rPr>
            </w:pPr>
            <w:r w:rsidRPr="00D814D5">
              <w:rPr>
                <w:b/>
                <w:sz w:val="22"/>
                <w:szCs w:val="22"/>
              </w:rPr>
              <w:lastRenderedPageBreak/>
              <w:t>Recommendation 5</w:t>
            </w:r>
          </w:p>
          <w:p w:rsidR="00FA2F5C" w:rsidRPr="00D814D5" w:rsidRDefault="00073FFC" w:rsidP="00D814D5">
            <w:pPr>
              <w:pStyle w:val="BodyText"/>
              <w:rPr>
                <w:rFonts w:asciiTheme="majorHAnsi" w:hAnsiTheme="majorHAnsi"/>
                <w:i/>
              </w:rPr>
            </w:pPr>
            <w:r w:rsidRPr="00D814D5">
              <w:rPr>
                <w:rFonts w:asciiTheme="majorHAnsi" w:hAnsiTheme="majorHAnsi"/>
              </w:rPr>
              <w:t>Engage the Papua New Guinea Reference Group and key implementing partners on the best way to build on existing networks and other mechanisms to strengthen support for child victims of family and sexual violence</w:t>
            </w:r>
          </w:p>
        </w:tc>
        <w:tc>
          <w:tcPr>
            <w:tcW w:w="2219" w:type="dxa"/>
            <w:gridSpan w:val="3"/>
            <w:shd w:val="clear" w:color="auto" w:fill="92D050"/>
            <w:hideMark/>
          </w:tcPr>
          <w:p w:rsidR="00073FFC" w:rsidRPr="00D814D5" w:rsidRDefault="00073FFC" w:rsidP="00D814D5">
            <w:pPr>
              <w:pStyle w:val="Heading3"/>
              <w:spacing w:before="120" w:after="60" w:line="260" w:lineRule="atLeast"/>
              <w:contextualSpacing w:val="0"/>
              <w:outlineLvl w:val="2"/>
              <w:cnfStyle w:val="000000100000" w:firstRow="0" w:lastRow="0" w:firstColumn="0" w:lastColumn="0" w:oddVBand="0" w:evenVBand="0" w:oddHBand="1" w:evenHBand="0" w:firstRowFirstColumn="0" w:firstRowLastColumn="0" w:lastRowFirstColumn="0" w:lastRowLastColumn="0"/>
              <w:rPr>
                <w:sz w:val="22"/>
                <w:szCs w:val="22"/>
              </w:rPr>
            </w:pPr>
            <w:r w:rsidRPr="00D814D5">
              <w:rPr>
                <w:sz w:val="22"/>
                <w:szCs w:val="22"/>
              </w:rPr>
              <w:t xml:space="preserve">Agree </w:t>
            </w:r>
          </w:p>
        </w:tc>
        <w:tc>
          <w:tcPr>
            <w:tcW w:w="1945" w:type="dxa"/>
            <w:gridSpan w:val="4"/>
          </w:tcPr>
          <w:p w:rsidR="00073FFC" w:rsidRPr="00D814D5" w:rsidRDefault="00073FFC" w:rsidP="0047226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D814D5">
              <w:rPr>
                <w:rFonts w:asciiTheme="majorHAnsi" w:hAnsiTheme="majorHAnsi"/>
              </w:rPr>
              <w:t>DFAT supports this recommendation.</w:t>
            </w:r>
          </w:p>
        </w:tc>
        <w:tc>
          <w:tcPr>
            <w:tcW w:w="1446" w:type="dxa"/>
            <w:gridSpan w:val="3"/>
          </w:tcPr>
          <w:p w:rsidR="00073FFC" w:rsidRPr="00D814D5" w:rsidRDefault="00F91FD9" w:rsidP="0047226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Post</w:t>
            </w:r>
            <w:r w:rsidRPr="00D814D5">
              <w:rPr>
                <w:rFonts w:asciiTheme="majorHAnsi" w:hAnsiTheme="majorHAnsi"/>
              </w:rPr>
              <w:t xml:space="preserve"> </w:t>
            </w:r>
            <w:r w:rsidR="00073FFC" w:rsidRPr="00D814D5">
              <w:rPr>
                <w:rFonts w:asciiTheme="majorHAnsi" w:hAnsiTheme="majorHAnsi"/>
              </w:rPr>
              <w:t>will include this</w:t>
            </w:r>
            <w:r w:rsidR="00472267">
              <w:rPr>
                <w:rFonts w:asciiTheme="majorHAnsi" w:hAnsiTheme="majorHAnsi"/>
              </w:rPr>
              <w:t xml:space="preserve"> as standing agenda item</w:t>
            </w:r>
            <w:r w:rsidR="00073FFC" w:rsidRPr="00D814D5">
              <w:rPr>
                <w:rFonts w:asciiTheme="majorHAnsi" w:hAnsiTheme="majorHAnsi"/>
              </w:rPr>
              <w:t xml:space="preserve"> in future PNG Reference Group meetings, and </w:t>
            </w:r>
            <w:r w:rsidR="00472267">
              <w:rPr>
                <w:rFonts w:asciiTheme="majorHAnsi" w:hAnsiTheme="majorHAnsi"/>
              </w:rPr>
              <w:t xml:space="preserve">engage </w:t>
            </w:r>
            <w:r w:rsidR="00073FFC" w:rsidRPr="00D814D5">
              <w:rPr>
                <w:rFonts w:asciiTheme="majorHAnsi" w:hAnsiTheme="majorHAnsi"/>
              </w:rPr>
              <w:t xml:space="preserve">key </w:t>
            </w:r>
            <w:r w:rsidR="00472267">
              <w:rPr>
                <w:rFonts w:asciiTheme="majorHAnsi" w:hAnsiTheme="majorHAnsi"/>
              </w:rPr>
              <w:t xml:space="preserve">implementing </w:t>
            </w:r>
            <w:r w:rsidR="00073FFC" w:rsidRPr="00D814D5">
              <w:rPr>
                <w:rFonts w:asciiTheme="majorHAnsi" w:hAnsiTheme="majorHAnsi"/>
              </w:rPr>
              <w:t>partners.</w:t>
            </w:r>
            <w:r w:rsidR="00472267">
              <w:rPr>
                <w:rFonts w:asciiTheme="majorHAnsi" w:hAnsiTheme="majorHAnsi"/>
              </w:rPr>
              <w:t xml:space="preserve"> A discussion paper will be prepared to inform and guide discussions.</w:t>
            </w:r>
          </w:p>
        </w:tc>
        <w:tc>
          <w:tcPr>
            <w:tcW w:w="1860" w:type="dxa"/>
            <w:gridSpan w:val="2"/>
          </w:tcPr>
          <w:p w:rsidR="00073FFC" w:rsidRPr="00D814D5" w:rsidRDefault="00472267" w:rsidP="00D814D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Second</w:t>
            </w:r>
            <w:r w:rsidR="00073FFC" w:rsidRPr="00D814D5">
              <w:rPr>
                <w:rFonts w:asciiTheme="majorHAnsi" w:hAnsiTheme="majorHAnsi"/>
              </w:rPr>
              <w:t xml:space="preserve"> quarter of 2018</w:t>
            </w:r>
          </w:p>
        </w:tc>
      </w:tr>
      <w:tr w:rsidR="00472267" w:rsidTr="00666706">
        <w:trPr>
          <w:gridAfter w:val="2"/>
          <w:cnfStyle w:val="000000010000" w:firstRow="0" w:lastRow="0" w:firstColumn="0" w:lastColumn="0" w:oddVBand="0" w:evenVBand="0" w:oddHBand="0" w:evenHBand="1" w:firstRowFirstColumn="0" w:firstRowLastColumn="0" w:lastRowFirstColumn="0" w:lastRowLastColumn="0"/>
          <w:wAfter w:w="108" w:type="dxa"/>
        </w:trPr>
        <w:tc>
          <w:tcPr>
            <w:cnfStyle w:val="001000000000" w:firstRow="0" w:lastRow="0" w:firstColumn="1" w:lastColumn="0" w:oddVBand="0" w:evenVBand="0" w:oddHBand="0" w:evenHBand="0" w:firstRowFirstColumn="0" w:firstRowLastColumn="0" w:lastRowFirstColumn="0" w:lastRowLastColumn="0"/>
            <w:tcW w:w="2520" w:type="dxa"/>
            <w:gridSpan w:val="2"/>
          </w:tcPr>
          <w:p w:rsidR="00FA2F5C" w:rsidRPr="00D814D5" w:rsidRDefault="00FA2F5C" w:rsidP="00D814D5">
            <w:pPr>
              <w:pStyle w:val="Heading3"/>
              <w:spacing w:before="120" w:after="60" w:line="260" w:lineRule="atLeast"/>
              <w:contextualSpacing w:val="0"/>
              <w:outlineLvl w:val="2"/>
              <w:rPr>
                <w:b/>
                <w:sz w:val="22"/>
                <w:szCs w:val="22"/>
              </w:rPr>
            </w:pPr>
            <w:r w:rsidRPr="00D814D5">
              <w:rPr>
                <w:b/>
                <w:sz w:val="22"/>
                <w:szCs w:val="22"/>
              </w:rPr>
              <w:t>Recommendation 6</w:t>
            </w:r>
          </w:p>
          <w:p w:rsidR="00FA2F5C" w:rsidRPr="00D814D5" w:rsidRDefault="00FA2F5C" w:rsidP="00D814D5">
            <w:pPr>
              <w:pStyle w:val="BodyText"/>
              <w:rPr>
                <w:rFonts w:asciiTheme="majorHAnsi" w:hAnsiTheme="majorHAnsi"/>
                <w:i/>
              </w:rPr>
            </w:pPr>
            <w:r w:rsidRPr="00D814D5">
              <w:rPr>
                <w:rFonts w:asciiTheme="majorHAnsi" w:hAnsiTheme="majorHAnsi"/>
              </w:rPr>
              <w:t xml:space="preserve">Continue to facilitate networking and coalition building among implementing partners and between existing and potential partners by providing formal and informal opportunities and safe spaces. Use these opportunities to </w:t>
            </w:r>
            <w:proofErr w:type="spellStart"/>
            <w:r w:rsidRPr="00D814D5">
              <w:rPr>
                <w:rFonts w:asciiTheme="majorHAnsi" w:hAnsiTheme="majorHAnsi"/>
              </w:rPr>
              <w:t>strategise</w:t>
            </w:r>
            <w:proofErr w:type="spellEnd"/>
            <w:r w:rsidRPr="00D814D5">
              <w:rPr>
                <w:rFonts w:asciiTheme="majorHAnsi" w:hAnsiTheme="majorHAnsi"/>
              </w:rPr>
              <w:t xml:space="preserve"> and prioritise together, taking advantage of learning from within the program </w:t>
            </w:r>
            <w:proofErr w:type="gramStart"/>
            <w:r w:rsidRPr="00D814D5">
              <w:rPr>
                <w:rFonts w:asciiTheme="majorHAnsi" w:hAnsiTheme="majorHAnsi"/>
              </w:rPr>
              <w:t>and also</w:t>
            </w:r>
            <w:proofErr w:type="gramEnd"/>
            <w:r w:rsidRPr="00D814D5">
              <w:rPr>
                <w:rFonts w:asciiTheme="majorHAnsi" w:hAnsiTheme="majorHAnsi"/>
              </w:rPr>
              <w:t xml:space="preserve"> from international experience.</w:t>
            </w:r>
          </w:p>
        </w:tc>
        <w:tc>
          <w:tcPr>
            <w:tcW w:w="2219" w:type="dxa"/>
            <w:gridSpan w:val="3"/>
            <w:shd w:val="clear" w:color="auto" w:fill="92D050"/>
          </w:tcPr>
          <w:p w:rsidR="00FA2F5C" w:rsidRPr="00D814D5" w:rsidRDefault="00FA2F5C" w:rsidP="00D814D5">
            <w:pPr>
              <w:pStyle w:val="Heading3"/>
              <w:spacing w:before="120" w:after="60" w:line="260" w:lineRule="atLeast"/>
              <w:contextualSpacing w:val="0"/>
              <w:outlineLvl w:val="2"/>
              <w:cnfStyle w:val="000000010000" w:firstRow="0" w:lastRow="0" w:firstColumn="0" w:lastColumn="0" w:oddVBand="0" w:evenVBand="0" w:oddHBand="0" w:evenHBand="1" w:firstRowFirstColumn="0" w:firstRowLastColumn="0" w:lastRowFirstColumn="0" w:lastRowLastColumn="0"/>
              <w:rPr>
                <w:sz w:val="22"/>
                <w:szCs w:val="22"/>
              </w:rPr>
            </w:pPr>
            <w:r w:rsidRPr="00D814D5">
              <w:rPr>
                <w:sz w:val="22"/>
                <w:szCs w:val="22"/>
              </w:rPr>
              <w:t xml:space="preserve">Agree </w:t>
            </w:r>
          </w:p>
        </w:tc>
        <w:tc>
          <w:tcPr>
            <w:tcW w:w="1945" w:type="dxa"/>
            <w:gridSpan w:val="4"/>
          </w:tcPr>
          <w:p w:rsidR="00FA2F5C" w:rsidRPr="00D814D5" w:rsidRDefault="00FA2F5C" w:rsidP="00D814D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D814D5">
              <w:rPr>
                <w:rFonts w:asciiTheme="majorHAnsi" w:hAnsiTheme="majorHAnsi"/>
              </w:rPr>
              <w:t>DFAT supports this proposition.</w:t>
            </w:r>
          </w:p>
        </w:tc>
        <w:tc>
          <w:tcPr>
            <w:tcW w:w="1446" w:type="dxa"/>
            <w:gridSpan w:val="3"/>
          </w:tcPr>
          <w:p w:rsidR="00FA2F5C" w:rsidRPr="00D814D5" w:rsidRDefault="00FA2F5C">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D814D5">
              <w:rPr>
                <w:rFonts w:asciiTheme="majorHAnsi" w:hAnsiTheme="majorHAnsi"/>
              </w:rPr>
              <w:t>Ongoing</w:t>
            </w:r>
            <w:r w:rsidR="00D814D5">
              <w:rPr>
                <w:rFonts w:asciiTheme="majorHAnsi" w:hAnsiTheme="majorHAnsi"/>
              </w:rPr>
              <w:t xml:space="preserve">. </w:t>
            </w:r>
            <w:r w:rsidR="00F91FD9">
              <w:rPr>
                <w:rFonts w:asciiTheme="majorHAnsi" w:hAnsiTheme="majorHAnsi"/>
              </w:rPr>
              <w:t xml:space="preserve">Post </w:t>
            </w:r>
            <w:r w:rsidR="00185054">
              <w:rPr>
                <w:rFonts w:asciiTheme="majorHAnsi" w:hAnsiTheme="majorHAnsi"/>
              </w:rPr>
              <w:t>will</w:t>
            </w:r>
            <w:r w:rsidR="00D814D5">
              <w:rPr>
                <w:rFonts w:asciiTheme="majorHAnsi" w:hAnsiTheme="majorHAnsi"/>
              </w:rPr>
              <w:t xml:space="preserve"> continue to include the informal themed ‘lunch and learn’ opportunities and the Annual Learning Workshop.</w:t>
            </w:r>
          </w:p>
        </w:tc>
        <w:tc>
          <w:tcPr>
            <w:tcW w:w="1860" w:type="dxa"/>
            <w:gridSpan w:val="2"/>
          </w:tcPr>
          <w:p w:rsidR="00FA2F5C" w:rsidRPr="00D814D5" w:rsidRDefault="00FA2F5C" w:rsidP="00D814D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D814D5">
              <w:rPr>
                <w:rFonts w:asciiTheme="majorHAnsi" w:hAnsiTheme="majorHAnsi"/>
              </w:rPr>
              <w:t>Ongoing</w:t>
            </w:r>
          </w:p>
        </w:tc>
      </w:tr>
      <w:tr w:rsidR="00472267" w:rsidTr="00666706">
        <w:trPr>
          <w:gridAfter w:val="2"/>
          <w:cnfStyle w:val="000000100000" w:firstRow="0" w:lastRow="0" w:firstColumn="0" w:lastColumn="0" w:oddVBand="0" w:evenVBand="0" w:oddHBand="1" w:evenHBand="0" w:firstRowFirstColumn="0" w:firstRowLastColumn="0" w:lastRowFirstColumn="0" w:lastRowLastColumn="0"/>
          <w:wAfter w:w="108" w:type="dxa"/>
        </w:trPr>
        <w:tc>
          <w:tcPr>
            <w:cnfStyle w:val="001000000000" w:firstRow="0" w:lastRow="0" w:firstColumn="1" w:lastColumn="0" w:oddVBand="0" w:evenVBand="0" w:oddHBand="0" w:evenHBand="0" w:firstRowFirstColumn="0" w:firstRowLastColumn="0" w:lastRowFirstColumn="0" w:lastRowLastColumn="0"/>
            <w:tcW w:w="2520" w:type="dxa"/>
            <w:gridSpan w:val="2"/>
          </w:tcPr>
          <w:p w:rsidR="00C62413" w:rsidRPr="00D814D5" w:rsidRDefault="00C62413" w:rsidP="00D814D5">
            <w:pPr>
              <w:pStyle w:val="Heading3"/>
              <w:spacing w:before="120" w:after="60" w:line="260" w:lineRule="atLeast"/>
              <w:contextualSpacing w:val="0"/>
              <w:outlineLvl w:val="2"/>
              <w:rPr>
                <w:b/>
                <w:sz w:val="22"/>
                <w:szCs w:val="22"/>
              </w:rPr>
            </w:pPr>
            <w:r w:rsidRPr="00D814D5">
              <w:rPr>
                <w:b/>
                <w:sz w:val="22"/>
                <w:szCs w:val="22"/>
              </w:rPr>
              <w:lastRenderedPageBreak/>
              <w:t>Recommendation 7</w:t>
            </w:r>
          </w:p>
          <w:p w:rsidR="00C62413" w:rsidRPr="00D814D5" w:rsidRDefault="00C62413" w:rsidP="00D814D5">
            <w:pPr>
              <w:rPr>
                <w:rFonts w:asciiTheme="majorHAnsi" w:hAnsiTheme="majorHAnsi"/>
                <w:lang w:val="en-AU"/>
              </w:rPr>
            </w:pPr>
            <w:r w:rsidRPr="00D814D5">
              <w:rPr>
                <w:rFonts w:asciiTheme="majorHAnsi" w:hAnsiTheme="majorHAnsi"/>
              </w:rPr>
              <w:t xml:space="preserve">Use </w:t>
            </w:r>
            <w:r w:rsidRPr="00D814D5">
              <w:rPr>
                <w:rFonts w:asciiTheme="majorHAnsi" w:hAnsiTheme="majorHAnsi"/>
                <w:i/>
              </w:rPr>
              <w:t>Pacific Women</w:t>
            </w:r>
            <w:r w:rsidRPr="00D814D5">
              <w:rPr>
                <w:rFonts w:asciiTheme="majorHAnsi" w:hAnsiTheme="majorHAnsi"/>
              </w:rPr>
              <w:t xml:space="preserve"> networking and coalition-building opportunities to disseminate approaches used successfully by international partners to support local partners.</w:t>
            </w:r>
          </w:p>
        </w:tc>
        <w:tc>
          <w:tcPr>
            <w:tcW w:w="2219" w:type="dxa"/>
            <w:gridSpan w:val="3"/>
            <w:shd w:val="clear" w:color="auto" w:fill="FFD966" w:themeFill="accent4" w:themeFillTint="99"/>
          </w:tcPr>
          <w:p w:rsidR="00C62413" w:rsidRPr="00D814D5" w:rsidRDefault="00C62413" w:rsidP="00D814D5">
            <w:pPr>
              <w:pStyle w:val="Heading3"/>
              <w:spacing w:before="120" w:after="60" w:line="260" w:lineRule="atLeast"/>
              <w:contextualSpacing w:val="0"/>
              <w:outlineLvl w:val="2"/>
              <w:cnfStyle w:val="000000100000" w:firstRow="0" w:lastRow="0" w:firstColumn="0" w:lastColumn="0" w:oddVBand="0" w:evenVBand="0" w:oddHBand="1" w:evenHBand="0" w:firstRowFirstColumn="0" w:firstRowLastColumn="0" w:lastRowFirstColumn="0" w:lastRowLastColumn="0"/>
              <w:rPr>
                <w:sz w:val="22"/>
                <w:szCs w:val="22"/>
              </w:rPr>
            </w:pPr>
            <w:r w:rsidRPr="00D814D5">
              <w:rPr>
                <w:sz w:val="22"/>
                <w:szCs w:val="22"/>
              </w:rPr>
              <w:t xml:space="preserve">Agree in part </w:t>
            </w:r>
          </w:p>
        </w:tc>
        <w:tc>
          <w:tcPr>
            <w:tcW w:w="1945" w:type="dxa"/>
            <w:gridSpan w:val="4"/>
          </w:tcPr>
          <w:p w:rsidR="00C62413" w:rsidRPr="00D814D5" w:rsidRDefault="00C62413" w:rsidP="0021191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D814D5">
              <w:rPr>
                <w:rFonts w:asciiTheme="majorHAnsi" w:hAnsiTheme="majorHAnsi"/>
              </w:rPr>
              <w:t>DFAT supports this idea in-principle,</w:t>
            </w:r>
            <w:r w:rsidR="00211911">
              <w:rPr>
                <w:rFonts w:asciiTheme="majorHAnsi" w:hAnsiTheme="majorHAnsi"/>
              </w:rPr>
              <w:t xml:space="preserve"> noting the importance of working closely partnership with </w:t>
            </w:r>
            <w:proofErr w:type="spellStart"/>
            <w:r w:rsidR="00211911">
              <w:rPr>
                <w:rFonts w:asciiTheme="majorHAnsi" w:hAnsiTheme="majorHAnsi"/>
              </w:rPr>
              <w:t>GoPNG</w:t>
            </w:r>
            <w:proofErr w:type="spellEnd"/>
            <w:r w:rsidR="00211911">
              <w:rPr>
                <w:rFonts w:asciiTheme="majorHAnsi" w:hAnsiTheme="majorHAnsi"/>
              </w:rPr>
              <w:t xml:space="preserve"> in this area. </w:t>
            </w:r>
          </w:p>
        </w:tc>
        <w:tc>
          <w:tcPr>
            <w:tcW w:w="1446" w:type="dxa"/>
            <w:gridSpan w:val="3"/>
          </w:tcPr>
          <w:p w:rsidR="00C62413" w:rsidRPr="00D814D5" w:rsidRDefault="00F91FD9" w:rsidP="00D814D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Post and Desk</w:t>
            </w:r>
            <w:r w:rsidRPr="00D814D5">
              <w:rPr>
                <w:rFonts w:asciiTheme="majorHAnsi" w:hAnsiTheme="majorHAnsi"/>
              </w:rPr>
              <w:t xml:space="preserve"> </w:t>
            </w:r>
            <w:r w:rsidR="00C62413" w:rsidRPr="00D814D5">
              <w:rPr>
                <w:rFonts w:asciiTheme="majorHAnsi" w:hAnsiTheme="majorHAnsi"/>
              </w:rPr>
              <w:t>will encourage this through forthcoming program and technical design processes</w:t>
            </w:r>
            <w:r w:rsidR="00472267">
              <w:rPr>
                <w:rFonts w:asciiTheme="majorHAnsi" w:hAnsiTheme="majorHAnsi"/>
              </w:rPr>
              <w:t>, for example peer review processes of major new initiatives in November and December 2017</w:t>
            </w:r>
            <w:r w:rsidR="00C62413" w:rsidRPr="00D814D5">
              <w:rPr>
                <w:rFonts w:asciiTheme="majorHAnsi" w:hAnsiTheme="majorHAnsi"/>
              </w:rPr>
              <w:t>.</w:t>
            </w:r>
          </w:p>
        </w:tc>
        <w:tc>
          <w:tcPr>
            <w:tcW w:w="1860" w:type="dxa"/>
            <w:gridSpan w:val="2"/>
          </w:tcPr>
          <w:p w:rsidR="00C62413" w:rsidRPr="00D814D5" w:rsidRDefault="00C62413" w:rsidP="00D814D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D814D5">
              <w:rPr>
                <w:rFonts w:asciiTheme="majorHAnsi" w:hAnsiTheme="majorHAnsi"/>
              </w:rPr>
              <w:t>First quarter of 2018</w:t>
            </w:r>
          </w:p>
        </w:tc>
      </w:tr>
      <w:tr w:rsidR="00472267" w:rsidTr="00666706">
        <w:trPr>
          <w:gridAfter w:val="2"/>
          <w:cnfStyle w:val="000000010000" w:firstRow="0" w:lastRow="0" w:firstColumn="0" w:lastColumn="0" w:oddVBand="0" w:evenVBand="0" w:oddHBand="0" w:evenHBand="1" w:firstRowFirstColumn="0" w:firstRowLastColumn="0" w:lastRowFirstColumn="0" w:lastRowLastColumn="0"/>
          <w:wAfter w:w="108" w:type="dxa"/>
        </w:trPr>
        <w:tc>
          <w:tcPr>
            <w:cnfStyle w:val="001000000000" w:firstRow="0" w:lastRow="0" w:firstColumn="1" w:lastColumn="0" w:oddVBand="0" w:evenVBand="0" w:oddHBand="0" w:evenHBand="0" w:firstRowFirstColumn="0" w:firstRowLastColumn="0" w:lastRowFirstColumn="0" w:lastRowLastColumn="0"/>
            <w:tcW w:w="2520" w:type="dxa"/>
            <w:gridSpan w:val="2"/>
          </w:tcPr>
          <w:p w:rsidR="00FA2F5C" w:rsidRPr="00D814D5" w:rsidRDefault="00FA2F5C" w:rsidP="00D814D5">
            <w:pPr>
              <w:pStyle w:val="Heading3"/>
              <w:spacing w:before="120" w:after="60" w:line="260" w:lineRule="atLeast"/>
              <w:contextualSpacing w:val="0"/>
              <w:outlineLvl w:val="2"/>
              <w:rPr>
                <w:b/>
                <w:sz w:val="22"/>
                <w:szCs w:val="22"/>
              </w:rPr>
            </w:pPr>
            <w:r w:rsidRPr="00D814D5">
              <w:rPr>
                <w:b/>
                <w:sz w:val="22"/>
                <w:szCs w:val="22"/>
              </w:rPr>
              <w:lastRenderedPageBreak/>
              <w:t xml:space="preserve">Recommendation </w:t>
            </w:r>
            <w:r w:rsidR="00C62413" w:rsidRPr="00D814D5">
              <w:rPr>
                <w:b/>
                <w:sz w:val="22"/>
                <w:szCs w:val="22"/>
              </w:rPr>
              <w:t>8</w:t>
            </w:r>
          </w:p>
          <w:p w:rsidR="00FA2F5C" w:rsidRPr="00D814D5" w:rsidRDefault="00FA2F5C" w:rsidP="00D814D5">
            <w:pPr>
              <w:rPr>
                <w:rFonts w:asciiTheme="majorHAnsi" w:hAnsiTheme="majorHAnsi"/>
              </w:rPr>
            </w:pPr>
            <w:r w:rsidRPr="00D814D5">
              <w:rPr>
                <w:rFonts w:asciiTheme="majorHAnsi" w:hAnsiTheme="majorHAnsi"/>
              </w:rPr>
              <w:t xml:space="preserve">Raise the profile of </w:t>
            </w:r>
            <w:r w:rsidRPr="00D814D5">
              <w:rPr>
                <w:rFonts w:asciiTheme="majorHAnsi" w:hAnsiTheme="majorHAnsi"/>
                <w:i/>
              </w:rPr>
              <w:t>Pacific Women</w:t>
            </w:r>
            <w:r w:rsidRPr="00D814D5">
              <w:rPr>
                <w:rFonts w:asciiTheme="majorHAnsi" w:hAnsiTheme="majorHAnsi"/>
              </w:rPr>
              <w:t xml:space="preserve"> initiatives with DFAT staff and sector programs. </w:t>
            </w:r>
          </w:p>
          <w:p w:rsidR="00FA2F5C" w:rsidRPr="00D814D5" w:rsidRDefault="00FA2F5C" w:rsidP="00D814D5">
            <w:pPr>
              <w:pStyle w:val="BodyText"/>
              <w:rPr>
                <w:rFonts w:asciiTheme="majorHAnsi" w:hAnsiTheme="majorHAnsi"/>
                <w:i/>
              </w:rPr>
            </w:pPr>
            <w:r w:rsidRPr="00D814D5">
              <w:rPr>
                <w:rFonts w:asciiTheme="majorHAnsi" w:hAnsiTheme="majorHAnsi"/>
              </w:rPr>
              <w:t xml:space="preserve">Identify potential for uptake of successful approaches and priority areas for coordination and bring these to DFAT staff and </w:t>
            </w:r>
            <w:proofErr w:type="gramStart"/>
            <w:r w:rsidRPr="00D814D5">
              <w:rPr>
                <w:rFonts w:asciiTheme="majorHAnsi" w:hAnsiTheme="majorHAnsi"/>
              </w:rPr>
              <w:t>sector program team attention</w:t>
            </w:r>
            <w:proofErr w:type="gramEnd"/>
            <w:r w:rsidRPr="00D814D5">
              <w:rPr>
                <w:rFonts w:asciiTheme="majorHAnsi" w:hAnsiTheme="majorHAnsi"/>
              </w:rPr>
              <w:t>.</w:t>
            </w:r>
          </w:p>
        </w:tc>
        <w:tc>
          <w:tcPr>
            <w:tcW w:w="2219" w:type="dxa"/>
            <w:gridSpan w:val="3"/>
            <w:shd w:val="clear" w:color="auto" w:fill="92D050"/>
          </w:tcPr>
          <w:p w:rsidR="00FA2F5C" w:rsidRPr="00D814D5" w:rsidRDefault="00FA2F5C" w:rsidP="00D814D5">
            <w:pPr>
              <w:pStyle w:val="Heading3"/>
              <w:spacing w:before="120" w:after="60" w:line="260" w:lineRule="atLeast"/>
              <w:contextualSpacing w:val="0"/>
              <w:outlineLvl w:val="2"/>
              <w:cnfStyle w:val="000000010000" w:firstRow="0" w:lastRow="0" w:firstColumn="0" w:lastColumn="0" w:oddVBand="0" w:evenVBand="0" w:oddHBand="0" w:evenHBand="1" w:firstRowFirstColumn="0" w:firstRowLastColumn="0" w:lastRowFirstColumn="0" w:lastRowLastColumn="0"/>
              <w:rPr>
                <w:sz w:val="22"/>
                <w:szCs w:val="22"/>
              </w:rPr>
            </w:pPr>
            <w:r w:rsidRPr="00D814D5">
              <w:rPr>
                <w:sz w:val="22"/>
                <w:szCs w:val="22"/>
              </w:rPr>
              <w:t xml:space="preserve">Agree </w:t>
            </w:r>
          </w:p>
        </w:tc>
        <w:tc>
          <w:tcPr>
            <w:tcW w:w="1945" w:type="dxa"/>
            <w:gridSpan w:val="4"/>
          </w:tcPr>
          <w:p w:rsidR="00FA2F5C" w:rsidRPr="00D814D5" w:rsidRDefault="00FA2F5C" w:rsidP="00D814D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proofErr w:type="gramStart"/>
            <w:r w:rsidRPr="00D814D5">
              <w:rPr>
                <w:rFonts w:asciiTheme="majorHAnsi" w:hAnsiTheme="majorHAnsi"/>
              </w:rPr>
              <w:t xml:space="preserve">We fully support this recommendation and will continue to strengthen the linkages between </w:t>
            </w:r>
            <w:r w:rsidRPr="00D814D5">
              <w:rPr>
                <w:rFonts w:asciiTheme="majorHAnsi" w:hAnsiTheme="majorHAnsi"/>
                <w:i/>
              </w:rPr>
              <w:t>Pacific Women</w:t>
            </w:r>
            <w:r w:rsidRPr="00D814D5">
              <w:rPr>
                <w:rFonts w:asciiTheme="majorHAnsi" w:hAnsiTheme="majorHAnsi"/>
              </w:rPr>
              <w:t xml:space="preserve"> investments and other sectoral programs.</w:t>
            </w:r>
            <w:proofErr w:type="gramEnd"/>
          </w:p>
        </w:tc>
        <w:tc>
          <w:tcPr>
            <w:tcW w:w="1446" w:type="dxa"/>
            <w:gridSpan w:val="3"/>
          </w:tcPr>
          <w:p w:rsidR="004524EC" w:rsidRPr="004524EC" w:rsidRDefault="00F91FD9">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Post and Desk</w:t>
            </w:r>
            <w:r w:rsidRPr="004524EC">
              <w:rPr>
                <w:rFonts w:asciiTheme="majorHAnsi" w:hAnsiTheme="majorHAnsi"/>
              </w:rPr>
              <w:t xml:space="preserve"> </w:t>
            </w:r>
            <w:r w:rsidR="004524EC" w:rsidRPr="004524EC">
              <w:rPr>
                <w:rFonts w:asciiTheme="majorHAnsi" w:hAnsiTheme="majorHAnsi"/>
              </w:rPr>
              <w:t xml:space="preserve">will continue to host more regular information sessions for DFAT staff and increase the frequency of internal reporting to Canberra and other Pacific posts. </w:t>
            </w:r>
          </w:p>
          <w:p w:rsidR="00FA2F5C" w:rsidRPr="00D814D5" w:rsidRDefault="004524EC" w:rsidP="00472267">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524EC">
              <w:rPr>
                <w:rFonts w:asciiTheme="majorHAnsi" w:hAnsiTheme="majorHAnsi"/>
              </w:rPr>
              <w:t>In addition,</w:t>
            </w:r>
            <w:r w:rsidR="00472267">
              <w:rPr>
                <w:rFonts w:asciiTheme="majorHAnsi" w:hAnsiTheme="majorHAnsi"/>
              </w:rPr>
              <w:t xml:space="preserve"> we will seek to deploy technical assistance as appropriate to help identify and improve </w:t>
            </w:r>
            <w:r w:rsidRPr="004524EC">
              <w:rPr>
                <w:rFonts w:asciiTheme="majorHAnsi" w:hAnsiTheme="majorHAnsi"/>
              </w:rPr>
              <w:t>cross-sectoral linkages</w:t>
            </w:r>
            <w:r w:rsidR="00472267">
              <w:rPr>
                <w:rFonts w:asciiTheme="majorHAnsi" w:hAnsiTheme="majorHAnsi"/>
              </w:rPr>
              <w:t>.</w:t>
            </w:r>
          </w:p>
        </w:tc>
        <w:tc>
          <w:tcPr>
            <w:tcW w:w="1860" w:type="dxa"/>
            <w:gridSpan w:val="2"/>
          </w:tcPr>
          <w:p w:rsidR="00FA2F5C" w:rsidRPr="00D814D5" w:rsidRDefault="00FA2F5C" w:rsidP="00D814D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D814D5">
              <w:rPr>
                <w:rFonts w:asciiTheme="majorHAnsi" w:hAnsiTheme="majorHAnsi"/>
              </w:rPr>
              <w:t>First quarter of 2018</w:t>
            </w:r>
          </w:p>
        </w:tc>
      </w:tr>
      <w:tr w:rsidR="00472267" w:rsidTr="00666706">
        <w:trPr>
          <w:gridAfter w:val="2"/>
          <w:cnfStyle w:val="000000100000" w:firstRow="0" w:lastRow="0" w:firstColumn="0" w:lastColumn="0" w:oddVBand="0" w:evenVBand="0" w:oddHBand="1" w:evenHBand="0" w:firstRowFirstColumn="0" w:firstRowLastColumn="0" w:lastRowFirstColumn="0" w:lastRowLastColumn="0"/>
          <w:wAfter w:w="108" w:type="dxa"/>
        </w:trPr>
        <w:tc>
          <w:tcPr>
            <w:cnfStyle w:val="001000000000" w:firstRow="0" w:lastRow="0" w:firstColumn="1" w:lastColumn="0" w:oddVBand="0" w:evenVBand="0" w:oddHBand="0" w:evenHBand="0" w:firstRowFirstColumn="0" w:firstRowLastColumn="0" w:lastRowFirstColumn="0" w:lastRowLastColumn="0"/>
            <w:tcW w:w="2527" w:type="dxa"/>
            <w:gridSpan w:val="3"/>
          </w:tcPr>
          <w:p w:rsidR="00C62413" w:rsidRPr="00D814D5" w:rsidRDefault="00C62413" w:rsidP="00D814D5">
            <w:pPr>
              <w:pStyle w:val="Heading3"/>
              <w:spacing w:before="120" w:after="60" w:line="260" w:lineRule="atLeast"/>
              <w:contextualSpacing w:val="0"/>
              <w:outlineLvl w:val="2"/>
              <w:rPr>
                <w:b/>
                <w:sz w:val="22"/>
                <w:szCs w:val="22"/>
              </w:rPr>
            </w:pPr>
            <w:r w:rsidRPr="00D814D5">
              <w:rPr>
                <w:b/>
                <w:sz w:val="22"/>
                <w:szCs w:val="22"/>
              </w:rPr>
              <w:t>Recommendation 9</w:t>
            </w:r>
          </w:p>
          <w:p w:rsidR="00C62413" w:rsidRPr="00D814D5" w:rsidRDefault="00C62413" w:rsidP="00D814D5">
            <w:pPr>
              <w:pStyle w:val="BodyText"/>
              <w:rPr>
                <w:rFonts w:asciiTheme="majorHAnsi" w:hAnsiTheme="majorHAnsi"/>
                <w:i/>
              </w:rPr>
            </w:pPr>
            <w:r w:rsidRPr="00D814D5">
              <w:rPr>
                <w:rFonts w:asciiTheme="majorHAnsi" w:hAnsiTheme="majorHAnsi"/>
              </w:rPr>
              <w:t>Continue programs and approaches that have demonstrated good results and develop a strategy to ensure continuation after 2019.</w:t>
            </w:r>
          </w:p>
        </w:tc>
        <w:tc>
          <w:tcPr>
            <w:tcW w:w="2239" w:type="dxa"/>
            <w:gridSpan w:val="3"/>
            <w:shd w:val="clear" w:color="auto" w:fill="92D050"/>
          </w:tcPr>
          <w:p w:rsidR="00C62413" w:rsidRPr="00D814D5" w:rsidRDefault="00C62413" w:rsidP="00D814D5">
            <w:pPr>
              <w:pStyle w:val="Heading3"/>
              <w:spacing w:before="120" w:after="60" w:line="260" w:lineRule="atLeast"/>
              <w:contextualSpacing w:val="0"/>
              <w:outlineLvl w:val="2"/>
              <w:cnfStyle w:val="000000100000" w:firstRow="0" w:lastRow="0" w:firstColumn="0" w:lastColumn="0" w:oddVBand="0" w:evenVBand="0" w:oddHBand="1" w:evenHBand="0" w:firstRowFirstColumn="0" w:firstRowLastColumn="0" w:lastRowFirstColumn="0" w:lastRowLastColumn="0"/>
              <w:rPr>
                <w:sz w:val="22"/>
                <w:szCs w:val="22"/>
              </w:rPr>
            </w:pPr>
            <w:r w:rsidRPr="00D814D5">
              <w:rPr>
                <w:sz w:val="22"/>
                <w:szCs w:val="22"/>
              </w:rPr>
              <w:t xml:space="preserve">Agree </w:t>
            </w:r>
          </w:p>
        </w:tc>
        <w:tc>
          <w:tcPr>
            <w:tcW w:w="1928" w:type="dxa"/>
            <w:gridSpan w:val="4"/>
          </w:tcPr>
          <w:p w:rsidR="00C62413" w:rsidRPr="00D814D5" w:rsidRDefault="00C62413" w:rsidP="00D814D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D814D5">
              <w:rPr>
                <w:rFonts w:asciiTheme="majorHAnsi" w:hAnsiTheme="majorHAnsi"/>
              </w:rPr>
              <w:t xml:space="preserve">Fully agree. </w:t>
            </w:r>
          </w:p>
        </w:tc>
        <w:tc>
          <w:tcPr>
            <w:tcW w:w="1428" w:type="dxa"/>
          </w:tcPr>
          <w:p w:rsidR="00C62413" w:rsidRPr="00D814D5" w:rsidRDefault="00C62413" w:rsidP="00D814D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D814D5">
              <w:rPr>
                <w:rFonts w:asciiTheme="majorHAnsi" w:hAnsiTheme="majorHAnsi"/>
              </w:rPr>
              <w:t>Ongoing</w:t>
            </w:r>
          </w:p>
        </w:tc>
        <w:tc>
          <w:tcPr>
            <w:tcW w:w="1868" w:type="dxa"/>
            <w:gridSpan w:val="3"/>
          </w:tcPr>
          <w:p w:rsidR="00C62413" w:rsidRPr="00D814D5" w:rsidRDefault="00C62413" w:rsidP="00D814D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D814D5">
              <w:rPr>
                <w:rFonts w:asciiTheme="majorHAnsi" w:hAnsiTheme="majorHAnsi"/>
              </w:rPr>
              <w:t>Ongoing</w:t>
            </w:r>
          </w:p>
        </w:tc>
      </w:tr>
    </w:tbl>
    <w:p w:rsidR="0046258E" w:rsidRDefault="0046258E" w:rsidP="00D814D5"/>
    <w:sectPr w:rsidR="0046258E" w:rsidSect="0013615E">
      <w:headerReference w:type="even" r:id="rId7"/>
      <w:headerReference w:type="default" r:id="rId8"/>
      <w:footerReference w:type="even" r:id="rId9"/>
      <w:footerReference w:type="default" r:id="rId10"/>
      <w:headerReference w:type="first" r:id="rId11"/>
      <w:footerReference w:type="first" r:id="rId12"/>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57B" w:rsidRDefault="0037657B" w:rsidP="0046258E">
      <w:pPr>
        <w:spacing w:before="0" w:after="0" w:line="240" w:lineRule="auto"/>
      </w:pPr>
      <w:r>
        <w:separator/>
      </w:r>
    </w:p>
  </w:endnote>
  <w:endnote w:type="continuationSeparator" w:id="0">
    <w:p w:rsidR="0037657B" w:rsidRDefault="0037657B" w:rsidP="004625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8E" w:rsidRDefault="00113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8E" w:rsidRDefault="001130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8E" w:rsidRDefault="00113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57B" w:rsidRDefault="0037657B" w:rsidP="0046258E">
      <w:pPr>
        <w:spacing w:before="0" w:after="0" w:line="240" w:lineRule="auto"/>
      </w:pPr>
      <w:r>
        <w:separator/>
      </w:r>
    </w:p>
  </w:footnote>
  <w:footnote w:type="continuationSeparator" w:id="0">
    <w:p w:rsidR="0037657B" w:rsidRDefault="0037657B" w:rsidP="004625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8E" w:rsidRDefault="00113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8E" w:rsidRDefault="00113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8E" w:rsidRDefault="00113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870F1"/>
    <w:multiLevelType w:val="hybridMultilevel"/>
    <w:tmpl w:val="4A889A5C"/>
    <w:lvl w:ilvl="0" w:tplc="511E83F8">
      <w:start w:val="1"/>
      <w:numFmt w:val="bullet"/>
      <w:pStyle w:val="TableBullet"/>
      <w:lvlText w:val=""/>
      <w:lvlJc w:val="left"/>
      <w:pPr>
        <w:ind w:left="360" w:hanging="360"/>
      </w:pPr>
      <w:rPr>
        <w:rFonts w:ascii="Wingdings" w:hAnsi="Wingdings" w:hint="default"/>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5D56043A"/>
    <w:multiLevelType w:val="multilevel"/>
    <w:tmpl w:val="69AEB596"/>
    <w:numStyleLink w:val="BulletsList"/>
  </w:abstractNum>
  <w:abstractNum w:abstractNumId="2"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0C"/>
    <w:rsid w:val="00003C06"/>
    <w:rsid w:val="00073FFC"/>
    <w:rsid w:val="00083875"/>
    <w:rsid w:val="000D4183"/>
    <w:rsid w:val="0011308E"/>
    <w:rsid w:val="00185054"/>
    <w:rsid w:val="00211911"/>
    <w:rsid w:val="002C4FF9"/>
    <w:rsid w:val="0037657B"/>
    <w:rsid w:val="004524EC"/>
    <w:rsid w:val="0046258E"/>
    <w:rsid w:val="00472267"/>
    <w:rsid w:val="00666706"/>
    <w:rsid w:val="006A61FA"/>
    <w:rsid w:val="006E1153"/>
    <w:rsid w:val="00805C71"/>
    <w:rsid w:val="0098110F"/>
    <w:rsid w:val="00A465A1"/>
    <w:rsid w:val="00AC11BF"/>
    <w:rsid w:val="00C068A2"/>
    <w:rsid w:val="00C14369"/>
    <w:rsid w:val="00C231A6"/>
    <w:rsid w:val="00C44B1E"/>
    <w:rsid w:val="00C62413"/>
    <w:rsid w:val="00C65FF9"/>
    <w:rsid w:val="00D13129"/>
    <w:rsid w:val="00D814D5"/>
    <w:rsid w:val="00DA1D9B"/>
    <w:rsid w:val="00DB7B83"/>
    <w:rsid w:val="00DE7480"/>
    <w:rsid w:val="00E35D0C"/>
    <w:rsid w:val="00EF3E85"/>
    <w:rsid w:val="00F72625"/>
    <w:rsid w:val="00F91FD9"/>
    <w:rsid w:val="00FA2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D0C"/>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E35D0C"/>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E35D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E35D0C"/>
    <w:pPr>
      <w:spacing w:before="480" w:after="120" w:line="360" w:lineRule="atLeast"/>
      <w:contextualSpacing/>
      <w:outlineLvl w:val="2"/>
    </w:pPr>
    <w:rPr>
      <w:bCs/>
      <w:color w:val="44546A" w:themeColor="text2"/>
      <w:sz w:val="30"/>
      <w:lang w:val="en-AU"/>
    </w:rPr>
  </w:style>
  <w:style w:type="paragraph" w:styleId="Heading9">
    <w:name w:val="heading 9"/>
    <w:basedOn w:val="Normal"/>
    <w:next w:val="Normal"/>
    <w:link w:val="Heading9Char"/>
    <w:uiPriority w:val="9"/>
    <w:semiHidden/>
    <w:unhideWhenUsed/>
    <w:qFormat/>
    <w:rsid w:val="0046258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5D0C"/>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E35D0C"/>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E35D0C"/>
    <w:pPr>
      <w:numPr>
        <w:numId w:val="2"/>
      </w:numPr>
      <w:tabs>
        <w:tab w:val="left" w:pos="567"/>
      </w:tabs>
      <w:spacing w:before="60"/>
    </w:pPr>
  </w:style>
  <w:style w:type="paragraph" w:customStyle="1" w:styleId="Bullet2">
    <w:name w:val="Bullet 2"/>
    <w:basedOn w:val="Bullet1"/>
    <w:qFormat/>
    <w:rsid w:val="00E35D0C"/>
    <w:pPr>
      <w:numPr>
        <w:ilvl w:val="1"/>
      </w:numPr>
      <w:tabs>
        <w:tab w:val="clear" w:pos="568"/>
        <w:tab w:val="left" w:pos="851"/>
      </w:tabs>
    </w:pPr>
  </w:style>
  <w:style w:type="paragraph" w:customStyle="1" w:styleId="Bullet3">
    <w:name w:val="Bullet 3"/>
    <w:basedOn w:val="Bullet2"/>
    <w:qFormat/>
    <w:rsid w:val="00E35D0C"/>
    <w:pPr>
      <w:numPr>
        <w:ilvl w:val="2"/>
      </w:numPr>
      <w:tabs>
        <w:tab w:val="clear" w:pos="852"/>
        <w:tab w:val="left" w:pos="1134"/>
      </w:tabs>
    </w:pPr>
  </w:style>
  <w:style w:type="numbering" w:customStyle="1" w:styleId="BulletsList">
    <w:name w:val="Bullets List"/>
    <w:uiPriority w:val="99"/>
    <w:rsid w:val="00E35D0C"/>
    <w:pPr>
      <w:numPr>
        <w:numId w:val="1"/>
      </w:numPr>
    </w:pPr>
  </w:style>
  <w:style w:type="paragraph" w:customStyle="1" w:styleId="TableHeaderRow">
    <w:name w:val="Table Header Row"/>
    <w:basedOn w:val="Normal"/>
    <w:qFormat/>
    <w:rsid w:val="00E35D0C"/>
    <w:pPr>
      <w:spacing w:before="60"/>
    </w:pPr>
    <w:rPr>
      <w:rFonts w:ascii="Calibri" w:hAnsi="Calibri"/>
      <w:b/>
      <w:color w:val="FFFFFF" w:themeColor="background1"/>
      <w:szCs w:val="21"/>
    </w:rPr>
  </w:style>
  <w:style w:type="table" w:customStyle="1" w:styleId="DFATTable1">
    <w:name w:val="DFAT Table 1"/>
    <w:basedOn w:val="TableNormal"/>
    <w:uiPriority w:val="99"/>
    <w:rsid w:val="00E35D0C"/>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E35D0C"/>
  </w:style>
  <w:style w:type="character" w:customStyle="1" w:styleId="BodyTextChar">
    <w:name w:val="Body Text Char"/>
    <w:basedOn w:val="DefaultParagraphFont"/>
    <w:link w:val="BodyText"/>
    <w:uiPriority w:val="99"/>
    <w:rsid w:val="00E35D0C"/>
    <w:rPr>
      <w:color w:val="44546A" w:themeColor="text2"/>
      <w:lang w:val="en-GB"/>
    </w:rPr>
  </w:style>
  <w:style w:type="character" w:customStyle="1" w:styleId="Heading2Char">
    <w:name w:val="Heading 2 Char"/>
    <w:basedOn w:val="DefaultParagraphFont"/>
    <w:link w:val="Heading2"/>
    <w:uiPriority w:val="9"/>
    <w:semiHidden/>
    <w:rsid w:val="00E35D0C"/>
    <w:rPr>
      <w:rFonts w:asciiTheme="majorHAnsi" w:eastAsiaTheme="majorEastAsia" w:hAnsiTheme="majorHAnsi" w:cstheme="majorBidi"/>
      <w:color w:val="2E74B5" w:themeColor="accent1" w:themeShade="BF"/>
      <w:sz w:val="26"/>
      <w:szCs w:val="26"/>
      <w:lang w:val="en-GB"/>
    </w:rPr>
  </w:style>
  <w:style w:type="character" w:customStyle="1" w:styleId="Heading9Char">
    <w:name w:val="Heading 9 Char"/>
    <w:basedOn w:val="DefaultParagraphFont"/>
    <w:link w:val="Heading9"/>
    <w:rsid w:val="0046258E"/>
    <w:rPr>
      <w:rFonts w:asciiTheme="majorHAnsi" w:eastAsiaTheme="majorEastAsia" w:hAnsiTheme="majorHAnsi" w:cstheme="majorBidi"/>
      <w:i/>
      <w:iCs/>
      <w:color w:val="272727" w:themeColor="text1" w:themeTint="D8"/>
      <w:sz w:val="21"/>
      <w:szCs w:val="21"/>
      <w:lang w:val="en-GB"/>
    </w:rPr>
  </w:style>
  <w:style w:type="character" w:styleId="FootnoteReference">
    <w:name w:val="footnote reference"/>
    <w:aliases w:val="BVI fnr Char Char1 Char,BVI fnr Car Car Char Char1 Char,BVI fnr Car Char Char1 Char,BVI fnr Car Car Car Car Char Char Char Char Char,BVI fnr Char Char Char Char Char,BVI fnr Car Car Char Char Char Char Char1"/>
    <w:link w:val="BVIfnrCharChar1"/>
    <w:uiPriority w:val="99"/>
    <w:qFormat/>
    <w:rsid w:val="0046258E"/>
    <w:rPr>
      <w:rFonts w:ascii="Arial" w:hAnsi="Arial"/>
      <w:color w:val="000000" w:themeColor="text1"/>
      <w:sz w:val="18"/>
      <w:szCs w:val="16"/>
      <w:vertAlign w:val="superscript"/>
      <w:lang w:val="en-GB"/>
    </w:rPr>
  </w:style>
  <w:style w:type="paragraph" w:customStyle="1" w:styleId="TableBullet">
    <w:name w:val="Table Bullet"/>
    <w:basedOn w:val="Normal"/>
    <w:link w:val="TableBulletChar"/>
    <w:qFormat/>
    <w:rsid w:val="0046258E"/>
    <w:pPr>
      <w:numPr>
        <w:numId w:val="3"/>
      </w:numPr>
      <w:tabs>
        <w:tab w:val="num" w:pos="284"/>
      </w:tabs>
      <w:suppressAutoHyphens w:val="0"/>
      <w:spacing w:before="0" w:after="40" w:line="240" w:lineRule="auto"/>
      <w:ind w:left="284" w:hanging="284"/>
    </w:pPr>
    <w:rPr>
      <w:rFonts w:ascii="Arial" w:eastAsia="PMingLiU" w:hAnsi="Arial" w:cs="Times New Roman"/>
      <w:color w:val="auto"/>
      <w:sz w:val="16"/>
      <w:szCs w:val="24"/>
      <w:lang w:eastAsia="en-GB"/>
    </w:rPr>
  </w:style>
  <w:style w:type="character" w:customStyle="1" w:styleId="TableBulletChar">
    <w:name w:val="Table Bullet Char"/>
    <w:link w:val="TableBullet"/>
    <w:rsid w:val="0046258E"/>
    <w:rPr>
      <w:rFonts w:ascii="Arial" w:eastAsia="PMingLiU" w:hAnsi="Arial" w:cs="Times New Roman"/>
      <w:sz w:val="16"/>
      <w:szCs w:val="24"/>
      <w:lang w:val="en-GB" w:eastAsia="en-GB"/>
    </w:rPr>
  </w:style>
  <w:style w:type="paragraph" w:styleId="FootnoteText">
    <w:name w:val="footnote text"/>
    <w:aliases w:val="ADB,Footnote Text Char1,Footnote Text Char Char,Char,single space,footnote text,FOOTNOTES,fn,Footnote Text Char2 Char,Footnote Text Char1 Char Char,Footnote Text Char2 Char Char Char,Footnote Text Char1 Char Char Char Char,f,te"/>
    <w:basedOn w:val="Normal"/>
    <w:link w:val="FootnoteTextChar"/>
    <w:uiPriority w:val="99"/>
    <w:qFormat/>
    <w:rsid w:val="0046258E"/>
    <w:pPr>
      <w:widowControl w:val="0"/>
      <w:tabs>
        <w:tab w:val="left" w:pos="709"/>
      </w:tabs>
      <w:suppressAutoHyphens w:val="0"/>
      <w:spacing w:before="0" w:after="0" w:line="240" w:lineRule="auto"/>
    </w:pPr>
    <w:rPr>
      <w:rFonts w:ascii="Arial" w:eastAsia="PMingLiU" w:hAnsi="Arial" w:cs="Times New Roman"/>
      <w:color w:val="000000"/>
      <w:sz w:val="16"/>
      <w:szCs w:val="20"/>
      <w:lang w:eastAsia="en-GB"/>
    </w:rPr>
  </w:style>
  <w:style w:type="character" w:customStyle="1" w:styleId="FootnoteTextChar">
    <w:name w:val="Footnote Text Char"/>
    <w:aliases w:val="ADB Char,Footnote Text Char1 Char,Footnote Text Char Char Char,Char Char,single space Char,footnote text Char,FOOTNOTES Char,fn Char,Footnote Text Char2 Char Char,Footnote Text Char1 Char Char Char,f Char,te Char"/>
    <w:basedOn w:val="DefaultParagraphFont"/>
    <w:link w:val="FootnoteText"/>
    <w:uiPriority w:val="99"/>
    <w:rsid w:val="0046258E"/>
    <w:rPr>
      <w:rFonts w:ascii="Arial" w:eastAsia="PMingLiU" w:hAnsi="Arial" w:cs="Times New Roman"/>
      <w:color w:val="000000"/>
      <w:sz w:val="16"/>
      <w:szCs w:val="20"/>
      <w:lang w:val="en-GB" w:eastAsia="en-GB"/>
    </w:rPr>
  </w:style>
  <w:style w:type="paragraph" w:customStyle="1" w:styleId="BVIfnrCharChar1">
    <w:name w:val="BVI fnr Char Char1"/>
    <w:aliases w:val="BVI fnr Car Car Char Char1,BVI fnr Car Char Char1,BVI fnr Car Car Car Car Char Char Char Char,BVI fnr Char Char Char Char,BVI fnr Car Car Char Char Char Char"/>
    <w:basedOn w:val="Normal"/>
    <w:link w:val="FootnoteReference"/>
    <w:uiPriority w:val="99"/>
    <w:rsid w:val="0046258E"/>
    <w:pPr>
      <w:suppressAutoHyphens w:val="0"/>
      <w:spacing w:before="0" w:after="160" w:line="240" w:lineRule="exact"/>
    </w:pPr>
    <w:rPr>
      <w:rFonts w:ascii="Arial" w:hAnsi="Arial"/>
      <w:color w:val="000000" w:themeColor="text1"/>
      <w:sz w:val="18"/>
      <w:szCs w:val="16"/>
      <w:vertAlign w:val="superscript"/>
    </w:rPr>
  </w:style>
  <w:style w:type="paragraph" w:styleId="BalloonText">
    <w:name w:val="Balloon Text"/>
    <w:basedOn w:val="Normal"/>
    <w:link w:val="BalloonTextChar"/>
    <w:uiPriority w:val="99"/>
    <w:semiHidden/>
    <w:unhideWhenUsed/>
    <w:rsid w:val="0021191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911"/>
    <w:rPr>
      <w:rFonts w:ascii="Segoe UI" w:hAnsi="Segoe UI" w:cs="Segoe UI"/>
      <w:color w:val="44546A" w:themeColor="text2"/>
      <w:sz w:val="18"/>
      <w:szCs w:val="18"/>
      <w:lang w:val="en-GB"/>
    </w:rPr>
  </w:style>
  <w:style w:type="paragraph" w:styleId="Header">
    <w:name w:val="header"/>
    <w:basedOn w:val="Normal"/>
    <w:link w:val="HeaderChar"/>
    <w:uiPriority w:val="99"/>
    <w:unhideWhenUsed/>
    <w:rsid w:val="0011308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1308E"/>
    <w:rPr>
      <w:color w:val="44546A" w:themeColor="text2"/>
      <w:lang w:val="en-GB"/>
    </w:rPr>
  </w:style>
  <w:style w:type="paragraph" w:styleId="Footer">
    <w:name w:val="footer"/>
    <w:basedOn w:val="Normal"/>
    <w:link w:val="FooterChar"/>
    <w:uiPriority w:val="99"/>
    <w:unhideWhenUsed/>
    <w:rsid w:val="0011308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1308E"/>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3D52A3-9563-41DE-8A76-18408922D1DE}"/>
</file>

<file path=customXml/itemProps2.xml><?xml version="1.0" encoding="utf-8"?>
<ds:datastoreItem xmlns:ds="http://schemas.openxmlformats.org/officeDocument/2006/customXml" ds:itemID="{4388D23F-82A7-4C9E-89E6-13C01871C43D}"/>
</file>

<file path=customXml/itemProps3.xml><?xml version="1.0" encoding="utf-8"?>
<ds:datastoreItem xmlns:ds="http://schemas.openxmlformats.org/officeDocument/2006/customXml" ds:itemID="{167B6280-1890-4836-99A4-CCAA7D502C23}"/>
</file>

<file path=docProps/app.xml><?xml version="1.0" encoding="utf-8"?>
<Properties xmlns="http://schemas.openxmlformats.org/officeDocument/2006/extended-properties" xmlns:vt="http://schemas.openxmlformats.org/officeDocument/2006/docPropsVTypes">
  <Template>Normal.dotm</Template>
  <TotalTime>0</TotalTime>
  <Pages>6</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2017-12-11T02:25:00Z</dcterms:created>
  <dcterms:modified xsi:type="dcterms:W3CDTF">2017-12-11T02:25:00Z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f3325356-1e29-481c-b6cc-d8cd9c543b5c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1137800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