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12DA" w14:textId="7F7B47BA" w:rsidR="00293FAF" w:rsidRDefault="00151370" w:rsidP="00151370">
      <w:pPr>
        <w:pStyle w:val="Heading1"/>
        <w:jc w:val="center"/>
      </w:pPr>
      <w:r>
        <w:t>INDEPENDENT REVIEW OF THE TONGA HEALTH PROMOTION FOUNDATION</w:t>
      </w:r>
      <w:r w:rsidR="42CF3316">
        <w:t>’S IMPLEMENTATION OF RESPONSIBILITIES UNDER THE NATIONAL NCD STRATEGY</w:t>
      </w:r>
    </w:p>
    <w:p w14:paraId="54A87713" w14:textId="1ACF3C0D" w:rsidR="00293FAF" w:rsidRDefault="00293FAF" w:rsidP="00151370">
      <w:pPr>
        <w:pStyle w:val="Heading1"/>
      </w:pPr>
      <w:r>
        <w:t>Summary of management response:</w:t>
      </w:r>
    </w:p>
    <w:p w14:paraId="273AD5B2" w14:textId="5A9B06D5" w:rsidR="00293FAF" w:rsidRDefault="00293FAF" w:rsidP="00841A83">
      <w:r>
        <w:t>DFAT welcomes this review, which was commissioned</w:t>
      </w:r>
      <w:r w:rsidR="006055B5">
        <w:t xml:space="preserve"> </w:t>
      </w:r>
      <w:r w:rsidR="006055B5" w:rsidRPr="00925AF1">
        <w:t xml:space="preserve">to consider the effectiveness of Tonga Health Promotion Foundation’s </w:t>
      </w:r>
      <w:r w:rsidR="00841A83">
        <w:t xml:space="preserve">(TongaHealth) </w:t>
      </w:r>
      <w:r w:rsidR="006055B5" w:rsidRPr="00925AF1">
        <w:t>contribution to the</w:t>
      </w:r>
      <w:r w:rsidR="00841A83">
        <w:t xml:space="preserve"> </w:t>
      </w:r>
      <w:r w:rsidR="006055B5" w:rsidRPr="00925AF1">
        <w:t xml:space="preserve">implementation of </w:t>
      </w:r>
      <w:r w:rsidR="00125703">
        <w:t>Tonga’s National</w:t>
      </w:r>
      <w:r w:rsidR="006055B5" w:rsidRPr="00925AF1">
        <w:t xml:space="preserve"> </w:t>
      </w:r>
      <w:r w:rsidR="00125703" w:rsidRPr="00925AF1">
        <w:t>N</w:t>
      </w:r>
      <w:r w:rsidR="00125703">
        <w:t>on-Communicable Diseases</w:t>
      </w:r>
      <w:r w:rsidR="006055B5" w:rsidRPr="00925AF1">
        <w:t xml:space="preserve"> Strategy at its mid-point.</w:t>
      </w:r>
      <w:r w:rsidR="00925AF1">
        <w:t xml:space="preserve"> </w:t>
      </w:r>
      <w:r>
        <w:t xml:space="preserve">The review considered advice, </w:t>
      </w:r>
      <w:proofErr w:type="gramStart"/>
      <w:r>
        <w:t>opinions</w:t>
      </w:r>
      <w:proofErr w:type="gramEnd"/>
      <w:r>
        <w:t xml:space="preserve"> and experiences from a wide range of stakeholders and provided a considered analysis of the evidence that was available. </w:t>
      </w:r>
    </w:p>
    <w:p w14:paraId="33B35AE0" w14:textId="6FD17023" w:rsidR="00F75547" w:rsidRDefault="00293FAF" w:rsidP="00841A83">
      <w:r>
        <w:t xml:space="preserve">DFAT notes that </w:t>
      </w:r>
      <w:proofErr w:type="gramStart"/>
      <w:r>
        <w:t>the majority of</w:t>
      </w:r>
      <w:proofErr w:type="gramEnd"/>
      <w:r>
        <w:t xml:space="preserve"> the recommendations relate to actions required</w:t>
      </w:r>
      <w:r w:rsidR="00925AF1">
        <w:t xml:space="preserve"> </w:t>
      </w:r>
      <w:r>
        <w:t>by TongaHealth</w:t>
      </w:r>
      <w:r w:rsidR="006055B5">
        <w:t>.</w:t>
      </w:r>
      <w:r w:rsidR="004A1053">
        <w:t xml:space="preserve"> </w:t>
      </w:r>
      <w:r w:rsidR="007D7925">
        <w:t>DFAT</w:t>
      </w:r>
      <w:r w:rsidR="006055B5">
        <w:t xml:space="preserve"> may support </w:t>
      </w:r>
      <w:r w:rsidR="004A1053">
        <w:t xml:space="preserve">agreed </w:t>
      </w:r>
      <w:r w:rsidR="006055B5">
        <w:t xml:space="preserve">recommendations through </w:t>
      </w:r>
      <w:r w:rsidR="00C531E9">
        <w:t>existing</w:t>
      </w:r>
      <w:r w:rsidR="006055B5">
        <w:t xml:space="preserve"> technical advi</w:t>
      </w:r>
      <w:r w:rsidR="00197A50">
        <w:t>sor</w:t>
      </w:r>
      <w:r w:rsidR="006055B5">
        <w:t xml:space="preserve"> </w:t>
      </w:r>
      <w:r w:rsidR="00C531E9">
        <w:t xml:space="preserve">mechanisms </w:t>
      </w:r>
      <w:r w:rsidR="006055B5">
        <w:t xml:space="preserve">or via other, established development investments. </w:t>
      </w:r>
      <w:r w:rsidR="00F75E4E">
        <w:t xml:space="preserve">For </w:t>
      </w:r>
      <w:r w:rsidR="002A59B3">
        <w:t>those</w:t>
      </w:r>
      <w:r w:rsidR="00AC165D">
        <w:t xml:space="preserve"> that are </w:t>
      </w:r>
      <w:r w:rsidR="004A1053">
        <w:t>a</w:t>
      </w:r>
      <w:r w:rsidR="00AC165D">
        <w:t xml:space="preserve">greed in </w:t>
      </w:r>
      <w:r w:rsidR="004A1053">
        <w:t>p</w:t>
      </w:r>
      <w:r w:rsidR="00AC165D">
        <w:t xml:space="preserve">rinciple, DFAT will continue </w:t>
      </w:r>
      <w:r w:rsidR="007E6423">
        <w:t xml:space="preserve">ongoing </w:t>
      </w:r>
      <w:r w:rsidR="00AC165D">
        <w:t xml:space="preserve">dialogue with TongaHealth around ways to </w:t>
      </w:r>
      <w:r w:rsidR="0049583A">
        <w:t>address the recommendations</w:t>
      </w:r>
      <w:r w:rsidR="00AC165D">
        <w:t xml:space="preserve">, </w:t>
      </w:r>
      <w:proofErr w:type="gramStart"/>
      <w:r w:rsidR="00AC165D">
        <w:t>however</w:t>
      </w:r>
      <w:proofErr w:type="gramEnd"/>
      <w:r w:rsidR="00AC165D">
        <w:t xml:space="preserve"> will not provide additional resources. </w:t>
      </w:r>
    </w:p>
    <w:p w14:paraId="4316FB0F" w14:textId="3A013D05" w:rsidR="00293FAF" w:rsidRDefault="00F75547" w:rsidP="00841A83">
      <w:r>
        <w:t xml:space="preserve">Australia has </w:t>
      </w:r>
      <w:r w:rsidR="002A59B3">
        <w:t>supported</w:t>
      </w:r>
      <w:r>
        <w:t xml:space="preserve"> TongaHealth since 2009</w:t>
      </w:r>
      <w:r w:rsidR="00E75B31">
        <w:t>,</w:t>
      </w:r>
      <w:r>
        <w:t xml:space="preserve"> with the current partnership ending in June 2025.</w:t>
      </w:r>
      <w:r w:rsidR="006055B5">
        <w:t xml:space="preserve"> DFAT will take a pragmatic approach to</w:t>
      </w:r>
      <w:r w:rsidR="00197A50">
        <w:t xml:space="preserve"> </w:t>
      </w:r>
      <w:r w:rsidR="007C0E5A">
        <w:t xml:space="preserve">the </w:t>
      </w:r>
      <w:r w:rsidR="006055B5">
        <w:t xml:space="preserve">future </w:t>
      </w:r>
      <w:r w:rsidR="00E75B31">
        <w:t xml:space="preserve">partnership </w:t>
      </w:r>
      <w:r w:rsidR="00701A9C">
        <w:t>with</w:t>
      </w:r>
      <w:r w:rsidR="00E75B31">
        <w:t xml:space="preserve"> TongaHealth </w:t>
      </w:r>
      <w:r>
        <w:t xml:space="preserve">as </w:t>
      </w:r>
      <w:r w:rsidR="00197A50">
        <w:t>DFAT notes</w:t>
      </w:r>
      <w:r w:rsidR="006055B5">
        <w:t xml:space="preserve"> </w:t>
      </w:r>
      <w:r w:rsidR="00841A83">
        <w:t xml:space="preserve">there has been </w:t>
      </w:r>
      <w:r w:rsidR="006055B5">
        <w:t>little improvement from</w:t>
      </w:r>
      <w:r>
        <w:t xml:space="preserve"> the</w:t>
      </w:r>
      <w:r w:rsidR="006055B5">
        <w:t xml:space="preserve"> previous </w:t>
      </w:r>
      <w:hyperlink r:id="rId7" w:history="1">
        <w:r w:rsidR="006055B5" w:rsidRPr="006055B5">
          <w:rPr>
            <w:rStyle w:val="Hyperlink"/>
          </w:rPr>
          <w:t>evaluation</w:t>
        </w:r>
      </w:hyperlink>
      <w:r w:rsidR="00293FAF">
        <w:t xml:space="preserve">. </w:t>
      </w:r>
      <w:r w:rsidR="001A3ABF" w:rsidRPr="001A3ABF">
        <w:t xml:space="preserve">DFAT will undertake a design for the next phase of </w:t>
      </w:r>
      <w:r w:rsidR="00636024">
        <w:t xml:space="preserve">Australian </w:t>
      </w:r>
      <w:r w:rsidR="001A3ABF" w:rsidRPr="001A3ABF">
        <w:t xml:space="preserve">support to </w:t>
      </w:r>
      <w:r w:rsidR="00636024">
        <w:t>Tonga’s</w:t>
      </w:r>
      <w:r w:rsidR="001A3ABF" w:rsidRPr="001A3ABF">
        <w:t xml:space="preserve"> Health Sector by the end of fiscal year 2024-25, informed</w:t>
      </w:r>
      <w:r w:rsidR="001A3ABF">
        <w:t xml:space="preserve"> in part by this</w:t>
      </w:r>
      <w:r w:rsidR="001A3ABF" w:rsidRPr="001A3ABF">
        <w:t xml:space="preserve"> </w:t>
      </w:r>
      <w:r w:rsidR="00636024">
        <w:t>r</w:t>
      </w:r>
      <w:r w:rsidR="001A3ABF" w:rsidRPr="001A3ABF">
        <w:t>eview.</w:t>
      </w:r>
    </w:p>
    <w:p w14:paraId="7D0379A5" w14:textId="77777777" w:rsidR="00293FAF" w:rsidRPr="00151370" w:rsidRDefault="00293FAF" w:rsidP="00151370">
      <w:pPr>
        <w:pStyle w:val="Heading1"/>
      </w:pPr>
      <w:r w:rsidRPr="00C869E6">
        <w:t>Individual management responses to the recommendations:</w:t>
      </w:r>
    </w:p>
    <w:tbl>
      <w:tblPr>
        <w:tblStyle w:val="TableGrid"/>
        <w:tblW w:w="14601" w:type="dxa"/>
        <w:tblInd w:w="-147" w:type="dxa"/>
        <w:tblLook w:val="04A0" w:firstRow="1" w:lastRow="0" w:firstColumn="1" w:lastColumn="0" w:noHBand="0" w:noVBand="1"/>
      </w:tblPr>
      <w:tblGrid>
        <w:gridCol w:w="5954"/>
        <w:gridCol w:w="1276"/>
        <w:gridCol w:w="5820"/>
        <w:gridCol w:w="1551"/>
      </w:tblGrid>
      <w:tr w:rsidR="00757EA2" w:rsidRPr="00135E76" w14:paraId="7E200C20" w14:textId="77777777" w:rsidTr="002050D4">
        <w:trPr>
          <w:trHeight w:val="300"/>
        </w:trPr>
        <w:tc>
          <w:tcPr>
            <w:tcW w:w="5954" w:type="dxa"/>
            <w:shd w:val="clear" w:color="auto" w:fill="D9E2F3" w:themeFill="accent1" w:themeFillTint="33"/>
          </w:tcPr>
          <w:p w14:paraId="7993D1AA" w14:textId="78E6F95F" w:rsidR="001B2CA2" w:rsidRPr="001B2CA2" w:rsidRDefault="001B2CA2" w:rsidP="001B2CA2">
            <w:pPr>
              <w:spacing w:line="276" w:lineRule="auto"/>
            </w:pPr>
            <w:r w:rsidRPr="001B2CA2">
              <w:rPr>
                <w:rFonts w:asciiTheme="majorHAnsi" w:hAnsiTheme="majorHAnsi" w:cstheme="majorHAnsi"/>
                <w:b/>
                <w:bCs/>
                <w:sz w:val="24"/>
                <w:szCs w:val="24"/>
              </w:rPr>
              <w:t>Recommendation</w:t>
            </w:r>
          </w:p>
        </w:tc>
        <w:tc>
          <w:tcPr>
            <w:tcW w:w="1276" w:type="dxa"/>
            <w:shd w:val="clear" w:color="auto" w:fill="D9E2F3" w:themeFill="accent1" w:themeFillTint="33"/>
          </w:tcPr>
          <w:p w14:paraId="36DF6277" w14:textId="38C78F5E" w:rsidR="001B2CA2" w:rsidRPr="00135E76" w:rsidRDefault="001B2CA2" w:rsidP="001B2CA2">
            <w:pPr>
              <w:spacing w:line="276" w:lineRule="auto"/>
              <w:rPr>
                <w:kern w:val="2"/>
                <w14:ligatures w14:val="standardContextual"/>
              </w:rPr>
            </w:pPr>
            <w:r w:rsidRPr="00F42EB1">
              <w:rPr>
                <w:rFonts w:asciiTheme="majorHAnsi" w:hAnsiTheme="majorHAnsi" w:cstheme="majorHAnsi"/>
                <w:b/>
                <w:bCs/>
                <w:sz w:val="24"/>
                <w:szCs w:val="24"/>
              </w:rPr>
              <w:t>Response</w:t>
            </w:r>
          </w:p>
        </w:tc>
        <w:tc>
          <w:tcPr>
            <w:tcW w:w="5820" w:type="dxa"/>
            <w:shd w:val="clear" w:color="auto" w:fill="D9E2F3" w:themeFill="accent1" w:themeFillTint="33"/>
          </w:tcPr>
          <w:p w14:paraId="32D144E0" w14:textId="0B760F94" w:rsidR="001B2CA2" w:rsidRPr="00135E76" w:rsidRDefault="001B2CA2" w:rsidP="001B2CA2">
            <w:pPr>
              <w:spacing w:line="276" w:lineRule="auto"/>
              <w:rPr>
                <w:kern w:val="2"/>
                <w14:ligatures w14:val="standardContextual"/>
              </w:rPr>
            </w:pPr>
            <w:r>
              <w:rPr>
                <w:rFonts w:asciiTheme="majorHAnsi" w:hAnsiTheme="majorHAnsi" w:cstheme="majorHAnsi"/>
                <w:b/>
                <w:bCs/>
                <w:sz w:val="24"/>
                <w:szCs w:val="24"/>
              </w:rPr>
              <w:t xml:space="preserve">Advice / </w:t>
            </w:r>
            <w:r w:rsidRPr="00F42EB1">
              <w:rPr>
                <w:rFonts w:asciiTheme="majorHAnsi" w:hAnsiTheme="majorHAnsi" w:cstheme="majorHAnsi"/>
                <w:b/>
                <w:bCs/>
                <w:sz w:val="24"/>
                <w:szCs w:val="24"/>
              </w:rPr>
              <w:t>Next Steps</w:t>
            </w:r>
          </w:p>
        </w:tc>
        <w:tc>
          <w:tcPr>
            <w:tcW w:w="1551" w:type="dxa"/>
            <w:shd w:val="clear" w:color="auto" w:fill="D9E2F3" w:themeFill="accent1" w:themeFillTint="33"/>
          </w:tcPr>
          <w:p w14:paraId="214C1075" w14:textId="014259CA" w:rsidR="001B2CA2" w:rsidRPr="00135E76" w:rsidRDefault="001B2CA2" w:rsidP="001B2CA2">
            <w:pPr>
              <w:spacing w:line="276" w:lineRule="auto"/>
              <w:rPr>
                <w:kern w:val="2"/>
                <w14:ligatures w14:val="standardContextual"/>
              </w:rPr>
            </w:pPr>
            <w:r w:rsidRPr="00F42EB1">
              <w:rPr>
                <w:rFonts w:asciiTheme="majorHAnsi" w:hAnsiTheme="majorHAnsi" w:cstheme="majorHAnsi"/>
                <w:b/>
                <w:bCs/>
                <w:sz w:val="24"/>
                <w:szCs w:val="24"/>
              </w:rPr>
              <w:t>Timeframe</w:t>
            </w:r>
          </w:p>
        </w:tc>
      </w:tr>
      <w:tr w:rsidR="00D63FE8" w:rsidRPr="00135E76" w14:paraId="3E1FF418" w14:textId="77777777" w:rsidTr="00D63FE8">
        <w:trPr>
          <w:trHeight w:val="300"/>
        </w:trPr>
        <w:tc>
          <w:tcPr>
            <w:tcW w:w="5954" w:type="dxa"/>
          </w:tcPr>
          <w:p w14:paraId="211B7BDF" w14:textId="5636C13F" w:rsidR="00D63FE8" w:rsidRPr="00135E76" w:rsidRDefault="00D63FE8" w:rsidP="00D63FE8">
            <w:pPr>
              <w:pStyle w:val="ListParagraph"/>
              <w:numPr>
                <w:ilvl w:val="0"/>
                <w:numId w:val="3"/>
              </w:numPr>
              <w:spacing w:line="276" w:lineRule="auto"/>
            </w:pPr>
            <w:r w:rsidRPr="00135E76">
              <w:t xml:space="preserve">TongaHealth should seek to strengthen its technical capacity by finalising and implementing an organisational capacity assessment, identifying sources of external technical assistance (e.g. volunteers, TASP), and strengthening the partnership with the </w:t>
            </w:r>
            <w:r>
              <w:t xml:space="preserve">Ministry of Health’s </w:t>
            </w:r>
            <w:r w:rsidRPr="00135E76">
              <w:t xml:space="preserve">Health Promotion Unit (HPU) given their significant technical and implementation expertise in the health field. </w:t>
            </w:r>
          </w:p>
        </w:tc>
        <w:tc>
          <w:tcPr>
            <w:tcW w:w="1276" w:type="dxa"/>
            <w:shd w:val="clear" w:color="auto" w:fill="FFF2CC" w:themeFill="accent4" w:themeFillTint="33"/>
          </w:tcPr>
          <w:p w14:paraId="366BE9F6" w14:textId="0DA065C8" w:rsidR="00D63FE8" w:rsidRPr="00135E76" w:rsidRDefault="00D63FE8" w:rsidP="00D63FE8">
            <w:pPr>
              <w:spacing w:line="276" w:lineRule="auto"/>
            </w:pPr>
            <w:r w:rsidRPr="00135E76">
              <w:rPr>
                <w:kern w:val="2"/>
                <w14:ligatures w14:val="standardContextual"/>
              </w:rPr>
              <w:t>Agree in principle</w:t>
            </w:r>
          </w:p>
        </w:tc>
        <w:tc>
          <w:tcPr>
            <w:tcW w:w="5820" w:type="dxa"/>
          </w:tcPr>
          <w:p w14:paraId="5D6D5F9A" w14:textId="2EC2E87D" w:rsidR="00D63FE8" w:rsidRDefault="00D63FE8" w:rsidP="00D63FE8">
            <w:pPr>
              <w:spacing w:after="160" w:line="259" w:lineRule="auto"/>
            </w:pPr>
            <w:r w:rsidRPr="00135E76">
              <w:rPr>
                <w:kern w:val="2"/>
                <w14:ligatures w14:val="standardContextual"/>
              </w:rPr>
              <w:t>DFAT agrees that TongaHealth requires additional technical public health capacity</w:t>
            </w:r>
            <w:r w:rsidR="003E4BE3">
              <w:rPr>
                <w:kern w:val="2"/>
                <w14:ligatures w14:val="standardContextual"/>
              </w:rPr>
              <w:t xml:space="preserve">. We will continue to </w:t>
            </w:r>
            <w:r w:rsidR="003E4BE3">
              <w:t xml:space="preserve">discuss pathways </w:t>
            </w:r>
            <w:r w:rsidR="00CA40A9">
              <w:t>with</w:t>
            </w:r>
            <w:r w:rsidR="003E4BE3">
              <w:t xml:space="preserve"> TongaHealth to address these capacity gaps, </w:t>
            </w:r>
            <w:r w:rsidRPr="00135E76">
              <w:rPr>
                <w:kern w:val="2"/>
                <w14:ligatures w14:val="standardContextual"/>
              </w:rPr>
              <w:t xml:space="preserve">however DFAT will not </w:t>
            </w:r>
            <w:r>
              <w:t>fund</w:t>
            </w:r>
            <w:r w:rsidRPr="00135E76">
              <w:rPr>
                <w:kern w:val="2"/>
                <w14:ligatures w14:val="standardContextual"/>
              </w:rPr>
              <w:t xml:space="preserve"> additional resources to implement this recommendation</w:t>
            </w:r>
            <w:r>
              <w:t xml:space="preserve">. </w:t>
            </w:r>
          </w:p>
          <w:p w14:paraId="64FB54F0" w14:textId="65DEFAB4" w:rsidR="00D63FE8" w:rsidRPr="00F04618" w:rsidRDefault="00D63FE8" w:rsidP="00D63FE8">
            <w:pPr>
              <w:spacing w:line="276" w:lineRule="auto"/>
              <w:rPr>
                <w:rStyle w:val="normaltextrun"/>
                <w:rFonts w:ascii="Calibri" w:hAnsi="Calibri" w:cs="Calibri"/>
                <w:shd w:val="clear" w:color="auto" w:fill="FFFFFF"/>
                <w:lang w:val="en-GB"/>
              </w:rPr>
            </w:pPr>
            <w:r w:rsidRPr="00F04618">
              <w:rPr>
                <w:i/>
                <w:iCs/>
                <w:kern w:val="2"/>
                <w14:ligatures w14:val="standardContextual"/>
              </w:rPr>
              <w:t>Comment</w:t>
            </w:r>
            <w:r>
              <w:rPr>
                <w:i/>
                <w:iCs/>
                <w:kern w:val="2"/>
                <w14:ligatures w14:val="standardContextual"/>
              </w:rPr>
              <w:t xml:space="preserve">: The DFAT grant arrangement included technical resources to address TongaHealth capacity gaps, however </w:t>
            </w:r>
            <w:r w:rsidR="0079167D">
              <w:rPr>
                <w:i/>
                <w:iCs/>
                <w:kern w:val="2"/>
                <w14:ligatures w14:val="standardContextual"/>
              </w:rPr>
              <w:t>extending this</w:t>
            </w:r>
            <w:r>
              <w:rPr>
                <w:i/>
                <w:iCs/>
                <w:kern w:val="2"/>
                <w14:ligatures w14:val="standardContextual"/>
              </w:rPr>
              <w:t xml:space="preserve"> investment is not considered good value for money at this time. </w:t>
            </w:r>
          </w:p>
        </w:tc>
        <w:tc>
          <w:tcPr>
            <w:tcW w:w="1551" w:type="dxa"/>
          </w:tcPr>
          <w:p w14:paraId="18F65B79" w14:textId="26F9A318" w:rsidR="00D63FE8" w:rsidRPr="00135E76" w:rsidRDefault="00D63FE8" w:rsidP="00D63FE8">
            <w:pPr>
              <w:spacing w:line="276" w:lineRule="auto"/>
            </w:pPr>
            <w:r>
              <w:t>N/A</w:t>
            </w:r>
          </w:p>
        </w:tc>
      </w:tr>
      <w:tr w:rsidR="00D63FE8" w:rsidRPr="00135E76" w14:paraId="1221FE4F" w14:textId="77777777" w:rsidTr="002050D4">
        <w:trPr>
          <w:trHeight w:val="300"/>
        </w:trPr>
        <w:tc>
          <w:tcPr>
            <w:tcW w:w="5954" w:type="dxa"/>
          </w:tcPr>
          <w:p w14:paraId="62A06EA7" w14:textId="7B6A2CF5" w:rsidR="00D63FE8" w:rsidRPr="00135E76" w:rsidRDefault="00D63FE8" w:rsidP="00D63FE8">
            <w:pPr>
              <w:pStyle w:val="ListParagraph"/>
              <w:numPr>
                <w:ilvl w:val="0"/>
                <w:numId w:val="3"/>
              </w:numPr>
              <w:spacing w:line="276" w:lineRule="auto"/>
            </w:pPr>
            <w:r w:rsidRPr="00135E76">
              <w:t xml:space="preserve">TongaHealth should seek to strengthen partnership and communication with MoH, particularly the HPU. </w:t>
            </w:r>
          </w:p>
        </w:tc>
        <w:tc>
          <w:tcPr>
            <w:tcW w:w="1276" w:type="dxa"/>
            <w:shd w:val="clear" w:color="auto" w:fill="C5E0B3" w:themeFill="accent6" w:themeFillTint="66"/>
          </w:tcPr>
          <w:p w14:paraId="3FC1EA5E" w14:textId="334BB980" w:rsidR="00D63FE8" w:rsidRPr="00135E76" w:rsidRDefault="00D63FE8" w:rsidP="00D63FE8">
            <w:pPr>
              <w:spacing w:line="276" w:lineRule="auto"/>
            </w:pPr>
            <w:r w:rsidRPr="00135E76">
              <w:rPr>
                <w:kern w:val="2"/>
                <w14:ligatures w14:val="standardContextual"/>
              </w:rPr>
              <w:t>Agree</w:t>
            </w:r>
          </w:p>
        </w:tc>
        <w:tc>
          <w:tcPr>
            <w:tcW w:w="5820" w:type="dxa"/>
          </w:tcPr>
          <w:p w14:paraId="0D48DFA2" w14:textId="7B183F22" w:rsidR="00D63FE8" w:rsidRPr="00F04618" w:rsidRDefault="00D63FE8" w:rsidP="00D63FE8">
            <w:pPr>
              <w:spacing w:line="276" w:lineRule="auto"/>
              <w:rPr>
                <w:rStyle w:val="normaltextrun"/>
                <w:rFonts w:ascii="Calibri" w:hAnsi="Calibri" w:cs="Calibri"/>
                <w:shd w:val="clear" w:color="auto" w:fill="FFFFFF"/>
                <w:lang w:val="en-GB"/>
              </w:rPr>
            </w:pPr>
            <w:r w:rsidRPr="00F04618">
              <w:rPr>
                <w:rStyle w:val="normaltextrun"/>
                <w:rFonts w:ascii="Calibri" w:hAnsi="Calibri" w:cs="Calibri"/>
                <w:shd w:val="clear" w:color="auto" w:fill="FFFFFF"/>
                <w:lang w:val="en-GB"/>
              </w:rPr>
              <w:t xml:space="preserve">DFAT agrees with this recommendation and will use existing, short-term technical assistance to support TongaHealth to </w:t>
            </w:r>
            <w:r w:rsidRPr="00F04618">
              <w:rPr>
                <w:rStyle w:val="normaltextrun"/>
                <w:rFonts w:ascii="Calibri" w:hAnsi="Calibri" w:cs="Calibri"/>
                <w:shd w:val="clear" w:color="auto" w:fill="FFFFFF"/>
                <w:lang w:val="en-GB"/>
              </w:rPr>
              <w:lastRenderedPageBreak/>
              <w:t xml:space="preserve">develop and map a practical forward workplan extending to June 2025, including </w:t>
            </w:r>
            <w:r w:rsidRPr="6B132D3F">
              <w:rPr>
                <w:rStyle w:val="normaltextrun"/>
                <w:rFonts w:ascii="Calibri" w:hAnsi="Calibri" w:cs="Calibri"/>
                <w:lang w:val="en-GB"/>
              </w:rPr>
              <w:t>engagement</w:t>
            </w:r>
            <w:r w:rsidRPr="00F04618">
              <w:rPr>
                <w:rStyle w:val="normaltextrun"/>
                <w:rFonts w:ascii="Calibri" w:hAnsi="Calibri" w:cs="Calibri"/>
                <w:shd w:val="clear" w:color="auto" w:fill="FFFFFF"/>
                <w:lang w:val="en-GB"/>
              </w:rPr>
              <w:t xml:space="preserve"> with MoH. </w:t>
            </w:r>
            <w:r>
              <w:rPr>
                <w:rStyle w:val="normaltextrun"/>
                <w:rFonts w:ascii="Calibri" w:hAnsi="Calibri" w:cs="Calibri"/>
                <w:shd w:val="clear" w:color="auto" w:fill="FFFFFF"/>
                <w:lang w:val="en-GB"/>
              </w:rPr>
              <w:t xml:space="preserve"> </w:t>
            </w:r>
          </w:p>
        </w:tc>
        <w:tc>
          <w:tcPr>
            <w:tcW w:w="1551" w:type="dxa"/>
          </w:tcPr>
          <w:p w14:paraId="3FB80844" w14:textId="6C3B012C" w:rsidR="00D63FE8" w:rsidRPr="00135E76" w:rsidRDefault="00D63FE8" w:rsidP="00D63FE8">
            <w:pPr>
              <w:spacing w:line="276" w:lineRule="auto"/>
            </w:pPr>
            <w:r w:rsidRPr="00135E76">
              <w:rPr>
                <w:kern w:val="2"/>
                <w14:ligatures w14:val="standardContextual"/>
              </w:rPr>
              <w:lastRenderedPageBreak/>
              <w:t>July 2024 – June 2025</w:t>
            </w:r>
          </w:p>
        </w:tc>
      </w:tr>
      <w:tr w:rsidR="005B103D" w:rsidRPr="00135E76" w14:paraId="1DE415FF" w14:textId="77777777" w:rsidTr="002050D4">
        <w:trPr>
          <w:trHeight w:val="300"/>
        </w:trPr>
        <w:tc>
          <w:tcPr>
            <w:tcW w:w="5954" w:type="dxa"/>
          </w:tcPr>
          <w:p w14:paraId="3A40AF92" w14:textId="6F689F91" w:rsidR="00F42EB1" w:rsidRPr="00135E76" w:rsidRDefault="00F42EB1" w:rsidP="00287DA7">
            <w:pPr>
              <w:pStyle w:val="ListParagraph"/>
              <w:numPr>
                <w:ilvl w:val="0"/>
                <w:numId w:val="3"/>
              </w:numPr>
              <w:spacing w:line="276" w:lineRule="auto"/>
            </w:pPr>
            <w:r w:rsidRPr="00135E76">
              <w:t>TongaHealth should lead on identifying an alternative governance mechanism for NCDs.</w:t>
            </w:r>
          </w:p>
        </w:tc>
        <w:tc>
          <w:tcPr>
            <w:tcW w:w="1276" w:type="dxa"/>
            <w:shd w:val="clear" w:color="auto" w:fill="F4B083" w:themeFill="accent2" w:themeFillTint="99"/>
          </w:tcPr>
          <w:p w14:paraId="5E9C33FD" w14:textId="626C2A3C" w:rsidR="00F42EB1" w:rsidRPr="00135E76" w:rsidRDefault="00841A83" w:rsidP="00DE742D">
            <w:pPr>
              <w:spacing w:line="276" w:lineRule="auto"/>
              <w:rPr>
                <w:kern w:val="2"/>
                <w14:ligatures w14:val="standardContextual"/>
              </w:rPr>
            </w:pPr>
            <w:r w:rsidRPr="00135E76">
              <w:rPr>
                <w:kern w:val="2"/>
                <w14:ligatures w14:val="standardContextual"/>
              </w:rPr>
              <w:t>Disagree</w:t>
            </w:r>
          </w:p>
        </w:tc>
        <w:tc>
          <w:tcPr>
            <w:tcW w:w="5820" w:type="dxa"/>
          </w:tcPr>
          <w:p w14:paraId="70CFFE4A" w14:textId="41C1F755" w:rsidR="00F42EB1" w:rsidRPr="00135E76" w:rsidRDefault="00836817" w:rsidP="00DE742D">
            <w:pPr>
              <w:spacing w:line="276" w:lineRule="auto"/>
              <w:rPr>
                <w:kern w:val="2"/>
                <w14:ligatures w14:val="standardContextual"/>
              </w:rPr>
            </w:pPr>
            <w:r>
              <w:rPr>
                <w:kern w:val="2"/>
                <w14:ligatures w14:val="standardContextual"/>
              </w:rPr>
              <w:t xml:space="preserve">DFAT does not agree with this recommendation. </w:t>
            </w:r>
            <w:r w:rsidR="00F42EB1" w:rsidRPr="00135E76">
              <w:rPr>
                <w:kern w:val="2"/>
                <w14:ligatures w14:val="standardContextual"/>
              </w:rPr>
              <w:t xml:space="preserve">TongaHealth, as the responsible organisation for delivering the National NCD Strategy, should drive </w:t>
            </w:r>
            <w:r w:rsidR="00F47FC5" w:rsidRPr="00135E76">
              <w:rPr>
                <w:kern w:val="2"/>
                <w14:ligatures w14:val="standardContextual"/>
              </w:rPr>
              <w:t>the existing National NCD</w:t>
            </w:r>
            <w:r w:rsidR="00F42EB1" w:rsidRPr="00135E76">
              <w:rPr>
                <w:kern w:val="2"/>
                <w14:ligatures w14:val="standardContextual"/>
              </w:rPr>
              <w:t xml:space="preserve"> Committee to sit regularly. </w:t>
            </w:r>
          </w:p>
          <w:p w14:paraId="29835F0E" w14:textId="7DF68520" w:rsidR="00F42EB1" w:rsidRPr="00F04618" w:rsidRDefault="00F42EB1" w:rsidP="00DE742D">
            <w:pPr>
              <w:spacing w:line="276" w:lineRule="auto"/>
              <w:rPr>
                <w:i/>
                <w:iCs/>
                <w:kern w:val="2"/>
                <w14:ligatures w14:val="standardContextual"/>
              </w:rPr>
            </w:pPr>
            <w:r w:rsidRPr="00135E76">
              <w:rPr>
                <w:kern w:val="2"/>
                <w14:ligatures w14:val="standardContextual"/>
              </w:rPr>
              <w:br/>
            </w:r>
            <w:r w:rsidRPr="00F04618">
              <w:rPr>
                <w:i/>
                <w:iCs/>
                <w:kern w:val="2"/>
                <w14:ligatures w14:val="standardContextual"/>
              </w:rPr>
              <w:t>Comment: DFAT understands the current governance mechanism has been ineffective, however establishing a new mechanism will duplicate efforts and is unlikely to deliver results.</w:t>
            </w:r>
          </w:p>
        </w:tc>
        <w:tc>
          <w:tcPr>
            <w:tcW w:w="1551" w:type="dxa"/>
          </w:tcPr>
          <w:p w14:paraId="2FE27660" w14:textId="30E94FAB" w:rsidR="00F42EB1" w:rsidRPr="00135E76" w:rsidRDefault="00F47FC5" w:rsidP="00DE742D">
            <w:pPr>
              <w:spacing w:line="276" w:lineRule="auto"/>
              <w:rPr>
                <w:kern w:val="2"/>
                <w14:ligatures w14:val="standardContextual"/>
              </w:rPr>
            </w:pPr>
            <w:r w:rsidRPr="00135E76">
              <w:rPr>
                <w:kern w:val="2"/>
                <w14:ligatures w14:val="standardContextual"/>
              </w:rPr>
              <w:t>N/A</w:t>
            </w:r>
          </w:p>
        </w:tc>
      </w:tr>
      <w:tr w:rsidR="00AE2C77" w:rsidRPr="00135E76" w14:paraId="5B5E9D51" w14:textId="77777777" w:rsidTr="002050D4">
        <w:trPr>
          <w:trHeight w:val="300"/>
        </w:trPr>
        <w:tc>
          <w:tcPr>
            <w:tcW w:w="5954" w:type="dxa"/>
          </w:tcPr>
          <w:p w14:paraId="522C984D" w14:textId="69C466E6" w:rsidR="00AE2C77" w:rsidRPr="00135E76" w:rsidRDefault="00AE2C77" w:rsidP="00AE2C77">
            <w:pPr>
              <w:pStyle w:val="ListParagraph"/>
              <w:numPr>
                <w:ilvl w:val="0"/>
                <w:numId w:val="3"/>
              </w:numPr>
              <w:spacing w:line="276" w:lineRule="auto"/>
            </w:pPr>
            <w:r w:rsidRPr="00135E76">
              <w:t>TongaHealth should reduce its grant administration workload, for example by simplifying grant application processes, introducing an annual grant management cycle, and reducing the overall number of grants.</w:t>
            </w:r>
          </w:p>
        </w:tc>
        <w:tc>
          <w:tcPr>
            <w:tcW w:w="1276" w:type="dxa"/>
            <w:shd w:val="clear" w:color="auto" w:fill="C5E0B3" w:themeFill="accent6" w:themeFillTint="66"/>
          </w:tcPr>
          <w:p w14:paraId="13DB9273" w14:textId="77777777" w:rsidR="00AE2C77" w:rsidRPr="00135E76" w:rsidRDefault="00AE2C77" w:rsidP="00AE2C77">
            <w:pPr>
              <w:spacing w:line="276" w:lineRule="auto"/>
              <w:rPr>
                <w:kern w:val="2"/>
                <w14:ligatures w14:val="standardContextual"/>
              </w:rPr>
            </w:pPr>
            <w:r w:rsidRPr="00135E76">
              <w:rPr>
                <w:kern w:val="2"/>
                <w14:ligatures w14:val="standardContextual"/>
              </w:rPr>
              <w:t>Agree</w:t>
            </w:r>
          </w:p>
        </w:tc>
        <w:tc>
          <w:tcPr>
            <w:tcW w:w="5820" w:type="dxa"/>
          </w:tcPr>
          <w:p w14:paraId="698DFC66" w14:textId="6C48E8CE" w:rsidR="00AE2C77" w:rsidRPr="00135E76" w:rsidRDefault="00AE2C77" w:rsidP="00AE2C77">
            <w:pPr>
              <w:spacing w:line="276" w:lineRule="auto"/>
              <w:rPr>
                <w:rStyle w:val="normaltextrun"/>
                <w:rFonts w:ascii="Calibri" w:hAnsi="Calibri" w:cs="Calibri"/>
                <w:kern w:val="2"/>
                <w:lang w:val="en-GB"/>
                <w14:ligatures w14:val="standardContextual"/>
              </w:rPr>
            </w:pPr>
            <w:r w:rsidRPr="00B8752A">
              <w:rPr>
                <w:rStyle w:val="normaltextrun"/>
                <w:rFonts w:ascii="Calibri" w:hAnsi="Calibri" w:cs="Calibri"/>
                <w:shd w:val="clear" w:color="auto" w:fill="FFFFFF"/>
                <w:lang w:val="en-GB"/>
              </w:rPr>
              <w:t xml:space="preserve">DFAT agrees </w:t>
            </w:r>
            <w:r w:rsidR="42282B90" w:rsidRPr="6B132D3F">
              <w:rPr>
                <w:rStyle w:val="normaltextrun"/>
                <w:rFonts w:ascii="Calibri" w:hAnsi="Calibri" w:cs="Calibri"/>
                <w:lang w:val="en-GB"/>
              </w:rPr>
              <w:t>with</w:t>
            </w:r>
            <w:r w:rsidRPr="00B8752A">
              <w:rPr>
                <w:rStyle w:val="normaltextrun"/>
                <w:rFonts w:ascii="Calibri" w:hAnsi="Calibri" w:cs="Calibri"/>
                <w:shd w:val="clear" w:color="auto" w:fill="FFFFFF"/>
                <w:lang w:val="en-GB"/>
              </w:rPr>
              <w:t xml:space="preserve"> this recommendation and will use existing, short-term technical assistance to support TongaHealth to develop and map a practical forward workplan extending to June 2025</w:t>
            </w:r>
            <w:r w:rsidR="466A72BA" w:rsidRPr="00B8752A">
              <w:rPr>
                <w:rStyle w:val="normaltextrun"/>
                <w:rFonts w:ascii="Calibri" w:hAnsi="Calibri" w:cs="Calibri"/>
                <w:shd w:val="clear" w:color="auto" w:fill="FFFFFF"/>
                <w:lang w:val="en-GB"/>
              </w:rPr>
              <w:t xml:space="preserve">, including simplifying grant management. </w:t>
            </w:r>
          </w:p>
        </w:tc>
        <w:tc>
          <w:tcPr>
            <w:tcW w:w="1551" w:type="dxa"/>
          </w:tcPr>
          <w:p w14:paraId="0718BEDB" w14:textId="18EDE56E" w:rsidR="00AE2C77" w:rsidRPr="00135E76" w:rsidRDefault="00AE2C77" w:rsidP="00AE2C77">
            <w:pPr>
              <w:spacing w:line="276" w:lineRule="auto"/>
              <w:rPr>
                <w:kern w:val="2"/>
                <w14:ligatures w14:val="standardContextual"/>
              </w:rPr>
            </w:pPr>
            <w:r w:rsidRPr="007F69C3">
              <w:rPr>
                <w:kern w:val="2"/>
                <w14:ligatures w14:val="standardContextual"/>
              </w:rPr>
              <w:t>July 2024 – June 2025</w:t>
            </w:r>
          </w:p>
        </w:tc>
      </w:tr>
      <w:tr w:rsidR="00AE2C77" w:rsidRPr="00135E76" w14:paraId="2C930D82" w14:textId="77777777" w:rsidTr="002050D4">
        <w:trPr>
          <w:trHeight w:val="300"/>
        </w:trPr>
        <w:tc>
          <w:tcPr>
            <w:tcW w:w="5954" w:type="dxa"/>
          </w:tcPr>
          <w:p w14:paraId="57C60A62" w14:textId="692CCA52" w:rsidR="00AE2C77" w:rsidRPr="00135E76" w:rsidRDefault="00AE2C77" w:rsidP="00AE2C77">
            <w:pPr>
              <w:pStyle w:val="ListParagraph"/>
              <w:numPr>
                <w:ilvl w:val="0"/>
                <w:numId w:val="3"/>
              </w:numPr>
              <w:spacing w:line="276" w:lineRule="auto"/>
            </w:pPr>
            <w:r w:rsidRPr="00135E76">
              <w:t>TongaHealth should revise the grant selection process to ensure grants are allocated to projects that are evidence-based, have a population-level focus, and cover a broader range of NCD risk factors.</w:t>
            </w:r>
          </w:p>
        </w:tc>
        <w:tc>
          <w:tcPr>
            <w:tcW w:w="1276" w:type="dxa"/>
            <w:shd w:val="clear" w:color="auto" w:fill="C5E0B3" w:themeFill="accent6" w:themeFillTint="66"/>
          </w:tcPr>
          <w:p w14:paraId="63894943" w14:textId="77777777" w:rsidR="00AE2C77" w:rsidRPr="00135E76" w:rsidRDefault="00AE2C77" w:rsidP="00AE2C77">
            <w:pPr>
              <w:spacing w:line="276" w:lineRule="auto"/>
              <w:rPr>
                <w:kern w:val="2"/>
                <w14:ligatures w14:val="standardContextual"/>
              </w:rPr>
            </w:pPr>
            <w:r w:rsidRPr="00135E76">
              <w:rPr>
                <w:kern w:val="2"/>
                <w14:ligatures w14:val="standardContextual"/>
              </w:rPr>
              <w:t>Agree</w:t>
            </w:r>
          </w:p>
        </w:tc>
        <w:tc>
          <w:tcPr>
            <w:tcW w:w="5820" w:type="dxa"/>
          </w:tcPr>
          <w:p w14:paraId="24CC6C41" w14:textId="44182B16" w:rsidR="00AE2C77" w:rsidRPr="00135E76" w:rsidRDefault="00AE2C77" w:rsidP="00AE2C77">
            <w:pPr>
              <w:spacing w:line="276" w:lineRule="auto"/>
              <w:rPr>
                <w:rStyle w:val="normaltextrun"/>
                <w:rFonts w:ascii="Calibri" w:hAnsi="Calibri" w:cs="Calibri"/>
                <w:kern w:val="2"/>
                <w:lang w:val="en-GB"/>
                <w14:ligatures w14:val="standardContextual"/>
              </w:rPr>
            </w:pPr>
            <w:r w:rsidRPr="00B8752A">
              <w:rPr>
                <w:rStyle w:val="normaltextrun"/>
                <w:rFonts w:ascii="Calibri" w:hAnsi="Calibri" w:cs="Calibri"/>
                <w:shd w:val="clear" w:color="auto" w:fill="FFFFFF"/>
                <w:lang w:val="en-GB"/>
              </w:rPr>
              <w:t>DFAT agrees to this recommendation and will use existing, short-term technical assistance to support TongaHealth to develop and map a practical forward workplan extending to June 2025</w:t>
            </w:r>
            <w:r w:rsidR="4A909D2B" w:rsidRPr="6B132D3F">
              <w:rPr>
                <w:rStyle w:val="normaltextrun"/>
                <w:rFonts w:ascii="Calibri" w:hAnsi="Calibri" w:cs="Calibri"/>
                <w:lang w:val="en-GB"/>
              </w:rPr>
              <w:t xml:space="preserve">, including improving targeting of grants. </w:t>
            </w:r>
          </w:p>
        </w:tc>
        <w:tc>
          <w:tcPr>
            <w:tcW w:w="1551" w:type="dxa"/>
          </w:tcPr>
          <w:p w14:paraId="5161B614" w14:textId="5D59EE84" w:rsidR="00AE2C77" w:rsidRPr="00135E76" w:rsidRDefault="00AE2C77" w:rsidP="00AE2C77">
            <w:pPr>
              <w:spacing w:line="276" w:lineRule="auto"/>
              <w:rPr>
                <w:kern w:val="2"/>
                <w14:ligatures w14:val="standardContextual"/>
              </w:rPr>
            </w:pPr>
            <w:r w:rsidRPr="007F69C3">
              <w:rPr>
                <w:kern w:val="2"/>
                <w14:ligatures w14:val="standardContextual"/>
              </w:rPr>
              <w:t>July 2024 – June 2025</w:t>
            </w:r>
          </w:p>
        </w:tc>
      </w:tr>
      <w:tr w:rsidR="005B103D" w:rsidRPr="00135E76" w14:paraId="6DACB206" w14:textId="77777777" w:rsidTr="002050D4">
        <w:trPr>
          <w:trHeight w:val="300"/>
        </w:trPr>
        <w:tc>
          <w:tcPr>
            <w:tcW w:w="5954" w:type="dxa"/>
          </w:tcPr>
          <w:p w14:paraId="207A11D0" w14:textId="7BCDD4CB" w:rsidR="00F42EB1" w:rsidRPr="00135E76" w:rsidRDefault="00F42EB1" w:rsidP="00287DA7">
            <w:pPr>
              <w:pStyle w:val="ListParagraph"/>
              <w:numPr>
                <w:ilvl w:val="0"/>
                <w:numId w:val="3"/>
              </w:numPr>
              <w:spacing w:line="276" w:lineRule="auto"/>
            </w:pPr>
            <w:r w:rsidRPr="00135E76">
              <w:t xml:space="preserve">TongaHealth should transition away from a near-exclusive focus on grant </w:t>
            </w:r>
            <w:proofErr w:type="gramStart"/>
            <w:r w:rsidRPr="00135E76">
              <w:t>administration, and</w:t>
            </w:r>
            <w:proofErr w:type="gramEnd"/>
            <w:r w:rsidRPr="00135E76">
              <w:t xml:space="preserve"> reorient toward delivering other functions and activities mandated in the NCD Strategy. This should particularly involve TongaHealth positioning itself as a convenor and facilitator of multisectoral dialogue and collaboration to progress priority activities.</w:t>
            </w:r>
          </w:p>
        </w:tc>
        <w:tc>
          <w:tcPr>
            <w:tcW w:w="1276" w:type="dxa"/>
            <w:shd w:val="clear" w:color="auto" w:fill="FFF2CC" w:themeFill="accent4" w:themeFillTint="33"/>
          </w:tcPr>
          <w:p w14:paraId="060A2D63" w14:textId="38F79E74" w:rsidR="00F42EB1" w:rsidRPr="00135E76" w:rsidRDefault="00F42EB1" w:rsidP="00DE742D">
            <w:pPr>
              <w:spacing w:line="276" w:lineRule="auto"/>
              <w:rPr>
                <w:kern w:val="2"/>
                <w14:ligatures w14:val="standardContextual"/>
              </w:rPr>
            </w:pPr>
            <w:r w:rsidRPr="00135E76">
              <w:rPr>
                <w:kern w:val="2"/>
                <w14:ligatures w14:val="standardContextual"/>
              </w:rPr>
              <w:t>Agree in principle</w:t>
            </w:r>
          </w:p>
        </w:tc>
        <w:tc>
          <w:tcPr>
            <w:tcW w:w="5820" w:type="dxa"/>
          </w:tcPr>
          <w:p w14:paraId="1464FE73" w14:textId="2F3AF1FE" w:rsidR="00F42EB1" w:rsidRDefault="00287DA7" w:rsidP="00DE742D">
            <w:pPr>
              <w:spacing w:line="276" w:lineRule="auto"/>
            </w:pPr>
            <w:r w:rsidRPr="00135E76">
              <w:rPr>
                <w:kern w:val="2"/>
                <w14:ligatures w14:val="standardContextual"/>
              </w:rPr>
              <w:t xml:space="preserve">DFAT agrees </w:t>
            </w:r>
            <w:r w:rsidR="2DDD04F7">
              <w:t xml:space="preserve">that TongaHealth should reorientate its functions and activities to </w:t>
            </w:r>
            <w:r w:rsidR="7CCFBD97">
              <w:t xml:space="preserve">better </w:t>
            </w:r>
            <w:r w:rsidR="2DDD04F7">
              <w:t xml:space="preserve">align </w:t>
            </w:r>
            <w:r w:rsidR="7565DB1D">
              <w:t>wit</w:t>
            </w:r>
            <w:r w:rsidR="2DDD04F7">
              <w:t xml:space="preserve">h the NCD strategy and will continue to encourage TongaHealth to </w:t>
            </w:r>
            <w:r w:rsidR="07F49208">
              <w:t xml:space="preserve">consider steps towards this. </w:t>
            </w:r>
          </w:p>
          <w:p w14:paraId="7A44DBAA" w14:textId="77777777" w:rsidR="000B69BA" w:rsidRDefault="000B69BA" w:rsidP="00DE742D">
            <w:pPr>
              <w:spacing w:line="276" w:lineRule="auto"/>
            </w:pPr>
          </w:p>
          <w:p w14:paraId="4F7BD3C1" w14:textId="57A5BC34" w:rsidR="000B69BA" w:rsidRPr="00135E76" w:rsidRDefault="000B69BA" w:rsidP="00DE742D">
            <w:pPr>
              <w:spacing w:line="276" w:lineRule="auto"/>
              <w:rPr>
                <w:kern w:val="2"/>
                <w14:ligatures w14:val="standardContextual"/>
              </w:rPr>
            </w:pPr>
            <w:r w:rsidRPr="00F04618">
              <w:rPr>
                <w:i/>
                <w:iCs/>
                <w:kern w:val="2"/>
                <w14:ligatures w14:val="standardContextual"/>
              </w:rPr>
              <w:t xml:space="preserve">Comment: DFAT understands </w:t>
            </w:r>
            <w:r w:rsidR="007E0E02">
              <w:rPr>
                <w:i/>
                <w:iCs/>
                <w:kern w:val="2"/>
                <w14:ligatures w14:val="standardContextual"/>
              </w:rPr>
              <w:t>a</w:t>
            </w:r>
            <w:r w:rsidR="007E0E02">
              <w:rPr>
                <w:i/>
                <w:iCs/>
              </w:rPr>
              <w:t xml:space="preserve"> similar recommendation was made during the last phase of Tonga Health Sector Support and little progress has been made</w:t>
            </w:r>
            <w:r w:rsidRPr="00F04618">
              <w:rPr>
                <w:i/>
                <w:iCs/>
                <w:kern w:val="2"/>
                <w14:ligatures w14:val="standardContextual"/>
              </w:rPr>
              <w:t>.</w:t>
            </w:r>
          </w:p>
        </w:tc>
        <w:tc>
          <w:tcPr>
            <w:tcW w:w="1551" w:type="dxa"/>
          </w:tcPr>
          <w:p w14:paraId="5C777412" w14:textId="03626595" w:rsidR="00F42EB1" w:rsidRPr="00135E76" w:rsidRDefault="646CFB34" w:rsidP="00DE742D">
            <w:pPr>
              <w:spacing w:line="276" w:lineRule="auto"/>
            </w:pPr>
            <w:r>
              <w:t>N/A</w:t>
            </w:r>
          </w:p>
        </w:tc>
      </w:tr>
      <w:tr w:rsidR="005B103D" w:rsidRPr="00135E76" w14:paraId="737A3ABF" w14:textId="77777777" w:rsidTr="002050D4">
        <w:trPr>
          <w:trHeight w:val="300"/>
        </w:trPr>
        <w:tc>
          <w:tcPr>
            <w:tcW w:w="5954" w:type="dxa"/>
          </w:tcPr>
          <w:p w14:paraId="15368811" w14:textId="1E54900A" w:rsidR="00F42EB1" w:rsidRPr="00135E76" w:rsidRDefault="00F42EB1" w:rsidP="00287DA7">
            <w:pPr>
              <w:pStyle w:val="ListParagraph"/>
              <w:numPr>
                <w:ilvl w:val="0"/>
                <w:numId w:val="3"/>
              </w:numPr>
              <w:spacing w:line="276" w:lineRule="auto"/>
            </w:pPr>
            <w:r w:rsidRPr="00135E76">
              <w:t xml:space="preserve">TongaHealth should develop and implement a strategic approach to supporting stakeholder engagement and collaboration. </w:t>
            </w:r>
          </w:p>
        </w:tc>
        <w:tc>
          <w:tcPr>
            <w:tcW w:w="1276" w:type="dxa"/>
            <w:shd w:val="clear" w:color="auto" w:fill="FFF2CC" w:themeFill="accent4" w:themeFillTint="33"/>
          </w:tcPr>
          <w:p w14:paraId="680EBFA0" w14:textId="0ED06FE7" w:rsidR="00F42EB1" w:rsidRPr="00135E76" w:rsidRDefault="00F42EB1" w:rsidP="00DE742D">
            <w:pPr>
              <w:spacing w:line="276" w:lineRule="auto"/>
              <w:rPr>
                <w:kern w:val="2"/>
                <w14:ligatures w14:val="standardContextual"/>
              </w:rPr>
            </w:pPr>
            <w:r w:rsidRPr="00135E76">
              <w:rPr>
                <w:kern w:val="2"/>
                <w14:ligatures w14:val="standardContextual"/>
              </w:rPr>
              <w:t>Agree in principle</w:t>
            </w:r>
          </w:p>
        </w:tc>
        <w:tc>
          <w:tcPr>
            <w:tcW w:w="5820" w:type="dxa"/>
          </w:tcPr>
          <w:p w14:paraId="18DA59F5" w14:textId="535AB13A" w:rsidR="00F42EB1" w:rsidRPr="00135E76" w:rsidRDefault="00287DA7" w:rsidP="00DE742D">
            <w:pPr>
              <w:spacing w:line="276" w:lineRule="auto"/>
            </w:pPr>
            <w:r w:rsidRPr="00135E76">
              <w:rPr>
                <w:kern w:val="2"/>
                <w14:ligatures w14:val="standardContextual"/>
              </w:rPr>
              <w:t>DFAT agrees with the recommendation and will consider ways</w:t>
            </w:r>
            <w:r>
              <w:rPr>
                <w:kern w:val="2"/>
                <w14:ligatures w14:val="standardContextual"/>
              </w:rPr>
              <w:t xml:space="preserve"> </w:t>
            </w:r>
            <w:r>
              <w:t>to</w:t>
            </w:r>
            <w:r w:rsidRPr="00135E76">
              <w:rPr>
                <w:kern w:val="2"/>
                <w14:ligatures w14:val="standardContextual"/>
              </w:rPr>
              <w:t xml:space="preserve"> support TongaHealth through existing or complementary programming. </w:t>
            </w:r>
          </w:p>
        </w:tc>
        <w:tc>
          <w:tcPr>
            <w:tcW w:w="1551" w:type="dxa"/>
          </w:tcPr>
          <w:p w14:paraId="0BB9D703" w14:textId="594DE7CB" w:rsidR="00F42EB1" w:rsidRPr="00135E76" w:rsidRDefault="39835CAC" w:rsidP="00DE742D">
            <w:pPr>
              <w:spacing w:line="276" w:lineRule="auto"/>
            </w:pPr>
            <w:r>
              <w:t>N/A</w:t>
            </w:r>
          </w:p>
        </w:tc>
      </w:tr>
      <w:tr w:rsidR="005B103D" w:rsidRPr="00135E76" w14:paraId="3631ABF6" w14:textId="77777777" w:rsidTr="002050D4">
        <w:trPr>
          <w:trHeight w:val="300"/>
        </w:trPr>
        <w:tc>
          <w:tcPr>
            <w:tcW w:w="5954" w:type="dxa"/>
          </w:tcPr>
          <w:p w14:paraId="332C951E" w14:textId="0273E172" w:rsidR="00F42EB1" w:rsidRPr="00135E76" w:rsidRDefault="00F42EB1" w:rsidP="00287DA7">
            <w:pPr>
              <w:pStyle w:val="ListParagraph"/>
              <w:numPr>
                <w:ilvl w:val="0"/>
                <w:numId w:val="3"/>
              </w:numPr>
              <w:spacing w:line="276" w:lineRule="auto"/>
            </w:pPr>
            <w:r w:rsidRPr="00135E76">
              <w:lastRenderedPageBreak/>
              <w:t xml:space="preserve">TongaHealth should strengthen its internal M&amp;E system, with a focus on generating evidence of TongaHealth’s progress against the NCD Strategy and Statement of Corporate Intent, generating evidence of outcome-level change </w:t>
            </w:r>
            <w:proofErr w:type="gramStart"/>
            <w:r w:rsidRPr="00135E76">
              <w:t>as a result of</w:t>
            </w:r>
            <w:proofErr w:type="gramEnd"/>
            <w:r w:rsidRPr="00135E76">
              <w:t xml:space="preserve"> grants, and producing timely and quality progress reports.</w:t>
            </w:r>
          </w:p>
        </w:tc>
        <w:tc>
          <w:tcPr>
            <w:tcW w:w="1276" w:type="dxa"/>
            <w:shd w:val="clear" w:color="auto" w:fill="C5E0B3" w:themeFill="accent6" w:themeFillTint="66"/>
          </w:tcPr>
          <w:p w14:paraId="506170BF" w14:textId="1245B4B5" w:rsidR="00F42EB1" w:rsidRPr="00135E76" w:rsidRDefault="00F42EB1" w:rsidP="00DE742D">
            <w:pPr>
              <w:spacing w:line="276" w:lineRule="auto"/>
              <w:rPr>
                <w:kern w:val="2"/>
                <w14:ligatures w14:val="standardContextual"/>
              </w:rPr>
            </w:pPr>
            <w:r w:rsidRPr="00135E76">
              <w:rPr>
                <w:kern w:val="2"/>
                <w14:ligatures w14:val="standardContextual"/>
              </w:rPr>
              <w:t xml:space="preserve">Agree </w:t>
            </w:r>
          </w:p>
        </w:tc>
        <w:tc>
          <w:tcPr>
            <w:tcW w:w="5820" w:type="dxa"/>
          </w:tcPr>
          <w:p w14:paraId="452F28DA" w14:textId="5953F147" w:rsidR="00F42EB1" w:rsidRPr="00135E76" w:rsidRDefault="00F42EB1" w:rsidP="00DE742D">
            <w:pPr>
              <w:spacing w:line="276" w:lineRule="auto"/>
            </w:pPr>
            <w:r w:rsidRPr="00135E76">
              <w:rPr>
                <w:kern w:val="2"/>
                <w14:ligatures w14:val="standardContextual"/>
              </w:rPr>
              <w:t>DFAT agrees with the recommendation and will seek to provide M&amp;E support</w:t>
            </w:r>
            <w:r w:rsidR="2EF71841" w:rsidRPr="00135E76">
              <w:rPr>
                <w:kern w:val="2"/>
                <w14:ligatures w14:val="standardContextual"/>
              </w:rPr>
              <w:t xml:space="preserve"> th</w:t>
            </w:r>
            <w:r w:rsidR="2EF71841">
              <w:t xml:space="preserve">rough to the end of the current grant agreement, through </w:t>
            </w:r>
            <w:r w:rsidR="3502E8BF">
              <w:t xml:space="preserve">the </w:t>
            </w:r>
            <w:r w:rsidR="00C2004D">
              <w:t>DFAT funded M&amp;E officer</w:t>
            </w:r>
            <w:r w:rsidR="1D64AFB5">
              <w:t xml:space="preserve"> </w:t>
            </w:r>
            <w:r w:rsidR="3972BAB2" w:rsidRPr="00135E76">
              <w:rPr>
                <w:kern w:val="2"/>
                <w14:ligatures w14:val="standardContextual"/>
              </w:rPr>
              <w:t>a</w:t>
            </w:r>
            <w:r w:rsidR="798493C8" w:rsidRPr="00135E76">
              <w:rPr>
                <w:kern w:val="2"/>
                <w14:ligatures w14:val="standardContextual"/>
              </w:rPr>
              <w:t xml:space="preserve">nd </w:t>
            </w:r>
            <w:r w:rsidR="3972BAB2" w:rsidRPr="00135E76">
              <w:rPr>
                <w:kern w:val="2"/>
                <w14:ligatures w14:val="standardContextual"/>
              </w:rPr>
              <w:t>the</w:t>
            </w:r>
            <w:r w:rsidRPr="00135E76">
              <w:rPr>
                <w:kern w:val="2"/>
                <w14:ligatures w14:val="standardContextual"/>
              </w:rPr>
              <w:t xml:space="preserve"> Tonga Australia Support Platform</w:t>
            </w:r>
            <w:r w:rsidR="31AAEBAD" w:rsidRPr="00135E76">
              <w:rPr>
                <w:kern w:val="2"/>
                <w14:ligatures w14:val="standardContextual"/>
              </w:rPr>
              <w:t>.</w:t>
            </w:r>
          </w:p>
        </w:tc>
        <w:tc>
          <w:tcPr>
            <w:tcW w:w="1551" w:type="dxa"/>
          </w:tcPr>
          <w:p w14:paraId="3D3F0864" w14:textId="01EF04A3" w:rsidR="00F42EB1" w:rsidRPr="00135E76" w:rsidRDefault="00841A83" w:rsidP="00DE742D">
            <w:pPr>
              <w:spacing w:line="276" w:lineRule="auto"/>
              <w:rPr>
                <w:kern w:val="2"/>
                <w14:ligatures w14:val="standardContextual"/>
              </w:rPr>
            </w:pPr>
            <w:r w:rsidRPr="00135E76">
              <w:rPr>
                <w:kern w:val="2"/>
                <w14:ligatures w14:val="standardContextual"/>
              </w:rPr>
              <w:t>July 2024 – June 2025</w:t>
            </w:r>
          </w:p>
        </w:tc>
      </w:tr>
      <w:tr w:rsidR="005B103D" w:rsidRPr="00135E76" w14:paraId="0439148D" w14:textId="77777777" w:rsidTr="002050D4">
        <w:trPr>
          <w:trHeight w:val="300"/>
        </w:trPr>
        <w:tc>
          <w:tcPr>
            <w:tcW w:w="5954" w:type="dxa"/>
          </w:tcPr>
          <w:p w14:paraId="2A9EC8B9" w14:textId="329C9481" w:rsidR="00F42EB1" w:rsidRPr="00135E76" w:rsidRDefault="00F42EB1" w:rsidP="00287DA7">
            <w:pPr>
              <w:pStyle w:val="ListParagraph"/>
              <w:numPr>
                <w:ilvl w:val="0"/>
                <w:numId w:val="3"/>
              </w:numPr>
              <w:spacing w:line="276" w:lineRule="auto"/>
            </w:pPr>
            <w:r w:rsidRPr="00135E76">
              <w:t xml:space="preserve">TongaHealth should adopt a stronger focus on GEDSI, including by building the capacity of the TongaHealth team, strengthening engagement of Organisations of People with Disabilities (OPDs) and other GEDSI-focussed organisations, and strengthening inclusiveness in grants. </w:t>
            </w:r>
          </w:p>
        </w:tc>
        <w:tc>
          <w:tcPr>
            <w:tcW w:w="1276" w:type="dxa"/>
            <w:shd w:val="clear" w:color="auto" w:fill="C5E0B3" w:themeFill="accent6" w:themeFillTint="66"/>
          </w:tcPr>
          <w:p w14:paraId="28871835" w14:textId="045C156D" w:rsidR="00F42EB1" w:rsidRPr="00135E76" w:rsidRDefault="00F42EB1" w:rsidP="00DE742D">
            <w:pPr>
              <w:spacing w:line="276" w:lineRule="auto"/>
              <w:rPr>
                <w:kern w:val="2"/>
                <w14:ligatures w14:val="standardContextual"/>
              </w:rPr>
            </w:pPr>
            <w:r w:rsidRPr="00135E76">
              <w:rPr>
                <w:kern w:val="2"/>
                <w14:ligatures w14:val="standardContextual"/>
              </w:rPr>
              <w:t>Agree</w:t>
            </w:r>
          </w:p>
        </w:tc>
        <w:tc>
          <w:tcPr>
            <w:tcW w:w="5820" w:type="dxa"/>
          </w:tcPr>
          <w:p w14:paraId="61B8692A" w14:textId="14026783" w:rsidR="00F42EB1" w:rsidRPr="00135E76" w:rsidRDefault="00287DA7" w:rsidP="00DE742D">
            <w:pPr>
              <w:spacing w:line="276" w:lineRule="auto"/>
              <w:rPr>
                <w:kern w:val="2"/>
                <w14:ligatures w14:val="standardContextual"/>
              </w:rPr>
            </w:pPr>
            <w:r w:rsidRPr="00135E76">
              <w:rPr>
                <w:kern w:val="2"/>
                <w14:ligatures w14:val="standardContextual"/>
              </w:rPr>
              <w:t>DFAT agrees with the recommendation and will consider ways</w:t>
            </w:r>
            <w:r>
              <w:rPr>
                <w:kern w:val="2"/>
                <w14:ligatures w14:val="standardContextual"/>
              </w:rPr>
              <w:t xml:space="preserve"> </w:t>
            </w:r>
            <w:r>
              <w:t>to</w:t>
            </w:r>
            <w:r w:rsidRPr="00135E76">
              <w:rPr>
                <w:kern w:val="2"/>
                <w14:ligatures w14:val="standardContextual"/>
              </w:rPr>
              <w:t xml:space="preserve"> support TongaHealth through existing or complementary programming</w:t>
            </w:r>
            <w:r w:rsidR="00C2004D">
              <w:rPr>
                <w:kern w:val="2"/>
                <w14:ligatures w14:val="standardContextual"/>
              </w:rPr>
              <w:t>, such as</w:t>
            </w:r>
            <w:r w:rsidR="00C2004D" w:rsidRPr="00135E76">
              <w:rPr>
                <w:kern w:val="2"/>
                <w14:ligatures w14:val="standardContextual"/>
              </w:rPr>
              <w:t xml:space="preserve"> through the</w:t>
            </w:r>
            <w:r w:rsidR="00C2004D">
              <w:rPr>
                <w:kern w:val="2"/>
                <w14:ligatures w14:val="standardContextual"/>
              </w:rPr>
              <w:t xml:space="preserve"> established</w:t>
            </w:r>
            <w:r w:rsidR="00C2004D" w:rsidRPr="00135E76">
              <w:rPr>
                <w:kern w:val="2"/>
                <w14:ligatures w14:val="standardContextual"/>
              </w:rPr>
              <w:t xml:space="preserve"> Tonga Australia Support Platform through to the end of the current agreement</w:t>
            </w:r>
            <w:r w:rsidR="00C2004D">
              <w:rPr>
                <w:kern w:val="2"/>
                <w14:ligatures w14:val="standardContextual"/>
              </w:rPr>
              <w:t xml:space="preserve">. This may include facilitating cross-learning </w:t>
            </w:r>
            <w:r w:rsidR="002D2C75">
              <w:rPr>
                <w:kern w:val="2"/>
                <w14:ligatures w14:val="standardContextual"/>
              </w:rPr>
              <w:t xml:space="preserve">with civil society </w:t>
            </w:r>
            <w:r w:rsidR="00347563">
              <w:rPr>
                <w:kern w:val="2"/>
                <w14:ligatures w14:val="standardContextual"/>
              </w:rPr>
              <w:t>and OPDs</w:t>
            </w:r>
            <w:r w:rsidR="0083564D">
              <w:rPr>
                <w:kern w:val="2"/>
                <w14:ligatures w14:val="standardContextual"/>
              </w:rPr>
              <w:t>.</w:t>
            </w:r>
          </w:p>
        </w:tc>
        <w:tc>
          <w:tcPr>
            <w:tcW w:w="1551" w:type="dxa"/>
          </w:tcPr>
          <w:p w14:paraId="7AA76E22" w14:textId="499188B4" w:rsidR="00F42EB1" w:rsidRPr="00135E76" w:rsidRDefault="00841A83" w:rsidP="00DE742D">
            <w:pPr>
              <w:spacing w:line="276" w:lineRule="auto"/>
              <w:rPr>
                <w:kern w:val="2"/>
                <w14:ligatures w14:val="standardContextual"/>
              </w:rPr>
            </w:pPr>
            <w:r w:rsidRPr="00135E76">
              <w:rPr>
                <w:kern w:val="2"/>
                <w14:ligatures w14:val="standardContextual"/>
              </w:rPr>
              <w:t>July 2024 – June 2025</w:t>
            </w:r>
          </w:p>
        </w:tc>
      </w:tr>
      <w:tr w:rsidR="005B103D" w:rsidRPr="00135E76" w14:paraId="6268366A" w14:textId="77777777" w:rsidTr="002050D4">
        <w:trPr>
          <w:trHeight w:val="300"/>
        </w:trPr>
        <w:tc>
          <w:tcPr>
            <w:tcW w:w="5954" w:type="dxa"/>
          </w:tcPr>
          <w:p w14:paraId="456A26FF" w14:textId="1ECF6FF2" w:rsidR="00F42EB1" w:rsidRPr="00135E76" w:rsidRDefault="00F42EB1" w:rsidP="00287DA7">
            <w:pPr>
              <w:pStyle w:val="ListParagraph"/>
              <w:numPr>
                <w:ilvl w:val="0"/>
                <w:numId w:val="3"/>
              </w:numPr>
              <w:spacing w:line="276" w:lineRule="auto"/>
            </w:pPr>
            <w:r w:rsidRPr="00135E76">
              <w:t>DFAT, as the major funder of TongaHealth, should provide stronger strategic oversight, and introduce stronger accountability for delivering against the NCD Strategy and Statement of Corporate Intent.</w:t>
            </w:r>
          </w:p>
        </w:tc>
        <w:tc>
          <w:tcPr>
            <w:tcW w:w="1276" w:type="dxa"/>
            <w:shd w:val="clear" w:color="auto" w:fill="FFF2CC" w:themeFill="accent4" w:themeFillTint="33"/>
          </w:tcPr>
          <w:p w14:paraId="1466D21E" w14:textId="534CFB16" w:rsidR="00F42EB1" w:rsidRPr="00135E76" w:rsidRDefault="00F42EB1" w:rsidP="00DE742D">
            <w:pPr>
              <w:spacing w:line="276" w:lineRule="auto"/>
              <w:rPr>
                <w:kern w:val="2"/>
                <w14:ligatures w14:val="standardContextual"/>
              </w:rPr>
            </w:pPr>
            <w:r w:rsidRPr="00135E76">
              <w:rPr>
                <w:kern w:val="2"/>
                <w14:ligatures w14:val="standardContextual"/>
              </w:rPr>
              <w:t>Agree in part.</w:t>
            </w:r>
          </w:p>
        </w:tc>
        <w:tc>
          <w:tcPr>
            <w:tcW w:w="5820" w:type="dxa"/>
          </w:tcPr>
          <w:p w14:paraId="187D0CB5" w14:textId="2178BA3D" w:rsidR="00F42EB1" w:rsidRPr="00135E76" w:rsidRDefault="00841A83" w:rsidP="00DE742D">
            <w:pPr>
              <w:spacing w:line="276" w:lineRule="auto"/>
              <w:rPr>
                <w:kern w:val="2"/>
                <w14:ligatures w14:val="standardContextual"/>
              </w:rPr>
            </w:pPr>
            <w:r w:rsidRPr="00135E76">
              <w:rPr>
                <w:kern w:val="2"/>
                <w14:ligatures w14:val="standardContextual"/>
              </w:rPr>
              <w:t xml:space="preserve">DFAT agrees that closer oversight is required </w:t>
            </w:r>
            <w:r w:rsidR="00836791">
              <w:rPr>
                <w:kern w:val="2"/>
                <w14:ligatures w14:val="standardContextual"/>
              </w:rPr>
              <w:t xml:space="preserve">over the remaining </w:t>
            </w:r>
            <w:r w:rsidR="6465CF1E">
              <w:rPr>
                <w:kern w:val="2"/>
                <w14:ligatures w14:val="standardContextual"/>
              </w:rPr>
              <w:t>grant</w:t>
            </w:r>
            <w:r w:rsidR="00836791">
              <w:rPr>
                <w:kern w:val="2"/>
                <w14:ligatures w14:val="standardContextual"/>
              </w:rPr>
              <w:t xml:space="preserve"> period</w:t>
            </w:r>
            <w:r w:rsidR="005D649F">
              <w:rPr>
                <w:kern w:val="2"/>
                <w14:ligatures w14:val="standardContextual"/>
              </w:rPr>
              <w:t>. Specifically, this relates</w:t>
            </w:r>
            <w:r w:rsidRPr="00135E76">
              <w:rPr>
                <w:kern w:val="2"/>
                <w14:ligatures w14:val="standardContextual"/>
              </w:rPr>
              <w:t xml:space="preserve"> to the implementation of</w:t>
            </w:r>
            <w:r w:rsidR="00836791">
              <w:rPr>
                <w:kern w:val="2"/>
                <w14:ligatures w14:val="standardContextual"/>
              </w:rPr>
              <w:t xml:space="preserve"> Australian</w:t>
            </w:r>
            <w:r w:rsidRPr="00135E76">
              <w:rPr>
                <w:kern w:val="2"/>
                <w14:ligatures w14:val="standardContextual"/>
              </w:rPr>
              <w:t xml:space="preserve"> development funding for activities to support TongaHealth in its role to implement the National NCD Strategy. However, it is not within DFATs sphere of control to ensure accountability for delivering against the Strategy, or TongaHealth’s Statement of Corporate Intent. </w:t>
            </w:r>
          </w:p>
        </w:tc>
        <w:tc>
          <w:tcPr>
            <w:tcW w:w="1551" w:type="dxa"/>
          </w:tcPr>
          <w:p w14:paraId="105D3288" w14:textId="1B3D9349" w:rsidR="00F42EB1" w:rsidRPr="00135E76" w:rsidRDefault="00841A83" w:rsidP="00DE742D">
            <w:pPr>
              <w:spacing w:line="276" w:lineRule="auto"/>
              <w:rPr>
                <w:kern w:val="2"/>
                <w14:ligatures w14:val="standardContextual"/>
              </w:rPr>
            </w:pPr>
            <w:r w:rsidRPr="00135E76">
              <w:rPr>
                <w:kern w:val="2"/>
                <w14:ligatures w14:val="standardContextual"/>
              </w:rPr>
              <w:t>July 2024 – June 2025</w:t>
            </w:r>
          </w:p>
        </w:tc>
      </w:tr>
    </w:tbl>
    <w:p w14:paraId="083A8A44" w14:textId="77777777" w:rsidR="00293FAF" w:rsidRPr="00135E76" w:rsidRDefault="00293FAF"/>
    <w:sectPr w:rsidR="00293FAF" w:rsidRPr="00135E76" w:rsidSect="00841A83">
      <w:footerReference w:type="default" r:id="rId8"/>
      <w:pgSz w:w="16838" w:h="11906" w:orient="landscape"/>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CD1D" w14:textId="77777777" w:rsidR="00462361" w:rsidRDefault="00462361">
      <w:pPr>
        <w:spacing w:after="0" w:line="240" w:lineRule="auto"/>
      </w:pPr>
    </w:p>
  </w:endnote>
  <w:endnote w:type="continuationSeparator" w:id="0">
    <w:p w14:paraId="198FFC96" w14:textId="77777777" w:rsidR="00462361" w:rsidRDefault="00462361">
      <w:pPr>
        <w:spacing w:after="0" w:line="240" w:lineRule="auto"/>
      </w:pPr>
    </w:p>
  </w:endnote>
  <w:endnote w:type="continuationNotice" w:id="1">
    <w:p w14:paraId="14ABBAA7" w14:textId="77777777" w:rsidR="00462361" w:rsidRDefault="00462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610419"/>
      <w:docPartObj>
        <w:docPartGallery w:val="Page Numbers (Bottom of Page)"/>
        <w:docPartUnique/>
      </w:docPartObj>
    </w:sdtPr>
    <w:sdtEndPr>
      <w:rPr>
        <w:noProof/>
      </w:rPr>
    </w:sdtEndPr>
    <w:sdtContent>
      <w:p w14:paraId="68D8357C" w14:textId="6A78C53A" w:rsidR="003A3F80" w:rsidRDefault="003A3F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BDF74" w14:textId="77777777" w:rsidR="003A3F80" w:rsidRDefault="003A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5756" w14:textId="77777777" w:rsidR="00462361" w:rsidRDefault="00462361">
      <w:pPr>
        <w:spacing w:after="0" w:line="240" w:lineRule="auto"/>
      </w:pPr>
    </w:p>
  </w:footnote>
  <w:footnote w:type="continuationSeparator" w:id="0">
    <w:p w14:paraId="3910B005" w14:textId="77777777" w:rsidR="00462361" w:rsidRDefault="00462361">
      <w:pPr>
        <w:spacing w:after="0" w:line="240" w:lineRule="auto"/>
      </w:pPr>
    </w:p>
  </w:footnote>
  <w:footnote w:type="continuationNotice" w:id="1">
    <w:p w14:paraId="64CB18B5" w14:textId="77777777" w:rsidR="00462361" w:rsidRDefault="004623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A6D"/>
    <w:multiLevelType w:val="hybridMultilevel"/>
    <w:tmpl w:val="DC8C7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28F16BB2"/>
    <w:multiLevelType w:val="hybridMultilevel"/>
    <w:tmpl w:val="DA58F4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BDC7E94"/>
    <w:multiLevelType w:val="hybridMultilevel"/>
    <w:tmpl w:val="910A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12743042">
    <w:abstractNumId w:val="1"/>
  </w:num>
  <w:num w:numId="2" w16cid:durableId="552156705">
    <w:abstractNumId w:val="0"/>
  </w:num>
  <w:num w:numId="3" w16cid:durableId="440222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AF"/>
    <w:rsid w:val="00002F53"/>
    <w:rsid w:val="0003384C"/>
    <w:rsid w:val="000725E0"/>
    <w:rsid w:val="00093C74"/>
    <w:rsid w:val="000B69BA"/>
    <w:rsid w:val="000D235C"/>
    <w:rsid w:val="00125703"/>
    <w:rsid w:val="00135E76"/>
    <w:rsid w:val="00144B95"/>
    <w:rsid w:val="00151370"/>
    <w:rsid w:val="00153BFF"/>
    <w:rsid w:val="00173371"/>
    <w:rsid w:val="00197A50"/>
    <w:rsid w:val="001A3ABF"/>
    <w:rsid w:val="001B2CA2"/>
    <w:rsid w:val="001F02E3"/>
    <w:rsid w:val="002050D4"/>
    <w:rsid w:val="00215B99"/>
    <w:rsid w:val="00222727"/>
    <w:rsid w:val="00271EDA"/>
    <w:rsid w:val="00287DA7"/>
    <w:rsid w:val="00293FAF"/>
    <w:rsid w:val="002A59B3"/>
    <w:rsid w:val="002B32FD"/>
    <w:rsid w:val="002D2C75"/>
    <w:rsid w:val="002D6000"/>
    <w:rsid w:val="00304CAC"/>
    <w:rsid w:val="00347563"/>
    <w:rsid w:val="00355DC8"/>
    <w:rsid w:val="00387AA4"/>
    <w:rsid w:val="003A3F80"/>
    <w:rsid w:val="003E4BE3"/>
    <w:rsid w:val="00400155"/>
    <w:rsid w:val="00462361"/>
    <w:rsid w:val="0049583A"/>
    <w:rsid w:val="004A1053"/>
    <w:rsid w:val="004A6559"/>
    <w:rsid w:val="004D02E5"/>
    <w:rsid w:val="004D2F74"/>
    <w:rsid w:val="004E1159"/>
    <w:rsid w:val="004F61FE"/>
    <w:rsid w:val="004F7F64"/>
    <w:rsid w:val="00524EF8"/>
    <w:rsid w:val="005477B4"/>
    <w:rsid w:val="00561B1C"/>
    <w:rsid w:val="00580ED8"/>
    <w:rsid w:val="005B103D"/>
    <w:rsid w:val="005D649F"/>
    <w:rsid w:val="006055B5"/>
    <w:rsid w:val="006220BF"/>
    <w:rsid w:val="00636024"/>
    <w:rsid w:val="00641265"/>
    <w:rsid w:val="00652665"/>
    <w:rsid w:val="006B5089"/>
    <w:rsid w:val="006D7AFC"/>
    <w:rsid w:val="00701A9C"/>
    <w:rsid w:val="00702F12"/>
    <w:rsid w:val="00723AFE"/>
    <w:rsid w:val="007447EB"/>
    <w:rsid w:val="00757EA2"/>
    <w:rsid w:val="00775078"/>
    <w:rsid w:val="0079167D"/>
    <w:rsid w:val="007C0E5A"/>
    <w:rsid w:val="007D7925"/>
    <w:rsid w:val="007E0E02"/>
    <w:rsid w:val="007E6423"/>
    <w:rsid w:val="0083564D"/>
    <w:rsid w:val="00836791"/>
    <w:rsid w:val="00836817"/>
    <w:rsid w:val="00841A83"/>
    <w:rsid w:val="008464AF"/>
    <w:rsid w:val="008A16B6"/>
    <w:rsid w:val="008A22CA"/>
    <w:rsid w:val="008B7EF0"/>
    <w:rsid w:val="008C7FED"/>
    <w:rsid w:val="008F5F90"/>
    <w:rsid w:val="00925AF1"/>
    <w:rsid w:val="00943F8A"/>
    <w:rsid w:val="00972E87"/>
    <w:rsid w:val="009B25F8"/>
    <w:rsid w:val="009F4786"/>
    <w:rsid w:val="00A11D8A"/>
    <w:rsid w:val="00A12248"/>
    <w:rsid w:val="00A27597"/>
    <w:rsid w:val="00A44556"/>
    <w:rsid w:val="00AC165D"/>
    <w:rsid w:val="00AD58E3"/>
    <w:rsid w:val="00AE09A1"/>
    <w:rsid w:val="00AE2C77"/>
    <w:rsid w:val="00AE5BCD"/>
    <w:rsid w:val="00B2621A"/>
    <w:rsid w:val="00B3100C"/>
    <w:rsid w:val="00B46E6B"/>
    <w:rsid w:val="00B74EDD"/>
    <w:rsid w:val="00C2004D"/>
    <w:rsid w:val="00C531E9"/>
    <w:rsid w:val="00C72F09"/>
    <w:rsid w:val="00CA40A9"/>
    <w:rsid w:val="00CD05CB"/>
    <w:rsid w:val="00D10951"/>
    <w:rsid w:val="00D33CFB"/>
    <w:rsid w:val="00D449C8"/>
    <w:rsid w:val="00D57FB8"/>
    <w:rsid w:val="00D63FE8"/>
    <w:rsid w:val="00D67F1D"/>
    <w:rsid w:val="00D83E04"/>
    <w:rsid w:val="00DA498F"/>
    <w:rsid w:val="00DA6A43"/>
    <w:rsid w:val="00DB459A"/>
    <w:rsid w:val="00DE4AF7"/>
    <w:rsid w:val="00DE742D"/>
    <w:rsid w:val="00DF0160"/>
    <w:rsid w:val="00E22433"/>
    <w:rsid w:val="00E75B31"/>
    <w:rsid w:val="00EC70D3"/>
    <w:rsid w:val="00F04618"/>
    <w:rsid w:val="00F236E7"/>
    <w:rsid w:val="00F42EB1"/>
    <w:rsid w:val="00F47FC5"/>
    <w:rsid w:val="00F64F27"/>
    <w:rsid w:val="00F75547"/>
    <w:rsid w:val="00F75E4E"/>
    <w:rsid w:val="00FB389C"/>
    <w:rsid w:val="01989B32"/>
    <w:rsid w:val="0212C06C"/>
    <w:rsid w:val="032D8E02"/>
    <w:rsid w:val="0336D0A4"/>
    <w:rsid w:val="03AA33AD"/>
    <w:rsid w:val="06593DC7"/>
    <w:rsid w:val="06A053AE"/>
    <w:rsid w:val="07F49208"/>
    <w:rsid w:val="0F04537A"/>
    <w:rsid w:val="11E263D0"/>
    <w:rsid w:val="12A39778"/>
    <w:rsid w:val="138899AB"/>
    <w:rsid w:val="19BA71BE"/>
    <w:rsid w:val="19F64C3A"/>
    <w:rsid w:val="1B297419"/>
    <w:rsid w:val="1D64AFB5"/>
    <w:rsid w:val="205BA070"/>
    <w:rsid w:val="2687A3F9"/>
    <w:rsid w:val="270812A3"/>
    <w:rsid w:val="2CF474AA"/>
    <w:rsid w:val="2D87E1FA"/>
    <w:rsid w:val="2DDD04F7"/>
    <w:rsid w:val="2EE99822"/>
    <w:rsid w:val="2EF71841"/>
    <w:rsid w:val="31AAEBAD"/>
    <w:rsid w:val="3502E8BF"/>
    <w:rsid w:val="35938A32"/>
    <w:rsid w:val="386F4586"/>
    <w:rsid w:val="3972BAB2"/>
    <w:rsid w:val="39835CAC"/>
    <w:rsid w:val="4039D28B"/>
    <w:rsid w:val="405AA919"/>
    <w:rsid w:val="42282B90"/>
    <w:rsid w:val="42CF3316"/>
    <w:rsid w:val="466A72BA"/>
    <w:rsid w:val="4A909D2B"/>
    <w:rsid w:val="4AE645F6"/>
    <w:rsid w:val="4B361B80"/>
    <w:rsid w:val="4BDF9615"/>
    <w:rsid w:val="4CC5A489"/>
    <w:rsid w:val="54C07B45"/>
    <w:rsid w:val="5759590B"/>
    <w:rsid w:val="576AAED8"/>
    <w:rsid w:val="58BC2F8E"/>
    <w:rsid w:val="59087B7A"/>
    <w:rsid w:val="5973275C"/>
    <w:rsid w:val="5C84E6AD"/>
    <w:rsid w:val="5FA43862"/>
    <w:rsid w:val="60CE8A49"/>
    <w:rsid w:val="6465CF1E"/>
    <w:rsid w:val="646CFB34"/>
    <w:rsid w:val="6704E3C4"/>
    <w:rsid w:val="6B132D3F"/>
    <w:rsid w:val="6DDA3C43"/>
    <w:rsid w:val="6F7A52A0"/>
    <w:rsid w:val="7565DB1D"/>
    <w:rsid w:val="798493C8"/>
    <w:rsid w:val="79FDEE70"/>
    <w:rsid w:val="7C71F50C"/>
    <w:rsid w:val="7C733E7F"/>
    <w:rsid w:val="7CCFBD97"/>
    <w:rsid w:val="7DAC99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10F21"/>
  <w15:chartTrackingRefBased/>
  <w15:docId w15:val="{C5C2E0C6-2935-4DAC-8E20-01675928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Default"/>
    <w:next w:val="Normal"/>
    <w:link w:val="Heading2Char"/>
    <w:uiPriority w:val="9"/>
    <w:unhideWhenUsed/>
    <w:qFormat/>
    <w:rsid w:val="00293FAF"/>
    <w:pPr>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FAF"/>
    <w:rPr>
      <w:rFonts w:ascii="Calibri" w:hAnsi="Calibri" w:cs="Calibri"/>
      <w:b/>
      <w:bCs/>
      <w:color w:val="000000"/>
      <w:kern w:val="0"/>
      <w:sz w:val="23"/>
      <w:szCs w:val="23"/>
      <w14:ligatures w14:val="none"/>
    </w:rPr>
  </w:style>
  <w:style w:type="paragraph" w:customStyle="1" w:styleId="Default">
    <w:name w:val="Default"/>
    <w:rsid w:val="00293FAF"/>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39"/>
    <w:rsid w:val="00293F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FAF"/>
    <w:pPr>
      <w:ind w:left="720"/>
      <w:contextualSpacing/>
    </w:pPr>
  </w:style>
  <w:style w:type="paragraph" w:styleId="NoSpacing">
    <w:name w:val="No Spacing"/>
    <w:uiPriority w:val="1"/>
    <w:qFormat/>
    <w:rsid w:val="00293FAF"/>
    <w:pPr>
      <w:spacing w:after="0" w:line="240" w:lineRule="auto"/>
    </w:pPr>
  </w:style>
  <w:style w:type="character" w:customStyle="1" w:styleId="Heading1Char">
    <w:name w:val="Heading 1 Char"/>
    <w:basedOn w:val="DefaultParagraphFont"/>
    <w:link w:val="Heading1"/>
    <w:uiPriority w:val="9"/>
    <w:rsid w:val="0015137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055B5"/>
    <w:rPr>
      <w:color w:val="0563C1" w:themeColor="hyperlink"/>
      <w:u w:val="single"/>
    </w:rPr>
  </w:style>
  <w:style w:type="character" w:styleId="UnresolvedMention">
    <w:name w:val="Unresolved Mention"/>
    <w:basedOn w:val="DefaultParagraphFont"/>
    <w:uiPriority w:val="99"/>
    <w:semiHidden/>
    <w:unhideWhenUsed/>
    <w:rsid w:val="006055B5"/>
    <w:rPr>
      <w:color w:val="605E5C"/>
      <w:shd w:val="clear" w:color="auto" w:fill="E1DFDD"/>
    </w:rPr>
  </w:style>
  <w:style w:type="character" w:styleId="FollowedHyperlink">
    <w:name w:val="FollowedHyperlink"/>
    <w:basedOn w:val="DefaultParagraphFont"/>
    <w:uiPriority w:val="99"/>
    <w:semiHidden/>
    <w:unhideWhenUsed/>
    <w:rsid w:val="00AD58E3"/>
    <w:rPr>
      <w:color w:val="954F72" w:themeColor="followedHyperlink"/>
      <w:u w:val="single"/>
    </w:rPr>
  </w:style>
  <w:style w:type="paragraph" w:styleId="Revision">
    <w:name w:val="Revision"/>
    <w:hidden/>
    <w:uiPriority w:val="99"/>
    <w:semiHidden/>
    <w:rsid w:val="00AD58E3"/>
    <w:pPr>
      <w:spacing w:after="0" w:line="240" w:lineRule="auto"/>
    </w:pPr>
  </w:style>
  <w:style w:type="character" w:styleId="CommentReference">
    <w:name w:val="annotation reference"/>
    <w:basedOn w:val="DefaultParagraphFont"/>
    <w:uiPriority w:val="99"/>
    <w:semiHidden/>
    <w:unhideWhenUsed/>
    <w:rsid w:val="00AD58E3"/>
    <w:rPr>
      <w:sz w:val="16"/>
      <w:szCs w:val="16"/>
    </w:rPr>
  </w:style>
  <w:style w:type="paragraph" w:styleId="CommentText">
    <w:name w:val="annotation text"/>
    <w:basedOn w:val="Normal"/>
    <w:link w:val="CommentTextChar"/>
    <w:uiPriority w:val="99"/>
    <w:unhideWhenUsed/>
    <w:rsid w:val="00AD58E3"/>
    <w:pPr>
      <w:spacing w:line="240" w:lineRule="auto"/>
    </w:pPr>
    <w:rPr>
      <w:sz w:val="20"/>
      <w:szCs w:val="20"/>
    </w:rPr>
  </w:style>
  <w:style w:type="character" w:customStyle="1" w:styleId="CommentTextChar">
    <w:name w:val="Comment Text Char"/>
    <w:basedOn w:val="DefaultParagraphFont"/>
    <w:link w:val="CommentText"/>
    <w:uiPriority w:val="99"/>
    <w:rsid w:val="00AD58E3"/>
    <w:rPr>
      <w:sz w:val="20"/>
      <w:szCs w:val="20"/>
    </w:rPr>
  </w:style>
  <w:style w:type="paragraph" w:styleId="CommentSubject">
    <w:name w:val="annotation subject"/>
    <w:basedOn w:val="CommentText"/>
    <w:next w:val="CommentText"/>
    <w:link w:val="CommentSubjectChar"/>
    <w:uiPriority w:val="99"/>
    <w:semiHidden/>
    <w:unhideWhenUsed/>
    <w:rsid w:val="00AD58E3"/>
    <w:rPr>
      <w:b/>
      <w:bCs/>
    </w:rPr>
  </w:style>
  <w:style w:type="character" w:customStyle="1" w:styleId="CommentSubjectChar">
    <w:name w:val="Comment Subject Char"/>
    <w:basedOn w:val="CommentTextChar"/>
    <w:link w:val="CommentSubject"/>
    <w:uiPriority w:val="99"/>
    <w:semiHidden/>
    <w:rsid w:val="00AD58E3"/>
    <w:rPr>
      <w:b/>
      <w:bCs/>
      <w:sz w:val="20"/>
      <w:szCs w:val="20"/>
    </w:rPr>
  </w:style>
  <w:style w:type="paragraph" w:customStyle="1" w:styleId="paragraph">
    <w:name w:val="paragraph"/>
    <w:basedOn w:val="Normal"/>
    <w:rsid w:val="00DA6A4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DA6A43"/>
  </w:style>
  <w:style w:type="character" w:customStyle="1" w:styleId="eop">
    <w:name w:val="eop"/>
    <w:basedOn w:val="DefaultParagraphFont"/>
    <w:rsid w:val="00DA6A43"/>
  </w:style>
  <w:style w:type="paragraph" w:styleId="Header">
    <w:name w:val="header"/>
    <w:basedOn w:val="Normal"/>
    <w:link w:val="HeaderChar"/>
    <w:uiPriority w:val="99"/>
    <w:unhideWhenUsed/>
    <w:rsid w:val="00A4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9A1"/>
  </w:style>
  <w:style w:type="paragraph" w:styleId="Footer">
    <w:name w:val="footer"/>
    <w:basedOn w:val="Normal"/>
    <w:link w:val="FooterChar"/>
    <w:uiPriority w:val="99"/>
    <w:unhideWhenUsed/>
    <w:rsid w:val="00A4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71867">
      <w:bodyDiv w:val="1"/>
      <w:marLeft w:val="0"/>
      <w:marRight w:val="0"/>
      <w:marTop w:val="0"/>
      <w:marBottom w:val="0"/>
      <w:divBdr>
        <w:top w:val="none" w:sz="0" w:space="0" w:color="auto"/>
        <w:left w:val="none" w:sz="0" w:space="0" w:color="auto"/>
        <w:bottom w:val="none" w:sz="0" w:space="0" w:color="auto"/>
        <w:right w:val="none" w:sz="0" w:space="0" w:color="auto"/>
      </w:divBdr>
    </w:div>
    <w:div w:id="1220098072">
      <w:bodyDiv w:val="1"/>
      <w:marLeft w:val="0"/>
      <w:marRight w:val="0"/>
      <w:marTop w:val="0"/>
      <w:marBottom w:val="0"/>
      <w:divBdr>
        <w:top w:val="none" w:sz="0" w:space="0" w:color="auto"/>
        <w:left w:val="none" w:sz="0" w:space="0" w:color="auto"/>
        <w:bottom w:val="none" w:sz="0" w:space="0" w:color="auto"/>
        <w:right w:val="none" w:sz="0" w:space="0" w:color="auto"/>
      </w:divBdr>
      <w:divsChild>
        <w:div w:id="952322629">
          <w:marLeft w:val="0"/>
          <w:marRight w:val="0"/>
          <w:marTop w:val="0"/>
          <w:marBottom w:val="0"/>
          <w:divBdr>
            <w:top w:val="none" w:sz="0" w:space="0" w:color="auto"/>
            <w:left w:val="none" w:sz="0" w:space="0" w:color="auto"/>
            <w:bottom w:val="none" w:sz="0" w:space="0" w:color="auto"/>
            <w:right w:val="none" w:sz="0" w:space="0" w:color="auto"/>
          </w:divBdr>
        </w:div>
        <w:div w:id="1098479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fat.gov.au/sites/default/files/tonga-health-systems-support-program-phase-2-evaluation-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970</Words>
  <Characters>5915</Characters>
  <Application>Microsoft Office Word</Application>
  <DocSecurity>0</DocSecurity>
  <Lines>149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Links>
    <vt:vector size="6" baseType="variant">
      <vt:variant>
        <vt:i4>6357097</vt:i4>
      </vt:variant>
      <vt:variant>
        <vt:i4>0</vt:i4>
      </vt:variant>
      <vt:variant>
        <vt:i4>0</vt:i4>
      </vt:variant>
      <vt:variant>
        <vt:i4>5</vt:i4>
      </vt:variant>
      <vt:variant>
        <vt:lpwstr>https://www.dfat.gov.au/sites/default/files/tonga-health-systems-support-program-phase-2-evaluation-report.pdf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TongaHealth Review</dc:title>
  <dc:subject/>
  <dc:creator/>
  <cp:keywords>[SEC=OFFICIAL]</cp:keywords>
  <dc:description/>
  <cp:lastModifiedBy>Patrick Baggoley</cp:lastModifiedBy>
  <cp:revision>5</cp:revision>
  <cp:lastPrinted>2024-07-24T21:58:00Z</cp:lastPrinted>
  <dcterms:created xsi:type="dcterms:W3CDTF">2024-08-09T00:31:00Z</dcterms:created>
  <dcterms:modified xsi:type="dcterms:W3CDTF">2024-08-09T00:36:00Z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v=2022.1;a=SHA256;h=45F7F8EC0B1C505DBB3AD106F26041A41CBCFDE9DAD8808B5ACF917C13FA8994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2024-07-24T02:18:28Z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7E6E8B819A774FE2A805B1AFED3A72D6</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A152F6F8956D48856390EDA16F3FA8A2</vt:lpwstr>
  </property>
  <property fmtid="{D5CDD505-2E9C-101B-9397-08002B2CF9AE}" pid="25" name="PM_Hash_Salt">
    <vt:lpwstr>0B47811B46CDB7270370E7C0AD886970</vt:lpwstr>
  </property>
  <property fmtid="{D5CDD505-2E9C-101B-9397-08002B2CF9AE}" pid="26" name="PM_Hash_SHA1">
    <vt:lpwstr>C9325FF50ADD7836E81A8BB9B7B4D679EFD9C652</vt:lpwstr>
  </property>
  <property fmtid="{D5CDD505-2E9C-101B-9397-08002B2CF9AE}" pid="27" name="PM_SecurityClassification_Prev">
    <vt:lpwstr>OFFICIAL</vt:lpwstr>
  </property>
  <property fmtid="{D5CDD505-2E9C-101B-9397-08002B2CF9AE}" pid="28" name="PM_Qualifier_Prev">
    <vt:lpwstr/>
  </property>
</Properties>
</file>