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555C" w14:textId="27B195E0" w:rsidR="0068728D" w:rsidRDefault="2D6642B1" w:rsidP="00CD2FA3">
      <w:pPr>
        <w:pStyle w:val="Heading1"/>
        <w:spacing w:line="240" w:lineRule="auto"/>
        <w:jc w:val="left"/>
        <w:rPr>
          <w:sz w:val="24"/>
          <w:szCs w:val="24"/>
          <w:lang w:val="en-GB"/>
        </w:rPr>
      </w:pPr>
      <w:r w:rsidRPr="00CD2FA3">
        <w:rPr>
          <w:sz w:val="24"/>
          <w:szCs w:val="24"/>
          <w:lang w:val="en-GB"/>
        </w:rPr>
        <w:t>Strategic Review of the PNG-Aus Joint Statement of Intent on Technical</w:t>
      </w:r>
      <w:r w:rsidR="00CD2FA3">
        <w:rPr>
          <w:sz w:val="24"/>
          <w:szCs w:val="24"/>
          <w:lang w:val="en-GB"/>
        </w:rPr>
        <w:t xml:space="preserve">, </w:t>
      </w:r>
      <w:r w:rsidRPr="00CD2FA3">
        <w:rPr>
          <w:sz w:val="24"/>
          <w:szCs w:val="24"/>
          <w:lang w:val="en-GB"/>
        </w:rPr>
        <w:t xml:space="preserve">Vocational Education and Training Investments </w:t>
      </w:r>
    </w:p>
    <w:p w14:paraId="0D885A8E" w14:textId="77777777" w:rsidR="00CD2FA3" w:rsidRPr="00CD2FA3" w:rsidRDefault="00CD2FA3" w:rsidP="00CD2FA3">
      <w:pPr>
        <w:rPr>
          <w:lang w:val="en-GB"/>
        </w:rPr>
      </w:pPr>
    </w:p>
    <w:p w14:paraId="4585F80E" w14:textId="7203FA74" w:rsidR="0068728D" w:rsidRDefault="006377C1" w:rsidP="00CD2FA3">
      <w:pPr>
        <w:pStyle w:val="Heading1"/>
        <w:spacing w:line="240" w:lineRule="auto"/>
        <w:jc w:val="left"/>
        <w:rPr>
          <w:color w:val="2E74B5" w:themeColor="accent5" w:themeShade="BF"/>
          <w:sz w:val="24"/>
          <w:szCs w:val="24"/>
          <w:lang w:val="en-GB"/>
        </w:rPr>
      </w:pPr>
      <w:r>
        <w:rPr>
          <w:color w:val="2E74B5" w:themeColor="accent5" w:themeShade="BF"/>
          <w:sz w:val="24"/>
          <w:szCs w:val="24"/>
          <w:lang w:val="en-GB"/>
        </w:rPr>
        <w:t xml:space="preserve">DFAT and DHERST </w:t>
      </w:r>
      <w:r w:rsidR="0847DE8F" w:rsidRPr="368C86D8">
        <w:rPr>
          <w:color w:val="2E74B5" w:themeColor="accent5" w:themeShade="BF"/>
          <w:sz w:val="24"/>
          <w:szCs w:val="24"/>
          <w:lang w:val="en-GB"/>
        </w:rPr>
        <w:t xml:space="preserve">Management Response to </w:t>
      </w:r>
      <w:r w:rsidR="16A8DF9D" w:rsidRPr="368C86D8">
        <w:rPr>
          <w:color w:val="2E74B5" w:themeColor="accent5" w:themeShade="BF"/>
          <w:sz w:val="24"/>
          <w:szCs w:val="24"/>
          <w:lang w:val="en-GB"/>
        </w:rPr>
        <w:t xml:space="preserve">Independent Review </w:t>
      </w:r>
    </w:p>
    <w:p w14:paraId="0DD67999" w14:textId="2BB018DA" w:rsidR="00F72E2C" w:rsidRPr="00B94255" w:rsidRDefault="00F72E2C" w:rsidP="00F72E2C">
      <w:pPr>
        <w:rPr>
          <w:sz w:val="22"/>
          <w:szCs w:val="22"/>
          <w:lang w:val="en-GB"/>
        </w:rPr>
      </w:pPr>
      <w:r w:rsidRPr="00CD2FA3">
        <w:rPr>
          <w:sz w:val="22"/>
          <w:szCs w:val="22"/>
          <w:lang w:val="en-GB"/>
        </w:rPr>
        <w:t xml:space="preserve">In January 2024, DFAT, in partnership with </w:t>
      </w:r>
      <w:r w:rsidR="00794E9D">
        <w:rPr>
          <w:sz w:val="22"/>
          <w:szCs w:val="22"/>
          <w:lang w:val="en-GB"/>
        </w:rPr>
        <w:t>the Department of Higher Education, Research, Science and Technology (</w:t>
      </w:r>
      <w:r w:rsidRPr="00CD2FA3">
        <w:rPr>
          <w:sz w:val="22"/>
          <w:szCs w:val="22"/>
          <w:lang w:val="en-GB"/>
        </w:rPr>
        <w:t>DHERST</w:t>
      </w:r>
      <w:r w:rsidR="00794E9D">
        <w:rPr>
          <w:sz w:val="22"/>
          <w:szCs w:val="22"/>
          <w:lang w:val="en-GB"/>
        </w:rPr>
        <w:t>)</w:t>
      </w:r>
      <w:r>
        <w:rPr>
          <w:sz w:val="22"/>
          <w:szCs w:val="22"/>
          <w:lang w:val="en-GB"/>
        </w:rPr>
        <w:t>,</w:t>
      </w:r>
      <w:r w:rsidRPr="00CD2FA3">
        <w:rPr>
          <w:sz w:val="22"/>
          <w:szCs w:val="22"/>
          <w:lang w:val="en-GB"/>
        </w:rPr>
        <w:t xml:space="preserve"> commissioned an independent strategic review</w:t>
      </w:r>
      <w:r>
        <w:rPr>
          <w:sz w:val="22"/>
          <w:szCs w:val="22"/>
          <w:lang w:val="en-GB"/>
        </w:rPr>
        <w:t xml:space="preserve"> of whether DFAT’s investments in Technical and Vocational Education and Training (TVET) in Papua New Guinea (PNG) had been effective in realising the commitments set out in the </w:t>
      </w:r>
      <w:r w:rsidRPr="00CD2FA3">
        <w:rPr>
          <w:sz w:val="22"/>
          <w:szCs w:val="22"/>
          <w:lang w:val="en-GB"/>
        </w:rPr>
        <w:t>PNG-Aus</w:t>
      </w:r>
      <w:r>
        <w:rPr>
          <w:sz w:val="22"/>
          <w:szCs w:val="22"/>
          <w:lang w:val="en-GB"/>
        </w:rPr>
        <w:t>tralia</w:t>
      </w:r>
      <w:r w:rsidRPr="00CD2FA3">
        <w:rPr>
          <w:sz w:val="22"/>
          <w:szCs w:val="22"/>
          <w:lang w:val="en-GB"/>
        </w:rPr>
        <w:t xml:space="preserve"> J</w:t>
      </w:r>
      <w:r>
        <w:rPr>
          <w:sz w:val="22"/>
          <w:szCs w:val="22"/>
          <w:lang w:val="en-GB"/>
        </w:rPr>
        <w:t xml:space="preserve">oint </w:t>
      </w:r>
      <w:r w:rsidRPr="00CD2FA3">
        <w:rPr>
          <w:sz w:val="22"/>
          <w:szCs w:val="22"/>
          <w:lang w:val="en-GB"/>
        </w:rPr>
        <w:t>S</w:t>
      </w:r>
      <w:r>
        <w:rPr>
          <w:sz w:val="22"/>
          <w:szCs w:val="22"/>
          <w:lang w:val="en-GB"/>
        </w:rPr>
        <w:t>tatement of Intent on Technical and Vocational Education and Training (JS</w:t>
      </w:r>
      <w:r w:rsidRPr="00CD2FA3">
        <w:rPr>
          <w:sz w:val="22"/>
          <w:szCs w:val="22"/>
          <w:lang w:val="en-GB"/>
        </w:rPr>
        <w:t>OI on TVET</w:t>
      </w:r>
      <w:r>
        <w:rPr>
          <w:sz w:val="22"/>
          <w:szCs w:val="22"/>
          <w:lang w:val="en-GB"/>
        </w:rPr>
        <w:t>), signed on 5 August 2020</w:t>
      </w:r>
      <w:r w:rsidRPr="00CD2FA3">
        <w:rPr>
          <w:sz w:val="22"/>
          <w:szCs w:val="22"/>
          <w:lang w:val="en-GB"/>
        </w:rPr>
        <w:t xml:space="preserve">. </w:t>
      </w:r>
      <w:r>
        <w:rPr>
          <w:sz w:val="22"/>
          <w:szCs w:val="22"/>
          <w:lang w:val="en-GB"/>
        </w:rPr>
        <w:t xml:space="preserve">The JSOI on TVET contains </w:t>
      </w:r>
      <w:r w:rsidRPr="00CD2FA3">
        <w:rPr>
          <w:rFonts w:eastAsiaTheme="minorEastAsia" w:cstheme="minorBidi"/>
          <w:sz w:val="22"/>
          <w:szCs w:val="22"/>
          <w:lang w:val="en-GB"/>
        </w:rPr>
        <w:t xml:space="preserve">commitments </w:t>
      </w:r>
      <w:r>
        <w:rPr>
          <w:rFonts w:eastAsiaTheme="minorEastAsia" w:cstheme="minorBidi"/>
          <w:sz w:val="22"/>
          <w:szCs w:val="22"/>
          <w:lang w:val="en-GB"/>
        </w:rPr>
        <w:t xml:space="preserve">for Australia and PNG </w:t>
      </w:r>
      <w:r w:rsidRPr="00CD2FA3">
        <w:rPr>
          <w:rFonts w:eastAsiaTheme="minorEastAsia" w:cstheme="minorBidi"/>
          <w:sz w:val="22"/>
          <w:szCs w:val="22"/>
          <w:lang w:val="en-GB"/>
        </w:rPr>
        <w:t xml:space="preserve">to work together to improve outcomes </w:t>
      </w:r>
      <w:r w:rsidR="006806E3" w:rsidRPr="00CD2FA3">
        <w:rPr>
          <w:rFonts w:eastAsiaTheme="minorEastAsia" w:cstheme="minorBidi"/>
          <w:sz w:val="22"/>
          <w:szCs w:val="22"/>
          <w:lang w:val="en-GB"/>
        </w:rPr>
        <w:t>f</w:t>
      </w:r>
      <w:r w:rsidR="006806E3">
        <w:rPr>
          <w:rFonts w:eastAsiaTheme="minorEastAsia" w:cstheme="minorBidi"/>
          <w:sz w:val="22"/>
          <w:szCs w:val="22"/>
          <w:lang w:val="en-GB"/>
        </w:rPr>
        <w:t>or the</w:t>
      </w:r>
      <w:r w:rsidR="006806E3" w:rsidRPr="00CD2FA3">
        <w:rPr>
          <w:rFonts w:eastAsiaTheme="minorEastAsia" w:cstheme="minorBidi"/>
          <w:sz w:val="22"/>
          <w:szCs w:val="22"/>
          <w:lang w:val="en-GB"/>
        </w:rPr>
        <w:t xml:space="preserve"> </w:t>
      </w:r>
      <w:r w:rsidRPr="368C86D8">
        <w:rPr>
          <w:rFonts w:eastAsiaTheme="minorEastAsia" w:cstheme="minorBidi"/>
          <w:sz w:val="22"/>
          <w:szCs w:val="22"/>
          <w:lang w:val="en-GB"/>
        </w:rPr>
        <w:t>PNG</w:t>
      </w:r>
      <w:r>
        <w:rPr>
          <w:rFonts w:eastAsiaTheme="minorEastAsia" w:cstheme="minorBidi"/>
          <w:sz w:val="22"/>
          <w:szCs w:val="22"/>
          <w:lang w:val="en-GB"/>
        </w:rPr>
        <w:t xml:space="preserve"> </w:t>
      </w:r>
      <w:r w:rsidRPr="00CD2FA3">
        <w:rPr>
          <w:rFonts w:eastAsiaTheme="minorEastAsia" w:cstheme="minorBidi"/>
          <w:sz w:val="22"/>
          <w:szCs w:val="22"/>
          <w:lang w:val="en-GB"/>
        </w:rPr>
        <w:t>TVET sector and to grow the number of skilled workers to enable P</w:t>
      </w:r>
      <w:r w:rsidRPr="368C86D8">
        <w:rPr>
          <w:rFonts w:eastAsiaTheme="minorEastAsia" w:cstheme="minorBidi"/>
          <w:sz w:val="22"/>
          <w:szCs w:val="22"/>
          <w:lang w:val="en-GB"/>
        </w:rPr>
        <w:t>NG</w:t>
      </w:r>
      <w:r w:rsidRPr="00CD2FA3">
        <w:rPr>
          <w:rFonts w:eastAsiaTheme="minorEastAsia" w:cstheme="minorBidi"/>
          <w:sz w:val="22"/>
          <w:szCs w:val="22"/>
          <w:lang w:val="en-GB"/>
        </w:rPr>
        <w:t xml:space="preserve"> to seize economic growth opportunities domestically and internationall</w:t>
      </w:r>
      <w:r>
        <w:rPr>
          <w:rFonts w:eastAsiaTheme="minorEastAsia" w:cstheme="minorBidi"/>
          <w:sz w:val="22"/>
          <w:szCs w:val="22"/>
          <w:lang w:val="en-GB"/>
        </w:rPr>
        <w:t>y.</w:t>
      </w:r>
      <w:r>
        <w:rPr>
          <w:sz w:val="22"/>
          <w:szCs w:val="22"/>
          <w:lang w:val="en-GB"/>
        </w:rPr>
        <w:t xml:space="preserve"> </w:t>
      </w:r>
    </w:p>
    <w:p w14:paraId="72F22E87" w14:textId="77777777" w:rsidR="00A40108" w:rsidRDefault="00A40108" w:rsidP="006377C1">
      <w:pPr>
        <w:tabs>
          <w:tab w:val="left" w:pos="5387"/>
        </w:tabs>
        <w:rPr>
          <w:sz w:val="22"/>
          <w:szCs w:val="22"/>
          <w:lang w:val="en-GB"/>
        </w:rPr>
      </w:pPr>
    </w:p>
    <w:p w14:paraId="5620B88D" w14:textId="34FA0239" w:rsidR="00845C6A" w:rsidRDefault="00F72E2C" w:rsidP="006377C1">
      <w:pPr>
        <w:rPr>
          <w:sz w:val="22"/>
          <w:szCs w:val="22"/>
          <w:lang w:val="en-GB"/>
        </w:rPr>
      </w:pPr>
      <w:r w:rsidRPr="368C86D8">
        <w:rPr>
          <w:sz w:val="22"/>
          <w:szCs w:val="22"/>
          <w:lang w:val="en-GB"/>
        </w:rPr>
        <w:t>The review was led by independent consultants</w:t>
      </w:r>
      <w:r>
        <w:rPr>
          <w:sz w:val="22"/>
          <w:szCs w:val="22"/>
          <w:lang w:val="en-GB"/>
        </w:rPr>
        <w:t xml:space="preserve"> D</w:t>
      </w:r>
      <w:r w:rsidRPr="368C86D8">
        <w:rPr>
          <w:sz w:val="22"/>
          <w:szCs w:val="22"/>
          <w:lang w:val="en-GB"/>
        </w:rPr>
        <w:t>r Myra Harrison, an education specialist, and Mr Mark McNamara, a TVET specialist.</w:t>
      </w:r>
      <w:r>
        <w:rPr>
          <w:sz w:val="22"/>
          <w:szCs w:val="22"/>
          <w:lang w:val="en-GB"/>
        </w:rPr>
        <w:t xml:space="preserve"> </w:t>
      </w:r>
      <w:r w:rsidR="31A616F1" w:rsidRPr="368C86D8">
        <w:rPr>
          <w:sz w:val="22"/>
          <w:szCs w:val="22"/>
          <w:lang w:val="en-GB"/>
        </w:rPr>
        <w:t xml:space="preserve">The findings, observations and recommendations were compiled by the independent consultants and do not necessarily represent the views of the Australian Government </w:t>
      </w:r>
      <w:r w:rsidR="006806E3">
        <w:rPr>
          <w:sz w:val="22"/>
          <w:szCs w:val="22"/>
          <w:lang w:val="en-GB"/>
        </w:rPr>
        <w:t>or the</w:t>
      </w:r>
      <w:r w:rsidR="006806E3" w:rsidRPr="368C86D8">
        <w:rPr>
          <w:sz w:val="22"/>
          <w:szCs w:val="22"/>
          <w:lang w:val="en-GB"/>
        </w:rPr>
        <w:t xml:space="preserve"> </w:t>
      </w:r>
      <w:r w:rsidR="31A616F1" w:rsidRPr="368C86D8">
        <w:rPr>
          <w:sz w:val="22"/>
          <w:szCs w:val="22"/>
          <w:lang w:val="en-GB"/>
        </w:rPr>
        <w:t xml:space="preserve">PNG Government. </w:t>
      </w:r>
    </w:p>
    <w:p w14:paraId="1A2F4733" w14:textId="77777777" w:rsidR="00845C6A" w:rsidRDefault="00845C6A" w:rsidP="006377C1">
      <w:pPr>
        <w:rPr>
          <w:sz w:val="22"/>
          <w:szCs w:val="22"/>
          <w:lang w:val="en-GB"/>
        </w:rPr>
      </w:pPr>
    </w:p>
    <w:p w14:paraId="01C7A03B" w14:textId="4B83B069" w:rsidR="00845C6A" w:rsidRDefault="00845C6A" w:rsidP="006377C1">
      <w:pPr>
        <w:rPr>
          <w:sz w:val="22"/>
          <w:szCs w:val="22"/>
          <w:lang w:val="en-GB"/>
        </w:rPr>
      </w:pPr>
      <w:r>
        <w:rPr>
          <w:sz w:val="22"/>
          <w:szCs w:val="22"/>
          <w:lang w:val="en-GB"/>
        </w:rPr>
        <w:t xml:space="preserve">The review found that DFAT and DHERST have made good progress in 7 of the 18 commitments, there has been little or no progress in other commitments for various reasons, not least of which is a lack of definitional parameters and clarity on how to operationalise a commitment. </w:t>
      </w:r>
    </w:p>
    <w:p w14:paraId="4A02A5D0" w14:textId="77777777" w:rsidR="00F72E2C" w:rsidRDefault="00F72E2C" w:rsidP="00296D20">
      <w:pPr>
        <w:tabs>
          <w:tab w:val="left" w:pos="5387"/>
        </w:tabs>
        <w:rPr>
          <w:sz w:val="22"/>
          <w:szCs w:val="22"/>
          <w:lang w:val="en-GB"/>
        </w:rPr>
      </w:pPr>
    </w:p>
    <w:p w14:paraId="473D12DB" w14:textId="48579BA3" w:rsidR="001F4B43" w:rsidRDefault="5D491754" w:rsidP="003855F8">
      <w:pPr>
        <w:tabs>
          <w:tab w:val="left" w:pos="5387"/>
        </w:tabs>
        <w:rPr>
          <w:sz w:val="22"/>
          <w:szCs w:val="22"/>
          <w:lang w:val="en-GB"/>
        </w:rPr>
      </w:pPr>
      <w:r w:rsidRPr="00CD2FA3">
        <w:rPr>
          <w:sz w:val="22"/>
          <w:szCs w:val="22"/>
          <w:lang w:val="en-GB"/>
        </w:rPr>
        <w:t>DFAT and DHERST agree in-principle to the 1</w:t>
      </w:r>
      <w:r w:rsidR="4FFC46B5" w:rsidRPr="368C86D8">
        <w:rPr>
          <w:sz w:val="22"/>
          <w:szCs w:val="22"/>
          <w:lang w:val="en-GB"/>
        </w:rPr>
        <w:t>2</w:t>
      </w:r>
      <w:r w:rsidRPr="00CD2FA3">
        <w:rPr>
          <w:sz w:val="22"/>
          <w:szCs w:val="22"/>
          <w:lang w:val="en-GB"/>
        </w:rPr>
        <w:t xml:space="preserve"> recommendations of the review</w:t>
      </w:r>
      <w:r w:rsidR="001D0C5F">
        <w:rPr>
          <w:sz w:val="22"/>
          <w:szCs w:val="22"/>
          <w:lang w:val="en-GB"/>
        </w:rPr>
        <w:t>, which</w:t>
      </w:r>
      <w:r w:rsidRPr="368C86D8">
        <w:rPr>
          <w:sz w:val="22"/>
          <w:szCs w:val="22"/>
          <w:lang w:val="en-GB"/>
        </w:rPr>
        <w:t xml:space="preserve"> address identified gaps and enhance collaboration between DFAT and DHERST. Immediate priorities include updating JSOI commitments, producing a TVET subsector strategic framework, and reinstating technical assistance</w:t>
      </w:r>
      <w:r w:rsidR="00A72071">
        <w:rPr>
          <w:sz w:val="22"/>
          <w:szCs w:val="22"/>
          <w:lang w:val="en-GB"/>
        </w:rPr>
        <w:t xml:space="preserve"> </w:t>
      </w:r>
      <w:r w:rsidRPr="368C86D8">
        <w:rPr>
          <w:sz w:val="22"/>
          <w:szCs w:val="22"/>
          <w:lang w:val="en-GB"/>
        </w:rPr>
        <w:t>to DHERST.</w:t>
      </w:r>
      <w:r w:rsidR="4FDA0361" w:rsidRPr="368C86D8">
        <w:rPr>
          <w:sz w:val="22"/>
          <w:szCs w:val="22"/>
          <w:lang w:val="en-GB"/>
        </w:rPr>
        <w:t xml:space="preserve"> </w:t>
      </w:r>
      <w:r w:rsidRPr="368C86D8">
        <w:rPr>
          <w:sz w:val="22"/>
          <w:szCs w:val="22"/>
          <w:lang w:val="en-GB"/>
        </w:rPr>
        <w:t xml:space="preserve">Longer-term actions involve strengthening governance structures, conducting </w:t>
      </w:r>
      <w:r w:rsidR="001D0C5F">
        <w:rPr>
          <w:sz w:val="22"/>
          <w:szCs w:val="22"/>
          <w:lang w:val="en-GB"/>
        </w:rPr>
        <w:t xml:space="preserve">TVET graduate </w:t>
      </w:r>
      <w:r w:rsidRPr="368C86D8">
        <w:rPr>
          <w:sz w:val="22"/>
          <w:szCs w:val="22"/>
          <w:lang w:val="en-GB"/>
        </w:rPr>
        <w:t>tracer studies, and exploring new approaches for TVET provision.</w:t>
      </w:r>
      <w:r w:rsidR="1A7CDD38" w:rsidRPr="368C86D8">
        <w:rPr>
          <w:sz w:val="22"/>
          <w:szCs w:val="22"/>
          <w:lang w:val="en-GB"/>
        </w:rPr>
        <w:t xml:space="preserve"> </w:t>
      </w:r>
      <w:r w:rsidR="001D0C5F">
        <w:rPr>
          <w:sz w:val="22"/>
          <w:szCs w:val="22"/>
          <w:lang w:val="en-GB"/>
        </w:rPr>
        <w:t>Some immediate priorities have already been achieved</w:t>
      </w:r>
      <w:r w:rsidR="1A7CDD38" w:rsidRPr="368C86D8">
        <w:rPr>
          <w:sz w:val="22"/>
          <w:szCs w:val="22"/>
          <w:lang w:val="en-GB"/>
        </w:rPr>
        <w:t xml:space="preserve"> including updating the </w:t>
      </w:r>
      <w:hyperlink r:id="rId8" w:history="1">
        <w:r w:rsidR="1A7CDD38" w:rsidRPr="006E6794">
          <w:rPr>
            <w:rStyle w:val="Hyperlink"/>
            <w:sz w:val="22"/>
            <w:szCs w:val="22"/>
            <w:lang w:val="en-GB"/>
          </w:rPr>
          <w:t>JSOI</w:t>
        </w:r>
      </w:hyperlink>
      <w:r w:rsidR="1A7CDD38" w:rsidRPr="368C86D8">
        <w:rPr>
          <w:sz w:val="22"/>
          <w:szCs w:val="22"/>
          <w:lang w:val="en-GB"/>
        </w:rPr>
        <w:t xml:space="preserve"> on TVET</w:t>
      </w:r>
      <w:r w:rsidR="001D0C5F">
        <w:rPr>
          <w:sz w:val="22"/>
          <w:szCs w:val="22"/>
          <w:lang w:val="en-GB"/>
        </w:rPr>
        <w:t xml:space="preserve"> at the June 2024 PNG-Australia Ministerial Forum.</w:t>
      </w:r>
    </w:p>
    <w:p w14:paraId="6EA0D0E8" w14:textId="77777777" w:rsidR="006377C1" w:rsidRPr="00B94255" w:rsidRDefault="006377C1" w:rsidP="003855F8">
      <w:pPr>
        <w:tabs>
          <w:tab w:val="left" w:pos="5387"/>
        </w:tabs>
        <w:rPr>
          <w:sz w:val="22"/>
          <w:szCs w:val="22"/>
          <w:lang w:val="en-GB"/>
        </w:rPr>
      </w:pPr>
    </w:p>
    <w:tbl>
      <w:tblPr>
        <w:tblStyle w:val="TableGrid"/>
        <w:tblW w:w="0" w:type="auto"/>
        <w:tblLook w:val="04A0" w:firstRow="1" w:lastRow="0" w:firstColumn="1" w:lastColumn="0" w:noHBand="0" w:noVBand="1"/>
      </w:tblPr>
      <w:tblGrid>
        <w:gridCol w:w="460"/>
        <w:gridCol w:w="5568"/>
        <w:gridCol w:w="1250"/>
        <w:gridCol w:w="4911"/>
        <w:gridCol w:w="1759"/>
      </w:tblGrid>
      <w:tr w:rsidR="00200676" w:rsidRPr="00200676" w14:paraId="2013F121" w14:textId="77777777" w:rsidTr="00200676">
        <w:trPr>
          <w:tblHeader/>
        </w:trPr>
        <w:tc>
          <w:tcPr>
            <w:tcW w:w="0" w:type="auto"/>
            <w:shd w:val="clear" w:color="auto" w:fill="323E4F" w:themeFill="text2" w:themeFillShade="BF"/>
          </w:tcPr>
          <w:p w14:paraId="774EA6D9" w14:textId="2DBC0006" w:rsidR="00D865C8" w:rsidRPr="00200676" w:rsidRDefault="00D865C8" w:rsidP="004F190F">
            <w:pPr>
              <w:rPr>
                <w:color w:val="FFFFFF" w:themeColor="background1"/>
              </w:rPr>
            </w:pPr>
            <w:r w:rsidRPr="00200676">
              <w:rPr>
                <w:color w:val="FFFFFF" w:themeColor="background1"/>
              </w:rPr>
              <w:t>#</w:t>
            </w:r>
          </w:p>
        </w:tc>
        <w:tc>
          <w:tcPr>
            <w:tcW w:w="0" w:type="auto"/>
            <w:shd w:val="clear" w:color="auto" w:fill="323E4F" w:themeFill="text2" w:themeFillShade="BF"/>
          </w:tcPr>
          <w:p w14:paraId="7E0110F0" w14:textId="77777777" w:rsidR="00D865C8" w:rsidRPr="00200676" w:rsidRDefault="00D865C8" w:rsidP="00D865C8">
            <w:pPr>
              <w:rPr>
                <w:b/>
                <w:bCs/>
                <w:color w:val="FFFFFF" w:themeColor="background1"/>
              </w:rPr>
            </w:pPr>
            <w:r w:rsidRPr="00200676">
              <w:rPr>
                <w:b/>
                <w:bCs/>
                <w:color w:val="FFFFFF" w:themeColor="background1"/>
              </w:rPr>
              <w:t xml:space="preserve">Review Recommendations </w:t>
            </w:r>
          </w:p>
          <w:p w14:paraId="1F63D8A8" w14:textId="09F3B376" w:rsidR="00D865C8" w:rsidRPr="00200676" w:rsidRDefault="00D865C8" w:rsidP="00D865C8">
            <w:pPr>
              <w:rPr>
                <w:color w:val="FFFFFF" w:themeColor="background1"/>
                <w:lang w:val="en-GB"/>
              </w:rPr>
            </w:pPr>
            <w:r w:rsidRPr="00200676">
              <w:rPr>
                <w:b/>
                <w:bCs/>
                <w:color w:val="FFFFFF" w:themeColor="background1"/>
              </w:rPr>
              <w:t>DFAT-DHERST</w:t>
            </w:r>
          </w:p>
        </w:tc>
        <w:tc>
          <w:tcPr>
            <w:tcW w:w="0" w:type="auto"/>
            <w:shd w:val="clear" w:color="auto" w:fill="323E4F" w:themeFill="text2" w:themeFillShade="BF"/>
          </w:tcPr>
          <w:p w14:paraId="547B6864" w14:textId="7B7AB699" w:rsidR="00D865C8" w:rsidRPr="00200676" w:rsidRDefault="00D865C8" w:rsidP="004F190F">
            <w:pPr>
              <w:rPr>
                <w:color w:val="FFFFFF" w:themeColor="background1"/>
                <w:lang w:val="en-GB"/>
              </w:rPr>
            </w:pPr>
            <w:r w:rsidRPr="00200676">
              <w:rPr>
                <w:b/>
                <w:bCs/>
                <w:color w:val="FFFFFF" w:themeColor="background1"/>
              </w:rPr>
              <w:t>Response</w:t>
            </w:r>
          </w:p>
        </w:tc>
        <w:tc>
          <w:tcPr>
            <w:tcW w:w="0" w:type="auto"/>
            <w:shd w:val="clear" w:color="auto" w:fill="323E4F" w:themeFill="text2" w:themeFillShade="BF"/>
          </w:tcPr>
          <w:p w14:paraId="1D60A97C" w14:textId="180F07C6" w:rsidR="00D865C8" w:rsidRPr="00200676" w:rsidRDefault="00D865C8" w:rsidP="004F190F">
            <w:pPr>
              <w:rPr>
                <w:color w:val="FFFFFF" w:themeColor="background1"/>
              </w:rPr>
            </w:pPr>
            <w:r w:rsidRPr="00200676">
              <w:rPr>
                <w:b/>
                <w:bCs/>
                <w:color w:val="FFFFFF" w:themeColor="background1"/>
              </w:rPr>
              <w:t>Action</w:t>
            </w:r>
          </w:p>
        </w:tc>
        <w:tc>
          <w:tcPr>
            <w:tcW w:w="0" w:type="auto"/>
            <w:shd w:val="clear" w:color="auto" w:fill="323E4F" w:themeFill="text2" w:themeFillShade="BF"/>
          </w:tcPr>
          <w:p w14:paraId="2052B5C4" w14:textId="760D7C35" w:rsidR="00D865C8" w:rsidRPr="00200676" w:rsidRDefault="00D865C8" w:rsidP="004F190F">
            <w:pPr>
              <w:rPr>
                <w:color w:val="FFFFFF" w:themeColor="background1"/>
                <w:lang w:val="en-GB"/>
              </w:rPr>
            </w:pPr>
            <w:r w:rsidRPr="00200676">
              <w:rPr>
                <w:b/>
                <w:bCs/>
                <w:color w:val="FFFFFF" w:themeColor="background1"/>
              </w:rPr>
              <w:t>Indicative Timeframe</w:t>
            </w:r>
          </w:p>
        </w:tc>
      </w:tr>
      <w:tr w:rsidR="007F3848" w:rsidRPr="008D52BB" w14:paraId="44C45D47" w14:textId="77777777" w:rsidTr="00D25709">
        <w:tc>
          <w:tcPr>
            <w:tcW w:w="0" w:type="auto"/>
          </w:tcPr>
          <w:p w14:paraId="1DA2C7FA" w14:textId="0F580F7C" w:rsidR="007F3848" w:rsidRPr="00F352EF" w:rsidRDefault="007F3848" w:rsidP="004F190F">
            <w:r w:rsidRPr="00F352EF">
              <w:t>1</w:t>
            </w:r>
          </w:p>
        </w:tc>
        <w:tc>
          <w:tcPr>
            <w:tcW w:w="0" w:type="auto"/>
            <w:shd w:val="clear" w:color="auto" w:fill="auto"/>
          </w:tcPr>
          <w:p w14:paraId="08DE80C4" w14:textId="6D93B9E2" w:rsidR="007F3848" w:rsidRPr="00F352EF" w:rsidRDefault="007F3848" w:rsidP="004F190F">
            <w:r w:rsidRPr="00F352EF">
              <w:rPr>
                <w:lang w:val="en-GB"/>
              </w:rPr>
              <w:t xml:space="preserve">Review and update JSOI </w:t>
            </w:r>
            <w:r>
              <w:rPr>
                <w:lang w:val="en-GB"/>
              </w:rPr>
              <w:t xml:space="preserve">on TVET </w:t>
            </w:r>
            <w:r w:rsidRPr="00F352EF">
              <w:rPr>
                <w:lang w:val="en-GB"/>
              </w:rPr>
              <w:t xml:space="preserve">commitments </w:t>
            </w:r>
          </w:p>
        </w:tc>
        <w:tc>
          <w:tcPr>
            <w:tcW w:w="0" w:type="auto"/>
            <w:shd w:val="clear" w:color="auto" w:fill="auto"/>
          </w:tcPr>
          <w:p w14:paraId="5AFE827E" w14:textId="77777777" w:rsidR="007F3848" w:rsidRPr="00F352EF" w:rsidRDefault="007F3848" w:rsidP="004F190F">
            <w:r w:rsidRPr="00F352EF">
              <w:rPr>
                <w:lang w:val="en-GB"/>
              </w:rPr>
              <w:t xml:space="preserve">Agree </w:t>
            </w:r>
          </w:p>
        </w:tc>
        <w:tc>
          <w:tcPr>
            <w:tcW w:w="0" w:type="auto"/>
            <w:shd w:val="clear" w:color="auto" w:fill="auto"/>
          </w:tcPr>
          <w:p w14:paraId="70E10AD1" w14:textId="1DA39C8C" w:rsidR="007F3848" w:rsidRPr="00F352EF" w:rsidRDefault="007F3848" w:rsidP="004F190F">
            <w:r w:rsidRPr="639EC385">
              <w:t xml:space="preserve">An updated JSOI on TVET was signed at the PNG-Australia Ministerial Forum on 19 June 2024 </w:t>
            </w:r>
            <w:proofErr w:type="gramStart"/>
            <w:r w:rsidRPr="639EC385">
              <w:t>by  Australia’s</w:t>
            </w:r>
            <w:proofErr w:type="gramEnd"/>
            <w:r w:rsidRPr="639EC385">
              <w:t xml:space="preserve"> Minister for International Development and the Pacific, Pat Conroy MP, and PNG’s Caretaker Minister for Higher </w:t>
            </w:r>
            <w:r w:rsidRPr="639EC385">
              <w:lastRenderedPageBreak/>
              <w:t xml:space="preserve">Education, Research, Science and Technology, Lucas </w:t>
            </w:r>
            <w:proofErr w:type="spellStart"/>
            <w:r w:rsidRPr="639EC385">
              <w:t>Dawa</w:t>
            </w:r>
            <w:proofErr w:type="spellEnd"/>
            <w:r w:rsidRPr="639EC385">
              <w:t xml:space="preserve"> </w:t>
            </w:r>
            <w:proofErr w:type="spellStart"/>
            <w:r w:rsidRPr="639EC385">
              <w:t>Dekena</w:t>
            </w:r>
            <w:proofErr w:type="spellEnd"/>
            <w:r w:rsidRPr="639EC385">
              <w:t xml:space="preserve"> MP.    </w:t>
            </w:r>
          </w:p>
        </w:tc>
        <w:tc>
          <w:tcPr>
            <w:tcW w:w="0" w:type="auto"/>
            <w:shd w:val="clear" w:color="auto" w:fill="auto"/>
          </w:tcPr>
          <w:p w14:paraId="0468D51D" w14:textId="77777777" w:rsidR="007F3848" w:rsidRPr="00F352EF" w:rsidRDefault="007F3848" w:rsidP="004F190F">
            <w:r w:rsidRPr="00F352EF">
              <w:rPr>
                <w:lang w:val="en-GB"/>
              </w:rPr>
              <w:lastRenderedPageBreak/>
              <w:t xml:space="preserve">Completed </w:t>
            </w:r>
          </w:p>
        </w:tc>
      </w:tr>
      <w:tr w:rsidR="007F3848" w:rsidRPr="008D52BB" w14:paraId="0B205CFA" w14:textId="77777777" w:rsidTr="00D25709">
        <w:tc>
          <w:tcPr>
            <w:tcW w:w="0" w:type="auto"/>
          </w:tcPr>
          <w:p w14:paraId="3C3B38EC" w14:textId="5B1AC6B6" w:rsidR="007F3848" w:rsidRPr="00F352EF" w:rsidRDefault="007F3848" w:rsidP="004F190F">
            <w:r w:rsidRPr="00F352EF">
              <w:t>2</w:t>
            </w:r>
          </w:p>
        </w:tc>
        <w:tc>
          <w:tcPr>
            <w:tcW w:w="0" w:type="auto"/>
            <w:shd w:val="clear" w:color="auto" w:fill="auto"/>
          </w:tcPr>
          <w:p w14:paraId="47037E31" w14:textId="77777777" w:rsidR="007F3848" w:rsidRPr="00F352EF" w:rsidRDefault="007F3848" w:rsidP="004F190F">
            <w:r w:rsidRPr="00F352EF">
              <w:rPr>
                <w:lang w:val="en-GB"/>
              </w:rPr>
              <w:t>Produce a TVET subsector strategic framework</w:t>
            </w:r>
            <w:r w:rsidRPr="00F352EF">
              <w:rPr>
                <w:rStyle w:val="FootnoteReference"/>
                <w:b/>
                <w:bCs/>
                <w:lang w:val="en-GB"/>
              </w:rPr>
              <w:footnoteReference w:id="2"/>
            </w:r>
            <w:r w:rsidRPr="00F352EF">
              <w:rPr>
                <w:b/>
                <w:bCs/>
                <w:lang w:val="en-GB"/>
              </w:rPr>
              <w:t xml:space="preserve"> </w:t>
            </w:r>
            <w:r w:rsidRPr="00F352EF">
              <w:rPr>
                <w:lang w:val="en-GB"/>
              </w:rPr>
              <w:t>that maps elements required for subsector</w:t>
            </w:r>
            <w:r w:rsidRPr="00F352EF">
              <w:rPr>
                <w:b/>
                <w:bCs/>
                <w:lang w:val="en-GB"/>
              </w:rPr>
              <w:t xml:space="preserve"> </w:t>
            </w:r>
            <w:r w:rsidRPr="00F352EF">
              <w:rPr>
                <w:lang w:val="en-GB"/>
              </w:rPr>
              <w:t>transformation to inform decisions about the subsector and to manage and monitor and evaluate interventions.</w:t>
            </w:r>
            <w:r w:rsidRPr="00F352EF">
              <w:rPr>
                <w:b/>
                <w:bCs/>
                <w:lang w:val="en-GB"/>
              </w:rPr>
              <w:t xml:space="preserve"> </w:t>
            </w:r>
          </w:p>
        </w:tc>
        <w:tc>
          <w:tcPr>
            <w:tcW w:w="0" w:type="auto"/>
            <w:shd w:val="clear" w:color="auto" w:fill="auto"/>
          </w:tcPr>
          <w:p w14:paraId="6C0CEA13" w14:textId="77777777" w:rsidR="007F3848" w:rsidRPr="00F352EF" w:rsidRDefault="007F3848" w:rsidP="004F190F">
            <w:r w:rsidRPr="00F352EF">
              <w:rPr>
                <w:lang w:val="en-GB"/>
              </w:rPr>
              <w:t>Agree</w:t>
            </w:r>
          </w:p>
        </w:tc>
        <w:tc>
          <w:tcPr>
            <w:tcW w:w="0" w:type="auto"/>
            <w:shd w:val="clear" w:color="auto" w:fill="auto"/>
          </w:tcPr>
          <w:p w14:paraId="467CD7A8" w14:textId="77777777" w:rsidR="007F3848" w:rsidRPr="00F352EF" w:rsidRDefault="007F3848" w:rsidP="004F190F"/>
        </w:tc>
        <w:tc>
          <w:tcPr>
            <w:tcW w:w="0" w:type="auto"/>
            <w:shd w:val="clear" w:color="auto" w:fill="auto"/>
          </w:tcPr>
          <w:p w14:paraId="3E6A3281" w14:textId="77777777" w:rsidR="007F3848" w:rsidRPr="00F352EF" w:rsidRDefault="007F3848" w:rsidP="004F190F">
            <w:r w:rsidRPr="00F352EF">
              <w:rPr>
                <w:lang w:val="en-GB"/>
              </w:rPr>
              <w:t>By December 2024</w:t>
            </w:r>
          </w:p>
        </w:tc>
      </w:tr>
      <w:tr w:rsidR="007F3848" w:rsidRPr="008D52BB" w14:paraId="30B62F87" w14:textId="77777777" w:rsidTr="00D25709">
        <w:trPr>
          <w:trHeight w:val="1865"/>
        </w:trPr>
        <w:tc>
          <w:tcPr>
            <w:tcW w:w="0" w:type="auto"/>
          </w:tcPr>
          <w:p w14:paraId="739B9BB0" w14:textId="52B3178F" w:rsidR="007F3848" w:rsidRPr="00F352EF" w:rsidRDefault="007F3848" w:rsidP="004F190F">
            <w:r w:rsidRPr="00F352EF">
              <w:t>3</w:t>
            </w:r>
          </w:p>
        </w:tc>
        <w:tc>
          <w:tcPr>
            <w:tcW w:w="0" w:type="auto"/>
            <w:shd w:val="clear" w:color="auto" w:fill="auto"/>
          </w:tcPr>
          <w:p w14:paraId="33B0A9F9" w14:textId="7B3CC5E6" w:rsidR="007F3848" w:rsidRPr="00F352EF" w:rsidRDefault="007F3848" w:rsidP="004F190F">
            <w:r w:rsidRPr="00F352EF">
              <w:rPr>
                <w:lang w:val="en-GB"/>
              </w:rPr>
              <w:t>Identify and support additional governance structures and other mechanisms that may be needed for the rapid transformation of the TVET subsector, such as the Industry Skills Groups</w:t>
            </w:r>
            <w:r w:rsidRPr="00F352EF">
              <w:rPr>
                <w:b/>
                <w:bCs/>
                <w:lang w:val="en-GB"/>
              </w:rPr>
              <w:t>.</w:t>
            </w:r>
            <w:r w:rsidRPr="00F352EF">
              <w:rPr>
                <w:lang w:val="en-GB"/>
              </w:rPr>
              <w:t xml:space="preserve"> Structures/mechanisms often fail because of a lack of implementation support; secretariats may be necessary (See Rec </w:t>
            </w:r>
            <w:r>
              <w:rPr>
                <w:lang w:val="en-GB"/>
              </w:rPr>
              <w:t>8)</w:t>
            </w:r>
            <w:r w:rsidRPr="00F352EF">
              <w:rPr>
                <w:lang w:val="en-GB"/>
              </w:rPr>
              <w:t>.</w:t>
            </w:r>
          </w:p>
        </w:tc>
        <w:tc>
          <w:tcPr>
            <w:tcW w:w="0" w:type="auto"/>
            <w:shd w:val="clear" w:color="auto" w:fill="auto"/>
          </w:tcPr>
          <w:p w14:paraId="1B7572D3" w14:textId="0AB0181B" w:rsidR="007F3848" w:rsidRPr="00F352EF" w:rsidRDefault="007F3848" w:rsidP="004F190F">
            <w:r>
              <w:rPr>
                <w:lang w:val="en-GB"/>
              </w:rPr>
              <w:t>Agree in principle</w:t>
            </w:r>
          </w:p>
        </w:tc>
        <w:tc>
          <w:tcPr>
            <w:tcW w:w="0" w:type="auto"/>
            <w:shd w:val="clear" w:color="auto" w:fill="auto"/>
          </w:tcPr>
          <w:p w14:paraId="651BFD17" w14:textId="6DB29B6E" w:rsidR="007F3848" w:rsidRPr="00267211" w:rsidRDefault="007F3848" w:rsidP="004F190F">
            <w:pPr>
              <w:rPr>
                <w:lang w:val="en-GB"/>
              </w:rPr>
            </w:pPr>
            <w:r>
              <w:rPr>
                <w:lang w:val="en-GB"/>
              </w:rPr>
              <w:t xml:space="preserve">DFAT will consider in the context of its forthcoming TVET program, to commence in 2025. DFAT notes there are existing governance structures that could support this recommendation, including the </w:t>
            </w:r>
            <w:r w:rsidRPr="00F352EF">
              <w:rPr>
                <w:lang w:val="en-GB"/>
              </w:rPr>
              <w:t>National Skills Development Agency</w:t>
            </w:r>
            <w:r>
              <w:rPr>
                <w:lang w:val="en-GB"/>
              </w:rPr>
              <w:t xml:space="preserve"> and</w:t>
            </w:r>
            <w:r w:rsidRPr="00F352EF">
              <w:rPr>
                <w:lang w:val="en-GB"/>
              </w:rPr>
              <w:t xml:space="preserve"> the Industry Skills Groups to develop the National Training Packages.</w:t>
            </w:r>
          </w:p>
        </w:tc>
        <w:tc>
          <w:tcPr>
            <w:tcW w:w="0" w:type="auto"/>
            <w:shd w:val="clear" w:color="auto" w:fill="auto"/>
          </w:tcPr>
          <w:p w14:paraId="7DC95B08" w14:textId="77777777" w:rsidR="007F3848" w:rsidRPr="00F352EF" w:rsidRDefault="007F3848" w:rsidP="004F190F">
            <w:r w:rsidRPr="00F352EF">
              <w:t>Ongoing</w:t>
            </w:r>
          </w:p>
        </w:tc>
      </w:tr>
      <w:tr w:rsidR="007F3848" w:rsidRPr="008D52BB" w14:paraId="382E5995" w14:textId="77777777" w:rsidTr="00D25709">
        <w:tc>
          <w:tcPr>
            <w:tcW w:w="0" w:type="auto"/>
          </w:tcPr>
          <w:p w14:paraId="584A1DFE" w14:textId="463D2966" w:rsidR="007F3848" w:rsidRPr="00F352EF" w:rsidRDefault="007F3848" w:rsidP="004F190F">
            <w:r w:rsidRPr="00F352EF">
              <w:t>4</w:t>
            </w:r>
          </w:p>
        </w:tc>
        <w:tc>
          <w:tcPr>
            <w:tcW w:w="0" w:type="auto"/>
            <w:shd w:val="clear" w:color="auto" w:fill="auto"/>
          </w:tcPr>
          <w:p w14:paraId="2E6D6BD9" w14:textId="77777777" w:rsidR="007F3848" w:rsidRPr="00F352EF" w:rsidRDefault="007F3848" w:rsidP="004F190F">
            <w:r w:rsidRPr="00F352EF">
              <w:rPr>
                <w:lang w:val="en-GB"/>
              </w:rPr>
              <w:t>Carry out a tracer study of TVET subsector graduates, initially focusing on technical college graduates, but consider expanding to include other types of TVET training to understand where graduates end up and to inform subsector planning for success.</w:t>
            </w:r>
          </w:p>
        </w:tc>
        <w:tc>
          <w:tcPr>
            <w:tcW w:w="0" w:type="auto"/>
            <w:shd w:val="clear" w:color="auto" w:fill="auto"/>
          </w:tcPr>
          <w:p w14:paraId="36CF1DC1" w14:textId="77777777" w:rsidR="007F3848" w:rsidRPr="00F352EF" w:rsidRDefault="007F3848" w:rsidP="004F190F">
            <w:r w:rsidRPr="00F352EF">
              <w:rPr>
                <w:lang w:val="en-GB"/>
              </w:rPr>
              <w:t>Agree</w:t>
            </w:r>
          </w:p>
        </w:tc>
        <w:tc>
          <w:tcPr>
            <w:tcW w:w="0" w:type="auto"/>
            <w:shd w:val="clear" w:color="auto" w:fill="auto"/>
          </w:tcPr>
          <w:p w14:paraId="42B53840" w14:textId="77777777" w:rsidR="007F3848" w:rsidRPr="00F352EF" w:rsidRDefault="007F3848" w:rsidP="004F190F">
            <w:r w:rsidRPr="00F352EF">
              <w:rPr>
                <w:lang w:val="en-GB"/>
              </w:rPr>
              <w:t xml:space="preserve">This will be carried out under the Improved TVET for Employment Project with 10 Colleges. </w:t>
            </w:r>
          </w:p>
        </w:tc>
        <w:tc>
          <w:tcPr>
            <w:tcW w:w="0" w:type="auto"/>
            <w:shd w:val="clear" w:color="auto" w:fill="auto"/>
          </w:tcPr>
          <w:p w14:paraId="3D3BBF80" w14:textId="292F11E3" w:rsidR="007F3848" w:rsidRPr="00F352EF" w:rsidRDefault="007F3848" w:rsidP="004F190F">
            <w:r>
              <w:rPr>
                <w:lang w:val="en-GB"/>
              </w:rPr>
              <w:t xml:space="preserve">By </w:t>
            </w:r>
            <w:r w:rsidRPr="00F352EF">
              <w:rPr>
                <w:lang w:val="en-GB"/>
              </w:rPr>
              <w:t>Q</w:t>
            </w:r>
            <w:r>
              <w:rPr>
                <w:lang w:val="en-GB"/>
              </w:rPr>
              <w:t xml:space="preserve">uarter </w:t>
            </w:r>
            <w:r w:rsidRPr="00F352EF">
              <w:rPr>
                <w:lang w:val="en-GB"/>
              </w:rPr>
              <w:t>3, 2025</w:t>
            </w:r>
          </w:p>
        </w:tc>
      </w:tr>
      <w:tr w:rsidR="007F3848" w:rsidRPr="008D52BB" w14:paraId="058F4F24" w14:textId="77777777" w:rsidTr="00D25709">
        <w:tc>
          <w:tcPr>
            <w:tcW w:w="0" w:type="auto"/>
          </w:tcPr>
          <w:p w14:paraId="652F78ED" w14:textId="366447D4" w:rsidR="007F3848" w:rsidRPr="00F352EF" w:rsidRDefault="007F3848" w:rsidP="004F190F">
            <w:r w:rsidRPr="00F352EF">
              <w:t>5</w:t>
            </w:r>
          </w:p>
        </w:tc>
        <w:tc>
          <w:tcPr>
            <w:tcW w:w="0" w:type="auto"/>
            <w:shd w:val="clear" w:color="auto" w:fill="auto"/>
          </w:tcPr>
          <w:p w14:paraId="693F0718" w14:textId="77777777" w:rsidR="007F3848" w:rsidRPr="00F352EF" w:rsidRDefault="007F3848" w:rsidP="004F190F">
            <w:bookmarkStart w:id="0" w:name="_Hlk171336716"/>
            <w:r w:rsidRPr="00F352EF">
              <w:rPr>
                <w:lang w:val="en-GB"/>
              </w:rPr>
              <w:t xml:space="preserve">Investigate ways to incentivise industry to engage with local TVET colleges with a view to employing successful graduates, in collaboration with other </w:t>
            </w:r>
            <w:proofErr w:type="spellStart"/>
            <w:r w:rsidRPr="00F352EF">
              <w:rPr>
                <w:lang w:val="en-GB"/>
              </w:rPr>
              <w:t>GoPNG</w:t>
            </w:r>
            <w:proofErr w:type="spellEnd"/>
            <w:r w:rsidRPr="00F352EF">
              <w:rPr>
                <w:lang w:val="en-GB"/>
              </w:rPr>
              <w:t xml:space="preserve"> stakeholders.</w:t>
            </w:r>
            <w:r w:rsidRPr="00F352EF">
              <w:rPr>
                <w:color w:val="1E282A"/>
              </w:rPr>
              <w:t xml:space="preserve">  </w:t>
            </w:r>
            <w:bookmarkEnd w:id="0"/>
          </w:p>
        </w:tc>
        <w:tc>
          <w:tcPr>
            <w:tcW w:w="0" w:type="auto"/>
            <w:shd w:val="clear" w:color="auto" w:fill="auto"/>
          </w:tcPr>
          <w:p w14:paraId="32000C3F" w14:textId="77777777" w:rsidR="007F3848" w:rsidRPr="00F352EF" w:rsidRDefault="007F3848" w:rsidP="004F190F">
            <w:r w:rsidRPr="00F352EF">
              <w:rPr>
                <w:lang w:val="en-GB"/>
              </w:rPr>
              <w:t xml:space="preserve">Agree </w:t>
            </w:r>
          </w:p>
        </w:tc>
        <w:tc>
          <w:tcPr>
            <w:tcW w:w="0" w:type="auto"/>
            <w:shd w:val="clear" w:color="auto" w:fill="auto"/>
          </w:tcPr>
          <w:p w14:paraId="46E28F46" w14:textId="77777777" w:rsidR="007F3848" w:rsidRPr="00F352EF" w:rsidRDefault="007F3848" w:rsidP="004F190F">
            <w:r w:rsidRPr="00F352EF">
              <w:rPr>
                <w:lang w:val="en-GB"/>
              </w:rPr>
              <w:t>This will be carried out under the Improved TVET for Employment Project with 10 Colleges.</w:t>
            </w:r>
          </w:p>
        </w:tc>
        <w:tc>
          <w:tcPr>
            <w:tcW w:w="0" w:type="auto"/>
            <w:shd w:val="clear" w:color="auto" w:fill="auto"/>
          </w:tcPr>
          <w:p w14:paraId="7C9F47B8" w14:textId="1FC1575D" w:rsidR="007F3848" w:rsidRPr="00F352EF" w:rsidRDefault="007F3848" w:rsidP="004F190F">
            <w:r>
              <w:rPr>
                <w:lang w:val="en-GB"/>
              </w:rPr>
              <w:t>Ongoing</w:t>
            </w:r>
          </w:p>
        </w:tc>
      </w:tr>
      <w:tr w:rsidR="002D797A" w:rsidRPr="008D52BB" w14:paraId="12ED782D" w14:textId="77777777" w:rsidTr="00D25709">
        <w:tc>
          <w:tcPr>
            <w:tcW w:w="0" w:type="auto"/>
          </w:tcPr>
          <w:p w14:paraId="65795235" w14:textId="221C7D93" w:rsidR="002D797A" w:rsidRPr="00F352EF" w:rsidRDefault="002D797A" w:rsidP="002D797A">
            <w:r w:rsidRPr="00F352EF">
              <w:lastRenderedPageBreak/>
              <w:t>6</w:t>
            </w:r>
          </w:p>
        </w:tc>
        <w:tc>
          <w:tcPr>
            <w:tcW w:w="0" w:type="auto"/>
            <w:shd w:val="clear" w:color="auto" w:fill="auto"/>
          </w:tcPr>
          <w:p w14:paraId="7A53AB0B" w14:textId="3A0A3B42" w:rsidR="002D797A" w:rsidRPr="00F352EF" w:rsidRDefault="002D797A" w:rsidP="002D797A">
            <w:pPr>
              <w:rPr>
                <w:lang w:val="en-GB"/>
              </w:rPr>
            </w:pPr>
            <w:r w:rsidRPr="00F352EF">
              <w:rPr>
                <w:color w:val="1E282A"/>
              </w:rPr>
              <w:t xml:space="preserve">Build on DFAT’s long-standing engagement in the TVET subsector and </w:t>
            </w:r>
            <w:r w:rsidRPr="00F352EF">
              <w:rPr>
                <w:b/>
                <w:color w:val="1E282A"/>
              </w:rPr>
              <w:t xml:space="preserve">consider a leadership and coordinating role </w:t>
            </w:r>
            <w:r w:rsidRPr="00F352EF">
              <w:rPr>
                <w:color w:val="1E282A"/>
              </w:rPr>
              <w:t>among other donors. If DFAT is committed to being a lead donor, revisit the JSOI joint and DFAT-specific commitments and consider modifications to support this leadership role.</w:t>
            </w:r>
          </w:p>
        </w:tc>
        <w:tc>
          <w:tcPr>
            <w:tcW w:w="0" w:type="auto"/>
            <w:shd w:val="clear" w:color="auto" w:fill="auto"/>
          </w:tcPr>
          <w:p w14:paraId="76D5C57F" w14:textId="35901810" w:rsidR="002D797A" w:rsidRPr="00F352EF" w:rsidRDefault="002D797A" w:rsidP="002D797A">
            <w:pPr>
              <w:rPr>
                <w:lang w:val="en-GB"/>
              </w:rPr>
            </w:pPr>
            <w:r w:rsidRPr="00F352EF">
              <w:t>Agree</w:t>
            </w:r>
          </w:p>
        </w:tc>
        <w:tc>
          <w:tcPr>
            <w:tcW w:w="0" w:type="auto"/>
            <w:shd w:val="clear" w:color="auto" w:fill="auto"/>
          </w:tcPr>
          <w:p w14:paraId="020686C3" w14:textId="73F7E36B" w:rsidR="002D797A" w:rsidRPr="00F352EF" w:rsidRDefault="002D797A" w:rsidP="002D797A">
            <w:pPr>
              <w:rPr>
                <w:lang w:val="en-GB"/>
              </w:rPr>
            </w:pPr>
            <w:r>
              <w:t xml:space="preserve">The JSOI on TVET was updated in June 2024, at the PNG-Australia Ministerial Forum, to include a role for DFAT </w:t>
            </w:r>
            <w:r w:rsidRPr="00F352EF">
              <w:t>‘providing leadership to facilitate functional relationships amongst development partners and TVET sector stakeholders.’</w:t>
            </w:r>
          </w:p>
        </w:tc>
        <w:tc>
          <w:tcPr>
            <w:tcW w:w="0" w:type="auto"/>
            <w:shd w:val="clear" w:color="auto" w:fill="auto"/>
          </w:tcPr>
          <w:p w14:paraId="07DC7643" w14:textId="77777777" w:rsidR="002D797A" w:rsidRPr="00F352EF" w:rsidRDefault="002D797A" w:rsidP="002D797A">
            <w:r>
              <w:t xml:space="preserve">JSOI update </w:t>
            </w:r>
            <w:proofErr w:type="gramStart"/>
            <w:r>
              <w:t>Completed</w:t>
            </w:r>
            <w:proofErr w:type="gramEnd"/>
          </w:p>
          <w:p w14:paraId="2FB19B84" w14:textId="77777777" w:rsidR="002D797A" w:rsidRDefault="002D797A" w:rsidP="002D797A"/>
          <w:p w14:paraId="4BA7F31D" w14:textId="77777777" w:rsidR="002D797A" w:rsidRPr="00F352EF" w:rsidRDefault="002D797A" w:rsidP="002D797A">
            <w:r>
              <w:t xml:space="preserve">Leadership and coordinating role - </w:t>
            </w:r>
            <w:proofErr w:type="gramStart"/>
            <w:r>
              <w:t>ongoing</w:t>
            </w:r>
            <w:proofErr w:type="gramEnd"/>
          </w:p>
          <w:p w14:paraId="4F6C906D" w14:textId="77777777" w:rsidR="002D797A" w:rsidRDefault="002D797A" w:rsidP="002D797A">
            <w:pPr>
              <w:rPr>
                <w:lang w:val="en-GB"/>
              </w:rPr>
            </w:pPr>
          </w:p>
        </w:tc>
      </w:tr>
      <w:tr w:rsidR="002D797A" w:rsidRPr="008D52BB" w14:paraId="74907A65" w14:textId="77777777" w:rsidTr="00D25709">
        <w:tc>
          <w:tcPr>
            <w:tcW w:w="0" w:type="auto"/>
          </w:tcPr>
          <w:p w14:paraId="47D8C0DC" w14:textId="65B46203" w:rsidR="002D797A" w:rsidRPr="00F352EF" w:rsidRDefault="002D797A" w:rsidP="002D797A">
            <w:r w:rsidRPr="00F352EF">
              <w:t>7</w:t>
            </w:r>
          </w:p>
        </w:tc>
        <w:tc>
          <w:tcPr>
            <w:tcW w:w="0" w:type="auto"/>
            <w:shd w:val="clear" w:color="auto" w:fill="auto"/>
          </w:tcPr>
          <w:p w14:paraId="616B83AC" w14:textId="5420E787" w:rsidR="002D797A" w:rsidRPr="00F352EF" w:rsidRDefault="002D797A" w:rsidP="002D797A">
            <w:pPr>
              <w:rPr>
                <w:color w:val="1E282A"/>
              </w:rPr>
            </w:pPr>
            <w:r w:rsidRPr="00F352EF">
              <w:rPr>
                <w:b/>
                <w:color w:val="1E282A"/>
              </w:rPr>
              <w:t>Reinstate TA resourcing to DHERST</w:t>
            </w:r>
            <w:r w:rsidRPr="00F352EF">
              <w:rPr>
                <w:color w:val="1E282A"/>
              </w:rPr>
              <w:t xml:space="preserve"> based on identified and priority areas of support and appropriate counterpart availability. Establish as soon as possible.</w:t>
            </w:r>
          </w:p>
        </w:tc>
        <w:tc>
          <w:tcPr>
            <w:tcW w:w="0" w:type="auto"/>
            <w:shd w:val="clear" w:color="auto" w:fill="auto"/>
          </w:tcPr>
          <w:p w14:paraId="74A74FD2" w14:textId="0D5F091A" w:rsidR="002D797A" w:rsidRPr="00F352EF" w:rsidRDefault="002D797A" w:rsidP="002D797A">
            <w:r w:rsidRPr="00F352EF">
              <w:t>Agree</w:t>
            </w:r>
          </w:p>
        </w:tc>
        <w:tc>
          <w:tcPr>
            <w:tcW w:w="0" w:type="auto"/>
            <w:shd w:val="clear" w:color="auto" w:fill="auto"/>
          </w:tcPr>
          <w:p w14:paraId="51AE3289" w14:textId="11ECE2DF" w:rsidR="002D797A" w:rsidRDefault="002D797A" w:rsidP="002D797A">
            <w:r w:rsidRPr="00F352EF">
              <w:rPr>
                <w:color w:val="1E282A"/>
              </w:rPr>
              <w:t xml:space="preserve">DFAT will provide modest interim </w:t>
            </w:r>
            <w:r>
              <w:rPr>
                <w:color w:val="1E282A"/>
              </w:rPr>
              <w:t>TA</w:t>
            </w:r>
            <w:r w:rsidRPr="00F352EF">
              <w:rPr>
                <w:color w:val="1E282A"/>
              </w:rPr>
              <w:t xml:space="preserve"> until DFAT’s forthcoming TVET program commences</w:t>
            </w:r>
            <w:r>
              <w:rPr>
                <w:color w:val="1E282A"/>
              </w:rPr>
              <w:t xml:space="preserve"> in 2025</w:t>
            </w:r>
            <w:r w:rsidRPr="00F352EF">
              <w:rPr>
                <w:color w:val="1E282A"/>
              </w:rPr>
              <w:t xml:space="preserve">. </w:t>
            </w:r>
          </w:p>
        </w:tc>
        <w:tc>
          <w:tcPr>
            <w:tcW w:w="0" w:type="auto"/>
            <w:shd w:val="clear" w:color="auto" w:fill="auto"/>
          </w:tcPr>
          <w:p w14:paraId="22D5865E" w14:textId="47C82FDF" w:rsidR="002D797A" w:rsidRDefault="002D797A" w:rsidP="002D797A">
            <w:r>
              <w:t>By Quarter 3, 2024 (subject to visas)</w:t>
            </w:r>
          </w:p>
        </w:tc>
      </w:tr>
      <w:tr w:rsidR="002D797A" w:rsidRPr="008D52BB" w14:paraId="22B7DBAC" w14:textId="77777777" w:rsidTr="00D25709">
        <w:tc>
          <w:tcPr>
            <w:tcW w:w="0" w:type="auto"/>
          </w:tcPr>
          <w:p w14:paraId="06E4CAB2" w14:textId="0273152D" w:rsidR="002D797A" w:rsidRPr="00F352EF" w:rsidRDefault="002D797A" w:rsidP="002D797A">
            <w:r w:rsidRPr="00F352EF">
              <w:t>8</w:t>
            </w:r>
          </w:p>
        </w:tc>
        <w:tc>
          <w:tcPr>
            <w:tcW w:w="0" w:type="auto"/>
            <w:shd w:val="clear" w:color="auto" w:fill="auto"/>
          </w:tcPr>
          <w:p w14:paraId="1240B4A8" w14:textId="140021F6" w:rsidR="002D797A" w:rsidRPr="00F352EF" w:rsidRDefault="002D797A" w:rsidP="002D797A">
            <w:pPr>
              <w:rPr>
                <w:b/>
                <w:color w:val="1E282A"/>
              </w:rPr>
            </w:pPr>
            <w:r w:rsidRPr="00F352EF">
              <w:rPr>
                <w:color w:val="1E282A"/>
              </w:rPr>
              <w:t>Ensure that DFAT can influence</w:t>
            </w:r>
            <w:r w:rsidRPr="00F352EF">
              <w:t xml:space="preserve"> </w:t>
            </w:r>
            <w:r w:rsidRPr="00F352EF">
              <w:rPr>
                <w:color w:val="1E282A"/>
              </w:rPr>
              <w:t>decisions made about multilateral investments at the strategic, tactical, and operational levels and can help ensure harmonisation initiatives across investments. To exercise influence, DFAT will need to be well-versed in project implementation. M&amp;E is a key area of focus. Investigate and incorporate strategies for deeper engagement as soon as possible.</w:t>
            </w:r>
          </w:p>
        </w:tc>
        <w:tc>
          <w:tcPr>
            <w:tcW w:w="0" w:type="auto"/>
            <w:shd w:val="clear" w:color="auto" w:fill="auto"/>
          </w:tcPr>
          <w:p w14:paraId="575F4807" w14:textId="6423A033" w:rsidR="002D797A" w:rsidRPr="00F352EF" w:rsidRDefault="002D797A" w:rsidP="002D797A">
            <w:r w:rsidRPr="00F352EF">
              <w:t>Agree</w:t>
            </w:r>
          </w:p>
        </w:tc>
        <w:tc>
          <w:tcPr>
            <w:tcW w:w="0" w:type="auto"/>
            <w:shd w:val="clear" w:color="auto" w:fill="auto"/>
          </w:tcPr>
          <w:p w14:paraId="7D5B1AD1" w14:textId="45C5C075" w:rsidR="002D797A" w:rsidRPr="00F352EF" w:rsidRDefault="002D797A" w:rsidP="002D797A">
            <w:pPr>
              <w:rPr>
                <w:color w:val="1E282A"/>
              </w:rPr>
            </w:pPr>
            <w:r w:rsidRPr="00F352EF">
              <w:t xml:space="preserve">DFAT will continue to engage on the Improved TVET for Employment Project, by participating in steering committee meetings, monitoring visits, and workshops. </w:t>
            </w:r>
            <w:r>
              <w:t xml:space="preserve">DFAT will consider appropriate governance mechanisms, in the context of designing new investments, to ensure harmonisation. </w:t>
            </w:r>
          </w:p>
        </w:tc>
        <w:tc>
          <w:tcPr>
            <w:tcW w:w="0" w:type="auto"/>
            <w:shd w:val="clear" w:color="auto" w:fill="auto"/>
          </w:tcPr>
          <w:p w14:paraId="2B20C1CF" w14:textId="4E7532FA" w:rsidR="002D797A" w:rsidRDefault="002D797A" w:rsidP="002D797A">
            <w:r w:rsidRPr="00F352EF">
              <w:t xml:space="preserve">Ongoing </w:t>
            </w:r>
          </w:p>
        </w:tc>
      </w:tr>
      <w:tr w:rsidR="002D797A" w:rsidRPr="008D52BB" w14:paraId="67A60661" w14:textId="77777777" w:rsidTr="00D25709">
        <w:tc>
          <w:tcPr>
            <w:tcW w:w="0" w:type="auto"/>
          </w:tcPr>
          <w:p w14:paraId="26E06358" w14:textId="4673E363" w:rsidR="002D797A" w:rsidRPr="00F352EF" w:rsidRDefault="002D797A" w:rsidP="002D797A">
            <w:r>
              <w:t>9</w:t>
            </w:r>
          </w:p>
        </w:tc>
        <w:tc>
          <w:tcPr>
            <w:tcW w:w="0" w:type="auto"/>
            <w:shd w:val="clear" w:color="auto" w:fill="auto"/>
          </w:tcPr>
          <w:p w14:paraId="094FE58A" w14:textId="66E7162B" w:rsidR="002D797A" w:rsidRPr="00F352EF" w:rsidRDefault="002D797A" w:rsidP="002D797A">
            <w:pPr>
              <w:rPr>
                <w:color w:val="1E282A"/>
              </w:rPr>
            </w:pPr>
            <w:r w:rsidRPr="00F352EF">
              <w:rPr>
                <w:color w:val="1E282A"/>
              </w:rPr>
              <w:t xml:space="preserve">Consider new ways of working to enhance quality TVET provision for greater numbers of students, including: consideration of the political economy of TVET, working with the pool of competent TVET providers (especially faith-based providers and industry providers); instigating demand-driven planning  Technical Colleges with linkages to </w:t>
            </w:r>
            <w:r w:rsidRPr="00F352EF">
              <w:rPr>
                <w:color w:val="1E282A"/>
              </w:rPr>
              <w:lastRenderedPageBreak/>
              <w:t>Australian Training Providers; and incorporating organisational capacity/gendered political economy assessments and development plans for technical colleges that can be monitored and evaluated.</w:t>
            </w:r>
          </w:p>
        </w:tc>
        <w:tc>
          <w:tcPr>
            <w:tcW w:w="0" w:type="auto"/>
            <w:shd w:val="clear" w:color="auto" w:fill="auto"/>
          </w:tcPr>
          <w:p w14:paraId="4A4A5B38" w14:textId="77777777" w:rsidR="002D797A" w:rsidRDefault="002D797A" w:rsidP="002D797A">
            <w:r w:rsidRPr="00F352EF">
              <w:lastRenderedPageBreak/>
              <w:t>Agree</w:t>
            </w:r>
          </w:p>
          <w:p w14:paraId="219A46E4" w14:textId="77777777" w:rsidR="002D797A" w:rsidRPr="006A0EEF" w:rsidRDefault="002D797A" w:rsidP="002D797A"/>
          <w:p w14:paraId="369E609C" w14:textId="77777777" w:rsidR="002D797A" w:rsidRPr="006A0EEF" w:rsidRDefault="002D797A" w:rsidP="002D797A"/>
          <w:p w14:paraId="592585F2" w14:textId="77777777" w:rsidR="002D797A" w:rsidRPr="00F352EF" w:rsidRDefault="002D797A" w:rsidP="002D797A"/>
        </w:tc>
        <w:tc>
          <w:tcPr>
            <w:tcW w:w="0" w:type="auto"/>
            <w:shd w:val="clear" w:color="auto" w:fill="auto"/>
          </w:tcPr>
          <w:p w14:paraId="74ED1AF5" w14:textId="77777777" w:rsidR="002D797A" w:rsidRDefault="002D797A" w:rsidP="002D797A">
            <w:pPr>
              <w:rPr>
                <w:lang w:val="en-GB"/>
              </w:rPr>
            </w:pPr>
            <w:r>
              <w:rPr>
                <w:lang w:val="en-GB"/>
              </w:rPr>
              <w:t>DFAT will consider in the context of its forthcoming TVET program, to commence in 2025.</w:t>
            </w:r>
          </w:p>
          <w:p w14:paraId="4730247C" w14:textId="77777777" w:rsidR="002D797A" w:rsidRDefault="002D797A" w:rsidP="002D797A">
            <w:pPr>
              <w:rPr>
                <w:lang w:val="en-GB"/>
              </w:rPr>
            </w:pPr>
          </w:p>
          <w:p w14:paraId="0F907234" w14:textId="1CF49013" w:rsidR="002D797A" w:rsidRPr="00F352EF" w:rsidRDefault="002D797A" w:rsidP="002D797A">
            <w:r>
              <w:rPr>
                <w:lang w:val="en-GB"/>
              </w:rPr>
              <w:t xml:space="preserve">DFAT will also progress new skills training opportunities to support a greater number of Papua New Guineans to participate in the PALM </w:t>
            </w:r>
            <w:r>
              <w:rPr>
                <w:lang w:val="en-GB"/>
              </w:rPr>
              <w:lastRenderedPageBreak/>
              <w:t>scheme, in line with the Joint Action Plan to Scale Up Labour Mobility agreed at the PNG-Australia Ministerial Forum.</w:t>
            </w:r>
          </w:p>
        </w:tc>
        <w:tc>
          <w:tcPr>
            <w:tcW w:w="0" w:type="auto"/>
            <w:shd w:val="clear" w:color="auto" w:fill="auto"/>
          </w:tcPr>
          <w:p w14:paraId="3379EDD6" w14:textId="6D47F95F" w:rsidR="002D797A" w:rsidRPr="00F352EF" w:rsidRDefault="002D797A" w:rsidP="002D797A">
            <w:r>
              <w:lastRenderedPageBreak/>
              <w:t>Ongoing</w:t>
            </w:r>
          </w:p>
        </w:tc>
      </w:tr>
      <w:tr w:rsidR="002D797A" w:rsidRPr="008D52BB" w14:paraId="2310306E" w14:textId="77777777" w:rsidTr="00D25709">
        <w:tc>
          <w:tcPr>
            <w:tcW w:w="0" w:type="auto"/>
          </w:tcPr>
          <w:p w14:paraId="1F970111" w14:textId="3F1EA49B" w:rsidR="002D797A" w:rsidRDefault="002D797A" w:rsidP="002D797A">
            <w:r>
              <w:t>10</w:t>
            </w:r>
          </w:p>
        </w:tc>
        <w:tc>
          <w:tcPr>
            <w:tcW w:w="0" w:type="auto"/>
            <w:shd w:val="clear" w:color="auto" w:fill="auto"/>
          </w:tcPr>
          <w:p w14:paraId="7F10B3E0" w14:textId="10C9B47D" w:rsidR="002D797A" w:rsidRPr="00F352EF" w:rsidRDefault="002D797A" w:rsidP="002D797A">
            <w:pPr>
              <w:rPr>
                <w:color w:val="1E282A"/>
              </w:rPr>
            </w:pPr>
            <w:r w:rsidRPr="00F352EF">
              <w:rPr>
                <w:bCs/>
                <w:color w:val="1E282A"/>
              </w:rPr>
              <w:t>Engage an in-house TVET subsector expert</w:t>
            </w:r>
            <w:r w:rsidRPr="00F352EF">
              <w:rPr>
                <w:rStyle w:val="FootnoteReference"/>
                <w:bCs/>
                <w:color w:val="1E282A"/>
              </w:rPr>
              <w:footnoteReference w:id="3"/>
            </w:r>
            <w:r w:rsidRPr="00F352EF">
              <w:rPr>
                <w:bCs/>
                <w:color w:val="1E282A"/>
              </w:rPr>
              <w:t xml:space="preserve"> to support the Post. </w:t>
            </w:r>
          </w:p>
        </w:tc>
        <w:tc>
          <w:tcPr>
            <w:tcW w:w="0" w:type="auto"/>
            <w:shd w:val="clear" w:color="auto" w:fill="auto"/>
          </w:tcPr>
          <w:p w14:paraId="3ED19C40" w14:textId="037DE829" w:rsidR="002D797A" w:rsidRPr="00F352EF" w:rsidRDefault="002D797A" w:rsidP="002D797A">
            <w:r w:rsidRPr="00F352EF">
              <w:t>Agree</w:t>
            </w:r>
          </w:p>
        </w:tc>
        <w:tc>
          <w:tcPr>
            <w:tcW w:w="0" w:type="auto"/>
            <w:shd w:val="clear" w:color="auto" w:fill="auto"/>
          </w:tcPr>
          <w:p w14:paraId="0A64111B" w14:textId="104012E3" w:rsidR="002D797A" w:rsidRDefault="002D797A" w:rsidP="002D797A">
            <w:pPr>
              <w:rPr>
                <w:lang w:val="en-GB"/>
              </w:rPr>
            </w:pPr>
            <w:r w:rsidRPr="00F352EF">
              <w:t xml:space="preserve">DFAT will procure </w:t>
            </w:r>
            <w:r>
              <w:t xml:space="preserve">TVET subsector </w:t>
            </w:r>
            <w:r w:rsidRPr="00F352EF">
              <w:t>expertise</w:t>
            </w:r>
            <w:r>
              <w:t>, including to inform design of its new TVET program to commence in 2025</w:t>
            </w:r>
            <w:r w:rsidRPr="00F352EF">
              <w:t>.</w:t>
            </w:r>
          </w:p>
        </w:tc>
        <w:tc>
          <w:tcPr>
            <w:tcW w:w="0" w:type="auto"/>
            <w:shd w:val="clear" w:color="auto" w:fill="auto"/>
          </w:tcPr>
          <w:p w14:paraId="3BF0E1B8" w14:textId="05214577" w:rsidR="002D797A" w:rsidRDefault="002D797A" w:rsidP="002D797A">
            <w:r>
              <w:t>By Quarter 3 2024 (</w:t>
            </w:r>
            <w:r w:rsidRPr="00F352EF">
              <w:t>subject to visas</w:t>
            </w:r>
            <w:r>
              <w:t>)</w:t>
            </w:r>
            <w:r w:rsidRPr="00F352EF">
              <w:t>.</w:t>
            </w:r>
          </w:p>
        </w:tc>
      </w:tr>
    </w:tbl>
    <w:p w14:paraId="2FB1A053" w14:textId="77777777" w:rsidR="006377C1" w:rsidRDefault="006377C1">
      <w:r>
        <w:br w:type="page"/>
      </w:r>
    </w:p>
    <w:tbl>
      <w:tblPr>
        <w:tblStyle w:val="TableGrid"/>
        <w:tblW w:w="0" w:type="auto"/>
        <w:tblLook w:val="04A0" w:firstRow="1" w:lastRow="0" w:firstColumn="1" w:lastColumn="0" w:noHBand="0" w:noVBand="1"/>
      </w:tblPr>
      <w:tblGrid>
        <w:gridCol w:w="460"/>
        <w:gridCol w:w="5607"/>
        <w:gridCol w:w="1171"/>
        <w:gridCol w:w="4904"/>
        <w:gridCol w:w="1806"/>
      </w:tblGrid>
      <w:tr w:rsidR="00CB4F6A" w:rsidRPr="008D52BB" w14:paraId="725798AE" w14:textId="77777777" w:rsidTr="0032533B">
        <w:trPr>
          <w:tblHeader/>
        </w:trPr>
        <w:tc>
          <w:tcPr>
            <w:tcW w:w="0" w:type="auto"/>
            <w:gridSpan w:val="2"/>
            <w:shd w:val="clear" w:color="auto" w:fill="323E4F" w:themeFill="text2" w:themeFillShade="BF"/>
          </w:tcPr>
          <w:p w14:paraId="65DBBDC4" w14:textId="633CD483" w:rsidR="00CB4F6A" w:rsidRPr="00F352EF" w:rsidRDefault="00CB4F6A" w:rsidP="004F190F">
            <w:pPr>
              <w:rPr>
                <w:b/>
                <w:bCs/>
                <w:color w:val="FFFFFF" w:themeColor="background1"/>
              </w:rPr>
            </w:pPr>
            <w:r w:rsidRPr="00F352EF">
              <w:rPr>
                <w:b/>
                <w:bCs/>
                <w:color w:val="FFFFFF" w:themeColor="background1"/>
              </w:rPr>
              <w:lastRenderedPageBreak/>
              <w:t xml:space="preserve">Review Recommendations </w:t>
            </w:r>
          </w:p>
          <w:p w14:paraId="3A0BF00E" w14:textId="77777777" w:rsidR="00CB4F6A" w:rsidRPr="00F352EF" w:rsidRDefault="00CB4F6A" w:rsidP="004F190F">
            <w:pPr>
              <w:rPr>
                <w:color w:val="FFFFFF" w:themeColor="background1"/>
              </w:rPr>
            </w:pPr>
            <w:r w:rsidRPr="00F352EF">
              <w:rPr>
                <w:b/>
                <w:bCs/>
                <w:color w:val="FFFFFF" w:themeColor="background1"/>
              </w:rPr>
              <w:t>DFAT</w:t>
            </w:r>
          </w:p>
        </w:tc>
        <w:tc>
          <w:tcPr>
            <w:tcW w:w="0" w:type="auto"/>
            <w:shd w:val="clear" w:color="auto" w:fill="323E4F" w:themeFill="text2" w:themeFillShade="BF"/>
          </w:tcPr>
          <w:p w14:paraId="7705197B" w14:textId="77777777" w:rsidR="00CB4F6A" w:rsidRPr="00F352EF" w:rsidRDefault="00CB4F6A" w:rsidP="004F190F">
            <w:pPr>
              <w:rPr>
                <w:color w:val="FFFFFF" w:themeColor="background1"/>
              </w:rPr>
            </w:pPr>
            <w:r w:rsidRPr="00F352EF">
              <w:rPr>
                <w:b/>
                <w:bCs/>
                <w:color w:val="FFFFFF" w:themeColor="background1"/>
              </w:rPr>
              <w:t xml:space="preserve">Response </w:t>
            </w:r>
          </w:p>
        </w:tc>
        <w:tc>
          <w:tcPr>
            <w:tcW w:w="0" w:type="auto"/>
            <w:shd w:val="clear" w:color="auto" w:fill="323E4F" w:themeFill="text2" w:themeFillShade="BF"/>
          </w:tcPr>
          <w:p w14:paraId="19AF8011" w14:textId="77777777" w:rsidR="00CB4F6A" w:rsidRPr="00F352EF" w:rsidRDefault="00CB4F6A" w:rsidP="004F190F">
            <w:pPr>
              <w:rPr>
                <w:color w:val="FFFFFF" w:themeColor="background1"/>
              </w:rPr>
            </w:pPr>
            <w:r w:rsidRPr="00F352EF">
              <w:rPr>
                <w:b/>
                <w:bCs/>
                <w:color w:val="FFFFFF" w:themeColor="background1"/>
              </w:rPr>
              <w:t xml:space="preserve">Action </w:t>
            </w:r>
          </w:p>
        </w:tc>
        <w:tc>
          <w:tcPr>
            <w:tcW w:w="0" w:type="auto"/>
            <w:shd w:val="clear" w:color="auto" w:fill="323E4F" w:themeFill="text2" w:themeFillShade="BF"/>
          </w:tcPr>
          <w:p w14:paraId="7CD0D3BB" w14:textId="77777777" w:rsidR="00CB4F6A" w:rsidRPr="00F352EF" w:rsidRDefault="00CB4F6A" w:rsidP="004F190F">
            <w:pPr>
              <w:rPr>
                <w:color w:val="FFFFFF" w:themeColor="background1"/>
              </w:rPr>
            </w:pPr>
            <w:r w:rsidRPr="00F352EF">
              <w:rPr>
                <w:b/>
                <w:bCs/>
                <w:color w:val="FFFFFF" w:themeColor="background1"/>
              </w:rPr>
              <w:t>Indicative Timeline</w:t>
            </w:r>
          </w:p>
        </w:tc>
      </w:tr>
      <w:tr w:rsidR="00CB4F6A" w:rsidRPr="008D52BB" w14:paraId="55923AA1" w14:textId="77777777" w:rsidTr="006377C1">
        <w:tc>
          <w:tcPr>
            <w:tcW w:w="0" w:type="auto"/>
          </w:tcPr>
          <w:p w14:paraId="25892CD8" w14:textId="77777777" w:rsidR="00CB4F6A" w:rsidRPr="00F352EF" w:rsidRDefault="00CB4F6A" w:rsidP="004F190F">
            <w:r w:rsidRPr="00F352EF">
              <w:t>6</w:t>
            </w:r>
          </w:p>
        </w:tc>
        <w:tc>
          <w:tcPr>
            <w:tcW w:w="0" w:type="auto"/>
            <w:tcBorders>
              <w:top w:val="single" w:sz="8" w:space="0" w:color="666666"/>
              <w:left w:val="single" w:sz="8" w:space="0" w:color="666666"/>
              <w:bottom w:val="single" w:sz="8" w:space="0" w:color="666666"/>
              <w:right w:val="single" w:sz="8" w:space="0" w:color="666666"/>
            </w:tcBorders>
          </w:tcPr>
          <w:p w14:paraId="1A8A2806" w14:textId="77777777" w:rsidR="00CB4F6A" w:rsidRPr="00F352EF" w:rsidRDefault="00CB4F6A" w:rsidP="004F190F">
            <w:r w:rsidRPr="00F352EF">
              <w:rPr>
                <w:color w:val="1E282A"/>
              </w:rPr>
              <w:t xml:space="preserve">Build on DFAT’s long-standing engagement in the TVET subsector and </w:t>
            </w:r>
            <w:r w:rsidRPr="00F352EF">
              <w:rPr>
                <w:b/>
                <w:color w:val="1E282A"/>
              </w:rPr>
              <w:t xml:space="preserve">consider a leadership and coordinating role </w:t>
            </w:r>
            <w:r w:rsidRPr="00F352EF">
              <w:rPr>
                <w:color w:val="1E282A"/>
              </w:rPr>
              <w:t>among other donors. If DFAT is committed to being a lead donor, revisit the JSOI joint and DFAT-specific commitments and consider modifications to support this leadership role.</w:t>
            </w:r>
          </w:p>
        </w:tc>
        <w:tc>
          <w:tcPr>
            <w:tcW w:w="0" w:type="auto"/>
          </w:tcPr>
          <w:p w14:paraId="412E2195" w14:textId="77777777" w:rsidR="00CB4F6A" w:rsidRPr="00F352EF" w:rsidRDefault="00CB4F6A" w:rsidP="004F190F">
            <w:r w:rsidRPr="00F352EF">
              <w:t>Agree</w:t>
            </w:r>
          </w:p>
        </w:tc>
        <w:tc>
          <w:tcPr>
            <w:tcW w:w="0" w:type="auto"/>
          </w:tcPr>
          <w:p w14:paraId="21CB1BD6" w14:textId="57416107" w:rsidR="00CB4F6A" w:rsidRPr="00F352EF" w:rsidRDefault="00A67D5B" w:rsidP="004F190F">
            <w:r>
              <w:t xml:space="preserve">The JSOI on TVET was updated in June 2024, at the PNG-Australia Ministerial Forum, to include a role for DFAT </w:t>
            </w:r>
            <w:r w:rsidR="00CB4F6A" w:rsidRPr="00F352EF">
              <w:t>‘providing leadership to facilitate functional relationships amongst development partners and TVET sector stakeholders.’</w:t>
            </w:r>
          </w:p>
        </w:tc>
        <w:tc>
          <w:tcPr>
            <w:tcW w:w="0" w:type="auto"/>
          </w:tcPr>
          <w:p w14:paraId="07F797E5" w14:textId="2E1E90F6" w:rsidR="00CB4F6A" w:rsidRPr="00F352EF" w:rsidRDefault="001B17C7" w:rsidP="004F190F">
            <w:r>
              <w:t xml:space="preserve">JSOI update </w:t>
            </w:r>
            <w:proofErr w:type="gramStart"/>
            <w:r w:rsidR="00A67D5B">
              <w:t>Completed</w:t>
            </w:r>
            <w:proofErr w:type="gramEnd"/>
          </w:p>
          <w:p w14:paraId="408AD3AE" w14:textId="77777777" w:rsidR="00CB4F6A" w:rsidRDefault="00CB4F6A" w:rsidP="004F190F"/>
          <w:p w14:paraId="18872084" w14:textId="59506B7A" w:rsidR="001B17C7" w:rsidRPr="00F352EF" w:rsidRDefault="001B17C7" w:rsidP="004F190F">
            <w:r>
              <w:t xml:space="preserve">Leadership and coordinating role </w:t>
            </w:r>
            <w:r w:rsidR="006E6794">
              <w:t xml:space="preserve">- </w:t>
            </w:r>
            <w:proofErr w:type="gramStart"/>
            <w:r>
              <w:t>ongoing</w:t>
            </w:r>
            <w:proofErr w:type="gramEnd"/>
          </w:p>
          <w:p w14:paraId="28E7897D" w14:textId="77777777" w:rsidR="00CB4F6A" w:rsidRPr="00F352EF" w:rsidRDefault="00CB4F6A" w:rsidP="004F190F"/>
        </w:tc>
      </w:tr>
      <w:tr w:rsidR="00CB4F6A" w:rsidRPr="008D52BB" w14:paraId="6F7D1750" w14:textId="77777777" w:rsidTr="006377C1">
        <w:tc>
          <w:tcPr>
            <w:tcW w:w="0" w:type="auto"/>
          </w:tcPr>
          <w:p w14:paraId="65E0117F" w14:textId="77777777" w:rsidR="00CB4F6A" w:rsidRPr="00F352EF" w:rsidRDefault="00CB4F6A" w:rsidP="004F190F">
            <w:r w:rsidRPr="00F352EF">
              <w:t>7</w:t>
            </w:r>
          </w:p>
        </w:tc>
        <w:tc>
          <w:tcPr>
            <w:tcW w:w="0" w:type="auto"/>
            <w:tcBorders>
              <w:top w:val="single" w:sz="8" w:space="0" w:color="666666"/>
              <w:left w:val="single" w:sz="8" w:space="0" w:color="666666"/>
              <w:bottom w:val="single" w:sz="8" w:space="0" w:color="666666"/>
              <w:right w:val="single" w:sz="8" w:space="0" w:color="666666"/>
            </w:tcBorders>
          </w:tcPr>
          <w:p w14:paraId="600C1B43" w14:textId="77777777" w:rsidR="00CB4F6A" w:rsidRPr="00F352EF" w:rsidRDefault="00CB4F6A" w:rsidP="004F190F">
            <w:r w:rsidRPr="00F352EF">
              <w:rPr>
                <w:b/>
                <w:color w:val="1E282A"/>
              </w:rPr>
              <w:t>Reinstate TA resourcing to DHERST</w:t>
            </w:r>
            <w:r w:rsidRPr="00F352EF">
              <w:rPr>
                <w:color w:val="1E282A"/>
              </w:rPr>
              <w:t xml:space="preserve"> based on identified and priority areas of support and appropriate counterpart availability. Establish as soon as possible.</w:t>
            </w:r>
          </w:p>
        </w:tc>
        <w:tc>
          <w:tcPr>
            <w:tcW w:w="0" w:type="auto"/>
          </w:tcPr>
          <w:p w14:paraId="4B7EC948" w14:textId="77777777" w:rsidR="00CB4F6A" w:rsidRPr="00F352EF" w:rsidRDefault="00CB4F6A" w:rsidP="004F190F">
            <w:r w:rsidRPr="00F352EF">
              <w:t>Agree</w:t>
            </w:r>
          </w:p>
        </w:tc>
        <w:tc>
          <w:tcPr>
            <w:tcW w:w="0" w:type="auto"/>
            <w:shd w:val="clear" w:color="auto" w:fill="auto"/>
          </w:tcPr>
          <w:p w14:paraId="59FCB73B" w14:textId="654E23D0" w:rsidR="00CB4F6A" w:rsidRPr="00F352EF" w:rsidRDefault="00CB4F6A" w:rsidP="004F190F">
            <w:r w:rsidRPr="00F352EF">
              <w:rPr>
                <w:color w:val="1E282A"/>
              </w:rPr>
              <w:t xml:space="preserve">DFAT will provide modest interim </w:t>
            </w:r>
            <w:r w:rsidR="00A72071">
              <w:rPr>
                <w:color w:val="1E282A"/>
              </w:rPr>
              <w:t>TA</w:t>
            </w:r>
            <w:r w:rsidRPr="00F352EF">
              <w:rPr>
                <w:color w:val="1E282A"/>
              </w:rPr>
              <w:t xml:space="preserve"> until DFAT’s forthcoming TVET program commences</w:t>
            </w:r>
            <w:r w:rsidR="00A67D5B">
              <w:rPr>
                <w:color w:val="1E282A"/>
              </w:rPr>
              <w:t xml:space="preserve"> in 2025</w:t>
            </w:r>
            <w:r w:rsidRPr="00F352EF">
              <w:rPr>
                <w:color w:val="1E282A"/>
              </w:rPr>
              <w:t xml:space="preserve">. </w:t>
            </w:r>
          </w:p>
        </w:tc>
        <w:tc>
          <w:tcPr>
            <w:tcW w:w="0" w:type="auto"/>
            <w:shd w:val="clear" w:color="auto" w:fill="auto"/>
          </w:tcPr>
          <w:p w14:paraId="4F0E37BC" w14:textId="72A228FE" w:rsidR="00CB4F6A" w:rsidRPr="00F352EF" w:rsidRDefault="00A67D5B" w:rsidP="004F190F">
            <w:r>
              <w:t>By Quarter 3, 2024 (subject to visas)</w:t>
            </w:r>
          </w:p>
        </w:tc>
      </w:tr>
      <w:tr w:rsidR="00CB4F6A" w:rsidRPr="008D52BB" w14:paraId="14DF3114" w14:textId="77777777" w:rsidTr="006377C1">
        <w:tc>
          <w:tcPr>
            <w:tcW w:w="0" w:type="auto"/>
          </w:tcPr>
          <w:p w14:paraId="2CF4471C" w14:textId="77777777" w:rsidR="00CB4F6A" w:rsidRPr="00F352EF" w:rsidRDefault="00CB4F6A" w:rsidP="004F190F">
            <w:r w:rsidRPr="00F352EF">
              <w:t>8</w:t>
            </w:r>
          </w:p>
        </w:tc>
        <w:tc>
          <w:tcPr>
            <w:tcW w:w="0" w:type="auto"/>
            <w:tcBorders>
              <w:top w:val="single" w:sz="8" w:space="0" w:color="666666"/>
              <w:left w:val="single" w:sz="8" w:space="0" w:color="666666"/>
              <w:bottom w:val="single" w:sz="8" w:space="0" w:color="666666"/>
              <w:right w:val="single" w:sz="8" w:space="0" w:color="666666"/>
            </w:tcBorders>
          </w:tcPr>
          <w:p w14:paraId="3258B824" w14:textId="44AA90A2" w:rsidR="00CB4F6A" w:rsidRPr="00F352EF" w:rsidRDefault="00CB4F6A" w:rsidP="004F190F">
            <w:r w:rsidRPr="00F352EF">
              <w:rPr>
                <w:color w:val="1E282A"/>
              </w:rPr>
              <w:t>Ensure that DFAT can influence</w:t>
            </w:r>
            <w:r w:rsidRPr="00F352EF">
              <w:t xml:space="preserve"> </w:t>
            </w:r>
            <w:r w:rsidRPr="00F352EF">
              <w:rPr>
                <w:color w:val="1E282A"/>
              </w:rPr>
              <w:t>decisions made about multilateral investments at the strategic, tactical, and operational levels and can help ensure harmonisation initiatives across investments. To exercise influence, DFAT will need to be well-versed in project implementation. M&amp;E is a key area of focus. Investigate and incorporate strategies for deeper engagement as soon as possible.</w:t>
            </w:r>
          </w:p>
        </w:tc>
        <w:tc>
          <w:tcPr>
            <w:tcW w:w="0" w:type="auto"/>
          </w:tcPr>
          <w:p w14:paraId="109D150C" w14:textId="77777777" w:rsidR="00CB4F6A" w:rsidRPr="00F352EF" w:rsidRDefault="00CB4F6A" w:rsidP="004F190F">
            <w:r w:rsidRPr="00F352EF">
              <w:t>Agree</w:t>
            </w:r>
          </w:p>
        </w:tc>
        <w:tc>
          <w:tcPr>
            <w:tcW w:w="0" w:type="auto"/>
          </w:tcPr>
          <w:p w14:paraId="19F78955" w14:textId="5915A984" w:rsidR="00CB4F6A" w:rsidRPr="00F352EF" w:rsidRDefault="00CB4F6A" w:rsidP="004F190F">
            <w:r w:rsidRPr="00F352EF">
              <w:t xml:space="preserve">DFAT will continue to engage on the Improved TVET for Employment Project, by participating in steering committee meetings, monitoring visits, and workshops. </w:t>
            </w:r>
            <w:r w:rsidR="003855F8">
              <w:t xml:space="preserve">DFAT will consider appropriate governance mechanisms, in the context of designing new investments, to ensure harmonisation. </w:t>
            </w:r>
          </w:p>
        </w:tc>
        <w:tc>
          <w:tcPr>
            <w:tcW w:w="0" w:type="auto"/>
          </w:tcPr>
          <w:p w14:paraId="485C380D" w14:textId="77777777" w:rsidR="00CB4F6A" w:rsidRPr="00F352EF" w:rsidRDefault="00CB4F6A" w:rsidP="004F190F">
            <w:r w:rsidRPr="00F352EF">
              <w:t xml:space="preserve">Ongoing </w:t>
            </w:r>
          </w:p>
        </w:tc>
      </w:tr>
      <w:tr w:rsidR="00CB4F6A" w:rsidRPr="008D52BB" w14:paraId="7AF25DFD" w14:textId="77777777" w:rsidTr="008E54EA">
        <w:trPr>
          <w:trHeight w:val="2901"/>
        </w:trPr>
        <w:tc>
          <w:tcPr>
            <w:tcW w:w="0" w:type="auto"/>
          </w:tcPr>
          <w:p w14:paraId="516A8463" w14:textId="55494FBA" w:rsidR="00CB4F6A" w:rsidRPr="00F352EF" w:rsidRDefault="5E5E83DD" w:rsidP="004F190F">
            <w:r>
              <w:lastRenderedPageBreak/>
              <w:t>9</w:t>
            </w:r>
          </w:p>
        </w:tc>
        <w:tc>
          <w:tcPr>
            <w:tcW w:w="0" w:type="auto"/>
            <w:tcBorders>
              <w:top w:val="single" w:sz="8" w:space="0" w:color="666666"/>
              <w:left w:val="single" w:sz="8" w:space="0" w:color="666666"/>
              <w:bottom w:val="single" w:sz="8" w:space="0" w:color="666666"/>
              <w:right w:val="single" w:sz="8" w:space="0" w:color="666666"/>
            </w:tcBorders>
          </w:tcPr>
          <w:p w14:paraId="7E65A5AC" w14:textId="77777777" w:rsidR="00CB4F6A" w:rsidRPr="00F352EF" w:rsidRDefault="00CB4F6A" w:rsidP="004F190F">
            <w:r w:rsidRPr="00F352EF">
              <w:rPr>
                <w:color w:val="1E282A"/>
              </w:rPr>
              <w:t>Consider new ways of working to enhance quality TVET provision for greater numbers of students, including: consideration of the political economy of TVET, working with the pool of competent TVET providers (especially faith-based providers and industry providers); instigating demand-driven planning  Technical Colleges with linkages to Australian Training Providers; and incorporating organisational capacity/gendered political economy assessments and development plans for technical colleges that can be monitored and evaluated.</w:t>
            </w:r>
          </w:p>
        </w:tc>
        <w:tc>
          <w:tcPr>
            <w:tcW w:w="0" w:type="auto"/>
          </w:tcPr>
          <w:p w14:paraId="23852BEB" w14:textId="77777777" w:rsidR="00CB4F6A" w:rsidRDefault="00CB4F6A" w:rsidP="004F190F">
            <w:r w:rsidRPr="00F352EF">
              <w:t>Agree</w:t>
            </w:r>
          </w:p>
          <w:p w14:paraId="6650A572" w14:textId="77777777" w:rsidR="006A0EEF" w:rsidRPr="006A0EEF" w:rsidRDefault="006A0EEF" w:rsidP="006A0EEF"/>
          <w:p w14:paraId="61116998" w14:textId="77777777" w:rsidR="006A0EEF" w:rsidRPr="006A0EEF" w:rsidRDefault="006A0EEF" w:rsidP="006A0EEF"/>
          <w:p w14:paraId="1C91C447" w14:textId="77777777" w:rsidR="006A0EEF" w:rsidRPr="006A0EEF" w:rsidRDefault="006A0EEF" w:rsidP="006377C1"/>
        </w:tc>
        <w:tc>
          <w:tcPr>
            <w:tcW w:w="0" w:type="auto"/>
          </w:tcPr>
          <w:p w14:paraId="426BCA8D" w14:textId="77777777" w:rsidR="00CB4F6A" w:rsidRDefault="00A67D5B" w:rsidP="004F190F">
            <w:pPr>
              <w:rPr>
                <w:lang w:val="en-GB"/>
              </w:rPr>
            </w:pPr>
            <w:r>
              <w:rPr>
                <w:lang w:val="en-GB"/>
              </w:rPr>
              <w:t>DFAT will consider in the context of its forthcoming TVET program, to commence in 2025.</w:t>
            </w:r>
          </w:p>
          <w:p w14:paraId="2583E887" w14:textId="77777777" w:rsidR="003E51F4" w:rsidRDefault="003E51F4" w:rsidP="004F190F">
            <w:pPr>
              <w:rPr>
                <w:lang w:val="en-GB"/>
              </w:rPr>
            </w:pPr>
          </w:p>
          <w:p w14:paraId="1F2396F6" w14:textId="59F93D1E" w:rsidR="003E51F4" w:rsidRPr="00F352EF" w:rsidRDefault="003E51F4" w:rsidP="004F190F">
            <w:r>
              <w:rPr>
                <w:lang w:val="en-GB"/>
              </w:rPr>
              <w:t>DFAT will also progress new skills training opportunities to support a greater number of Papua New Guineans to participate in the PALM scheme, in line with the Joint Action Plan to Scale Up Labour Mobility agreed at the PNG-Australia Ministerial Forum.</w:t>
            </w:r>
          </w:p>
        </w:tc>
        <w:tc>
          <w:tcPr>
            <w:tcW w:w="0" w:type="auto"/>
          </w:tcPr>
          <w:p w14:paraId="33631391" w14:textId="2907B566" w:rsidR="00CB4F6A" w:rsidRPr="00F352EF" w:rsidRDefault="00A67D5B" w:rsidP="004F190F">
            <w:r>
              <w:t>Ongoing</w:t>
            </w:r>
          </w:p>
        </w:tc>
      </w:tr>
      <w:tr w:rsidR="00CB4F6A" w:rsidRPr="008D52BB" w14:paraId="1F809B48" w14:textId="77777777" w:rsidTr="006377C1">
        <w:tc>
          <w:tcPr>
            <w:tcW w:w="0" w:type="auto"/>
          </w:tcPr>
          <w:p w14:paraId="3F0CBB94" w14:textId="281B8EDF" w:rsidR="00CB4F6A" w:rsidRPr="00F352EF" w:rsidRDefault="55AF7338" w:rsidP="004F190F">
            <w:r>
              <w:t>1</w:t>
            </w:r>
            <w:r w:rsidR="02502B97">
              <w:t>0</w:t>
            </w:r>
          </w:p>
        </w:tc>
        <w:tc>
          <w:tcPr>
            <w:tcW w:w="0" w:type="auto"/>
            <w:tcBorders>
              <w:top w:val="single" w:sz="8" w:space="0" w:color="666666"/>
              <w:left w:val="single" w:sz="8" w:space="0" w:color="666666"/>
              <w:bottom w:val="single" w:sz="8" w:space="0" w:color="666666"/>
              <w:right w:val="single" w:sz="8" w:space="0" w:color="666666"/>
            </w:tcBorders>
          </w:tcPr>
          <w:p w14:paraId="66850297" w14:textId="77777777" w:rsidR="00CB4F6A" w:rsidRPr="00F352EF" w:rsidRDefault="00CB4F6A" w:rsidP="004F190F">
            <w:pPr>
              <w:rPr>
                <w:bCs/>
              </w:rPr>
            </w:pPr>
            <w:r w:rsidRPr="00F352EF">
              <w:rPr>
                <w:bCs/>
                <w:color w:val="1E282A"/>
              </w:rPr>
              <w:t>Engage an in-house TVET subsector expert</w:t>
            </w:r>
            <w:r w:rsidRPr="00F352EF">
              <w:rPr>
                <w:rStyle w:val="FootnoteReference"/>
                <w:bCs/>
                <w:color w:val="1E282A"/>
              </w:rPr>
              <w:footnoteReference w:id="4"/>
            </w:r>
            <w:r w:rsidRPr="00F352EF">
              <w:rPr>
                <w:bCs/>
                <w:color w:val="1E282A"/>
              </w:rPr>
              <w:t xml:space="preserve"> to support the Post. </w:t>
            </w:r>
          </w:p>
        </w:tc>
        <w:tc>
          <w:tcPr>
            <w:tcW w:w="0" w:type="auto"/>
          </w:tcPr>
          <w:p w14:paraId="17C1554B" w14:textId="77777777" w:rsidR="00CB4F6A" w:rsidRPr="00F352EF" w:rsidRDefault="00CB4F6A" w:rsidP="004F190F">
            <w:r w:rsidRPr="00F352EF">
              <w:t>Agree</w:t>
            </w:r>
          </w:p>
        </w:tc>
        <w:tc>
          <w:tcPr>
            <w:tcW w:w="0" w:type="auto"/>
          </w:tcPr>
          <w:p w14:paraId="6EF1CA14" w14:textId="27C6DEF3" w:rsidR="00CB4F6A" w:rsidRPr="00F352EF" w:rsidRDefault="00CB4F6A" w:rsidP="004F190F">
            <w:r w:rsidRPr="00F352EF">
              <w:t xml:space="preserve">DFAT will procure </w:t>
            </w:r>
            <w:r w:rsidR="00296D20">
              <w:t xml:space="preserve">TVET subsector </w:t>
            </w:r>
            <w:r w:rsidRPr="00F352EF">
              <w:t>expertise</w:t>
            </w:r>
            <w:r w:rsidR="00296D20">
              <w:t>, including to inform design of its new TVET program to commence in 2025</w:t>
            </w:r>
            <w:r w:rsidRPr="00F352EF">
              <w:t>.</w:t>
            </w:r>
          </w:p>
        </w:tc>
        <w:tc>
          <w:tcPr>
            <w:tcW w:w="0" w:type="auto"/>
          </w:tcPr>
          <w:p w14:paraId="4CE24512" w14:textId="79F13FE3" w:rsidR="00CB4F6A" w:rsidRPr="00F352EF" w:rsidRDefault="00296D20" w:rsidP="004F190F">
            <w:r>
              <w:t>By Quarter 3 2024 (</w:t>
            </w:r>
            <w:r w:rsidR="00CB4F6A" w:rsidRPr="00F352EF">
              <w:t>subject to visas</w:t>
            </w:r>
            <w:r>
              <w:t>)</w:t>
            </w:r>
            <w:r w:rsidR="00CB4F6A" w:rsidRPr="00F352EF">
              <w:t>.</w:t>
            </w:r>
          </w:p>
        </w:tc>
      </w:tr>
    </w:tbl>
    <w:p w14:paraId="2717663E" w14:textId="2F151960" w:rsidR="006377C1" w:rsidRDefault="006377C1"/>
    <w:tbl>
      <w:tblPr>
        <w:tblStyle w:val="TableGrid"/>
        <w:tblW w:w="0" w:type="auto"/>
        <w:tblLook w:val="04A0" w:firstRow="1" w:lastRow="0" w:firstColumn="1" w:lastColumn="0" w:noHBand="0" w:noVBand="1"/>
      </w:tblPr>
      <w:tblGrid>
        <w:gridCol w:w="460"/>
        <w:gridCol w:w="8412"/>
        <w:gridCol w:w="2397"/>
        <w:gridCol w:w="2679"/>
      </w:tblGrid>
      <w:tr w:rsidR="00A12930" w:rsidRPr="008D52BB" w14:paraId="1B9FBD06" w14:textId="77777777" w:rsidTr="00384892">
        <w:trPr>
          <w:tblHeader/>
        </w:trPr>
        <w:tc>
          <w:tcPr>
            <w:tcW w:w="0" w:type="auto"/>
            <w:shd w:val="clear" w:color="auto" w:fill="323E4F" w:themeFill="text2" w:themeFillShade="BF"/>
          </w:tcPr>
          <w:p w14:paraId="7E12746B" w14:textId="4A3CBF9B" w:rsidR="00A12930" w:rsidRDefault="00A12930" w:rsidP="004F190F">
            <w:r w:rsidRPr="00A12930">
              <w:rPr>
                <w:color w:val="FFFFFF" w:themeColor="background1"/>
              </w:rPr>
              <w:t>#</w:t>
            </w:r>
          </w:p>
        </w:tc>
        <w:tc>
          <w:tcPr>
            <w:tcW w:w="0" w:type="auto"/>
            <w:tcBorders>
              <w:top w:val="single" w:sz="8" w:space="0" w:color="666666"/>
              <w:left w:val="single" w:sz="8" w:space="0" w:color="666666"/>
              <w:bottom w:val="single" w:sz="8" w:space="0" w:color="666666"/>
              <w:right w:val="single" w:sz="8" w:space="0" w:color="666666"/>
            </w:tcBorders>
            <w:shd w:val="clear" w:color="auto" w:fill="323E4F" w:themeFill="text2" w:themeFillShade="BF"/>
          </w:tcPr>
          <w:p w14:paraId="7CB8EBAA" w14:textId="77777777" w:rsidR="00A12930" w:rsidRPr="00F352EF" w:rsidRDefault="00A12930" w:rsidP="00A12930">
            <w:pPr>
              <w:rPr>
                <w:b/>
                <w:bCs/>
                <w:color w:val="FFFFFF" w:themeColor="background1"/>
              </w:rPr>
            </w:pPr>
            <w:r w:rsidRPr="00F352EF">
              <w:rPr>
                <w:b/>
                <w:bCs/>
                <w:color w:val="FFFFFF" w:themeColor="background1"/>
              </w:rPr>
              <w:t xml:space="preserve">Review Recommendations </w:t>
            </w:r>
          </w:p>
          <w:p w14:paraId="2509382A" w14:textId="5D35C63A" w:rsidR="00A12930" w:rsidRDefault="00A12930" w:rsidP="00A12930">
            <w:pPr>
              <w:rPr>
                <w:b/>
                <w:bCs/>
              </w:rPr>
            </w:pPr>
            <w:r w:rsidRPr="00F352EF">
              <w:rPr>
                <w:b/>
                <w:bCs/>
                <w:color w:val="FFFFFF" w:themeColor="background1"/>
              </w:rPr>
              <w:t>DHERST</w:t>
            </w:r>
          </w:p>
        </w:tc>
        <w:tc>
          <w:tcPr>
            <w:tcW w:w="0" w:type="auto"/>
            <w:shd w:val="clear" w:color="auto" w:fill="323E4F" w:themeFill="text2" w:themeFillShade="BF"/>
          </w:tcPr>
          <w:p w14:paraId="6DBC7082" w14:textId="2C14C4F7" w:rsidR="00A12930" w:rsidRDefault="00A12930" w:rsidP="004F190F">
            <w:r w:rsidRPr="00F352EF">
              <w:rPr>
                <w:b/>
                <w:bCs/>
                <w:color w:val="FFFFFF" w:themeColor="background1"/>
              </w:rPr>
              <w:t>Response</w:t>
            </w:r>
          </w:p>
        </w:tc>
        <w:tc>
          <w:tcPr>
            <w:tcW w:w="0" w:type="auto"/>
            <w:shd w:val="clear" w:color="auto" w:fill="323E4F" w:themeFill="text2" w:themeFillShade="BF"/>
          </w:tcPr>
          <w:p w14:paraId="71350F7A" w14:textId="6FAD8098" w:rsidR="00A12930" w:rsidRDefault="00A12930" w:rsidP="004F190F">
            <w:r w:rsidRPr="00F352EF">
              <w:rPr>
                <w:b/>
                <w:bCs/>
                <w:color w:val="FFFFFF" w:themeColor="background1"/>
              </w:rPr>
              <w:t>Action</w:t>
            </w:r>
          </w:p>
        </w:tc>
      </w:tr>
      <w:tr w:rsidR="00DD4349" w:rsidRPr="008D52BB" w14:paraId="318E15AA" w14:textId="77777777" w:rsidTr="006377C1">
        <w:tc>
          <w:tcPr>
            <w:tcW w:w="0" w:type="auto"/>
          </w:tcPr>
          <w:p w14:paraId="23D71B85" w14:textId="577CB8AE" w:rsidR="00DD4349" w:rsidRPr="00F352EF" w:rsidRDefault="00DD4349" w:rsidP="004F190F">
            <w:r>
              <w:t>11</w:t>
            </w:r>
          </w:p>
        </w:tc>
        <w:tc>
          <w:tcPr>
            <w:tcW w:w="0" w:type="auto"/>
            <w:tcBorders>
              <w:top w:val="single" w:sz="8" w:space="0" w:color="666666"/>
              <w:left w:val="single" w:sz="8" w:space="0" w:color="666666"/>
              <w:bottom w:val="single" w:sz="8" w:space="0" w:color="666666"/>
              <w:right w:val="single" w:sz="8" w:space="0" w:color="666666"/>
            </w:tcBorders>
          </w:tcPr>
          <w:p w14:paraId="0E477418" w14:textId="1AED6A1C" w:rsidR="00DD4349" w:rsidRPr="00F352EF" w:rsidRDefault="00DD4349" w:rsidP="004F190F">
            <w:r>
              <w:rPr>
                <w:b/>
                <w:bCs/>
              </w:rPr>
              <w:t>Complete human resources tasks</w:t>
            </w:r>
            <w:r>
              <w:t xml:space="preserve"> related to the migration of personnel from other </w:t>
            </w:r>
            <w:proofErr w:type="spellStart"/>
            <w:r>
              <w:t>GoPNG</w:t>
            </w:r>
            <w:proofErr w:type="spellEnd"/>
            <w:r>
              <w:t xml:space="preserve"> entities to DHERST, with the aim of completing within 18 months.</w:t>
            </w:r>
          </w:p>
        </w:tc>
        <w:tc>
          <w:tcPr>
            <w:tcW w:w="0" w:type="auto"/>
            <w:vMerge w:val="restart"/>
          </w:tcPr>
          <w:p w14:paraId="117A73DA" w14:textId="740E7FC8" w:rsidR="00DD4349" w:rsidRPr="00F352EF" w:rsidRDefault="00DD4349" w:rsidP="004F190F">
            <w:r>
              <w:t>DHERST a</w:t>
            </w:r>
            <w:r w:rsidRPr="00F352EF">
              <w:t>gree</w:t>
            </w:r>
            <w:r>
              <w:t xml:space="preserve">s to all </w:t>
            </w:r>
            <w:proofErr w:type="gramStart"/>
            <w:r>
              <w:t>recommendations</w:t>
            </w:r>
            <w:proofErr w:type="gramEnd"/>
          </w:p>
          <w:p w14:paraId="663D67BA" w14:textId="62F30F7D" w:rsidR="00DD4349" w:rsidRPr="00F352EF" w:rsidRDefault="00DD4349" w:rsidP="004F190F"/>
        </w:tc>
        <w:tc>
          <w:tcPr>
            <w:tcW w:w="0" w:type="auto"/>
            <w:vMerge w:val="restart"/>
          </w:tcPr>
          <w:p w14:paraId="5CC12E73" w14:textId="2292C7FA" w:rsidR="00DD4349" w:rsidRPr="00F352EF" w:rsidRDefault="00DD4349" w:rsidP="004F190F">
            <w:r>
              <w:t xml:space="preserve">The pace of implementation will be subject to financial support.  </w:t>
            </w:r>
          </w:p>
        </w:tc>
      </w:tr>
      <w:tr w:rsidR="00DD4349" w:rsidRPr="008D52BB" w14:paraId="22C2CE47" w14:textId="77777777" w:rsidTr="006377C1">
        <w:tc>
          <w:tcPr>
            <w:tcW w:w="0" w:type="auto"/>
          </w:tcPr>
          <w:p w14:paraId="32E1F4E6" w14:textId="6B6FC962" w:rsidR="00DD4349" w:rsidRPr="00F352EF" w:rsidRDefault="00DD4349" w:rsidP="004F190F">
            <w:r>
              <w:t>12</w:t>
            </w:r>
          </w:p>
        </w:tc>
        <w:tc>
          <w:tcPr>
            <w:tcW w:w="0" w:type="auto"/>
            <w:tcBorders>
              <w:top w:val="single" w:sz="8" w:space="0" w:color="666666"/>
              <w:left w:val="single" w:sz="8" w:space="0" w:color="666666"/>
              <w:bottom w:val="single" w:sz="8" w:space="0" w:color="666666"/>
              <w:right w:val="single" w:sz="8" w:space="0" w:color="666666"/>
            </w:tcBorders>
          </w:tcPr>
          <w:p w14:paraId="217CE2BD" w14:textId="45283B10" w:rsidR="00DD4349" w:rsidRPr="00F352EF" w:rsidRDefault="00DD4349" w:rsidP="004F190F">
            <w:r>
              <w:t>Complete Registered Training Organisations’ assessments/accreditation, with the aim of completing within 18 months.</w:t>
            </w:r>
          </w:p>
        </w:tc>
        <w:tc>
          <w:tcPr>
            <w:tcW w:w="0" w:type="auto"/>
            <w:vMerge/>
          </w:tcPr>
          <w:p w14:paraId="4F133591" w14:textId="46825818" w:rsidR="00DD4349" w:rsidRPr="00F352EF" w:rsidRDefault="00DD4349" w:rsidP="004F190F"/>
        </w:tc>
        <w:tc>
          <w:tcPr>
            <w:tcW w:w="0" w:type="auto"/>
            <w:vMerge/>
          </w:tcPr>
          <w:p w14:paraId="2EFACB67" w14:textId="77777777" w:rsidR="00DD4349" w:rsidRPr="00F352EF" w:rsidRDefault="00DD4349" w:rsidP="004F190F"/>
        </w:tc>
      </w:tr>
      <w:tr w:rsidR="00DD4349" w:rsidRPr="008D52BB" w14:paraId="2E73BA22" w14:textId="77777777" w:rsidTr="006377C1">
        <w:tc>
          <w:tcPr>
            <w:tcW w:w="0" w:type="auto"/>
          </w:tcPr>
          <w:p w14:paraId="0D850C67" w14:textId="6364BEE5" w:rsidR="00DD4349" w:rsidRDefault="00DD4349" w:rsidP="004F190F">
            <w:r>
              <w:lastRenderedPageBreak/>
              <w:t>13</w:t>
            </w:r>
          </w:p>
        </w:tc>
        <w:tc>
          <w:tcPr>
            <w:tcW w:w="0" w:type="auto"/>
            <w:tcBorders>
              <w:top w:val="single" w:sz="8" w:space="0" w:color="666666"/>
              <w:left w:val="single" w:sz="8" w:space="0" w:color="666666"/>
              <w:bottom w:val="single" w:sz="8" w:space="0" w:color="666666"/>
              <w:right w:val="single" w:sz="8" w:space="0" w:color="666666"/>
            </w:tcBorders>
          </w:tcPr>
          <w:p w14:paraId="44398D35" w14:textId="23D25E34" w:rsidR="00DD4349" w:rsidRPr="00723537" w:rsidRDefault="00DD4349" w:rsidP="00723537">
            <w:pPr>
              <w:textAlignment w:val="auto"/>
              <w:rPr>
                <w:rFonts w:ascii="Times New Roman" w:hAnsi="Times New Roman" w:cs="Times New Roman"/>
              </w:rPr>
            </w:pPr>
            <w:r>
              <w:t>Support the NSDA to successfully undertake its role and responsibilities, including establishing Industry Reference Groups</w:t>
            </w:r>
            <w:r>
              <w:rPr>
                <w:vertAlign w:val="superscript"/>
              </w:rPr>
              <w:footnoteReference w:id="5"/>
            </w:r>
            <w:r>
              <w:t xml:space="preserve">, to deepen and strengthen sustainable linkages between PNG and Australian TVET systems to enhance industry engagement, and education market integration, including assistance to complete high-quality curricula rapidly, trial efficient development methods, and prioritise fields/trades that urgently provide the most job opportunities. </w:t>
            </w:r>
            <w:r>
              <w:rPr>
                <w:b/>
                <w:bCs/>
              </w:rPr>
              <w:t>Consider immediate additional secretariat support</w:t>
            </w:r>
            <w:r>
              <w:t>.</w:t>
            </w:r>
            <w:r>
              <w:rPr>
                <w:rFonts w:ascii="Times New Roman" w:hAnsi="Times New Roman"/>
              </w:rPr>
              <w:t xml:space="preserve"> </w:t>
            </w:r>
          </w:p>
        </w:tc>
        <w:tc>
          <w:tcPr>
            <w:tcW w:w="0" w:type="auto"/>
            <w:vMerge/>
          </w:tcPr>
          <w:p w14:paraId="6EEAF029" w14:textId="0637D128" w:rsidR="00DD4349" w:rsidRPr="00F352EF" w:rsidRDefault="00DD4349" w:rsidP="004F190F"/>
        </w:tc>
        <w:tc>
          <w:tcPr>
            <w:tcW w:w="0" w:type="auto"/>
            <w:vMerge/>
          </w:tcPr>
          <w:p w14:paraId="460C40CB" w14:textId="77777777" w:rsidR="00DD4349" w:rsidRPr="00F352EF" w:rsidRDefault="00DD4349" w:rsidP="004F190F"/>
        </w:tc>
      </w:tr>
      <w:tr w:rsidR="00DD4349" w:rsidRPr="008D52BB" w14:paraId="1FF687EF" w14:textId="77777777" w:rsidTr="006377C1">
        <w:tc>
          <w:tcPr>
            <w:tcW w:w="0" w:type="auto"/>
          </w:tcPr>
          <w:p w14:paraId="631827CB" w14:textId="2A111923" w:rsidR="00DD4349" w:rsidRDefault="00DD4349" w:rsidP="004F190F">
            <w:r>
              <w:t>14</w:t>
            </w:r>
          </w:p>
        </w:tc>
        <w:tc>
          <w:tcPr>
            <w:tcW w:w="0" w:type="auto"/>
            <w:tcBorders>
              <w:top w:val="single" w:sz="8" w:space="0" w:color="666666"/>
              <w:left w:val="single" w:sz="8" w:space="0" w:color="666666"/>
              <w:bottom w:val="single" w:sz="8" w:space="0" w:color="666666"/>
              <w:right w:val="single" w:sz="8" w:space="0" w:color="666666"/>
            </w:tcBorders>
          </w:tcPr>
          <w:p w14:paraId="30BB8305" w14:textId="006D2C8C" w:rsidR="00DD4349" w:rsidRPr="00723537" w:rsidRDefault="00DD4349" w:rsidP="00723537">
            <w:pPr>
              <w:textAlignment w:val="auto"/>
              <w:rPr>
                <w:rFonts w:ascii="Times New Roman" w:hAnsi="Times New Roman" w:cs="Times New Roman"/>
              </w:rPr>
            </w:pPr>
            <w:r>
              <w:rPr>
                <w:b/>
                <w:bCs/>
              </w:rPr>
              <w:t>Reinstate the previous process of site visits for collecting data</w:t>
            </w:r>
            <w:r>
              <w:t xml:space="preserve"> from technical colleges and simultaneously support the development of a functional management information system that can provide trustworthy data on students, personnel, and colleges.</w:t>
            </w:r>
            <w:r>
              <w:rPr>
                <w:vertAlign w:val="superscript"/>
              </w:rPr>
              <w:footnoteReference w:id="6"/>
            </w:r>
            <w:r>
              <w:t xml:space="preserve"> In addition, clean and mine existing data to start to gain a clearer picture of what is happening in the subsector (DHERST and </w:t>
            </w:r>
            <w:proofErr w:type="spellStart"/>
            <w:r>
              <w:t>NDoE</w:t>
            </w:r>
            <w:proofErr w:type="spellEnd"/>
            <w:r>
              <w:t>).</w:t>
            </w:r>
            <w:r>
              <w:rPr>
                <w:rFonts w:ascii="Times New Roman" w:hAnsi="Times New Roman"/>
              </w:rPr>
              <w:t xml:space="preserve"> </w:t>
            </w:r>
          </w:p>
        </w:tc>
        <w:tc>
          <w:tcPr>
            <w:tcW w:w="0" w:type="auto"/>
            <w:vMerge/>
          </w:tcPr>
          <w:p w14:paraId="249E1C5A" w14:textId="3882851F" w:rsidR="00DD4349" w:rsidRPr="00F352EF" w:rsidRDefault="00DD4349" w:rsidP="004F190F"/>
        </w:tc>
        <w:tc>
          <w:tcPr>
            <w:tcW w:w="0" w:type="auto"/>
            <w:vMerge/>
          </w:tcPr>
          <w:p w14:paraId="60B271C0" w14:textId="77777777" w:rsidR="00DD4349" w:rsidRPr="00F352EF" w:rsidRDefault="00DD4349" w:rsidP="004F190F"/>
        </w:tc>
      </w:tr>
      <w:tr w:rsidR="00DD4349" w:rsidRPr="008D52BB" w14:paraId="7EDB67B5" w14:textId="77777777" w:rsidTr="006377C1">
        <w:tc>
          <w:tcPr>
            <w:tcW w:w="0" w:type="auto"/>
          </w:tcPr>
          <w:p w14:paraId="600D371F" w14:textId="6C57A714" w:rsidR="00DD4349" w:rsidRDefault="00DD4349" w:rsidP="004F190F">
            <w:r>
              <w:t>15</w:t>
            </w:r>
          </w:p>
        </w:tc>
        <w:tc>
          <w:tcPr>
            <w:tcW w:w="0" w:type="auto"/>
            <w:tcBorders>
              <w:top w:val="single" w:sz="8" w:space="0" w:color="666666"/>
              <w:left w:val="single" w:sz="8" w:space="0" w:color="666666"/>
              <w:bottom w:val="single" w:sz="8" w:space="0" w:color="666666"/>
              <w:right w:val="single" w:sz="8" w:space="0" w:color="666666"/>
            </w:tcBorders>
          </w:tcPr>
          <w:p w14:paraId="760879A6" w14:textId="1222391E" w:rsidR="00DD4349" w:rsidRDefault="00DD4349" w:rsidP="00723537">
            <w:pPr>
              <w:tabs>
                <w:tab w:val="left" w:pos="1005"/>
              </w:tabs>
              <w:textAlignment w:val="auto"/>
              <w:rPr>
                <w:b/>
                <w:bCs/>
              </w:rPr>
            </w:pPr>
            <w:r>
              <w:t xml:space="preserve">Undertake an organisational functional review and assessment of DHERST (national level) </w:t>
            </w:r>
            <w:proofErr w:type="gramStart"/>
            <w:r>
              <w:t>with regard to</w:t>
            </w:r>
            <w:proofErr w:type="gramEnd"/>
            <w:r>
              <w:t xml:space="preserve"> its TVET role and responsibilities (such as curriculum development and contract supervision) and consider a targeted workplace-based competency-based staff development program.</w:t>
            </w:r>
          </w:p>
        </w:tc>
        <w:tc>
          <w:tcPr>
            <w:tcW w:w="0" w:type="auto"/>
            <w:vMerge/>
          </w:tcPr>
          <w:p w14:paraId="3E2FC9E5" w14:textId="26044504" w:rsidR="00DD4349" w:rsidRPr="00F352EF" w:rsidRDefault="00DD4349" w:rsidP="004F190F"/>
        </w:tc>
        <w:tc>
          <w:tcPr>
            <w:tcW w:w="0" w:type="auto"/>
            <w:vMerge/>
          </w:tcPr>
          <w:p w14:paraId="4A6121F2" w14:textId="77777777" w:rsidR="00DD4349" w:rsidRPr="00F352EF" w:rsidRDefault="00DD4349" w:rsidP="004F190F"/>
        </w:tc>
      </w:tr>
      <w:tr w:rsidR="00DD4349" w:rsidRPr="008D52BB" w14:paraId="07B000FC" w14:textId="77777777" w:rsidTr="006377C1">
        <w:tc>
          <w:tcPr>
            <w:tcW w:w="0" w:type="auto"/>
          </w:tcPr>
          <w:p w14:paraId="22E82947" w14:textId="2BC97EAD" w:rsidR="00DD4349" w:rsidRDefault="00DD4349" w:rsidP="004F190F">
            <w:r>
              <w:t>16</w:t>
            </w:r>
          </w:p>
        </w:tc>
        <w:tc>
          <w:tcPr>
            <w:tcW w:w="0" w:type="auto"/>
            <w:tcBorders>
              <w:top w:val="single" w:sz="8" w:space="0" w:color="666666"/>
              <w:left w:val="single" w:sz="8" w:space="0" w:color="666666"/>
              <w:bottom w:val="single" w:sz="8" w:space="0" w:color="666666"/>
              <w:right w:val="single" w:sz="8" w:space="0" w:color="666666"/>
            </w:tcBorders>
          </w:tcPr>
          <w:p w14:paraId="3F843CDE" w14:textId="0F022FB6" w:rsidR="00DD4349" w:rsidRDefault="00DD4349" w:rsidP="00723537">
            <w:pPr>
              <w:tabs>
                <w:tab w:val="left" w:pos="1110"/>
              </w:tabs>
              <w:textAlignment w:val="auto"/>
            </w:pPr>
            <w:r>
              <w:t xml:space="preserve">Identify and consider drafting regulations that would support enactment of the </w:t>
            </w:r>
            <w:r>
              <w:rPr>
                <w:i/>
                <w:iCs/>
              </w:rPr>
              <w:t>Higher and Technical Education Reform Act 2020</w:t>
            </w:r>
            <w:r>
              <w:t>, which would enable DHERST to fulfil its role as a regulator, along with clear and robust guidelines within the existing legislation that address quality assurance control.</w:t>
            </w:r>
          </w:p>
        </w:tc>
        <w:tc>
          <w:tcPr>
            <w:tcW w:w="0" w:type="auto"/>
            <w:vMerge/>
          </w:tcPr>
          <w:p w14:paraId="4F1FF3B4" w14:textId="37D2947D" w:rsidR="00DD4349" w:rsidRPr="00F352EF" w:rsidRDefault="00DD4349" w:rsidP="004F190F"/>
        </w:tc>
        <w:tc>
          <w:tcPr>
            <w:tcW w:w="0" w:type="auto"/>
            <w:vMerge/>
          </w:tcPr>
          <w:p w14:paraId="17D51F2D" w14:textId="77777777" w:rsidR="00DD4349" w:rsidRPr="00F352EF" w:rsidRDefault="00DD4349" w:rsidP="004F190F"/>
        </w:tc>
      </w:tr>
      <w:tr w:rsidR="00DD4349" w:rsidRPr="008D52BB" w14:paraId="2777AECC" w14:textId="77777777" w:rsidTr="006377C1">
        <w:tc>
          <w:tcPr>
            <w:tcW w:w="0" w:type="auto"/>
          </w:tcPr>
          <w:p w14:paraId="1FBAB036" w14:textId="5BE9EF7E" w:rsidR="00DD4349" w:rsidRDefault="00DD4349" w:rsidP="004F190F">
            <w:r>
              <w:t>17</w:t>
            </w:r>
          </w:p>
        </w:tc>
        <w:tc>
          <w:tcPr>
            <w:tcW w:w="0" w:type="auto"/>
            <w:tcBorders>
              <w:top w:val="single" w:sz="8" w:space="0" w:color="666666"/>
              <w:left w:val="single" w:sz="8" w:space="0" w:color="666666"/>
              <w:bottom w:val="single" w:sz="8" w:space="0" w:color="666666"/>
              <w:right w:val="single" w:sz="8" w:space="0" w:color="666666"/>
            </w:tcBorders>
          </w:tcPr>
          <w:p w14:paraId="5806DA43" w14:textId="4802D3A0" w:rsidR="00DD4349" w:rsidRDefault="00DD4349" w:rsidP="00723537">
            <w:pPr>
              <w:tabs>
                <w:tab w:val="left" w:pos="1110"/>
              </w:tabs>
              <w:textAlignment w:val="auto"/>
            </w:pPr>
            <w:r>
              <w:rPr>
                <w:b/>
                <w:bCs/>
              </w:rPr>
              <w:t>Through NSDA, conduct a stakeholder mapping</w:t>
            </w:r>
            <w:r>
              <w:t xml:space="preserve"> </w:t>
            </w:r>
            <w:r>
              <w:rPr>
                <w:b/>
                <w:bCs/>
              </w:rPr>
              <w:t>and social network analysis</w:t>
            </w:r>
            <w:r>
              <w:t xml:space="preserve"> that will enable the NSDA to understand the range of stakeholders and analyse their </w:t>
            </w:r>
            <w:r>
              <w:lastRenderedPageBreak/>
              <w:t>interactions over time, and implement a targeted visibility strategy to highlight the value of the TVET subsector. Integrate a communication strategy to effectively convey updates and progress to industry and stakeholders.</w:t>
            </w:r>
          </w:p>
        </w:tc>
        <w:tc>
          <w:tcPr>
            <w:tcW w:w="0" w:type="auto"/>
            <w:vMerge/>
          </w:tcPr>
          <w:p w14:paraId="19F02398" w14:textId="55DA003A" w:rsidR="00DD4349" w:rsidRPr="00F352EF" w:rsidRDefault="00DD4349" w:rsidP="004F190F"/>
        </w:tc>
        <w:tc>
          <w:tcPr>
            <w:tcW w:w="0" w:type="auto"/>
            <w:vMerge/>
          </w:tcPr>
          <w:p w14:paraId="2C923D3C" w14:textId="77777777" w:rsidR="00DD4349" w:rsidRPr="00F352EF" w:rsidRDefault="00DD4349" w:rsidP="004F190F"/>
        </w:tc>
      </w:tr>
    </w:tbl>
    <w:p w14:paraId="26703BCF" w14:textId="77777777" w:rsidR="00CB4F6A" w:rsidRDefault="00CB4F6A" w:rsidP="00CB4F6A"/>
    <w:p w14:paraId="57AE80B0" w14:textId="77777777" w:rsidR="005D31FE" w:rsidRDefault="005D31FE" w:rsidP="391FE759">
      <w:pPr>
        <w:rPr>
          <w:b/>
          <w:bCs/>
          <w:lang w:val="en-GB"/>
        </w:rPr>
      </w:pPr>
    </w:p>
    <w:sectPr w:rsidR="005D31FE" w:rsidSect="006377C1">
      <w:headerReference w:type="default" r:id="rId9"/>
      <w:footerReference w:type="default" r:id="rId10"/>
      <w:pgSz w:w="16838" w:h="11906" w:orient="landscape"/>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4BE9" w14:textId="77777777" w:rsidR="00E17B00" w:rsidRDefault="00E17B00" w:rsidP="00B1140D">
      <w:r>
        <w:separator/>
      </w:r>
    </w:p>
  </w:endnote>
  <w:endnote w:type="continuationSeparator" w:id="0">
    <w:p w14:paraId="2C095957" w14:textId="77777777" w:rsidR="00E17B00" w:rsidRDefault="00E17B00" w:rsidP="00B1140D">
      <w:r>
        <w:continuationSeparator/>
      </w:r>
    </w:p>
  </w:endnote>
  <w:endnote w:type="continuationNotice" w:id="1">
    <w:p w14:paraId="2971BF8C" w14:textId="77777777" w:rsidR="00E17B00" w:rsidRDefault="00E17B00" w:rsidP="00B11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63644"/>
      <w:docPartObj>
        <w:docPartGallery w:val="Page Numbers (Bottom of Page)"/>
        <w:docPartUnique/>
      </w:docPartObj>
    </w:sdtPr>
    <w:sdtEndPr>
      <w:rPr>
        <w:noProof/>
      </w:rPr>
    </w:sdtEndPr>
    <w:sdtContent>
      <w:p w14:paraId="38983975" w14:textId="4C519856" w:rsidR="0055647F" w:rsidRDefault="00A1652A" w:rsidP="00B1140D">
        <w:pPr>
          <w:pStyle w:val="Footer"/>
          <w:rPr>
            <w:noProof/>
          </w:rPr>
        </w:pPr>
        <w:r>
          <w:rPr>
            <w:b/>
            <w:noProof/>
            <w:sz w:val="28"/>
          </w:rPr>
          <w:drawing>
            <wp:anchor distT="0" distB="0" distL="114300" distR="114300" simplePos="0" relativeHeight="251658245" behindDoc="1" locked="0" layoutInCell="1" allowOverlap="1" wp14:anchorId="78B73B0E" wp14:editId="733771F7">
              <wp:simplePos x="0" y="0"/>
              <wp:positionH relativeFrom="page">
                <wp:posOffset>0</wp:posOffset>
              </wp:positionH>
              <wp:positionV relativeFrom="page">
                <wp:posOffset>10095230</wp:posOffset>
              </wp:positionV>
              <wp:extent cx="7560000" cy="6732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r w:rsidR="000C764C">
          <w:rPr>
            <w:noProof/>
          </w:rPr>
          <w:fldChar w:fldCharType="begin"/>
        </w:r>
        <w:r w:rsidR="000C764C">
          <w:instrText xml:space="preserve"> PAGE   \* MERGEFORMAT </w:instrText>
        </w:r>
        <w:r w:rsidR="000C764C">
          <w:fldChar w:fldCharType="separate"/>
        </w:r>
        <w:r w:rsidR="77728BC8">
          <w:rPr>
            <w:noProof/>
          </w:rPr>
          <w:t>2</w:t>
        </w:r>
        <w:r w:rsidR="000C764C">
          <w:rPr>
            <w:noProof/>
          </w:rPr>
          <w:fldChar w:fldCharType="end"/>
        </w:r>
        <w:r w:rsidR="00B00AB8">
          <w:rPr>
            <w:noProof/>
          </w:rPr>
          <w:tab/>
        </w:r>
        <w:r w:rsidR="006A0EEF">
          <w:rPr>
            <w:noProof/>
          </w:rPr>
          <w:t xml:space="preserve">July </w:t>
        </w:r>
        <w:r w:rsidR="00590B72">
          <w:rPr>
            <w:noProof/>
          </w:rPr>
          <w:t>2024</w:t>
        </w:r>
      </w:p>
      <w:p w14:paraId="3277C936" w14:textId="5619D89F" w:rsidR="000C764C" w:rsidRDefault="000F7F30" w:rsidP="00B1140D">
        <w:pPr>
          <w:pStyle w:val="Footer"/>
        </w:pPr>
      </w:p>
    </w:sdtContent>
  </w:sdt>
  <w:p w14:paraId="2F92D2DE" w14:textId="51A3C7EC" w:rsidR="000C764C" w:rsidRDefault="000C764C" w:rsidP="00B11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4687" w14:textId="77777777" w:rsidR="00E17B00" w:rsidRDefault="00E17B00" w:rsidP="00B1140D">
      <w:r>
        <w:separator/>
      </w:r>
    </w:p>
  </w:footnote>
  <w:footnote w:type="continuationSeparator" w:id="0">
    <w:p w14:paraId="35E2C392" w14:textId="77777777" w:rsidR="00E17B00" w:rsidRDefault="00E17B00" w:rsidP="00B1140D">
      <w:r>
        <w:continuationSeparator/>
      </w:r>
    </w:p>
  </w:footnote>
  <w:footnote w:type="continuationNotice" w:id="1">
    <w:p w14:paraId="50CF7FEC" w14:textId="77777777" w:rsidR="00E17B00" w:rsidRDefault="00E17B00" w:rsidP="00B1140D"/>
  </w:footnote>
  <w:footnote w:id="2">
    <w:p w14:paraId="3AB328A6" w14:textId="77777777" w:rsidR="007F3848" w:rsidRDefault="007F3848" w:rsidP="00CB4F6A">
      <w:pPr>
        <w:pStyle w:val="FootnoteText"/>
      </w:pPr>
      <w:r>
        <w:rPr>
          <w:rStyle w:val="FootnoteReference"/>
        </w:rPr>
        <w:footnoteRef/>
      </w:r>
      <w:r>
        <w:t xml:space="preserve"> </w:t>
      </w:r>
      <w:r w:rsidRPr="00B85F46">
        <w:t xml:space="preserve">  The strategic framework lays out in a visual form all the elements of subsector transformation and plots what specific elements are being addressed and by whom. Ultimately this map will show where there are gaps and overlaps. This map can be used as the basis for a dashboard to track subsector transformation over time. It would also benefit multi-partner meetings as well.</w:t>
      </w:r>
    </w:p>
  </w:footnote>
  <w:footnote w:id="3">
    <w:p w14:paraId="251DCE3E" w14:textId="77777777" w:rsidR="002D797A" w:rsidRDefault="002D797A" w:rsidP="00CB4F6A">
      <w:pPr>
        <w:pStyle w:val="FootnoteText"/>
      </w:pPr>
      <w:r>
        <w:rPr>
          <w:rStyle w:val="FootnoteReference"/>
        </w:rPr>
        <w:footnoteRef/>
      </w:r>
      <w:r>
        <w:t xml:space="preserve"> The TVET Subsector expert should have </w:t>
      </w:r>
      <w:r w:rsidRPr="00A471DD">
        <w:t>experience in organisational development, change management, institutional strengthening, and human capacity development would be advisable.</w:t>
      </w:r>
    </w:p>
  </w:footnote>
  <w:footnote w:id="4">
    <w:p w14:paraId="062B47D8" w14:textId="77777777" w:rsidR="00CB4F6A" w:rsidRDefault="00CB4F6A" w:rsidP="00CB4F6A">
      <w:pPr>
        <w:pStyle w:val="FootnoteText"/>
      </w:pPr>
      <w:r>
        <w:rPr>
          <w:rStyle w:val="FootnoteReference"/>
        </w:rPr>
        <w:footnoteRef/>
      </w:r>
      <w:r>
        <w:t xml:space="preserve"> The TVET Subsector expert should have </w:t>
      </w:r>
      <w:r w:rsidRPr="00A471DD">
        <w:t>experience in organisational development, change management, institutional strengthening, and human capacity development would be advisable.</w:t>
      </w:r>
    </w:p>
  </w:footnote>
  <w:footnote w:id="5">
    <w:p w14:paraId="48C41331" w14:textId="77777777" w:rsidR="00DD4349" w:rsidRDefault="00DD4349" w:rsidP="00723537">
      <w:pPr>
        <w:pStyle w:val="FootnotetextHDMES"/>
      </w:pPr>
      <w:r>
        <w:rPr>
          <w:vertAlign w:val="superscript"/>
        </w:rPr>
        <w:footnoteRef/>
      </w:r>
      <w:r>
        <w:t xml:space="preserve"> The proposed Industry Reference Groups (IRGs) are different from the Industry Skills Groups under the NSDA that have an industry representative per group. IRGs would have a much broader representation of industry leaders and would be established at the subnational level. There might be a peak IRG body at the national level as well.</w:t>
      </w:r>
    </w:p>
  </w:footnote>
  <w:footnote w:id="6">
    <w:p w14:paraId="63B99849" w14:textId="77777777" w:rsidR="00DD4349" w:rsidRDefault="00DD4349" w:rsidP="00723537">
      <w:pPr>
        <w:pStyle w:val="FootnotetextHDMES"/>
      </w:pPr>
      <w:r>
        <w:rPr>
          <w:vertAlign w:val="superscript"/>
        </w:rPr>
        <w:footnoteRef/>
      </w:r>
      <w:r>
        <w:t xml:space="preserve"> The Mathematica Education to Workforce Indicator Framework and resources are excellent and could be of benefit. </w:t>
      </w:r>
      <w:hyperlink r:id="rId1" w:history="1">
        <w:r>
          <w:rPr>
            <w:rStyle w:val="Hyperlink"/>
            <w:color w:val="1155CC"/>
          </w:rPr>
          <w:t>https://www.educationtoworkforce.org/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C061" w14:textId="65ED1E61" w:rsidR="00A1652A" w:rsidRDefault="00A1652A" w:rsidP="00B1140D">
    <w:pPr>
      <w:pStyle w:val="Header"/>
    </w:pPr>
    <w:r>
      <w:rPr>
        <w:noProof/>
        <w:sz w:val="28"/>
      </w:rPr>
      <w:drawing>
        <wp:anchor distT="0" distB="0" distL="114300" distR="114300" simplePos="0" relativeHeight="251658240" behindDoc="1" locked="0" layoutInCell="1" allowOverlap="1" wp14:anchorId="7E2D72BA" wp14:editId="220D3B64">
          <wp:simplePos x="0" y="0"/>
          <wp:positionH relativeFrom="page">
            <wp:posOffset>-295910</wp:posOffset>
          </wp:positionH>
          <wp:positionV relativeFrom="page">
            <wp:posOffset>57150</wp:posOffset>
          </wp:positionV>
          <wp:extent cx="8076663" cy="902219"/>
          <wp:effectExtent l="0" t="0" r="63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rotWithShape="1">
                  <a:blip r:embed="rId1">
                    <a:extLst>
                      <a:ext uri="{28A0092B-C50C-407E-A947-70E740481C1C}">
                        <a14:useLocalDpi xmlns:a14="http://schemas.microsoft.com/office/drawing/2010/main" val="0"/>
                      </a:ext>
                    </a:extLst>
                  </a:blip>
                  <a:srcRect t="19117"/>
                  <a:stretch/>
                </pic:blipFill>
                <pic:spPr bwMode="auto">
                  <a:xfrm>
                    <a:off x="0" y="0"/>
                    <a:ext cx="8076663" cy="9022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51A6">
      <w:rPr>
        <w:noProof/>
        <w:color w:val="FFFFFF" w:themeColor="background1"/>
      </w:rPr>
      <w:drawing>
        <wp:anchor distT="0" distB="0" distL="114300" distR="114300" simplePos="0" relativeHeight="251658243" behindDoc="1" locked="1" layoutInCell="1" allowOverlap="1" wp14:anchorId="17854431" wp14:editId="61231C70">
          <wp:simplePos x="0" y="0"/>
          <wp:positionH relativeFrom="margin">
            <wp:align>left</wp:align>
          </wp:positionH>
          <wp:positionV relativeFrom="page">
            <wp:posOffset>539750</wp:posOffset>
          </wp:positionV>
          <wp:extent cx="3166110" cy="55372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75A5"/>
    <w:multiLevelType w:val="hybridMultilevel"/>
    <w:tmpl w:val="CBA63FBC"/>
    <w:lvl w:ilvl="0" w:tplc="8CC03EB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3D08F0"/>
    <w:multiLevelType w:val="hybridMultilevel"/>
    <w:tmpl w:val="F7307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8575B0"/>
    <w:multiLevelType w:val="hybridMultilevel"/>
    <w:tmpl w:val="B4C21E18"/>
    <w:lvl w:ilvl="0" w:tplc="F3DCE6C4">
      <w:start w:val="1"/>
      <w:numFmt w:val="decimal"/>
      <w:lvlText w:val="%1."/>
      <w:lvlJc w:val="left"/>
      <w:pPr>
        <w:ind w:left="382" w:hanging="360"/>
      </w:pPr>
      <w:rPr>
        <w:rFonts w:hint="default"/>
        <w:color w:val="auto"/>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3" w15:restartNumberingAfterBreak="0">
    <w:nsid w:val="322B5268"/>
    <w:multiLevelType w:val="hybridMultilevel"/>
    <w:tmpl w:val="545CE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E50E7F"/>
    <w:multiLevelType w:val="hybridMultilevel"/>
    <w:tmpl w:val="C0EE0310"/>
    <w:lvl w:ilvl="0" w:tplc="B5B4414E">
      <w:start w:val="1"/>
      <w:numFmt w:val="decimal"/>
      <w:lvlText w:val="%1."/>
      <w:lvlJc w:val="left"/>
      <w:pPr>
        <w:ind w:left="382" w:hanging="36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5" w15:restartNumberingAfterBreak="0">
    <w:nsid w:val="3A5877B7"/>
    <w:multiLevelType w:val="hybridMultilevel"/>
    <w:tmpl w:val="92AE8BA2"/>
    <w:lvl w:ilvl="0" w:tplc="B5B4414E">
      <w:start w:val="1"/>
      <w:numFmt w:val="decimal"/>
      <w:lvlText w:val="%1."/>
      <w:lvlJc w:val="left"/>
      <w:pPr>
        <w:ind w:left="382" w:hanging="360"/>
      </w:pPr>
      <w:rPr>
        <w:rFonts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6" w15:restartNumberingAfterBreak="0">
    <w:nsid w:val="4D477080"/>
    <w:multiLevelType w:val="hybridMultilevel"/>
    <w:tmpl w:val="1780D1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11708A"/>
    <w:multiLevelType w:val="hybridMultilevel"/>
    <w:tmpl w:val="4D6A6A56"/>
    <w:lvl w:ilvl="0" w:tplc="D44CF9FA">
      <w:start w:val="1"/>
      <w:numFmt w:val="bullet"/>
      <w:lvlText w:val=""/>
      <w:lvlJc w:val="left"/>
      <w:pPr>
        <w:ind w:left="1080" w:hanging="360"/>
      </w:pPr>
      <w:rPr>
        <w:rFonts w:ascii="Symbol" w:hAnsi="Symbol"/>
      </w:rPr>
    </w:lvl>
    <w:lvl w:ilvl="1" w:tplc="A0FC8CB4">
      <w:start w:val="1"/>
      <w:numFmt w:val="bullet"/>
      <w:lvlText w:val=""/>
      <w:lvlJc w:val="left"/>
      <w:pPr>
        <w:ind w:left="1080" w:hanging="360"/>
      </w:pPr>
      <w:rPr>
        <w:rFonts w:ascii="Symbol" w:hAnsi="Symbol"/>
      </w:rPr>
    </w:lvl>
    <w:lvl w:ilvl="2" w:tplc="49C46566">
      <w:start w:val="1"/>
      <w:numFmt w:val="bullet"/>
      <w:lvlText w:val=""/>
      <w:lvlJc w:val="left"/>
      <w:pPr>
        <w:ind w:left="1080" w:hanging="360"/>
      </w:pPr>
      <w:rPr>
        <w:rFonts w:ascii="Symbol" w:hAnsi="Symbol"/>
      </w:rPr>
    </w:lvl>
    <w:lvl w:ilvl="3" w:tplc="879A8546">
      <w:start w:val="1"/>
      <w:numFmt w:val="bullet"/>
      <w:lvlText w:val=""/>
      <w:lvlJc w:val="left"/>
      <w:pPr>
        <w:ind w:left="1080" w:hanging="360"/>
      </w:pPr>
      <w:rPr>
        <w:rFonts w:ascii="Symbol" w:hAnsi="Symbol"/>
      </w:rPr>
    </w:lvl>
    <w:lvl w:ilvl="4" w:tplc="6B20192E">
      <w:start w:val="1"/>
      <w:numFmt w:val="bullet"/>
      <w:lvlText w:val=""/>
      <w:lvlJc w:val="left"/>
      <w:pPr>
        <w:ind w:left="1080" w:hanging="360"/>
      </w:pPr>
      <w:rPr>
        <w:rFonts w:ascii="Symbol" w:hAnsi="Symbol"/>
      </w:rPr>
    </w:lvl>
    <w:lvl w:ilvl="5" w:tplc="3EF497EC">
      <w:start w:val="1"/>
      <w:numFmt w:val="bullet"/>
      <w:lvlText w:val=""/>
      <w:lvlJc w:val="left"/>
      <w:pPr>
        <w:ind w:left="1080" w:hanging="360"/>
      </w:pPr>
      <w:rPr>
        <w:rFonts w:ascii="Symbol" w:hAnsi="Symbol"/>
      </w:rPr>
    </w:lvl>
    <w:lvl w:ilvl="6" w:tplc="D3EA67C8">
      <w:start w:val="1"/>
      <w:numFmt w:val="bullet"/>
      <w:lvlText w:val=""/>
      <w:lvlJc w:val="left"/>
      <w:pPr>
        <w:ind w:left="1080" w:hanging="360"/>
      </w:pPr>
      <w:rPr>
        <w:rFonts w:ascii="Symbol" w:hAnsi="Symbol"/>
      </w:rPr>
    </w:lvl>
    <w:lvl w:ilvl="7" w:tplc="EC18F31C">
      <w:start w:val="1"/>
      <w:numFmt w:val="bullet"/>
      <w:lvlText w:val=""/>
      <w:lvlJc w:val="left"/>
      <w:pPr>
        <w:ind w:left="1080" w:hanging="360"/>
      </w:pPr>
      <w:rPr>
        <w:rFonts w:ascii="Symbol" w:hAnsi="Symbol"/>
      </w:rPr>
    </w:lvl>
    <w:lvl w:ilvl="8" w:tplc="3F46E804">
      <w:start w:val="1"/>
      <w:numFmt w:val="bullet"/>
      <w:lvlText w:val=""/>
      <w:lvlJc w:val="left"/>
      <w:pPr>
        <w:ind w:left="1080" w:hanging="360"/>
      </w:pPr>
      <w:rPr>
        <w:rFonts w:ascii="Symbol" w:hAnsi="Symbol"/>
      </w:rPr>
    </w:lvl>
  </w:abstractNum>
  <w:abstractNum w:abstractNumId="8" w15:restartNumberingAfterBreak="0">
    <w:nsid w:val="6BEF074B"/>
    <w:multiLevelType w:val="hybridMultilevel"/>
    <w:tmpl w:val="081434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633B37"/>
    <w:multiLevelType w:val="hybridMultilevel"/>
    <w:tmpl w:val="54942C7E"/>
    <w:lvl w:ilvl="0" w:tplc="8C3C441C">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7175C8"/>
    <w:multiLevelType w:val="hybridMultilevel"/>
    <w:tmpl w:val="83304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6353225">
    <w:abstractNumId w:val="0"/>
  </w:num>
  <w:num w:numId="2" w16cid:durableId="259223105">
    <w:abstractNumId w:val="2"/>
  </w:num>
  <w:num w:numId="3" w16cid:durableId="681856464">
    <w:abstractNumId w:val="4"/>
  </w:num>
  <w:num w:numId="4" w16cid:durableId="2009362762">
    <w:abstractNumId w:val="5"/>
  </w:num>
  <w:num w:numId="5" w16cid:durableId="1717849322">
    <w:abstractNumId w:val="8"/>
  </w:num>
  <w:num w:numId="6" w16cid:durableId="931818002">
    <w:abstractNumId w:val="6"/>
  </w:num>
  <w:num w:numId="7" w16cid:durableId="1939677769">
    <w:abstractNumId w:val="1"/>
  </w:num>
  <w:num w:numId="8" w16cid:durableId="105588432">
    <w:abstractNumId w:val="3"/>
  </w:num>
  <w:num w:numId="9" w16cid:durableId="623191373">
    <w:abstractNumId w:val="9"/>
  </w:num>
  <w:num w:numId="10" w16cid:durableId="1313682464">
    <w:abstractNumId w:val="7"/>
  </w:num>
  <w:num w:numId="11" w16cid:durableId="1648823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5F"/>
    <w:rsid w:val="000006D8"/>
    <w:rsid w:val="000015F4"/>
    <w:rsid w:val="0000297E"/>
    <w:rsid w:val="00002F42"/>
    <w:rsid w:val="00011627"/>
    <w:rsid w:val="000134CD"/>
    <w:rsid w:val="000173EA"/>
    <w:rsid w:val="0001792C"/>
    <w:rsid w:val="000208B2"/>
    <w:rsid w:val="00023E36"/>
    <w:rsid w:val="00024ACC"/>
    <w:rsid w:val="00032C40"/>
    <w:rsid w:val="000332B1"/>
    <w:rsid w:val="00033808"/>
    <w:rsid w:val="00035259"/>
    <w:rsid w:val="00035549"/>
    <w:rsid w:val="00036BC5"/>
    <w:rsid w:val="00037151"/>
    <w:rsid w:val="0004116E"/>
    <w:rsid w:val="0004372F"/>
    <w:rsid w:val="000440A7"/>
    <w:rsid w:val="00045D6D"/>
    <w:rsid w:val="00051CD1"/>
    <w:rsid w:val="000527E3"/>
    <w:rsid w:val="00064413"/>
    <w:rsid w:val="000709DB"/>
    <w:rsid w:val="00071B12"/>
    <w:rsid w:val="00071CBC"/>
    <w:rsid w:val="0007206D"/>
    <w:rsid w:val="0007227B"/>
    <w:rsid w:val="00073870"/>
    <w:rsid w:val="000756A7"/>
    <w:rsid w:val="00075B20"/>
    <w:rsid w:val="00077315"/>
    <w:rsid w:val="000775DF"/>
    <w:rsid w:val="00080B20"/>
    <w:rsid w:val="00080DC3"/>
    <w:rsid w:val="00081483"/>
    <w:rsid w:val="00082DD7"/>
    <w:rsid w:val="000865C6"/>
    <w:rsid w:val="0008674F"/>
    <w:rsid w:val="00087820"/>
    <w:rsid w:val="00091798"/>
    <w:rsid w:val="00091CE4"/>
    <w:rsid w:val="00095B9A"/>
    <w:rsid w:val="00097A49"/>
    <w:rsid w:val="00097B4F"/>
    <w:rsid w:val="000A026F"/>
    <w:rsid w:val="000A09CC"/>
    <w:rsid w:val="000A1744"/>
    <w:rsid w:val="000A19B1"/>
    <w:rsid w:val="000A1CC6"/>
    <w:rsid w:val="000A20CB"/>
    <w:rsid w:val="000A3769"/>
    <w:rsid w:val="000A6711"/>
    <w:rsid w:val="000A77F9"/>
    <w:rsid w:val="000A7C04"/>
    <w:rsid w:val="000B10E4"/>
    <w:rsid w:val="000B13F9"/>
    <w:rsid w:val="000B1C9F"/>
    <w:rsid w:val="000B3EC5"/>
    <w:rsid w:val="000B4F73"/>
    <w:rsid w:val="000B5934"/>
    <w:rsid w:val="000B6DCF"/>
    <w:rsid w:val="000B7C63"/>
    <w:rsid w:val="000C1474"/>
    <w:rsid w:val="000C218A"/>
    <w:rsid w:val="000C26BB"/>
    <w:rsid w:val="000C5198"/>
    <w:rsid w:val="000C687D"/>
    <w:rsid w:val="000C764C"/>
    <w:rsid w:val="000D0B87"/>
    <w:rsid w:val="000D116B"/>
    <w:rsid w:val="000D375D"/>
    <w:rsid w:val="000D47BB"/>
    <w:rsid w:val="000D547C"/>
    <w:rsid w:val="000D55DA"/>
    <w:rsid w:val="000E1C64"/>
    <w:rsid w:val="000E2736"/>
    <w:rsid w:val="000E565E"/>
    <w:rsid w:val="000E56A7"/>
    <w:rsid w:val="000E5DF1"/>
    <w:rsid w:val="000E70D5"/>
    <w:rsid w:val="000F0A6E"/>
    <w:rsid w:val="000F0EC4"/>
    <w:rsid w:val="000F18AA"/>
    <w:rsid w:val="000F55D0"/>
    <w:rsid w:val="000F7F30"/>
    <w:rsid w:val="00100594"/>
    <w:rsid w:val="001028C0"/>
    <w:rsid w:val="00110C87"/>
    <w:rsid w:val="00111988"/>
    <w:rsid w:val="00112027"/>
    <w:rsid w:val="00112DF9"/>
    <w:rsid w:val="001137FA"/>
    <w:rsid w:val="00115D95"/>
    <w:rsid w:val="001237D5"/>
    <w:rsid w:val="001277EA"/>
    <w:rsid w:val="0012796C"/>
    <w:rsid w:val="00130473"/>
    <w:rsid w:val="0013070F"/>
    <w:rsid w:val="0013436A"/>
    <w:rsid w:val="001371D6"/>
    <w:rsid w:val="00137A5B"/>
    <w:rsid w:val="00140F45"/>
    <w:rsid w:val="00142AE4"/>
    <w:rsid w:val="00142F88"/>
    <w:rsid w:val="001430D3"/>
    <w:rsid w:val="00144135"/>
    <w:rsid w:val="00157A86"/>
    <w:rsid w:val="00157C39"/>
    <w:rsid w:val="0016461F"/>
    <w:rsid w:val="00170B6A"/>
    <w:rsid w:val="001711DD"/>
    <w:rsid w:val="00172DF5"/>
    <w:rsid w:val="00172FB9"/>
    <w:rsid w:val="00173343"/>
    <w:rsid w:val="001738C6"/>
    <w:rsid w:val="00174C1F"/>
    <w:rsid w:val="00176244"/>
    <w:rsid w:val="00180CD6"/>
    <w:rsid w:val="00181115"/>
    <w:rsid w:val="001839D5"/>
    <w:rsid w:val="00183EB8"/>
    <w:rsid w:val="00184CEA"/>
    <w:rsid w:val="001856CD"/>
    <w:rsid w:val="0018742E"/>
    <w:rsid w:val="00193645"/>
    <w:rsid w:val="0019529B"/>
    <w:rsid w:val="00195E1C"/>
    <w:rsid w:val="001A0468"/>
    <w:rsid w:val="001A05C0"/>
    <w:rsid w:val="001A66D9"/>
    <w:rsid w:val="001B17C7"/>
    <w:rsid w:val="001B1B93"/>
    <w:rsid w:val="001B1E18"/>
    <w:rsid w:val="001B5D01"/>
    <w:rsid w:val="001B611F"/>
    <w:rsid w:val="001C0A2A"/>
    <w:rsid w:val="001C2050"/>
    <w:rsid w:val="001C2438"/>
    <w:rsid w:val="001C2510"/>
    <w:rsid w:val="001C461A"/>
    <w:rsid w:val="001C60F7"/>
    <w:rsid w:val="001C6914"/>
    <w:rsid w:val="001C74D5"/>
    <w:rsid w:val="001C7B7A"/>
    <w:rsid w:val="001D0905"/>
    <w:rsid w:val="001D0C5F"/>
    <w:rsid w:val="001D0D56"/>
    <w:rsid w:val="001D110A"/>
    <w:rsid w:val="001D29B2"/>
    <w:rsid w:val="001D3711"/>
    <w:rsid w:val="001D5691"/>
    <w:rsid w:val="001D5A4A"/>
    <w:rsid w:val="001D66A0"/>
    <w:rsid w:val="001D697F"/>
    <w:rsid w:val="001D6A5C"/>
    <w:rsid w:val="001D7B64"/>
    <w:rsid w:val="001E04FA"/>
    <w:rsid w:val="001E07F9"/>
    <w:rsid w:val="001E1DD5"/>
    <w:rsid w:val="001E242F"/>
    <w:rsid w:val="001E2BDC"/>
    <w:rsid w:val="001E4CA2"/>
    <w:rsid w:val="001F118B"/>
    <w:rsid w:val="001F4B43"/>
    <w:rsid w:val="001F5148"/>
    <w:rsid w:val="001F7BFB"/>
    <w:rsid w:val="00200676"/>
    <w:rsid w:val="00200802"/>
    <w:rsid w:val="00200868"/>
    <w:rsid w:val="00202C71"/>
    <w:rsid w:val="00203317"/>
    <w:rsid w:val="00204E4B"/>
    <w:rsid w:val="002057FD"/>
    <w:rsid w:val="002059E7"/>
    <w:rsid w:val="00210493"/>
    <w:rsid w:val="0021117F"/>
    <w:rsid w:val="00212979"/>
    <w:rsid w:val="00214895"/>
    <w:rsid w:val="00216468"/>
    <w:rsid w:val="002175D9"/>
    <w:rsid w:val="002256CE"/>
    <w:rsid w:val="0022587E"/>
    <w:rsid w:val="00226165"/>
    <w:rsid w:val="002263EF"/>
    <w:rsid w:val="00226769"/>
    <w:rsid w:val="00227C7E"/>
    <w:rsid w:val="002302C1"/>
    <w:rsid w:val="002329E9"/>
    <w:rsid w:val="00232A25"/>
    <w:rsid w:val="00234934"/>
    <w:rsid w:val="00234FC0"/>
    <w:rsid w:val="002355F2"/>
    <w:rsid w:val="002372E5"/>
    <w:rsid w:val="00237625"/>
    <w:rsid w:val="00241430"/>
    <w:rsid w:val="0024150B"/>
    <w:rsid w:val="00244CB3"/>
    <w:rsid w:val="00245AC1"/>
    <w:rsid w:val="0025176C"/>
    <w:rsid w:val="00253D4B"/>
    <w:rsid w:val="002545BE"/>
    <w:rsid w:val="00254D15"/>
    <w:rsid w:val="00256E1D"/>
    <w:rsid w:val="00257FC3"/>
    <w:rsid w:val="002604E2"/>
    <w:rsid w:val="002619F9"/>
    <w:rsid w:val="0026306F"/>
    <w:rsid w:val="0026367E"/>
    <w:rsid w:val="002663A4"/>
    <w:rsid w:val="00267211"/>
    <w:rsid w:val="002703FD"/>
    <w:rsid w:val="0027224A"/>
    <w:rsid w:val="00272A92"/>
    <w:rsid w:val="0027306E"/>
    <w:rsid w:val="00273C58"/>
    <w:rsid w:val="00280560"/>
    <w:rsid w:val="002828D7"/>
    <w:rsid w:val="002834F8"/>
    <w:rsid w:val="002854F7"/>
    <w:rsid w:val="002860E4"/>
    <w:rsid w:val="00286F45"/>
    <w:rsid w:val="00290931"/>
    <w:rsid w:val="00291117"/>
    <w:rsid w:val="0029124C"/>
    <w:rsid w:val="00291AD5"/>
    <w:rsid w:val="00292A95"/>
    <w:rsid w:val="002941EA"/>
    <w:rsid w:val="00294F76"/>
    <w:rsid w:val="00296A91"/>
    <w:rsid w:val="00296D20"/>
    <w:rsid w:val="002A00D0"/>
    <w:rsid w:val="002A061F"/>
    <w:rsid w:val="002A3ABE"/>
    <w:rsid w:val="002A43A1"/>
    <w:rsid w:val="002A4E74"/>
    <w:rsid w:val="002A5252"/>
    <w:rsid w:val="002B33B2"/>
    <w:rsid w:val="002B544C"/>
    <w:rsid w:val="002B562E"/>
    <w:rsid w:val="002B5B46"/>
    <w:rsid w:val="002B7279"/>
    <w:rsid w:val="002C06F3"/>
    <w:rsid w:val="002C2224"/>
    <w:rsid w:val="002C4005"/>
    <w:rsid w:val="002D1A94"/>
    <w:rsid w:val="002D57D6"/>
    <w:rsid w:val="002D5E9C"/>
    <w:rsid w:val="002D6F4A"/>
    <w:rsid w:val="002D797A"/>
    <w:rsid w:val="002D799C"/>
    <w:rsid w:val="002E0EB1"/>
    <w:rsid w:val="002E17DD"/>
    <w:rsid w:val="002E4341"/>
    <w:rsid w:val="002E49C1"/>
    <w:rsid w:val="002E4F6D"/>
    <w:rsid w:val="002E707D"/>
    <w:rsid w:val="002E71C9"/>
    <w:rsid w:val="002E7CB8"/>
    <w:rsid w:val="002F3BA9"/>
    <w:rsid w:val="002F5618"/>
    <w:rsid w:val="00301EE3"/>
    <w:rsid w:val="0030238D"/>
    <w:rsid w:val="00304EC3"/>
    <w:rsid w:val="00305D1A"/>
    <w:rsid w:val="0030743C"/>
    <w:rsid w:val="00307F14"/>
    <w:rsid w:val="0031417F"/>
    <w:rsid w:val="003167F8"/>
    <w:rsid w:val="0032533B"/>
    <w:rsid w:val="00326A70"/>
    <w:rsid w:val="00326C6F"/>
    <w:rsid w:val="00327FB7"/>
    <w:rsid w:val="00331A54"/>
    <w:rsid w:val="00333C17"/>
    <w:rsid w:val="00334556"/>
    <w:rsid w:val="00335FA3"/>
    <w:rsid w:val="003414C0"/>
    <w:rsid w:val="003419BD"/>
    <w:rsid w:val="00341B5D"/>
    <w:rsid w:val="00345122"/>
    <w:rsid w:val="00347701"/>
    <w:rsid w:val="00351F9B"/>
    <w:rsid w:val="00356788"/>
    <w:rsid w:val="003571A6"/>
    <w:rsid w:val="0035779D"/>
    <w:rsid w:val="0036108C"/>
    <w:rsid w:val="00362B3E"/>
    <w:rsid w:val="00366814"/>
    <w:rsid w:val="00372A8E"/>
    <w:rsid w:val="003759E9"/>
    <w:rsid w:val="00377F82"/>
    <w:rsid w:val="003828AB"/>
    <w:rsid w:val="00383FA8"/>
    <w:rsid w:val="00384892"/>
    <w:rsid w:val="003855F8"/>
    <w:rsid w:val="00386C36"/>
    <w:rsid w:val="00387D87"/>
    <w:rsid w:val="00390885"/>
    <w:rsid w:val="00393906"/>
    <w:rsid w:val="003A033F"/>
    <w:rsid w:val="003A0567"/>
    <w:rsid w:val="003A791F"/>
    <w:rsid w:val="003B0058"/>
    <w:rsid w:val="003B1C4B"/>
    <w:rsid w:val="003B1DE0"/>
    <w:rsid w:val="003B2470"/>
    <w:rsid w:val="003B323D"/>
    <w:rsid w:val="003B36DC"/>
    <w:rsid w:val="003B61B2"/>
    <w:rsid w:val="003B74BD"/>
    <w:rsid w:val="003C0011"/>
    <w:rsid w:val="003C08DA"/>
    <w:rsid w:val="003C5E22"/>
    <w:rsid w:val="003C6F7C"/>
    <w:rsid w:val="003C740E"/>
    <w:rsid w:val="003D047B"/>
    <w:rsid w:val="003D4BF6"/>
    <w:rsid w:val="003D5858"/>
    <w:rsid w:val="003D60AB"/>
    <w:rsid w:val="003D64E1"/>
    <w:rsid w:val="003D7C28"/>
    <w:rsid w:val="003E2880"/>
    <w:rsid w:val="003E3E03"/>
    <w:rsid w:val="003E51F4"/>
    <w:rsid w:val="003F1311"/>
    <w:rsid w:val="003F259C"/>
    <w:rsid w:val="003F270B"/>
    <w:rsid w:val="003F33E9"/>
    <w:rsid w:val="003F4232"/>
    <w:rsid w:val="004012DE"/>
    <w:rsid w:val="00401C95"/>
    <w:rsid w:val="004054B5"/>
    <w:rsid w:val="004064AD"/>
    <w:rsid w:val="00406FEF"/>
    <w:rsid w:val="004130C7"/>
    <w:rsid w:val="004167FF"/>
    <w:rsid w:val="00417BC3"/>
    <w:rsid w:val="00420DCA"/>
    <w:rsid w:val="0042147F"/>
    <w:rsid w:val="00422DF6"/>
    <w:rsid w:val="00423E15"/>
    <w:rsid w:val="00430EE5"/>
    <w:rsid w:val="00431F10"/>
    <w:rsid w:val="004328C2"/>
    <w:rsid w:val="00433F16"/>
    <w:rsid w:val="004439F5"/>
    <w:rsid w:val="0045145C"/>
    <w:rsid w:val="00451B56"/>
    <w:rsid w:val="00454AD6"/>
    <w:rsid w:val="004578EB"/>
    <w:rsid w:val="00460184"/>
    <w:rsid w:val="0046231C"/>
    <w:rsid w:val="00462362"/>
    <w:rsid w:val="00473EA8"/>
    <w:rsid w:val="00474588"/>
    <w:rsid w:val="00475741"/>
    <w:rsid w:val="0047779F"/>
    <w:rsid w:val="0048099C"/>
    <w:rsid w:val="00481782"/>
    <w:rsid w:val="0048218C"/>
    <w:rsid w:val="004838BF"/>
    <w:rsid w:val="00485C2E"/>
    <w:rsid w:val="004877FE"/>
    <w:rsid w:val="004908C0"/>
    <w:rsid w:val="00492CEC"/>
    <w:rsid w:val="004A4D52"/>
    <w:rsid w:val="004A6D06"/>
    <w:rsid w:val="004B013A"/>
    <w:rsid w:val="004B6741"/>
    <w:rsid w:val="004C02A1"/>
    <w:rsid w:val="004C4FD4"/>
    <w:rsid w:val="004D24CB"/>
    <w:rsid w:val="004D2716"/>
    <w:rsid w:val="004D31C5"/>
    <w:rsid w:val="004D4225"/>
    <w:rsid w:val="004D6D75"/>
    <w:rsid w:val="004D7165"/>
    <w:rsid w:val="004E2689"/>
    <w:rsid w:val="004E4B1A"/>
    <w:rsid w:val="004E4FDD"/>
    <w:rsid w:val="004E59CC"/>
    <w:rsid w:val="004E66B7"/>
    <w:rsid w:val="004F11DE"/>
    <w:rsid w:val="004F135C"/>
    <w:rsid w:val="004F1481"/>
    <w:rsid w:val="004F152D"/>
    <w:rsid w:val="004F180D"/>
    <w:rsid w:val="004F1CCB"/>
    <w:rsid w:val="004F435B"/>
    <w:rsid w:val="004F6C7A"/>
    <w:rsid w:val="004F71D7"/>
    <w:rsid w:val="00503FFC"/>
    <w:rsid w:val="00504488"/>
    <w:rsid w:val="00506989"/>
    <w:rsid w:val="00513515"/>
    <w:rsid w:val="0051546E"/>
    <w:rsid w:val="00520D29"/>
    <w:rsid w:val="0052328A"/>
    <w:rsid w:val="00523B86"/>
    <w:rsid w:val="00523D14"/>
    <w:rsid w:val="0052520E"/>
    <w:rsid w:val="005253B5"/>
    <w:rsid w:val="00525F79"/>
    <w:rsid w:val="0052647A"/>
    <w:rsid w:val="0052690F"/>
    <w:rsid w:val="005277FA"/>
    <w:rsid w:val="00532B2C"/>
    <w:rsid w:val="00533ADB"/>
    <w:rsid w:val="0053423C"/>
    <w:rsid w:val="0053520A"/>
    <w:rsid w:val="005370A5"/>
    <w:rsid w:val="005402F3"/>
    <w:rsid w:val="00540663"/>
    <w:rsid w:val="00540A45"/>
    <w:rsid w:val="00540BE0"/>
    <w:rsid w:val="00543166"/>
    <w:rsid w:val="00544CAD"/>
    <w:rsid w:val="00544DD4"/>
    <w:rsid w:val="00545126"/>
    <w:rsid w:val="00545331"/>
    <w:rsid w:val="00550CF1"/>
    <w:rsid w:val="00551B5A"/>
    <w:rsid w:val="00553C95"/>
    <w:rsid w:val="005548FD"/>
    <w:rsid w:val="00555587"/>
    <w:rsid w:val="0055647F"/>
    <w:rsid w:val="00557965"/>
    <w:rsid w:val="00560131"/>
    <w:rsid w:val="00560966"/>
    <w:rsid w:val="0056166A"/>
    <w:rsid w:val="0056243B"/>
    <w:rsid w:val="00563ED1"/>
    <w:rsid w:val="00570438"/>
    <w:rsid w:val="00574822"/>
    <w:rsid w:val="00574C63"/>
    <w:rsid w:val="00575A11"/>
    <w:rsid w:val="005778DD"/>
    <w:rsid w:val="00581933"/>
    <w:rsid w:val="005820B5"/>
    <w:rsid w:val="00584B86"/>
    <w:rsid w:val="00584CEB"/>
    <w:rsid w:val="00585B96"/>
    <w:rsid w:val="0058727F"/>
    <w:rsid w:val="00590B72"/>
    <w:rsid w:val="00590EDD"/>
    <w:rsid w:val="00592C3E"/>
    <w:rsid w:val="00593BC6"/>
    <w:rsid w:val="005956AD"/>
    <w:rsid w:val="00596C2A"/>
    <w:rsid w:val="0059732F"/>
    <w:rsid w:val="00597A2C"/>
    <w:rsid w:val="005A12E3"/>
    <w:rsid w:val="005A1B2D"/>
    <w:rsid w:val="005A5056"/>
    <w:rsid w:val="005A6E82"/>
    <w:rsid w:val="005A7F86"/>
    <w:rsid w:val="005B5BD4"/>
    <w:rsid w:val="005B7383"/>
    <w:rsid w:val="005B76C7"/>
    <w:rsid w:val="005C118C"/>
    <w:rsid w:val="005C30F8"/>
    <w:rsid w:val="005C3711"/>
    <w:rsid w:val="005C4329"/>
    <w:rsid w:val="005C6268"/>
    <w:rsid w:val="005C6F02"/>
    <w:rsid w:val="005D31FE"/>
    <w:rsid w:val="005D4760"/>
    <w:rsid w:val="005D5B83"/>
    <w:rsid w:val="005D66C2"/>
    <w:rsid w:val="005E304C"/>
    <w:rsid w:val="005E6BF1"/>
    <w:rsid w:val="005E7D0C"/>
    <w:rsid w:val="005F0707"/>
    <w:rsid w:val="005F27B6"/>
    <w:rsid w:val="005F3E19"/>
    <w:rsid w:val="005F4F80"/>
    <w:rsid w:val="005F5BD4"/>
    <w:rsid w:val="005F603D"/>
    <w:rsid w:val="005F699E"/>
    <w:rsid w:val="00607610"/>
    <w:rsid w:val="0061164C"/>
    <w:rsid w:val="00611C23"/>
    <w:rsid w:val="006131A4"/>
    <w:rsid w:val="00613C56"/>
    <w:rsid w:val="00617A96"/>
    <w:rsid w:val="00621952"/>
    <w:rsid w:val="00624B9F"/>
    <w:rsid w:val="00626380"/>
    <w:rsid w:val="00630703"/>
    <w:rsid w:val="00633349"/>
    <w:rsid w:val="00634CE3"/>
    <w:rsid w:val="0063776D"/>
    <w:rsid w:val="006377C1"/>
    <w:rsid w:val="00641E0F"/>
    <w:rsid w:val="0064293E"/>
    <w:rsid w:val="0064483D"/>
    <w:rsid w:val="00644913"/>
    <w:rsid w:val="00644B73"/>
    <w:rsid w:val="006459B5"/>
    <w:rsid w:val="00645D63"/>
    <w:rsid w:val="00645F2D"/>
    <w:rsid w:val="00646C78"/>
    <w:rsid w:val="006500ED"/>
    <w:rsid w:val="00650BA4"/>
    <w:rsid w:val="00650D6D"/>
    <w:rsid w:val="00652328"/>
    <w:rsid w:val="00656EFD"/>
    <w:rsid w:val="006579F1"/>
    <w:rsid w:val="006608E4"/>
    <w:rsid w:val="00661462"/>
    <w:rsid w:val="00661A27"/>
    <w:rsid w:val="0066356C"/>
    <w:rsid w:val="00664A1C"/>
    <w:rsid w:val="006666D9"/>
    <w:rsid w:val="00671F8E"/>
    <w:rsid w:val="00675CDF"/>
    <w:rsid w:val="006806E3"/>
    <w:rsid w:val="00681F15"/>
    <w:rsid w:val="006842F9"/>
    <w:rsid w:val="006846DC"/>
    <w:rsid w:val="006849A5"/>
    <w:rsid w:val="006850D0"/>
    <w:rsid w:val="0068728D"/>
    <w:rsid w:val="00687F44"/>
    <w:rsid w:val="00691F2E"/>
    <w:rsid w:val="00693174"/>
    <w:rsid w:val="00694003"/>
    <w:rsid w:val="00696491"/>
    <w:rsid w:val="00697823"/>
    <w:rsid w:val="00697FCE"/>
    <w:rsid w:val="006A0B72"/>
    <w:rsid w:val="006A0EEF"/>
    <w:rsid w:val="006A508C"/>
    <w:rsid w:val="006A57FC"/>
    <w:rsid w:val="006B096B"/>
    <w:rsid w:val="006B213A"/>
    <w:rsid w:val="006B2EDF"/>
    <w:rsid w:val="006B4A0C"/>
    <w:rsid w:val="006B633F"/>
    <w:rsid w:val="006B64CF"/>
    <w:rsid w:val="006C06DE"/>
    <w:rsid w:val="006C1326"/>
    <w:rsid w:val="006C138A"/>
    <w:rsid w:val="006C3905"/>
    <w:rsid w:val="006C598D"/>
    <w:rsid w:val="006C7904"/>
    <w:rsid w:val="006D6FD5"/>
    <w:rsid w:val="006D720F"/>
    <w:rsid w:val="006E2159"/>
    <w:rsid w:val="006E3E7F"/>
    <w:rsid w:val="006E5C68"/>
    <w:rsid w:val="006E6794"/>
    <w:rsid w:val="006E6879"/>
    <w:rsid w:val="006E752C"/>
    <w:rsid w:val="006E7DEF"/>
    <w:rsid w:val="006F05E7"/>
    <w:rsid w:val="006F4924"/>
    <w:rsid w:val="007003F8"/>
    <w:rsid w:val="00706F35"/>
    <w:rsid w:val="00707465"/>
    <w:rsid w:val="007074F0"/>
    <w:rsid w:val="0070793B"/>
    <w:rsid w:val="00707D0F"/>
    <w:rsid w:val="00711E2C"/>
    <w:rsid w:val="00712828"/>
    <w:rsid w:val="007143FC"/>
    <w:rsid w:val="0071483A"/>
    <w:rsid w:val="0071631A"/>
    <w:rsid w:val="00717447"/>
    <w:rsid w:val="00717D22"/>
    <w:rsid w:val="00717ED6"/>
    <w:rsid w:val="00721520"/>
    <w:rsid w:val="007215C3"/>
    <w:rsid w:val="007216B0"/>
    <w:rsid w:val="007226DD"/>
    <w:rsid w:val="00723537"/>
    <w:rsid w:val="007246CB"/>
    <w:rsid w:val="00724BCB"/>
    <w:rsid w:val="007309C7"/>
    <w:rsid w:val="0073143E"/>
    <w:rsid w:val="00732668"/>
    <w:rsid w:val="00735980"/>
    <w:rsid w:val="0074228F"/>
    <w:rsid w:val="00750D2D"/>
    <w:rsid w:val="0075292F"/>
    <w:rsid w:val="00753EEC"/>
    <w:rsid w:val="007544BD"/>
    <w:rsid w:val="0075465B"/>
    <w:rsid w:val="00755119"/>
    <w:rsid w:val="0075512B"/>
    <w:rsid w:val="007562C9"/>
    <w:rsid w:val="00756CDC"/>
    <w:rsid w:val="007608D4"/>
    <w:rsid w:val="00765C33"/>
    <w:rsid w:val="007718CC"/>
    <w:rsid w:val="00771EF8"/>
    <w:rsid w:val="00772BA0"/>
    <w:rsid w:val="007740B6"/>
    <w:rsid w:val="00776F6A"/>
    <w:rsid w:val="0077733C"/>
    <w:rsid w:val="0078130E"/>
    <w:rsid w:val="00781601"/>
    <w:rsid w:val="00781A38"/>
    <w:rsid w:val="00785E7C"/>
    <w:rsid w:val="00787E4E"/>
    <w:rsid w:val="00794E9D"/>
    <w:rsid w:val="00795302"/>
    <w:rsid w:val="00795D30"/>
    <w:rsid w:val="007969ED"/>
    <w:rsid w:val="007973D3"/>
    <w:rsid w:val="007976F9"/>
    <w:rsid w:val="00797DEA"/>
    <w:rsid w:val="007A6C92"/>
    <w:rsid w:val="007B10B4"/>
    <w:rsid w:val="007B3387"/>
    <w:rsid w:val="007B351B"/>
    <w:rsid w:val="007B5DBA"/>
    <w:rsid w:val="007C0042"/>
    <w:rsid w:val="007C0607"/>
    <w:rsid w:val="007C695B"/>
    <w:rsid w:val="007C780A"/>
    <w:rsid w:val="007C7ECA"/>
    <w:rsid w:val="007D0297"/>
    <w:rsid w:val="007D0898"/>
    <w:rsid w:val="007D4204"/>
    <w:rsid w:val="007D51E3"/>
    <w:rsid w:val="007D5DE3"/>
    <w:rsid w:val="007D632C"/>
    <w:rsid w:val="007D64F2"/>
    <w:rsid w:val="007D733B"/>
    <w:rsid w:val="007D7A5B"/>
    <w:rsid w:val="007E13E8"/>
    <w:rsid w:val="007E4596"/>
    <w:rsid w:val="007F3249"/>
    <w:rsid w:val="007F3848"/>
    <w:rsid w:val="007F3EA0"/>
    <w:rsid w:val="007F6696"/>
    <w:rsid w:val="007F69DE"/>
    <w:rsid w:val="00800B41"/>
    <w:rsid w:val="00800BF8"/>
    <w:rsid w:val="008035EA"/>
    <w:rsid w:val="00803F52"/>
    <w:rsid w:val="0080588F"/>
    <w:rsid w:val="00807874"/>
    <w:rsid w:val="008115F4"/>
    <w:rsid w:val="00812249"/>
    <w:rsid w:val="0081606A"/>
    <w:rsid w:val="00816383"/>
    <w:rsid w:val="00820BFB"/>
    <w:rsid w:val="0082366C"/>
    <w:rsid w:val="008244C8"/>
    <w:rsid w:val="008305E9"/>
    <w:rsid w:val="008337F7"/>
    <w:rsid w:val="00833D33"/>
    <w:rsid w:val="00834B46"/>
    <w:rsid w:val="008364B7"/>
    <w:rsid w:val="0083684B"/>
    <w:rsid w:val="008375EF"/>
    <w:rsid w:val="00841B19"/>
    <w:rsid w:val="00842741"/>
    <w:rsid w:val="00843197"/>
    <w:rsid w:val="00845451"/>
    <w:rsid w:val="008457D3"/>
    <w:rsid w:val="00845C6A"/>
    <w:rsid w:val="00847B85"/>
    <w:rsid w:val="00847DB5"/>
    <w:rsid w:val="00850E40"/>
    <w:rsid w:val="00853BFD"/>
    <w:rsid w:val="00853EE4"/>
    <w:rsid w:val="00855FE6"/>
    <w:rsid w:val="008604C5"/>
    <w:rsid w:val="008606DA"/>
    <w:rsid w:val="00860EBC"/>
    <w:rsid w:val="00861410"/>
    <w:rsid w:val="00862CE0"/>
    <w:rsid w:val="00864D25"/>
    <w:rsid w:val="00865EB3"/>
    <w:rsid w:val="00866DB1"/>
    <w:rsid w:val="008674DB"/>
    <w:rsid w:val="00867F9F"/>
    <w:rsid w:val="0087038F"/>
    <w:rsid w:val="0087350E"/>
    <w:rsid w:val="00873694"/>
    <w:rsid w:val="0087678F"/>
    <w:rsid w:val="00876AFC"/>
    <w:rsid w:val="008833E3"/>
    <w:rsid w:val="00883781"/>
    <w:rsid w:val="00885003"/>
    <w:rsid w:val="008868D1"/>
    <w:rsid w:val="008876D6"/>
    <w:rsid w:val="00890B97"/>
    <w:rsid w:val="00891782"/>
    <w:rsid w:val="00891C11"/>
    <w:rsid w:val="00893F32"/>
    <w:rsid w:val="008A133B"/>
    <w:rsid w:val="008A168B"/>
    <w:rsid w:val="008A2898"/>
    <w:rsid w:val="008A313C"/>
    <w:rsid w:val="008A3147"/>
    <w:rsid w:val="008A3E96"/>
    <w:rsid w:val="008B01FE"/>
    <w:rsid w:val="008B18BC"/>
    <w:rsid w:val="008B358E"/>
    <w:rsid w:val="008B3FA1"/>
    <w:rsid w:val="008B5441"/>
    <w:rsid w:val="008B71B8"/>
    <w:rsid w:val="008C3082"/>
    <w:rsid w:val="008C43E5"/>
    <w:rsid w:val="008C5AFB"/>
    <w:rsid w:val="008D0268"/>
    <w:rsid w:val="008D227A"/>
    <w:rsid w:val="008D32D5"/>
    <w:rsid w:val="008D34F7"/>
    <w:rsid w:val="008D66BD"/>
    <w:rsid w:val="008D6F71"/>
    <w:rsid w:val="008D7033"/>
    <w:rsid w:val="008E24FA"/>
    <w:rsid w:val="008E385A"/>
    <w:rsid w:val="008E54EA"/>
    <w:rsid w:val="008F01D5"/>
    <w:rsid w:val="008F1E25"/>
    <w:rsid w:val="008F237D"/>
    <w:rsid w:val="008F36C0"/>
    <w:rsid w:val="009010BA"/>
    <w:rsid w:val="0090360C"/>
    <w:rsid w:val="00904305"/>
    <w:rsid w:val="00904D88"/>
    <w:rsid w:val="009067B4"/>
    <w:rsid w:val="009077BE"/>
    <w:rsid w:val="00907E3F"/>
    <w:rsid w:val="00917701"/>
    <w:rsid w:val="00917710"/>
    <w:rsid w:val="00920F48"/>
    <w:rsid w:val="009236EC"/>
    <w:rsid w:val="009238F1"/>
    <w:rsid w:val="0092449C"/>
    <w:rsid w:val="009263A2"/>
    <w:rsid w:val="0092783C"/>
    <w:rsid w:val="0093045F"/>
    <w:rsid w:val="00937724"/>
    <w:rsid w:val="00940C77"/>
    <w:rsid w:val="00943B87"/>
    <w:rsid w:val="00943F34"/>
    <w:rsid w:val="00947092"/>
    <w:rsid w:val="00947DD6"/>
    <w:rsid w:val="0095176A"/>
    <w:rsid w:val="009570BC"/>
    <w:rsid w:val="0096025C"/>
    <w:rsid w:val="00960BCD"/>
    <w:rsid w:val="00965BCE"/>
    <w:rsid w:val="009704B6"/>
    <w:rsid w:val="00970ED1"/>
    <w:rsid w:val="0097217A"/>
    <w:rsid w:val="00972431"/>
    <w:rsid w:val="009773AE"/>
    <w:rsid w:val="00980408"/>
    <w:rsid w:val="009914A3"/>
    <w:rsid w:val="009915FF"/>
    <w:rsid w:val="00991794"/>
    <w:rsid w:val="0099332A"/>
    <w:rsid w:val="009959DE"/>
    <w:rsid w:val="009A202E"/>
    <w:rsid w:val="009A31C1"/>
    <w:rsid w:val="009A3878"/>
    <w:rsid w:val="009A4A17"/>
    <w:rsid w:val="009A5546"/>
    <w:rsid w:val="009B3553"/>
    <w:rsid w:val="009B454D"/>
    <w:rsid w:val="009B6267"/>
    <w:rsid w:val="009B6E25"/>
    <w:rsid w:val="009C0541"/>
    <w:rsid w:val="009C1403"/>
    <w:rsid w:val="009C1761"/>
    <w:rsid w:val="009C2BAE"/>
    <w:rsid w:val="009C427C"/>
    <w:rsid w:val="009C54FE"/>
    <w:rsid w:val="009C5FB6"/>
    <w:rsid w:val="009C74D6"/>
    <w:rsid w:val="009D3BA0"/>
    <w:rsid w:val="009D3D9A"/>
    <w:rsid w:val="009D5F1B"/>
    <w:rsid w:val="009D742D"/>
    <w:rsid w:val="009E1454"/>
    <w:rsid w:val="009E2502"/>
    <w:rsid w:val="009E2604"/>
    <w:rsid w:val="009E3A26"/>
    <w:rsid w:val="009E4963"/>
    <w:rsid w:val="009E4E4A"/>
    <w:rsid w:val="009E5A8A"/>
    <w:rsid w:val="009E6802"/>
    <w:rsid w:val="009E7D83"/>
    <w:rsid w:val="009F3848"/>
    <w:rsid w:val="009F538C"/>
    <w:rsid w:val="009F563E"/>
    <w:rsid w:val="009F5AD1"/>
    <w:rsid w:val="009F63BD"/>
    <w:rsid w:val="009F65B0"/>
    <w:rsid w:val="00A05C0B"/>
    <w:rsid w:val="00A07972"/>
    <w:rsid w:val="00A11032"/>
    <w:rsid w:val="00A12930"/>
    <w:rsid w:val="00A135C4"/>
    <w:rsid w:val="00A13CFE"/>
    <w:rsid w:val="00A13F82"/>
    <w:rsid w:val="00A1632E"/>
    <w:rsid w:val="00A1652A"/>
    <w:rsid w:val="00A201F5"/>
    <w:rsid w:val="00A2387A"/>
    <w:rsid w:val="00A23EB0"/>
    <w:rsid w:val="00A31DD6"/>
    <w:rsid w:val="00A36B55"/>
    <w:rsid w:val="00A36BE8"/>
    <w:rsid w:val="00A3732C"/>
    <w:rsid w:val="00A40108"/>
    <w:rsid w:val="00A408DA"/>
    <w:rsid w:val="00A40F62"/>
    <w:rsid w:val="00A42EBA"/>
    <w:rsid w:val="00A443DA"/>
    <w:rsid w:val="00A44627"/>
    <w:rsid w:val="00A452C7"/>
    <w:rsid w:val="00A455D3"/>
    <w:rsid w:val="00A47A91"/>
    <w:rsid w:val="00A47D76"/>
    <w:rsid w:val="00A50F29"/>
    <w:rsid w:val="00A52122"/>
    <w:rsid w:val="00A52913"/>
    <w:rsid w:val="00A55324"/>
    <w:rsid w:val="00A55AD6"/>
    <w:rsid w:val="00A55CBE"/>
    <w:rsid w:val="00A57F87"/>
    <w:rsid w:val="00A61ED7"/>
    <w:rsid w:val="00A623D4"/>
    <w:rsid w:val="00A637D0"/>
    <w:rsid w:val="00A64003"/>
    <w:rsid w:val="00A640EB"/>
    <w:rsid w:val="00A64130"/>
    <w:rsid w:val="00A66ABF"/>
    <w:rsid w:val="00A67D5B"/>
    <w:rsid w:val="00A71AA1"/>
    <w:rsid w:val="00A72071"/>
    <w:rsid w:val="00A729B9"/>
    <w:rsid w:val="00A73A52"/>
    <w:rsid w:val="00A74370"/>
    <w:rsid w:val="00A75835"/>
    <w:rsid w:val="00A772DF"/>
    <w:rsid w:val="00A81C7E"/>
    <w:rsid w:val="00A82C1D"/>
    <w:rsid w:val="00A9192A"/>
    <w:rsid w:val="00AA0271"/>
    <w:rsid w:val="00AA047A"/>
    <w:rsid w:val="00AA25AD"/>
    <w:rsid w:val="00AA4922"/>
    <w:rsid w:val="00AA60F6"/>
    <w:rsid w:val="00AA685F"/>
    <w:rsid w:val="00AB1A91"/>
    <w:rsid w:val="00AB46C7"/>
    <w:rsid w:val="00AB4FAD"/>
    <w:rsid w:val="00AC3130"/>
    <w:rsid w:val="00AC5337"/>
    <w:rsid w:val="00AC633B"/>
    <w:rsid w:val="00AC6540"/>
    <w:rsid w:val="00AC6600"/>
    <w:rsid w:val="00AC6622"/>
    <w:rsid w:val="00AD322C"/>
    <w:rsid w:val="00AD6CA9"/>
    <w:rsid w:val="00AE049B"/>
    <w:rsid w:val="00AE0A28"/>
    <w:rsid w:val="00AE2B1C"/>
    <w:rsid w:val="00AE3775"/>
    <w:rsid w:val="00AE769E"/>
    <w:rsid w:val="00AF0302"/>
    <w:rsid w:val="00AF1DBE"/>
    <w:rsid w:val="00AF1FA0"/>
    <w:rsid w:val="00AF272B"/>
    <w:rsid w:val="00AF3308"/>
    <w:rsid w:val="00AF5352"/>
    <w:rsid w:val="00AF79ED"/>
    <w:rsid w:val="00AF7F02"/>
    <w:rsid w:val="00B00AB8"/>
    <w:rsid w:val="00B015B4"/>
    <w:rsid w:val="00B0234B"/>
    <w:rsid w:val="00B027E1"/>
    <w:rsid w:val="00B02F9D"/>
    <w:rsid w:val="00B03FBE"/>
    <w:rsid w:val="00B07D1F"/>
    <w:rsid w:val="00B10505"/>
    <w:rsid w:val="00B1140D"/>
    <w:rsid w:val="00B12C92"/>
    <w:rsid w:val="00B13C52"/>
    <w:rsid w:val="00B1540F"/>
    <w:rsid w:val="00B25B2D"/>
    <w:rsid w:val="00B26970"/>
    <w:rsid w:val="00B27609"/>
    <w:rsid w:val="00B30813"/>
    <w:rsid w:val="00B30C40"/>
    <w:rsid w:val="00B35D2A"/>
    <w:rsid w:val="00B36B47"/>
    <w:rsid w:val="00B36C38"/>
    <w:rsid w:val="00B4101B"/>
    <w:rsid w:val="00B43473"/>
    <w:rsid w:val="00B4604F"/>
    <w:rsid w:val="00B53884"/>
    <w:rsid w:val="00B53ED0"/>
    <w:rsid w:val="00B57504"/>
    <w:rsid w:val="00B607B3"/>
    <w:rsid w:val="00B64E49"/>
    <w:rsid w:val="00B7097B"/>
    <w:rsid w:val="00B723FF"/>
    <w:rsid w:val="00B72DEC"/>
    <w:rsid w:val="00B803AE"/>
    <w:rsid w:val="00B80F64"/>
    <w:rsid w:val="00B81BEB"/>
    <w:rsid w:val="00B8206F"/>
    <w:rsid w:val="00B82103"/>
    <w:rsid w:val="00B82126"/>
    <w:rsid w:val="00B84F76"/>
    <w:rsid w:val="00B85F46"/>
    <w:rsid w:val="00B87DE9"/>
    <w:rsid w:val="00B94255"/>
    <w:rsid w:val="00BA7192"/>
    <w:rsid w:val="00BA734E"/>
    <w:rsid w:val="00BB491D"/>
    <w:rsid w:val="00BB77B7"/>
    <w:rsid w:val="00BC32BF"/>
    <w:rsid w:val="00BC48FF"/>
    <w:rsid w:val="00BC70E9"/>
    <w:rsid w:val="00BD3592"/>
    <w:rsid w:val="00BE1D1F"/>
    <w:rsid w:val="00BE4A16"/>
    <w:rsid w:val="00BE4D89"/>
    <w:rsid w:val="00BE5651"/>
    <w:rsid w:val="00BF2D0E"/>
    <w:rsid w:val="00BF3E09"/>
    <w:rsid w:val="00BF4759"/>
    <w:rsid w:val="00C00C68"/>
    <w:rsid w:val="00C01E4B"/>
    <w:rsid w:val="00C02A46"/>
    <w:rsid w:val="00C040A4"/>
    <w:rsid w:val="00C043D3"/>
    <w:rsid w:val="00C052E8"/>
    <w:rsid w:val="00C05995"/>
    <w:rsid w:val="00C06147"/>
    <w:rsid w:val="00C075E9"/>
    <w:rsid w:val="00C1329B"/>
    <w:rsid w:val="00C152A8"/>
    <w:rsid w:val="00C15D5E"/>
    <w:rsid w:val="00C17D3E"/>
    <w:rsid w:val="00C239D9"/>
    <w:rsid w:val="00C24ED8"/>
    <w:rsid w:val="00C3030B"/>
    <w:rsid w:val="00C30A69"/>
    <w:rsid w:val="00C3148E"/>
    <w:rsid w:val="00C31D23"/>
    <w:rsid w:val="00C34EB9"/>
    <w:rsid w:val="00C41C16"/>
    <w:rsid w:val="00C42CB1"/>
    <w:rsid w:val="00C43245"/>
    <w:rsid w:val="00C46373"/>
    <w:rsid w:val="00C50282"/>
    <w:rsid w:val="00C515DF"/>
    <w:rsid w:val="00C55C31"/>
    <w:rsid w:val="00C56869"/>
    <w:rsid w:val="00C56BA3"/>
    <w:rsid w:val="00C5764F"/>
    <w:rsid w:val="00C577B4"/>
    <w:rsid w:val="00C60C55"/>
    <w:rsid w:val="00C61782"/>
    <w:rsid w:val="00C61F0A"/>
    <w:rsid w:val="00C64014"/>
    <w:rsid w:val="00C64858"/>
    <w:rsid w:val="00C66E6B"/>
    <w:rsid w:val="00C70281"/>
    <w:rsid w:val="00C74135"/>
    <w:rsid w:val="00C81F45"/>
    <w:rsid w:val="00C87BD7"/>
    <w:rsid w:val="00C90C3D"/>
    <w:rsid w:val="00C96E35"/>
    <w:rsid w:val="00CA05DA"/>
    <w:rsid w:val="00CA0B76"/>
    <w:rsid w:val="00CA0EC2"/>
    <w:rsid w:val="00CA21A8"/>
    <w:rsid w:val="00CA25C2"/>
    <w:rsid w:val="00CA48A7"/>
    <w:rsid w:val="00CB25F7"/>
    <w:rsid w:val="00CB2D7E"/>
    <w:rsid w:val="00CB3BFE"/>
    <w:rsid w:val="00CB3C1F"/>
    <w:rsid w:val="00CB459A"/>
    <w:rsid w:val="00CB4F6A"/>
    <w:rsid w:val="00CB70EF"/>
    <w:rsid w:val="00CB7484"/>
    <w:rsid w:val="00CB7615"/>
    <w:rsid w:val="00CC008C"/>
    <w:rsid w:val="00CC1CB9"/>
    <w:rsid w:val="00CC202A"/>
    <w:rsid w:val="00CC39BF"/>
    <w:rsid w:val="00CC7124"/>
    <w:rsid w:val="00CC7612"/>
    <w:rsid w:val="00CD136D"/>
    <w:rsid w:val="00CD1646"/>
    <w:rsid w:val="00CD2FA3"/>
    <w:rsid w:val="00CD3C31"/>
    <w:rsid w:val="00CD503B"/>
    <w:rsid w:val="00CD77FC"/>
    <w:rsid w:val="00CE0278"/>
    <w:rsid w:val="00CE0344"/>
    <w:rsid w:val="00CE0A64"/>
    <w:rsid w:val="00CE2C11"/>
    <w:rsid w:val="00CE2F68"/>
    <w:rsid w:val="00CE3328"/>
    <w:rsid w:val="00CE41B0"/>
    <w:rsid w:val="00CE6507"/>
    <w:rsid w:val="00CF2363"/>
    <w:rsid w:val="00CF75BA"/>
    <w:rsid w:val="00D012E4"/>
    <w:rsid w:val="00D04970"/>
    <w:rsid w:val="00D06A34"/>
    <w:rsid w:val="00D06E61"/>
    <w:rsid w:val="00D1224D"/>
    <w:rsid w:val="00D13141"/>
    <w:rsid w:val="00D13302"/>
    <w:rsid w:val="00D15333"/>
    <w:rsid w:val="00D1599E"/>
    <w:rsid w:val="00D17459"/>
    <w:rsid w:val="00D208B8"/>
    <w:rsid w:val="00D216D4"/>
    <w:rsid w:val="00D216E4"/>
    <w:rsid w:val="00D242CB"/>
    <w:rsid w:val="00D24E0F"/>
    <w:rsid w:val="00D25709"/>
    <w:rsid w:val="00D27AB5"/>
    <w:rsid w:val="00D32FD1"/>
    <w:rsid w:val="00D33BEC"/>
    <w:rsid w:val="00D33ED9"/>
    <w:rsid w:val="00D354AE"/>
    <w:rsid w:val="00D40105"/>
    <w:rsid w:val="00D4180B"/>
    <w:rsid w:val="00D42C3D"/>
    <w:rsid w:val="00D44061"/>
    <w:rsid w:val="00D46ABC"/>
    <w:rsid w:val="00D50482"/>
    <w:rsid w:val="00D52E5C"/>
    <w:rsid w:val="00D53D1A"/>
    <w:rsid w:val="00D54A6E"/>
    <w:rsid w:val="00D56D37"/>
    <w:rsid w:val="00D60E50"/>
    <w:rsid w:val="00D61079"/>
    <w:rsid w:val="00D611DC"/>
    <w:rsid w:val="00D6381C"/>
    <w:rsid w:val="00D63CA0"/>
    <w:rsid w:val="00D66B5A"/>
    <w:rsid w:val="00D70F49"/>
    <w:rsid w:val="00D72590"/>
    <w:rsid w:val="00D73B50"/>
    <w:rsid w:val="00D74C4A"/>
    <w:rsid w:val="00D759EC"/>
    <w:rsid w:val="00D7635C"/>
    <w:rsid w:val="00D8036C"/>
    <w:rsid w:val="00D80BA5"/>
    <w:rsid w:val="00D81CE6"/>
    <w:rsid w:val="00D82CA8"/>
    <w:rsid w:val="00D837C1"/>
    <w:rsid w:val="00D8472E"/>
    <w:rsid w:val="00D8590F"/>
    <w:rsid w:val="00D865C8"/>
    <w:rsid w:val="00DA1994"/>
    <w:rsid w:val="00DA2A2B"/>
    <w:rsid w:val="00DA2ABE"/>
    <w:rsid w:val="00DA3201"/>
    <w:rsid w:val="00DA36A0"/>
    <w:rsid w:val="00DA3AC3"/>
    <w:rsid w:val="00DA5519"/>
    <w:rsid w:val="00DA5B66"/>
    <w:rsid w:val="00DA711D"/>
    <w:rsid w:val="00DA7284"/>
    <w:rsid w:val="00DB1CF8"/>
    <w:rsid w:val="00DB35FE"/>
    <w:rsid w:val="00DB40EC"/>
    <w:rsid w:val="00DB5531"/>
    <w:rsid w:val="00DB70FE"/>
    <w:rsid w:val="00DC2BF4"/>
    <w:rsid w:val="00DD25B4"/>
    <w:rsid w:val="00DD3D82"/>
    <w:rsid w:val="00DD4349"/>
    <w:rsid w:val="00DD58CF"/>
    <w:rsid w:val="00DD73D0"/>
    <w:rsid w:val="00DE5270"/>
    <w:rsid w:val="00DE669A"/>
    <w:rsid w:val="00DE679D"/>
    <w:rsid w:val="00DE7F0D"/>
    <w:rsid w:val="00DE7FD4"/>
    <w:rsid w:val="00DF17C8"/>
    <w:rsid w:val="00DF1F07"/>
    <w:rsid w:val="00DF22ED"/>
    <w:rsid w:val="00DF34F2"/>
    <w:rsid w:val="00DF4980"/>
    <w:rsid w:val="00DF754F"/>
    <w:rsid w:val="00DF766F"/>
    <w:rsid w:val="00E00111"/>
    <w:rsid w:val="00E00499"/>
    <w:rsid w:val="00E0359E"/>
    <w:rsid w:val="00E04721"/>
    <w:rsid w:val="00E107E8"/>
    <w:rsid w:val="00E10E35"/>
    <w:rsid w:val="00E1246E"/>
    <w:rsid w:val="00E15AAF"/>
    <w:rsid w:val="00E167F4"/>
    <w:rsid w:val="00E17B00"/>
    <w:rsid w:val="00E17D11"/>
    <w:rsid w:val="00E2291A"/>
    <w:rsid w:val="00E23610"/>
    <w:rsid w:val="00E32E04"/>
    <w:rsid w:val="00E330A2"/>
    <w:rsid w:val="00E345EF"/>
    <w:rsid w:val="00E35EF5"/>
    <w:rsid w:val="00E374B8"/>
    <w:rsid w:val="00E408FB"/>
    <w:rsid w:val="00E41579"/>
    <w:rsid w:val="00E42F7A"/>
    <w:rsid w:val="00E44346"/>
    <w:rsid w:val="00E578D4"/>
    <w:rsid w:val="00E6105D"/>
    <w:rsid w:val="00E630A5"/>
    <w:rsid w:val="00E64170"/>
    <w:rsid w:val="00E64E06"/>
    <w:rsid w:val="00E64E46"/>
    <w:rsid w:val="00E65354"/>
    <w:rsid w:val="00E65F60"/>
    <w:rsid w:val="00E66132"/>
    <w:rsid w:val="00E67B87"/>
    <w:rsid w:val="00E70FD9"/>
    <w:rsid w:val="00E7167E"/>
    <w:rsid w:val="00E731F4"/>
    <w:rsid w:val="00E73671"/>
    <w:rsid w:val="00E74F12"/>
    <w:rsid w:val="00E754BA"/>
    <w:rsid w:val="00E76AB8"/>
    <w:rsid w:val="00E76ACE"/>
    <w:rsid w:val="00E7719D"/>
    <w:rsid w:val="00E7754D"/>
    <w:rsid w:val="00E77A94"/>
    <w:rsid w:val="00E80B0F"/>
    <w:rsid w:val="00E8132D"/>
    <w:rsid w:val="00E84FD1"/>
    <w:rsid w:val="00E91AC6"/>
    <w:rsid w:val="00E93312"/>
    <w:rsid w:val="00E94E30"/>
    <w:rsid w:val="00E94F35"/>
    <w:rsid w:val="00E96181"/>
    <w:rsid w:val="00E962E3"/>
    <w:rsid w:val="00E96395"/>
    <w:rsid w:val="00E96601"/>
    <w:rsid w:val="00E96A41"/>
    <w:rsid w:val="00E96DB1"/>
    <w:rsid w:val="00EA7145"/>
    <w:rsid w:val="00EA774C"/>
    <w:rsid w:val="00EB0EAE"/>
    <w:rsid w:val="00EB3A75"/>
    <w:rsid w:val="00EC0E2B"/>
    <w:rsid w:val="00EC2314"/>
    <w:rsid w:val="00EC261B"/>
    <w:rsid w:val="00EC3F58"/>
    <w:rsid w:val="00EC596E"/>
    <w:rsid w:val="00EC6589"/>
    <w:rsid w:val="00ED0215"/>
    <w:rsid w:val="00EE144A"/>
    <w:rsid w:val="00EE17B3"/>
    <w:rsid w:val="00EE2835"/>
    <w:rsid w:val="00EE4AF0"/>
    <w:rsid w:val="00EE4E1A"/>
    <w:rsid w:val="00EE6332"/>
    <w:rsid w:val="00EF0D49"/>
    <w:rsid w:val="00EF14EF"/>
    <w:rsid w:val="00EF72D5"/>
    <w:rsid w:val="00F00008"/>
    <w:rsid w:val="00F04B6D"/>
    <w:rsid w:val="00F0754A"/>
    <w:rsid w:val="00F11372"/>
    <w:rsid w:val="00F143F5"/>
    <w:rsid w:val="00F147F0"/>
    <w:rsid w:val="00F147FD"/>
    <w:rsid w:val="00F16DE7"/>
    <w:rsid w:val="00F21A24"/>
    <w:rsid w:val="00F23191"/>
    <w:rsid w:val="00F232AB"/>
    <w:rsid w:val="00F25ED6"/>
    <w:rsid w:val="00F311C6"/>
    <w:rsid w:val="00F31A05"/>
    <w:rsid w:val="00F362E8"/>
    <w:rsid w:val="00F4105B"/>
    <w:rsid w:val="00F421A7"/>
    <w:rsid w:val="00F42541"/>
    <w:rsid w:val="00F438AC"/>
    <w:rsid w:val="00F442CD"/>
    <w:rsid w:val="00F46220"/>
    <w:rsid w:val="00F4748B"/>
    <w:rsid w:val="00F477F3"/>
    <w:rsid w:val="00F51D0F"/>
    <w:rsid w:val="00F5456E"/>
    <w:rsid w:val="00F60FC8"/>
    <w:rsid w:val="00F62B0A"/>
    <w:rsid w:val="00F64298"/>
    <w:rsid w:val="00F65A3F"/>
    <w:rsid w:val="00F666A3"/>
    <w:rsid w:val="00F66B26"/>
    <w:rsid w:val="00F724A1"/>
    <w:rsid w:val="00F72E2C"/>
    <w:rsid w:val="00F739F6"/>
    <w:rsid w:val="00F771BA"/>
    <w:rsid w:val="00F77CB8"/>
    <w:rsid w:val="00F812FD"/>
    <w:rsid w:val="00F82C14"/>
    <w:rsid w:val="00F83AF9"/>
    <w:rsid w:val="00F85A8E"/>
    <w:rsid w:val="00F87419"/>
    <w:rsid w:val="00F953C0"/>
    <w:rsid w:val="00F96FC8"/>
    <w:rsid w:val="00FA0E00"/>
    <w:rsid w:val="00FA4047"/>
    <w:rsid w:val="00FA69D2"/>
    <w:rsid w:val="00FB488F"/>
    <w:rsid w:val="00FB774F"/>
    <w:rsid w:val="00FC2988"/>
    <w:rsid w:val="00FC313B"/>
    <w:rsid w:val="00FC3567"/>
    <w:rsid w:val="00FC3E33"/>
    <w:rsid w:val="00FC4B34"/>
    <w:rsid w:val="00FC4FAD"/>
    <w:rsid w:val="00FC67EA"/>
    <w:rsid w:val="00FC77A9"/>
    <w:rsid w:val="00FC7A5E"/>
    <w:rsid w:val="00FD51AD"/>
    <w:rsid w:val="00FD7472"/>
    <w:rsid w:val="00FE1506"/>
    <w:rsid w:val="00FE158E"/>
    <w:rsid w:val="00FE2EBB"/>
    <w:rsid w:val="00FE45F8"/>
    <w:rsid w:val="00FE7DAD"/>
    <w:rsid w:val="00FF0AA6"/>
    <w:rsid w:val="00FF15DC"/>
    <w:rsid w:val="00FF248B"/>
    <w:rsid w:val="00FF2CDD"/>
    <w:rsid w:val="00FF7C68"/>
    <w:rsid w:val="0115BAAD"/>
    <w:rsid w:val="01199D50"/>
    <w:rsid w:val="0158666B"/>
    <w:rsid w:val="0176E386"/>
    <w:rsid w:val="01A99E24"/>
    <w:rsid w:val="02502B97"/>
    <w:rsid w:val="02FD9EC2"/>
    <w:rsid w:val="03819DAC"/>
    <w:rsid w:val="03A9F982"/>
    <w:rsid w:val="03C2D175"/>
    <w:rsid w:val="03DCC444"/>
    <w:rsid w:val="04146E01"/>
    <w:rsid w:val="071C2675"/>
    <w:rsid w:val="0820C1EF"/>
    <w:rsid w:val="08355EBE"/>
    <w:rsid w:val="0847DE8F"/>
    <w:rsid w:val="08A7C852"/>
    <w:rsid w:val="08AA450B"/>
    <w:rsid w:val="08B28186"/>
    <w:rsid w:val="09B52370"/>
    <w:rsid w:val="09E9E59A"/>
    <w:rsid w:val="0AA228A2"/>
    <w:rsid w:val="0ACDDE0E"/>
    <w:rsid w:val="0BEB81CF"/>
    <w:rsid w:val="0C90D956"/>
    <w:rsid w:val="0F11511A"/>
    <w:rsid w:val="104F6FE7"/>
    <w:rsid w:val="1135790F"/>
    <w:rsid w:val="11598259"/>
    <w:rsid w:val="12191385"/>
    <w:rsid w:val="12265CDC"/>
    <w:rsid w:val="122C42E3"/>
    <w:rsid w:val="12F6E630"/>
    <w:rsid w:val="13689126"/>
    <w:rsid w:val="13EDDA52"/>
    <w:rsid w:val="13FF5D46"/>
    <w:rsid w:val="148351CA"/>
    <w:rsid w:val="14CCB7F8"/>
    <w:rsid w:val="14E8282B"/>
    <w:rsid w:val="14FAFD6E"/>
    <w:rsid w:val="155E978C"/>
    <w:rsid w:val="15CE37D3"/>
    <w:rsid w:val="16362885"/>
    <w:rsid w:val="16A8DF9D"/>
    <w:rsid w:val="175DEF1C"/>
    <w:rsid w:val="189D51D0"/>
    <w:rsid w:val="192FC2E5"/>
    <w:rsid w:val="197DC559"/>
    <w:rsid w:val="1A42EAF2"/>
    <w:rsid w:val="1A7CDD38"/>
    <w:rsid w:val="1B31F2D5"/>
    <w:rsid w:val="1B759A4A"/>
    <w:rsid w:val="1BC93B2C"/>
    <w:rsid w:val="1C17F208"/>
    <w:rsid w:val="1D456FC0"/>
    <w:rsid w:val="1E64F0BA"/>
    <w:rsid w:val="1E8BFE6E"/>
    <w:rsid w:val="1EA1E1DB"/>
    <w:rsid w:val="1ECA87C4"/>
    <w:rsid w:val="209333A2"/>
    <w:rsid w:val="2094BF11"/>
    <w:rsid w:val="20A69423"/>
    <w:rsid w:val="21071C61"/>
    <w:rsid w:val="218B083B"/>
    <w:rsid w:val="21BFA44A"/>
    <w:rsid w:val="229E68E7"/>
    <w:rsid w:val="22DAB849"/>
    <w:rsid w:val="2347B879"/>
    <w:rsid w:val="24C5C1F6"/>
    <w:rsid w:val="25BA7D8D"/>
    <w:rsid w:val="261E3581"/>
    <w:rsid w:val="2717CF63"/>
    <w:rsid w:val="273A0B94"/>
    <w:rsid w:val="2744AAEB"/>
    <w:rsid w:val="27AC70A2"/>
    <w:rsid w:val="27FE3803"/>
    <w:rsid w:val="288E034F"/>
    <w:rsid w:val="2894991A"/>
    <w:rsid w:val="294BEFB3"/>
    <w:rsid w:val="295BA069"/>
    <w:rsid w:val="2963A7E5"/>
    <w:rsid w:val="29854A0B"/>
    <w:rsid w:val="2B2C788D"/>
    <w:rsid w:val="2C5825FF"/>
    <w:rsid w:val="2D5F98B2"/>
    <w:rsid w:val="2D6642B1"/>
    <w:rsid w:val="2E55430A"/>
    <w:rsid w:val="2E5D35E6"/>
    <w:rsid w:val="2F506E14"/>
    <w:rsid w:val="2F6484D9"/>
    <w:rsid w:val="2F8AED27"/>
    <w:rsid w:val="2FB661EF"/>
    <w:rsid w:val="2FC8A8A4"/>
    <w:rsid w:val="307EFC04"/>
    <w:rsid w:val="3093C2D3"/>
    <w:rsid w:val="319F7CE3"/>
    <w:rsid w:val="31A616F1"/>
    <w:rsid w:val="31EF6000"/>
    <w:rsid w:val="326C9476"/>
    <w:rsid w:val="32B17EA8"/>
    <w:rsid w:val="32BE8835"/>
    <w:rsid w:val="33043891"/>
    <w:rsid w:val="330AE92E"/>
    <w:rsid w:val="333940E5"/>
    <w:rsid w:val="33DBE35F"/>
    <w:rsid w:val="341D860D"/>
    <w:rsid w:val="35CDD8CB"/>
    <w:rsid w:val="35E8E6D9"/>
    <w:rsid w:val="368C86D8"/>
    <w:rsid w:val="3690E4E5"/>
    <w:rsid w:val="36924766"/>
    <w:rsid w:val="380B77DB"/>
    <w:rsid w:val="38167FDF"/>
    <w:rsid w:val="383AA339"/>
    <w:rsid w:val="38519DDF"/>
    <w:rsid w:val="38BA620A"/>
    <w:rsid w:val="3902132C"/>
    <w:rsid w:val="391FE759"/>
    <w:rsid w:val="396C32A5"/>
    <w:rsid w:val="39DD2E77"/>
    <w:rsid w:val="3AE4EB29"/>
    <w:rsid w:val="3BA9F268"/>
    <w:rsid w:val="3BE4012E"/>
    <w:rsid w:val="3C3254F1"/>
    <w:rsid w:val="3CF915CD"/>
    <w:rsid w:val="3D49C420"/>
    <w:rsid w:val="3E07F884"/>
    <w:rsid w:val="3E5622C5"/>
    <w:rsid w:val="3E5AEBF1"/>
    <w:rsid w:val="3E907211"/>
    <w:rsid w:val="3EF8F6C8"/>
    <w:rsid w:val="3F241434"/>
    <w:rsid w:val="3F3757F9"/>
    <w:rsid w:val="3FF415C0"/>
    <w:rsid w:val="40058F0D"/>
    <w:rsid w:val="413E37C8"/>
    <w:rsid w:val="413E6DE0"/>
    <w:rsid w:val="42519C6B"/>
    <w:rsid w:val="429D77CC"/>
    <w:rsid w:val="42CABB76"/>
    <w:rsid w:val="42EC5009"/>
    <w:rsid w:val="42EF01BB"/>
    <w:rsid w:val="4313175C"/>
    <w:rsid w:val="434E08DA"/>
    <w:rsid w:val="43627C32"/>
    <w:rsid w:val="4433BDE1"/>
    <w:rsid w:val="44EA0C87"/>
    <w:rsid w:val="44F6D604"/>
    <w:rsid w:val="453A6B41"/>
    <w:rsid w:val="4619880A"/>
    <w:rsid w:val="465C8E90"/>
    <w:rsid w:val="47066C1F"/>
    <w:rsid w:val="47090B5E"/>
    <w:rsid w:val="475A5B81"/>
    <w:rsid w:val="4792C8C6"/>
    <w:rsid w:val="47C44315"/>
    <w:rsid w:val="486EC456"/>
    <w:rsid w:val="4921D77D"/>
    <w:rsid w:val="4950D6C7"/>
    <w:rsid w:val="499F747D"/>
    <w:rsid w:val="4A691945"/>
    <w:rsid w:val="4AF71036"/>
    <w:rsid w:val="4B238163"/>
    <w:rsid w:val="4BB04665"/>
    <w:rsid w:val="4C4D5301"/>
    <w:rsid w:val="4CB5CBF1"/>
    <w:rsid w:val="4CD1ECA6"/>
    <w:rsid w:val="4D7FCB39"/>
    <w:rsid w:val="4E2232B7"/>
    <w:rsid w:val="4E7929BB"/>
    <w:rsid w:val="4EDB2A81"/>
    <w:rsid w:val="4FDA0361"/>
    <w:rsid w:val="4FFC46B5"/>
    <w:rsid w:val="502D80FE"/>
    <w:rsid w:val="503B86F9"/>
    <w:rsid w:val="50A9414F"/>
    <w:rsid w:val="50DF4D4F"/>
    <w:rsid w:val="511F6515"/>
    <w:rsid w:val="5222D79B"/>
    <w:rsid w:val="52A563A9"/>
    <w:rsid w:val="52F6B5D6"/>
    <w:rsid w:val="53FC36B5"/>
    <w:rsid w:val="5548CA20"/>
    <w:rsid w:val="55AF7338"/>
    <w:rsid w:val="55F1C5E4"/>
    <w:rsid w:val="562DD1BC"/>
    <w:rsid w:val="56AE7C36"/>
    <w:rsid w:val="57698B31"/>
    <w:rsid w:val="57ACD1A4"/>
    <w:rsid w:val="5A4DE48D"/>
    <w:rsid w:val="5BBCF4D8"/>
    <w:rsid w:val="5D491754"/>
    <w:rsid w:val="5DB0ADA7"/>
    <w:rsid w:val="5E38D93B"/>
    <w:rsid w:val="5E4BE6E8"/>
    <w:rsid w:val="5E5E83DD"/>
    <w:rsid w:val="5E86500C"/>
    <w:rsid w:val="5EB686CE"/>
    <w:rsid w:val="5FF6F3F9"/>
    <w:rsid w:val="6032BC64"/>
    <w:rsid w:val="62708E93"/>
    <w:rsid w:val="62A5377E"/>
    <w:rsid w:val="63487DFB"/>
    <w:rsid w:val="635824A0"/>
    <w:rsid w:val="639EC385"/>
    <w:rsid w:val="6401E630"/>
    <w:rsid w:val="6426F50F"/>
    <w:rsid w:val="6438EC1D"/>
    <w:rsid w:val="64468A67"/>
    <w:rsid w:val="6457E4DB"/>
    <w:rsid w:val="6463CB68"/>
    <w:rsid w:val="64909265"/>
    <w:rsid w:val="655CEAFD"/>
    <w:rsid w:val="661C670D"/>
    <w:rsid w:val="665C307A"/>
    <w:rsid w:val="66B782B9"/>
    <w:rsid w:val="66BD4757"/>
    <w:rsid w:val="66D3262E"/>
    <w:rsid w:val="66D97A8A"/>
    <w:rsid w:val="66E4A583"/>
    <w:rsid w:val="674A00A9"/>
    <w:rsid w:val="67D21C8B"/>
    <w:rsid w:val="68EB4B83"/>
    <w:rsid w:val="69C29D0D"/>
    <w:rsid w:val="6A479877"/>
    <w:rsid w:val="6AA1ADC5"/>
    <w:rsid w:val="6B71BD52"/>
    <w:rsid w:val="6B909C77"/>
    <w:rsid w:val="6C78A723"/>
    <w:rsid w:val="6CE7A0FE"/>
    <w:rsid w:val="6DA19D3A"/>
    <w:rsid w:val="6E62BB6E"/>
    <w:rsid w:val="6EFF6EDA"/>
    <w:rsid w:val="6F328CF5"/>
    <w:rsid w:val="706827C7"/>
    <w:rsid w:val="70EF7934"/>
    <w:rsid w:val="71B42F89"/>
    <w:rsid w:val="71E0057E"/>
    <w:rsid w:val="7279056C"/>
    <w:rsid w:val="7362C6C8"/>
    <w:rsid w:val="74BE5832"/>
    <w:rsid w:val="75E3C62B"/>
    <w:rsid w:val="7610F592"/>
    <w:rsid w:val="76F8A72E"/>
    <w:rsid w:val="77728BC8"/>
    <w:rsid w:val="79E7C50D"/>
    <w:rsid w:val="7A08168F"/>
    <w:rsid w:val="7A1B6594"/>
    <w:rsid w:val="7A36128B"/>
    <w:rsid w:val="7B4285D9"/>
    <w:rsid w:val="7B58CAD5"/>
    <w:rsid w:val="7BB9B35B"/>
    <w:rsid w:val="7C114144"/>
    <w:rsid w:val="7C5E10DD"/>
    <w:rsid w:val="7CC041C6"/>
    <w:rsid w:val="7DBE1285"/>
    <w:rsid w:val="7DC39486"/>
    <w:rsid w:val="7E352201"/>
    <w:rsid w:val="7EA5C08E"/>
    <w:rsid w:val="7F57F1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459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40D"/>
    <w:pPr>
      <w:spacing w:after="0" w:line="240" w:lineRule="auto"/>
      <w:textAlignment w:val="baseline"/>
    </w:pPr>
    <w:rPr>
      <w:rFonts w:eastAsia="Times New Roman" w:cstheme="minorHAnsi"/>
      <w:sz w:val="24"/>
      <w:szCs w:val="24"/>
      <w:lang w:eastAsia="en-AU"/>
    </w:rPr>
  </w:style>
  <w:style w:type="paragraph" w:styleId="Heading1">
    <w:name w:val="heading 1"/>
    <w:basedOn w:val="Normal"/>
    <w:next w:val="Normal"/>
    <w:link w:val="Heading1Char"/>
    <w:uiPriority w:val="9"/>
    <w:qFormat/>
    <w:rsid w:val="00B1140D"/>
    <w:pPr>
      <w:spacing w:line="360" w:lineRule="auto"/>
      <w:jc w:val="center"/>
      <w:outlineLvl w:val="0"/>
    </w:pPr>
    <w:rPr>
      <w:b/>
      <w:bCs/>
      <w:sz w:val="28"/>
      <w:szCs w:val="28"/>
    </w:rPr>
  </w:style>
  <w:style w:type="paragraph" w:styleId="Heading2">
    <w:name w:val="heading 2"/>
    <w:basedOn w:val="Normal"/>
    <w:next w:val="Normal"/>
    <w:link w:val="Heading2Char"/>
    <w:uiPriority w:val="9"/>
    <w:unhideWhenUsed/>
    <w:qFormat/>
    <w:rsid w:val="008B18BC"/>
    <w:pPr>
      <w:spacing w:line="360" w:lineRule="auto"/>
      <w:outlineLvl w:val="1"/>
    </w:pPr>
    <w:rPr>
      <w:b/>
      <w:bCs/>
      <w:i/>
      <w:iCs/>
    </w:rPr>
  </w:style>
  <w:style w:type="paragraph" w:styleId="Heading3">
    <w:name w:val="heading 3"/>
    <w:basedOn w:val="Normal"/>
    <w:next w:val="Normal"/>
    <w:link w:val="Heading3Char"/>
    <w:uiPriority w:val="9"/>
    <w:unhideWhenUsed/>
    <w:qFormat/>
    <w:rsid w:val="009E4E4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85F"/>
    <w:rPr>
      <w:rFonts w:ascii="Segoe UI" w:hAnsi="Segoe UI" w:cs="Segoe UI"/>
      <w:sz w:val="18"/>
      <w:szCs w:val="18"/>
    </w:rPr>
  </w:style>
  <w:style w:type="table" w:styleId="TableGrid">
    <w:name w:val="Table Grid"/>
    <w:basedOn w:val="TableNormal"/>
    <w:uiPriority w:val="39"/>
    <w:rsid w:val="003C0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003"/>
    <w:pPr>
      <w:ind w:left="720"/>
      <w:contextualSpacing/>
    </w:pPr>
  </w:style>
  <w:style w:type="paragraph" w:styleId="Header">
    <w:name w:val="header"/>
    <w:basedOn w:val="Normal"/>
    <w:link w:val="HeaderChar"/>
    <w:uiPriority w:val="99"/>
    <w:unhideWhenUsed/>
    <w:rsid w:val="006B64CF"/>
    <w:pPr>
      <w:tabs>
        <w:tab w:val="center" w:pos="4513"/>
        <w:tab w:val="right" w:pos="9026"/>
      </w:tabs>
    </w:pPr>
  </w:style>
  <w:style w:type="character" w:customStyle="1" w:styleId="HeaderChar">
    <w:name w:val="Header Char"/>
    <w:basedOn w:val="DefaultParagraphFont"/>
    <w:link w:val="Header"/>
    <w:uiPriority w:val="99"/>
    <w:rsid w:val="006B64CF"/>
  </w:style>
  <w:style w:type="paragraph" w:styleId="Footer">
    <w:name w:val="footer"/>
    <w:basedOn w:val="Normal"/>
    <w:link w:val="FooterChar"/>
    <w:uiPriority w:val="99"/>
    <w:unhideWhenUsed/>
    <w:rsid w:val="006B64CF"/>
    <w:pPr>
      <w:tabs>
        <w:tab w:val="center" w:pos="4513"/>
        <w:tab w:val="right" w:pos="9026"/>
      </w:tabs>
    </w:pPr>
  </w:style>
  <w:style w:type="character" w:customStyle="1" w:styleId="FooterChar">
    <w:name w:val="Footer Char"/>
    <w:basedOn w:val="DefaultParagraphFont"/>
    <w:link w:val="Footer"/>
    <w:uiPriority w:val="99"/>
    <w:rsid w:val="006B64CF"/>
  </w:style>
  <w:style w:type="character" w:customStyle="1" w:styleId="emailstyle15">
    <w:name w:val="emailstyle15"/>
    <w:basedOn w:val="DefaultParagraphFont"/>
    <w:semiHidden/>
    <w:rsid w:val="00AF79ED"/>
    <w:rPr>
      <w:rFonts w:ascii="Calibri" w:hAnsi="Calibri" w:cs="Calibri" w:hint="default"/>
      <w:color w:val="auto"/>
    </w:rPr>
  </w:style>
  <w:style w:type="character" w:styleId="CommentReference">
    <w:name w:val="annotation reference"/>
    <w:basedOn w:val="DefaultParagraphFont"/>
    <w:uiPriority w:val="99"/>
    <w:semiHidden/>
    <w:unhideWhenUsed/>
    <w:rsid w:val="00AF79ED"/>
    <w:rPr>
      <w:sz w:val="16"/>
      <w:szCs w:val="16"/>
    </w:rPr>
  </w:style>
  <w:style w:type="paragraph" w:styleId="CommentText">
    <w:name w:val="annotation text"/>
    <w:basedOn w:val="Normal"/>
    <w:link w:val="CommentTextChar"/>
    <w:uiPriority w:val="99"/>
    <w:unhideWhenUsed/>
    <w:rsid w:val="00AF79ED"/>
    <w:rPr>
      <w:sz w:val="20"/>
      <w:szCs w:val="20"/>
    </w:rPr>
  </w:style>
  <w:style w:type="character" w:customStyle="1" w:styleId="CommentTextChar">
    <w:name w:val="Comment Text Char"/>
    <w:basedOn w:val="DefaultParagraphFont"/>
    <w:link w:val="CommentText"/>
    <w:uiPriority w:val="99"/>
    <w:rsid w:val="00AF79ED"/>
    <w:rPr>
      <w:sz w:val="20"/>
      <w:szCs w:val="20"/>
    </w:rPr>
  </w:style>
  <w:style w:type="paragraph" w:styleId="CommentSubject">
    <w:name w:val="annotation subject"/>
    <w:basedOn w:val="CommentText"/>
    <w:next w:val="CommentText"/>
    <w:link w:val="CommentSubjectChar"/>
    <w:uiPriority w:val="99"/>
    <w:semiHidden/>
    <w:unhideWhenUsed/>
    <w:rsid w:val="00AF79ED"/>
    <w:rPr>
      <w:b/>
      <w:bCs/>
    </w:rPr>
  </w:style>
  <w:style w:type="character" w:customStyle="1" w:styleId="CommentSubjectChar">
    <w:name w:val="Comment Subject Char"/>
    <w:basedOn w:val="CommentTextChar"/>
    <w:link w:val="CommentSubject"/>
    <w:uiPriority w:val="99"/>
    <w:semiHidden/>
    <w:rsid w:val="00AF79ED"/>
    <w:rPr>
      <w:b/>
      <w:bCs/>
      <w:sz w:val="20"/>
      <w:szCs w:val="20"/>
    </w:rPr>
  </w:style>
  <w:style w:type="character" w:customStyle="1" w:styleId="Heading1Char">
    <w:name w:val="Heading 1 Char"/>
    <w:basedOn w:val="DefaultParagraphFont"/>
    <w:link w:val="Heading1"/>
    <w:uiPriority w:val="9"/>
    <w:rsid w:val="00B1140D"/>
    <w:rPr>
      <w:rFonts w:eastAsia="Times New Roman" w:cstheme="minorHAnsi"/>
      <w:b/>
      <w:bCs/>
      <w:sz w:val="28"/>
      <w:szCs w:val="28"/>
      <w:lang w:eastAsia="en-AU"/>
    </w:rPr>
  </w:style>
  <w:style w:type="character" w:customStyle="1" w:styleId="Heading2Char">
    <w:name w:val="Heading 2 Char"/>
    <w:basedOn w:val="DefaultParagraphFont"/>
    <w:link w:val="Heading2"/>
    <w:uiPriority w:val="9"/>
    <w:rsid w:val="008B18BC"/>
    <w:rPr>
      <w:rFonts w:cstheme="minorHAnsi"/>
      <w:b/>
      <w:bCs/>
      <w:i/>
      <w:iCs/>
    </w:rPr>
  </w:style>
  <w:style w:type="character" w:customStyle="1" w:styleId="Heading3Char">
    <w:name w:val="Heading 3 Char"/>
    <w:basedOn w:val="DefaultParagraphFont"/>
    <w:link w:val="Heading3"/>
    <w:uiPriority w:val="9"/>
    <w:rsid w:val="009E4E4A"/>
    <w:rPr>
      <w:rFonts w:asciiTheme="majorHAnsi" w:eastAsiaTheme="majorEastAsia" w:hAnsiTheme="majorHAnsi" w:cstheme="majorBidi"/>
      <w:color w:val="1F3763" w:themeColor="accent1" w:themeShade="7F"/>
      <w:sz w:val="24"/>
      <w:szCs w:val="24"/>
    </w:rPr>
  </w:style>
  <w:style w:type="table" w:customStyle="1" w:styleId="GridTable5Dark-Accent11">
    <w:name w:val="Grid Table 5 Dark - Accent 11"/>
    <w:basedOn w:val="TableNormal"/>
    <w:next w:val="GridTable5Dark-Accent1"/>
    <w:uiPriority w:val="50"/>
    <w:rsid w:val="00D33ED9"/>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0F3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5C5B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5C5B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5C5B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5C5B4"/>
      </w:tcPr>
    </w:tblStylePr>
    <w:tblStylePr w:type="band1Vert">
      <w:tblPr/>
      <w:tcPr>
        <w:shd w:val="clear" w:color="auto" w:fill="C1E7E0"/>
      </w:tcPr>
    </w:tblStylePr>
    <w:tblStylePr w:type="band1Horz">
      <w:tblPr/>
      <w:tcPr>
        <w:shd w:val="clear" w:color="auto" w:fill="C1E7E0"/>
      </w:tcPr>
    </w:tblStylePr>
  </w:style>
  <w:style w:type="table" w:styleId="GridTable5Dark-Accent1">
    <w:name w:val="Grid Table 5 Dark Accent 1"/>
    <w:basedOn w:val="TableNormal"/>
    <w:uiPriority w:val="50"/>
    <w:rsid w:val="00D33E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A13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24143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3">
    <w:name w:val="Grid Table 5 Dark Accent 3"/>
    <w:basedOn w:val="TableNormal"/>
    <w:uiPriority w:val="50"/>
    <w:rsid w:val="008454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Normal"/>
    <w:rsid w:val="004A4D52"/>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4A4D52"/>
  </w:style>
  <w:style w:type="character" w:customStyle="1" w:styleId="eop">
    <w:name w:val="eop"/>
    <w:basedOn w:val="DefaultParagraphFont"/>
    <w:rsid w:val="004A4D52"/>
  </w:style>
  <w:style w:type="paragraph" w:styleId="FootnoteText">
    <w:name w:val="footnote text"/>
    <w:basedOn w:val="Normal"/>
    <w:link w:val="FootnoteTextChar"/>
    <w:uiPriority w:val="99"/>
    <w:qFormat/>
    <w:rsid w:val="00F60FC8"/>
    <w:pPr>
      <w:spacing w:after="20" w:line="160" w:lineRule="atLeast"/>
    </w:pPr>
    <w:rPr>
      <w:rFonts w:eastAsiaTheme="majorEastAsia" w:cs="Calibri"/>
      <w:color w:val="000000" w:themeColor="text1"/>
      <w:sz w:val="14"/>
      <w:szCs w:val="20"/>
    </w:rPr>
  </w:style>
  <w:style w:type="character" w:customStyle="1" w:styleId="FootnoteTextChar">
    <w:name w:val="Footnote Text Char"/>
    <w:basedOn w:val="DefaultParagraphFont"/>
    <w:link w:val="FootnoteText"/>
    <w:uiPriority w:val="99"/>
    <w:rsid w:val="00F60FC8"/>
    <w:rPr>
      <w:rFonts w:eastAsiaTheme="majorEastAsia" w:cs="Calibri"/>
      <w:color w:val="000000" w:themeColor="text1"/>
      <w:sz w:val="14"/>
      <w:szCs w:val="20"/>
      <w:lang w:eastAsia="en-AU"/>
    </w:rPr>
  </w:style>
  <w:style w:type="character" w:styleId="FootnoteReference">
    <w:name w:val="footnote reference"/>
    <w:aliases w:val="Normal + Font:9 Point,Superscript 3 Point Times"/>
    <w:basedOn w:val="DefaultParagraphFont"/>
    <w:uiPriority w:val="99"/>
    <w:rsid w:val="00F60FC8"/>
    <w:rPr>
      <w:vertAlign w:val="superscript"/>
    </w:rPr>
  </w:style>
  <w:style w:type="character" w:styleId="Hyperlink">
    <w:name w:val="Hyperlink"/>
    <w:basedOn w:val="DefaultParagraphFont"/>
    <w:uiPriority w:val="99"/>
    <w:unhideWhenUsed/>
    <w:rsid w:val="00F60FC8"/>
    <w:rPr>
      <w:color w:val="0000FF"/>
      <w:u w:val="single"/>
    </w:rPr>
  </w:style>
  <w:style w:type="paragraph" w:styleId="Revision">
    <w:name w:val="Revision"/>
    <w:hidden/>
    <w:uiPriority w:val="99"/>
    <w:semiHidden/>
    <w:rsid w:val="00F60FC8"/>
    <w:pPr>
      <w:spacing w:after="0" w:line="240" w:lineRule="auto"/>
    </w:pPr>
  </w:style>
  <w:style w:type="character" w:styleId="FollowedHyperlink">
    <w:name w:val="FollowedHyperlink"/>
    <w:basedOn w:val="DefaultParagraphFont"/>
    <w:uiPriority w:val="99"/>
    <w:semiHidden/>
    <w:unhideWhenUsed/>
    <w:rsid w:val="00F0754A"/>
    <w:rPr>
      <w:color w:val="954F72" w:themeColor="followedHyperlink"/>
      <w:u w:val="single"/>
    </w:rPr>
  </w:style>
  <w:style w:type="paragraph" w:customStyle="1" w:styleId="TabletextsmallHDMES">
    <w:name w:val="Table text small HDMES"/>
    <w:basedOn w:val="Normal"/>
    <w:next w:val="Normal"/>
    <w:qFormat/>
    <w:rsid w:val="00BC32BF"/>
    <w:pPr>
      <w:spacing w:before="20" w:after="20"/>
      <w:textAlignment w:val="auto"/>
    </w:pPr>
    <w:rPr>
      <w:rFonts w:ascii="Calibri" w:eastAsia="Calibri" w:hAnsi="Calibri" w:cs="Times New Roman"/>
      <w:sz w:val="20"/>
      <w:szCs w:val="22"/>
      <w:lang w:eastAsia="en-US"/>
    </w:rPr>
  </w:style>
  <w:style w:type="paragraph" w:customStyle="1" w:styleId="TableheadingsmallHDMES">
    <w:name w:val="Table heading small HDMES"/>
    <w:basedOn w:val="Normal"/>
    <w:next w:val="Normal"/>
    <w:qFormat/>
    <w:rsid w:val="00BC32BF"/>
    <w:pPr>
      <w:spacing w:before="60" w:after="40" w:line="252" w:lineRule="auto"/>
      <w:textAlignment w:val="auto"/>
    </w:pPr>
    <w:rPr>
      <w:rFonts w:ascii="Franklin Gothic Demi" w:eastAsia="Calibri" w:hAnsi="Franklin Gothic Demi" w:cs="Times New Roman"/>
      <w:color w:val="1E282A"/>
      <w:sz w:val="20"/>
      <w:szCs w:val="22"/>
      <w:lang w:eastAsia="en-US"/>
    </w:rPr>
  </w:style>
  <w:style w:type="character" w:styleId="UnresolvedMention">
    <w:name w:val="Unresolved Mention"/>
    <w:basedOn w:val="DefaultParagraphFont"/>
    <w:uiPriority w:val="99"/>
    <w:semiHidden/>
    <w:unhideWhenUsed/>
    <w:rsid w:val="006E6794"/>
    <w:rPr>
      <w:color w:val="605E5C"/>
      <w:shd w:val="clear" w:color="auto" w:fill="E1DFDD"/>
    </w:rPr>
  </w:style>
  <w:style w:type="paragraph" w:customStyle="1" w:styleId="FootnotetextHDMES">
    <w:name w:val="Footnote text HDMES"/>
    <w:basedOn w:val="FootnoteText"/>
    <w:qFormat/>
    <w:rsid w:val="00723537"/>
    <w:pPr>
      <w:spacing w:after="0" w:line="252" w:lineRule="auto"/>
      <w:textAlignment w:val="auto"/>
    </w:pPr>
    <w:rPr>
      <w:rFonts w:ascii="Calibri" w:eastAsia="Calibri" w:hAnsi="Calibri" w:cs="Times New Roman"/>
      <w:color w:val="auto"/>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816">
      <w:bodyDiv w:val="1"/>
      <w:marLeft w:val="0"/>
      <w:marRight w:val="0"/>
      <w:marTop w:val="0"/>
      <w:marBottom w:val="0"/>
      <w:divBdr>
        <w:top w:val="none" w:sz="0" w:space="0" w:color="auto"/>
        <w:left w:val="none" w:sz="0" w:space="0" w:color="auto"/>
        <w:bottom w:val="none" w:sz="0" w:space="0" w:color="auto"/>
        <w:right w:val="none" w:sz="0" w:space="0" w:color="auto"/>
      </w:divBdr>
      <w:divsChild>
        <w:div w:id="580598390">
          <w:marLeft w:val="0"/>
          <w:marRight w:val="0"/>
          <w:marTop w:val="0"/>
          <w:marBottom w:val="0"/>
          <w:divBdr>
            <w:top w:val="none" w:sz="0" w:space="0" w:color="auto"/>
            <w:left w:val="none" w:sz="0" w:space="0" w:color="auto"/>
            <w:bottom w:val="none" w:sz="0" w:space="0" w:color="auto"/>
            <w:right w:val="none" w:sz="0" w:space="0" w:color="auto"/>
          </w:divBdr>
        </w:div>
        <w:div w:id="1574579176">
          <w:marLeft w:val="0"/>
          <w:marRight w:val="0"/>
          <w:marTop w:val="0"/>
          <w:marBottom w:val="0"/>
          <w:divBdr>
            <w:top w:val="none" w:sz="0" w:space="0" w:color="auto"/>
            <w:left w:val="none" w:sz="0" w:space="0" w:color="auto"/>
            <w:bottom w:val="none" w:sz="0" w:space="0" w:color="auto"/>
            <w:right w:val="none" w:sz="0" w:space="0" w:color="auto"/>
          </w:divBdr>
        </w:div>
      </w:divsChild>
    </w:div>
    <w:div w:id="102308653">
      <w:bodyDiv w:val="1"/>
      <w:marLeft w:val="0"/>
      <w:marRight w:val="0"/>
      <w:marTop w:val="0"/>
      <w:marBottom w:val="0"/>
      <w:divBdr>
        <w:top w:val="none" w:sz="0" w:space="0" w:color="auto"/>
        <w:left w:val="none" w:sz="0" w:space="0" w:color="auto"/>
        <w:bottom w:val="none" w:sz="0" w:space="0" w:color="auto"/>
        <w:right w:val="none" w:sz="0" w:space="0" w:color="auto"/>
      </w:divBdr>
    </w:div>
    <w:div w:id="617683504">
      <w:bodyDiv w:val="1"/>
      <w:marLeft w:val="0"/>
      <w:marRight w:val="0"/>
      <w:marTop w:val="0"/>
      <w:marBottom w:val="0"/>
      <w:divBdr>
        <w:top w:val="none" w:sz="0" w:space="0" w:color="auto"/>
        <w:left w:val="none" w:sz="0" w:space="0" w:color="auto"/>
        <w:bottom w:val="none" w:sz="0" w:space="0" w:color="auto"/>
        <w:right w:val="none" w:sz="0" w:space="0" w:color="auto"/>
      </w:divBdr>
    </w:div>
    <w:div w:id="908930264">
      <w:bodyDiv w:val="1"/>
      <w:marLeft w:val="0"/>
      <w:marRight w:val="0"/>
      <w:marTop w:val="0"/>
      <w:marBottom w:val="0"/>
      <w:divBdr>
        <w:top w:val="none" w:sz="0" w:space="0" w:color="auto"/>
        <w:left w:val="none" w:sz="0" w:space="0" w:color="auto"/>
        <w:bottom w:val="none" w:sz="0" w:space="0" w:color="auto"/>
        <w:right w:val="none" w:sz="0" w:space="0" w:color="auto"/>
      </w:divBdr>
    </w:div>
    <w:div w:id="1114592526">
      <w:bodyDiv w:val="1"/>
      <w:marLeft w:val="0"/>
      <w:marRight w:val="0"/>
      <w:marTop w:val="0"/>
      <w:marBottom w:val="0"/>
      <w:divBdr>
        <w:top w:val="none" w:sz="0" w:space="0" w:color="auto"/>
        <w:left w:val="none" w:sz="0" w:space="0" w:color="auto"/>
        <w:bottom w:val="none" w:sz="0" w:space="0" w:color="auto"/>
        <w:right w:val="none" w:sz="0" w:space="0" w:color="auto"/>
      </w:divBdr>
      <w:divsChild>
        <w:div w:id="384987542">
          <w:marLeft w:val="0"/>
          <w:marRight w:val="0"/>
          <w:marTop w:val="0"/>
          <w:marBottom w:val="0"/>
          <w:divBdr>
            <w:top w:val="none" w:sz="0" w:space="0" w:color="auto"/>
            <w:left w:val="none" w:sz="0" w:space="0" w:color="auto"/>
            <w:bottom w:val="none" w:sz="0" w:space="0" w:color="auto"/>
            <w:right w:val="none" w:sz="0" w:space="0" w:color="auto"/>
          </w:divBdr>
        </w:div>
        <w:div w:id="773330206">
          <w:marLeft w:val="0"/>
          <w:marRight w:val="0"/>
          <w:marTop w:val="0"/>
          <w:marBottom w:val="0"/>
          <w:divBdr>
            <w:top w:val="none" w:sz="0" w:space="0" w:color="auto"/>
            <w:left w:val="none" w:sz="0" w:space="0" w:color="auto"/>
            <w:bottom w:val="none" w:sz="0" w:space="0" w:color="auto"/>
            <w:right w:val="none" w:sz="0" w:space="0" w:color="auto"/>
          </w:divBdr>
        </w:div>
        <w:div w:id="791872508">
          <w:marLeft w:val="0"/>
          <w:marRight w:val="0"/>
          <w:marTop w:val="0"/>
          <w:marBottom w:val="0"/>
          <w:divBdr>
            <w:top w:val="none" w:sz="0" w:space="0" w:color="auto"/>
            <w:left w:val="none" w:sz="0" w:space="0" w:color="auto"/>
            <w:bottom w:val="none" w:sz="0" w:space="0" w:color="auto"/>
            <w:right w:val="none" w:sz="0" w:space="0" w:color="auto"/>
          </w:divBdr>
        </w:div>
      </w:divsChild>
    </w:div>
    <w:div w:id="1246650489">
      <w:bodyDiv w:val="1"/>
      <w:marLeft w:val="0"/>
      <w:marRight w:val="0"/>
      <w:marTop w:val="0"/>
      <w:marBottom w:val="0"/>
      <w:divBdr>
        <w:top w:val="none" w:sz="0" w:space="0" w:color="auto"/>
        <w:left w:val="none" w:sz="0" w:space="0" w:color="auto"/>
        <w:bottom w:val="none" w:sz="0" w:space="0" w:color="auto"/>
        <w:right w:val="none" w:sz="0" w:space="0" w:color="auto"/>
      </w:divBdr>
    </w:div>
    <w:div w:id="1255092982">
      <w:bodyDiv w:val="1"/>
      <w:marLeft w:val="0"/>
      <w:marRight w:val="0"/>
      <w:marTop w:val="0"/>
      <w:marBottom w:val="0"/>
      <w:divBdr>
        <w:top w:val="none" w:sz="0" w:space="0" w:color="auto"/>
        <w:left w:val="none" w:sz="0" w:space="0" w:color="auto"/>
        <w:bottom w:val="none" w:sz="0" w:space="0" w:color="auto"/>
        <w:right w:val="none" w:sz="0" w:space="0" w:color="auto"/>
      </w:divBdr>
    </w:div>
    <w:div w:id="14802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geo/papua-new-guinea/australia-papua-new-guinea-historic-documents/papua-new-guinea-australia-joint-statement-intent-technical-and-vocational-education-and-training-papua-new-guine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toworkforc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DB932-8E61-44A8-8A30-9902838F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1704</Words>
  <Characters>10038</Characters>
  <Application>Microsoft Office Word</Application>
  <DocSecurity>0</DocSecurity>
  <Lines>332</Lines>
  <Paragraphs>116</Paragraphs>
  <ScaleCrop>false</ScaleCrop>
  <HeadingPairs>
    <vt:vector size="2" baseType="variant">
      <vt:variant>
        <vt:lpstr>Title</vt:lpstr>
      </vt:variant>
      <vt:variant>
        <vt:i4>1</vt:i4>
      </vt:variant>
    </vt:vector>
  </HeadingPairs>
  <TitlesOfParts>
    <vt:vector size="1" baseType="lpstr">
      <vt:lpstr>Management Response to the Strategic Review of the PNG-Aus Joint Statement of Intent on Technical, Vocational Education and Training Investments</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the Strategic Review of the PNG-Aus Joint Statement of Intent on Technical, Vocational Education and Training Investments</dc:title>
  <dc:subject/>
  <dc:creator/>
  <cp:keywords>[SEC=OFFICIAL]</cp:keywords>
  <dc:description/>
  <cp:lastModifiedBy/>
  <cp:revision>1</cp:revision>
  <dcterms:created xsi:type="dcterms:W3CDTF">2024-09-09T04:53:00Z</dcterms:created>
  <dcterms:modified xsi:type="dcterms:W3CDTF">2024-09-09T05:05:00Z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v=2022.1;a=SHA256;h=D1F90FF07A594099BDCDA4C70F0E3768DBEF6A961F5B0A0F702B205F3FBC996E</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2024-09-09T05:05:15Z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3CB333A7DFD5472BBC0779FC157E4D65</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82A165E39DED22CC6CB9E592F22B935D</vt:lpwstr>
  </property>
  <property fmtid="{D5CDD505-2E9C-101B-9397-08002B2CF9AE}" pid="25" name="PM_Hash_Salt">
    <vt:lpwstr>82A165E39DED22CC6CB9E592F22B935D</vt:lpwstr>
  </property>
  <property fmtid="{D5CDD505-2E9C-101B-9397-08002B2CF9AE}" pid="26" name="PM_Hash_SHA1">
    <vt:lpwstr>953B3FF98473E38F4ABCE7B7134523B65C451ADB</vt:lpwstr>
  </property>
</Properties>
</file>