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0FA63B1" w14:textId="78078E9B" w:rsidR="007D1270" w:rsidRPr="006F1DA2" w:rsidRDefault="009544E4" w:rsidP="006F1DA2">
      <w:pPr>
        <w:pStyle w:val="Heading1"/>
      </w:pPr>
      <w:bookmarkStart w:id="0" w:name="_GoBack"/>
      <w:r w:rsidRPr="006F1DA2">
        <w:t>DFAT</w:t>
      </w:r>
      <w:r w:rsidR="00354327" w:rsidRPr="006F1DA2">
        <w:t xml:space="preserve"> </w:t>
      </w:r>
      <w:r w:rsidR="007D1270" w:rsidRPr="006F1DA2">
        <w:t>Management Response</w:t>
      </w:r>
      <w:r w:rsidR="00B63293" w:rsidRPr="006F1DA2">
        <w:t xml:space="preserve"> </w:t>
      </w:r>
      <w:r w:rsidR="00354327" w:rsidRPr="006F1DA2">
        <w:t xml:space="preserve">to </w:t>
      </w:r>
      <w:r w:rsidR="00E8768B" w:rsidRPr="006F1DA2">
        <w:t xml:space="preserve">QTAG’s </w:t>
      </w:r>
      <w:r w:rsidR="00354327" w:rsidRPr="006F1DA2">
        <w:t xml:space="preserve">MDI </w:t>
      </w:r>
      <w:r w:rsidR="00E8768B" w:rsidRPr="006F1DA2">
        <w:t>r</w:t>
      </w:r>
      <w:r w:rsidR="00354327" w:rsidRPr="006F1DA2">
        <w:t xml:space="preserve">eview </w:t>
      </w:r>
      <w:r w:rsidR="00E8768B" w:rsidRPr="006F1DA2">
        <w:t>recommendations</w:t>
      </w:r>
    </w:p>
    <w:tbl>
      <w:tblPr>
        <w:tblStyle w:val="GridTable5Dark-Accent6"/>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9"/>
        <w:gridCol w:w="1883"/>
        <w:gridCol w:w="6237"/>
        <w:gridCol w:w="3686"/>
        <w:gridCol w:w="2409"/>
      </w:tblGrid>
      <w:tr w:rsidR="0073225F" w:rsidRPr="00517AF7" w14:paraId="5EF167D7" w14:textId="77777777" w:rsidTr="006F1D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59" w:type="dxa"/>
            <w:tcBorders>
              <w:top w:val="none" w:sz="0" w:space="0" w:color="auto"/>
              <w:left w:val="none" w:sz="0" w:space="0" w:color="auto"/>
              <w:right w:val="none" w:sz="0" w:space="0" w:color="auto"/>
            </w:tcBorders>
            <w:shd w:val="clear" w:color="auto" w:fill="auto"/>
          </w:tcPr>
          <w:bookmarkEnd w:id="0"/>
          <w:p w14:paraId="0E98CC9E" w14:textId="278D69C2" w:rsidR="0073225F" w:rsidRPr="00517AF7" w:rsidRDefault="0073225F" w:rsidP="005C56AA">
            <w:pPr>
              <w:rPr>
                <w:rFonts w:cstheme="minorHAnsi"/>
                <w:b w:val="0"/>
                <w:sz w:val="24"/>
                <w:szCs w:val="24"/>
              </w:rPr>
            </w:pPr>
            <w:r w:rsidRPr="00517AF7">
              <w:rPr>
                <w:rFonts w:cstheme="minorHAnsi"/>
                <w:color w:val="auto"/>
                <w:sz w:val="24"/>
                <w:szCs w:val="24"/>
              </w:rPr>
              <w:t>Recommendations</w:t>
            </w:r>
          </w:p>
        </w:tc>
        <w:tc>
          <w:tcPr>
            <w:tcW w:w="1883" w:type="dxa"/>
            <w:tcBorders>
              <w:top w:val="none" w:sz="0" w:space="0" w:color="auto"/>
              <w:left w:val="none" w:sz="0" w:space="0" w:color="auto"/>
              <w:right w:val="none" w:sz="0" w:space="0" w:color="auto"/>
            </w:tcBorders>
            <w:shd w:val="clear" w:color="auto" w:fill="auto"/>
          </w:tcPr>
          <w:p w14:paraId="75D06862" w14:textId="033014B7" w:rsidR="0073225F" w:rsidRPr="00517AF7" w:rsidRDefault="0073225F" w:rsidP="005C56AA">
            <w:pPr>
              <w:cnfStyle w:val="100000000000" w:firstRow="1" w:lastRow="0" w:firstColumn="0" w:lastColumn="0" w:oddVBand="0" w:evenVBand="0" w:oddHBand="0" w:evenHBand="0" w:firstRowFirstColumn="0" w:firstRowLastColumn="0" w:lastRowFirstColumn="0" w:lastRowLastColumn="0"/>
              <w:rPr>
                <w:rFonts w:cstheme="minorHAnsi"/>
                <w:b w:val="0"/>
                <w:color w:val="auto"/>
                <w:sz w:val="24"/>
                <w:szCs w:val="24"/>
              </w:rPr>
            </w:pPr>
            <w:r w:rsidRPr="00517AF7">
              <w:rPr>
                <w:rFonts w:eastAsia="Times New Roman" w:cstheme="minorHAnsi"/>
                <w:color w:val="auto"/>
                <w:sz w:val="24"/>
                <w:szCs w:val="24"/>
                <w:lang w:eastAsia="en-AU"/>
              </w:rPr>
              <w:t xml:space="preserve">Response (Agree, </w:t>
            </w:r>
            <w:proofErr w:type="gramStart"/>
            <w:r w:rsidRPr="00517AF7">
              <w:rPr>
                <w:rFonts w:eastAsia="Times New Roman" w:cstheme="minorHAnsi"/>
                <w:color w:val="auto"/>
                <w:sz w:val="24"/>
                <w:szCs w:val="24"/>
                <w:lang w:eastAsia="en-AU"/>
              </w:rPr>
              <w:t>Agree</w:t>
            </w:r>
            <w:proofErr w:type="gramEnd"/>
            <w:r w:rsidRPr="00517AF7">
              <w:rPr>
                <w:rFonts w:eastAsia="Times New Roman" w:cstheme="minorHAnsi"/>
                <w:color w:val="auto"/>
                <w:sz w:val="24"/>
                <w:szCs w:val="24"/>
                <w:lang w:eastAsia="en-AU"/>
              </w:rPr>
              <w:t xml:space="preserve"> in part, Disagree)</w:t>
            </w:r>
          </w:p>
        </w:tc>
        <w:tc>
          <w:tcPr>
            <w:tcW w:w="6237" w:type="dxa"/>
            <w:tcBorders>
              <w:top w:val="none" w:sz="0" w:space="0" w:color="auto"/>
              <w:left w:val="none" w:sz="0" w:space="0" w:color="auto"/>
              <w:right w:val="none" w:sz="0" w:space="0" w:color="auto"/>
            </w:tcBorders>
            <w:shd w:val="clear" w:color="auto" w:fill="auto"/>
          </w:tcPr>
          <w:p w14:paraId="574167FE" w14:textId="66975ABD" w:rsidR="0073225F" w:rsidRPr="00517AF7" w:rsidRDefault="0073225F" w:rsidP="005C56AA">
            <w:pPr>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517AF7">
              <w:rPr>
                <w:rFonts w:eastAsia="Times New Roman" w:cstheme="minorHAnsi"/>
                <w:color w:val="auto"/>
                <w:lang w:eastAsia="en-AU"/>
              </w:rPr>
              <w:t>Explanation</w:t>
            </w:r>
          </w:p>
        </w:tc>
        <w:tc>
          <w:tcPr>
            <w:tcW w:w="3686" w:type="dxa"/>
            <w:tcBorders>
              <w:top w:val="none" w:sz="0" w:space="0" w:color="auto"/>
              <w:left w:val="none" w:sz="0" w:space="0" w:color="auto"/>
              <w:right w:val="none" w:sz="0" w:space="0" w:color="auto"/>
            </w:tcBorders>
            <w:shd w:val="clear" w:color="auto" w:fill="auto"/>
          </w:tcPr>
          <w:p w14:paraId="033F66CD" w14:textId="5780EF96" w:rsidR="0073225F" w:rsidRPr="00517AF7" w:rsidRDefault="0073225F" w:rsidP="005C56AA">
            <w:pPr>
              <w:cnfStyle w:val="100000000000" w:firstRow="1" w:lastRow="0" w:firstColumn="0" w:lastColumn="0" w:oddVBand="0" w:evenVBand="0" w:oddHBand="0" w:evenHBand="0" w:firstRowFirstColumn="0" w:firstRowLastColumn="0" w:lastRowFirstColumn="0" w:lastRowLastColumn="0"/>
              <w:rPr>
                <w:rFonts w:cstheme="minorHAnsi"/>
                <w:b w:val="0"/>
              </w:rPr>
            </w:pPr>
            <w:r w:rsidRPr="00517AF7">
              <w:rPr>
                <w:rFonts w:eastAsia="Times New Roman" w:cstheme="minorHAnsi"/>
                <w:color w:val="auto"/>
                <w:lang w:eastAsia="en-AU"/>
              </w:rPr>
              <w:t>Action Plan</w:t>
            </w:r>
          </w:p>
        </w:tc>
        <w:tc>
          <w:tcPr>
            <w:tcW w:w="2409" w:type="dxa"/>
            <w:tcBorders>
              <w:top w:val="none" w:sz="0" w:space="0" w:color="auto"/>
              <w:left w:val="none" w:sz="0" w:space="0" w:color="auto"/>
              <w:right w:val="none" w:sz="0" w:space="0" w:color="auto"/>
            </w:tcBorders>
            <w:shd w:val="clear" w:color="auto" w:fill="auto"/>
          </w:tcPr>
          <w:p w14:paraId="32576CB0" w14:textId="08741FB1" w:rsidR="0073225F" w:rsidRPr="00517AF7" w:rsidRDefault="0073225F" w:rsidP="005C56AA">
            <w:pPr>
              <w:cnfStyle w:val="100000000000" w:firstRow="1" w:lastRow="0" w:firstColumn="0" w:lastColumn="0" w:oddVBand="0" w:evenVBand="0" w:oddHBand="0" w:evenHBand="0" w:firstRowFirstColumn="0" w:firstRowLastColumn="0" w:lastRowFirstColumn="0" w:lastRowLastColumn="0"/>
              <w:rPr>
                <w:rFonts w:cstheme="minorHAnsi"/>
                <w:b w:val="0"/>
              </w:rPr>
            </w:pPr>
            <w:r w:rsidRPr="00517AF7">
              <w:rPr>
                <w:rFonts w:eastAsia="Times New Roman" w:cstheme="minorHAnsi"/>
                <w:color w:val="auto"/>
                <w:lang w:eastAsia="en-AU"/>
              </w:rPr>
              <w:t>Timeframe</w:t>
            </w:r>
          </w:p>
        </w:tc>
      </w:tr>
      <w:tr w:rsidR="00511CEA" w:rsidRPr="00517AF7" w14:paraId="4B8EAD63" w14:textId="77777777" w:rsidTr="009D3086">
        <w:trPr>
          <w:cnfStyle w:val="000000100000" w:firstRow="0" w:lastRow="0" w:firstColumn="0" w:lastColumn="0" w:oddVBand="0" w:evenVBand="0" w:oddHBand="1" w:evenHBand="0" w:firstRowFirstColumn="0" w:firstRowLastColumn="0" w:lastRowFirstColumn="0" w:lastRowLastColumn="0"/>
          <w:trHeight w:val="7824"/>
        </w:trPr>
        <w:tc>
          <w:tcPr>
            <w:cnfStyle w:val="001000000000" w:firstRow="0" w:lastRow="0" w:firstColumn="1" w:lastColumn="0" w:oddVBand="0" w:evenVBand="0" w:oddHBand="0" w:evenHBand="0" w:firstRowFirstColumn="0" w:firstRowLastColumn="0" w:lastRowFirstColumn="0" w:lastRowLastColumn="0"/>
            <w:tcW w:w="6759" w:type="dxa"/>
            <w:tcBorders>
              <w:left w:val="none" w:sz="0" w:space="0" w:color="auto"/>
            </w:tcBorders>
            <w:shd w:val="clear" w:color="auto" w:fill="auto"/>
          </w:tcPr>
          <w:p w14:paraId="521DBCF3" w14:textId="4FDC5663" w:rsidR="0073225F" w:rsidRPr="00517AF7" w:rsidRDefault="0073225F" w:rsidP="0006021F">
            <w:pPr>
              <w:rPr>
                <w:rFonts w:cstheme="minorHAnsi"/>
                <w:b w:val="0"/>
                <w:color w:val="auto"/>
              </w:rPr>
            </w:pPr>
            <w:r w:rsidRPr="00517AF7">
              <w:rPr>
                <w:rFonts w:cstheme="minorHAnsi"/>
                <w:color w:val="auto"/>
              </w:rPr>
              <w:t xml:space="preserve">1) Sub-national level expansion across more districts - </w:t>
            </w:r>
          </w:p>
          <w:p w14:paraId="03E08CAF" w14:textId="5B7BE944" w:rsidR="0073225F" w:rsidRPr="00517AF7" w:rsidRDefault="0073225F" w:rsidP="005C56AA">
            <w:pPr>
              <w:rPr>
                <w:rFonts w:cstheme="minorHAnsi"/>
                <w:bCs w:val="0"/>
              </w:rPr>
            </w:pPr>
            <w:r w:rsidRPr="00517AF7">
              <w:rPr>
                <w:rFonts w:cstheme="minorHAnsi"/>
                <w:b w:val="0"/>
                <w:color w:val="auto"/>
              </w:rPr>
              <w:t xml:space="preserve">There is a strong case for expanding MDI’s work at the District and Provincial level. The power of Open MPs, including their control over DSIPs, is a noteworthy feature of the PNG context.  But the existing media infrastructure, access, and generation of locally relevant content is still a challenge at the local level.  MDI’s </w:t>
            </w:r>
            <w:proofErr w:type="spellStart"/>
            <w:r w:rsidRPr="00517AF7">
              <w:rPr>
                <w:rFonts w:cstheme="minorHAnsi"/>
                <w:b w:val="0"/>
                <w:color w:val="auto"/>
              </w:rPr>
              <w:t>Talasea</w:t>
            </w:r>
            <w:proofErr w:type="spellEnd"/>
            <w:r w:rsidRPr="00517AF7">
              <w:rPr>
                <w:rFonts w:cstheme="minorHAnsi"/>
                <w:b w:val="0"/>
                <w:color w:val="auto"/>
              </w:rPr>
              <w:t xml:space="preserve"> District Hub has allowed it to learn lessons and the program could usefully expand into other Districts.  </w:t>
            </w:r>
          </w:p>
          <w:p w14:paraId="6C0B98FC" w14:textId="77777777" w:rsidR="00212169" w:rsidRPr="00517AF7" w:rsidRDefault="00212169" w:rsidP="005C56AA">
            <w:pPr>
              <w:rPr>
                <w:rFonts w:cstheme="minorHAnsi"/>
                <w:b w:val="0"/>
                <w:color w:val="auto"/>
              </w:rPr>
            </w:pPr>
          </w:p>
          <w:p w14:paraId="312C30A1" w14:textId="607A8C68" w:rsidR="0073225F" w:rsidRPr="00517AF7" w:rsidRDefault="0073225F" w:rsidP="005C56AA">
            <w:pPr>
              <w:rPr>
                <w:rFonts w:cstheme="minorHAnsi"/>
                <w:b w:val="0"/>
                <w:color w:val="auto"/>
              </w:rPr>
            </w:pPr>
            <w:r w:rsidRPr="00517AF7">
              <w:rPr>
                <w:rFonts w:cstheme="minorHAnsi"/>
                <w:b w:val="0"/>
                <w:i/>
                <w:iCs/>
                <w:color w:val="auto"/>
              </w:rPr>
              <w:t xml:space="preserve">1.2) The balance between widening access/voice and increasing accountability: </w:t>
            </w:r>
            <w:r w:rsidRPr="00517AF7">
              <w:rPr>
                <w:rFonts w:cstheme="minorHAnsi"/>
                <w:b w:val="0"/>
                <w:color w:val="auto"/>
              </w:rPr>
              <w:t>it may be sensible to initially focus sub-national activities on improving the media infrastructure and the culture of using the media as a platform for public discussion and debate.  This initial focus on increasing voice could provide the platform to do more accountability focused activities (e.g. pre and post 2022 election).</w:t>
            </w:r>
          </w:p>
          <w:p w14:paraId="4598D931" w14:textId="77777777" w:rsidR="0073225F" w:rsidRPr="00517AF7" w:rsidRDefault="0073225F" w:rsidP="00D26395">
            <w:pPr>
              <w:spacing w:beforeLines="60" w:before="144" w:afterLines="60" w:after="144" w:line="276" w:lineRule="atLeast"/>
              <w:rPr>
                <w:rFonts w:cstheme="minorHAnsi"/>
                <w:b w:val="0"/>
                <w:color w:val="auto"/>
              </w:rPr>
            </w:pPr>
            <w:r w:rsidRPr="00517AF7">
              <w:rPr>
                <w:rFonts w:cstheme="minorHAnsi"/>
                <w:b w:val="0"/>
                <w:iCs/>
                <w:color w:val="auto"/>
              </w:rPr>
              <w:t xml:space="preserve">1.3) The balance between </w:t>
            </w:r>
            <w:r w:rsidRPr="00517AF7">
              <w:rPr>
                <w:rFonts w:cstheme="minorHAnsi"/>
                <w:b w:val="0"/>
                <w:i/>
                <w:iCs/>
                <w:color w:val="auto"/>
              </w:rPr>
              <w:t>supporting incumbent MPs and promoting accountability</w:t>
            </w:r>
            <w:r w:rsidRPr="00517AF7">
              <w:rPr>
                <w:rFonts w:cstheme="minorHAnsi"/>
                <w:b w:val="0"/>
                <w:iCs/>
                <w:color w:val="auto"/>
              </w:rPr>
              <w:t>:</w:t>
            </w:r>
            <w:r w:rsidRPr="00517AF7">
              <w:rPr>
                <w:rFonts w:cstheme="minorHAnsi"/>
                <w:b w:val="0"/>
                <w:color w:val="auto"/>
              </w:rPr>
              <w:t xml:space="preserve"> It appears that in </w:t>
            </w:r>
            <w:proofErr w:type="spellStart"/>
            <w:r w:rsidRPr="00517AF7">
              <w:rPr>
                <w:rFonts w:cstheme="minorHAnsi"/>
                <w:b w:val="0"/>
                <w:color w:val="auto"/>
              </w:rPr>
              <w:t>Talasea</w:t>
            </w:r>
            <w:proofErr w:type="spellEnd"/>
            <w:r w:rsidRPr="00517AF7">
              <w:rPr>
                <w:rFonts w:cstheme="minorHAnsi"/>
                <w:b w:val="0"/>
                <w:color w:val="auto"/>
              </w:rPr>
              <w:t xml:space="preserve"> work supporting the Open MP to promote his own activities has made more headway than supporting citizens to hold the MP to account.  Securing the MP’s support and buy-in is likely sensible but striking the right balance between supporting incumbents and holding them to account will need careful ongoing consideration. </w:t>
            </w:r>
          </w:p>
          <w:p w14:paraId="6E299405" w14:textId="6055AD65" w:rsidR="0073225F" w:rsidRPr="00517AF7" w:rsidRDefault="0073225F" w:rsidP="00577B13">
            <w:pPr>
              <w:spacing w:beforeLines="60" w:before="144" w:afterLines="60" w:after="144" w:line="276" w:lineRule="atLeast"/>
              <w:rPr>
                <w:rFonts w:cstheme="minorHAnsi"/>
                <w:b w:val="0"/>
                <w:color w:val="auto"/>
              </w:rPr>
            </w:pPr>
            <w:r w:rsidRPr="00517AF7">
              <w:rPr>
                <w:rFonts w:cstheme="minorHAnsi"/>
                <w:b w:val="0"/>
                <w:i/>
                <w:iCs/>
                <w:color w:val="auto"/>
              </w:rPr>
              <w:t>1.4) Breadth vs depth</w:t>
            </w:r>
            <w:r w:rsidRPr="00517AF7">
              <w:rPr>
                <w:rFonts w:cstheme="minorHAnsi"/>
                <w:b w:val="0"/>
                <w:color w:val="auto"/>
              </w:rPr>
              <w:t xml:space="preserve">:  Is there a case for working across one province, allowing for some comparisons on the performance of MPs between districts? Is it better to work in detail in a small number of further Districts, or to seek to work less intensively across a larger number?  The </w:t>
            </w:r>
            <w:proofErr w:type="spellStart"/>
            <w:r w:rsidRPr="00517AF7">
              <w:rPr>
                <w:rFonts w:cstheme="minorHAnsi"/>
                <w:b w:val="0"/>
                <w:color w:val="auto"/>
              </w:rPr>
              <w:t>Talasea</w:t>
            </w:r>
            <w:proofErr w:type="spellEnd"/>
            <w:r w:rsidRPr="00517AF7">
              <w:rPr>
                <w:rFonts w:cstheme="minorHAnsi"/>
                <w:b w:val="0"/>
                <w:color w:val="auto"/>
              </w:rPr>
              <w:t xml:space="preserve"> work benefitted from the presence of the DCP adviser who was able to facilitate the district hub’s links to the broader community.</w:t>
            </w:r>
          </w:p>
        </w:tc>
        <w:tc>
          <w:tcPr>
            <w:tcW w:w="1883" w:type="dxa"/>
            <w:shd w:val="clear" w:color="auto" w:fill="auto"/>
          </w:tcPr>
          <w:p w14:paraId="76281A65" w14:textId="7981E09E" w:rsidR="0073225F" w:rsidRPr="00517AF7" w:rsidRDefault="0073225F" w:rsidP="005C56AA">
            <w:pPr>
              <w:cnfStyle w:val="000000100000" w:firstRow="0" w:lastRow="0" w:firstColumn="0" w:lastColumn="0" w:oddVBand="0" w:evenVBand="0" w:oddHBand="1" w:evenHBand="0" w:firstRowFirstColumn="0" w:firstRowLastColumn="0" w:lastRowFirstColumn="0" w:lastRowLastColumn="0"/>
              <w:rPr>
                <w:rFonts w:cstheme="minorHAnsi"/>
              </w:rPr>
            </w:pPr>
            <w:r w:rsidRPr="00517AF7">
              <w:rPr>
                <w:rFonts w:cstheme="minorHAnsi"/>
              </w:rPr>
              <w:t xml:space="preserve">Agree </w:t>
            </w:r>
          </w:p>
          <w:p w14:paraId="31E5FA85" w14:textId="4D7FF876" w:rsidR="0073225F" w:rsidRPr="00517AF7" w:rsidRDefault="0073225F" w:rsidP="005C56AA">
            <w:pPr>
              <w:cnfStyle w:val="000000100000" w:firstRow="0" w:lastRow="0" w:firstColumn="0" w:lastColumn="0" w:oddVBand="0" w:evenVBand="0" w:oddHBand="1" w:evenHBand="0" w:firstRowFirstColumn="0" w:firstRowLastColumn="0" w:lastRowFirstColumn="0" w:lastRowLastColumn="0"/>
              <w:rPr>
                <w:rFonts w:cstheme="minorHAnsi"/>
              </w:rPr>
            </w:pPr>
          </w:p>
        </w:tc>
        <w:tc>
          <w:tcPr>
            <w:tcW w:w="6237" w:type="dxa"/>
            <w:shd w:val="clear" w:color="auto" w:fill="auto"/>
          </w:tcPr>
          <w:p w14:paraId="007DD39B" w14:textId="3B054B43" w:rsidR="0073225F" w:rsidRPr="00517AF7" w:rsidRDefault="0073225F" w:rsidP="002873E6">
            <w:pPr>
              <w:cnfStyle w:val="000000100000" w:firstRow="0" w:lastRow="0" w:firstColumn="0" w:lastColumn="0" w:oddVBand="0" w:evenVBand="0" w:oddHBand="1" w:evenHBand="0" w:firstRowFirstColumn="0" w:firstRowLastColumn="0" w:lastRowFirstColumn="0" w:lastRowLastColumn="0"/>
              <w:rPr>
                <w:rFonts w:cstheme="minorHAnsi"/>
              </w:rPr>
            </w:pPr>
            <w:r w:rsidRPr="00517AF7">
              <w:rPr>
                <w:rFonts w:cstheme="minorHAnsi"/>
              </w:rPr>
              <w:t xml:space="preserve">Agree to work at the subnational level where appropriate infrastructure and human resources are present along with supportive political leadership. This </w:t>
            </w:r>
            <w:r w:rsidR="00511CEA" w:rsidRPr="00517AF7">
              <w:rPr>
                <w:rFonts w:cstheme="minorHAnsi"/>
              </w:rPr>
              <w:t xml:space="preserve">work </w:t>
            </w:r>
            <w:r w:rsidRPr="00517AF7">
              <w:rPr>
                <w:rFonts w:cstheme="minorHAnsi"/>
              </w:rPr>
              <w:t>will focus on creating space for citizens to engage with political and civil service leaders.</w:t>
            </w:r>
          </w:p>
          <w:p w14:paraId="5EC89FB3" w14:textId="1680A65A" w:rsidR="0073225F" w:rsidRPr="00517AF7" w:rsidRDefault="0073225F" w:rsidP="00F90809">
            <w:pPr>
              <w:cnfStyle w:val="000000100000" w:firstRow="0" w:lastRow="0" w:firstColumn="0" w:lastColumn="0" w:oddVBand="0" w:evenVBand="0" w:oddHBand="1" w:evenHBand="0" w:firstRowFirstColumn="0" w:firstRowLastColumn="0" w:lastRowFirstColumn="0" w:lastRowLastColumn="0"/>
              <w:rPr>
                <w:rFonts w:cstheme="minorHAnsi"/>
              </w:rPr>
            </w:pPr>
            <w:r w:rsidRPr="00517AF7">
              <w:rPr>
                <w:rFonts w:cstheme="minorHAnsi"/>
              </w:rPr>
              <w:t xml:space="preserve">DFAT undertook a visit to </w:t>
            </w:r>
            <w:proofErr w:type="spellStart"/>
            <w:r w:rsidRPr="00517AF7">
              <w:rPr>
                <w:rFonts w:cstheme="minorHAnsi"/>
              </w:rPr>
              <w:t>Talasea</w:t>
            </w:r>
            <w:proofErr w:type="spellEnd"/>
            <w:r w:rsidRPr="00517AF7">
              <w:rPr>
                <w:rFonts w:cstheme="minorHAnsi"/>
              </w:rPr>
              <w:t xml:space="preserve"> District, West New Britain in October 2020. </w:t>
            </w:r>
            <w:r w:rsidR="00212169" w:rsidRPr="00517AF7">
              <w:rPr>
                <w:rFonts w:cstheme="minorHAnsi"/>
              </w:rPr>
              <w:t>The p</w:t>
            </w:r>
            <w:r w:rsidRPr="00517AF7">
              <w:rPr>
                <w:rFonts w:cstheme="minorHAnsi"/>
              </w:rPr>
              <w:t>urpose of the trip was to identify opportunities to create synergies with emerging subnational accountability programming for which the media could be a strong partner. Findings indicate that a strong political will, infrastructure, and trust (long-term relationship) and a functional media hub are prerequisites for such programs to be implemented in other parts of the country.</w:t>
            </w:r>
          </w:p>
        </w:tc>
        <w:tc>
          <w:tcPr>
            <w:tcW w:w="3686" w:type="dxa"/>
            <w:shd w:val="clear" w:color="auto" w:fill="auto"/>
          </w:tcPr>
          <w:p w14:paraId="51A378A2" w14:textId="51E9E8A3" w:rsidR="0073225F" w:rsidRPr="00517AF7" w:rsidRDefault="0073225F" w:rsidP="005C56AA">
            <w:pPr>
              <w:cnfStyle w:val="000000100000" w:firstRow="0" w:lastRow="0" w:firstColumn="0" w:lastColumn="0" w:oddVBand="0" w:evenVBand="0" w:oddHBand="1" w:evenHBand="0" w:firstRowFirstColumn="0" w:firstRowLastColumn="0" w:lastRowFirstColumn="0" w:lastRowLastColumn="0"/>
              <w:rPr>
                <w:rFonts w:cstheme="minorHAnsi"/>
              </w:rPr>
            </w:pPr>
            <w:r w:rsidRPr="00517AF7">
              <w:rPr>
                <w:rFonts w:cstheme="minorHAnsi"/>
              </w:rPr>
              <w:t>MDI will assess the viability of expansion to additional subnational locations and produce a report for DFAT’s consideration, aligned to DFAT’s subnational advisers.</w:t>
            </w:r>
          </w:p>
        </w:tc>
        <w:tc>
          <w:tcPr>
            <w:tcW w:w="2409" w:type="dxa"/>
            <w:shd w:val="clear" w:color="auto" w:fill="auto"/>
          </w:tcPr>
          <w:p w14:paraId="0757BA31" w14:textId="33F3290E" w:rsidR="0073225F" w:rsidRPr="00517AF7" w:rsidRDefault="0073225F" w:rsidP="005C56AA">
            <w:pPr>
              <w:cnfStyle w:val="000000100000" w:firstRow="0" w:lastRow="0" w:firstColumn="0" w:lastColumn="0" w:oddVBand="0" w:evenVBand="0" w:oddHBand="1" w:evenHBand="0" w:firstRowFirstColumn="0" w:firstRowLastColumn="0" w:lastRowFirstColumn="0" w:lastRowLastColumn="0"/>
              <w:rPr>
                <w:rFonts w:cstheme="minorHAnsi"/>
              </w:rPr>
            </w:pPr>
            <w:r w:rsidRPr="00517AF7">
              <w:rPr>
                <w:rFonts w:cstheme="minorHAnsi"/>
              </w:rPr>
              <w:t>March 20</w:t>
            </w:r>
            <w:r w:rsidR="00577B13" w:rsidRPr="00517AF7">
              <w:rPr>
                <w:rFonts w:cstheme="minorHAnsi"/>
              </w:rPr>
              <w:t>21</w:t>
            </w:r>
          </w:p>
        </w:tc>
      </w:tr>
      <w:tr w:rsidR="0025415F" w:rsidRPr="00517AF7" w14:paraId="094DBD8B" w14:textId="77777777" w:rsidTr="009D3086">
        <w:trPr>
          <w:trHeight w:val="6392"/>
        </w:trPr>
        <w:tc>
          <w:tcPr>
            <w:cnfStyle w:val="001000000000" w:firstRow="0" w:lastRow="0" w:firstColumn="1" w:lastColumn="0" w:oddVBand="0" w:evenVBand="0" w:oddHBand="0" w:evenHBand="0" w:firstRowFirstColumn="0" w:firstRowLastColumn="0" w:lastRowFirstColumn="0" w:lastRowLastColumn="0"/>
            <w:tcW w:w="6759" w:type="dxa"/>
            <w:tcBorders>
              <w:left w:val="none" w:sz="0" w:space="0" w:color="auto"/>
            </w:tcBorders>
            <w:shd w:val="clear" w:color="auto" w:fill="auto"/>
          </w:tcPr>
          <w:p w14:paraId="6089FFF9" w14:textId="77777777" w:rsidR="0025415F" w:rsidRPr="00517AF7" w:rsidRDefault="0025415F" w:rsidP="00A518BC">
            <w:pPr>
              <w:rPr>
                <w:rFonts w:cstheme="minorHAnsi"/>
                <w:color w:val="auto"/>
              </w:rPr>
            </w:pPr>
            <w:r w:rsidRPr="00517AF7">
              <w:rPr>
                <w:rFonts w:cstheme="minorHAnsi"/>
                <w:color w:val="auto"/>
              </w:rPr>
              <w:lastRenderedPageBreak/>
              <w:t>2) 2022 Election – initial focus on voice, followed by pre-and post- election focus on accountability.</w:t>
            </w:r>
          </w:p>
          <w:p w14:paraId="292DCC8C" w14:textId="77777777" w:rsidR="0025415F" w:rsidRPr="00517AF7" w:rsidRDefault="0025415F" w:rsidP="0025415F">
            <w:pPr>
              <w:rPr>
                <w:rFonts w:cstheme="minorHAnsi"/>
                <w:b w:val="0"/>
                <w:color w:val="auto"/>
              </w:rPr>
            </w:pPr>
            <w:r w:rsidRPr="00517AF7">
              <w:rPr>
                <w:rFonts w:cstheme="minorHAnsi"/>
                <w:b w:val="0"/>
                <w:color w:val="auto"/>
              </w:rPr>
              <w:t xml:space="preserve">How can MDI use the media in the run up to the election in a way which goes with the grain of the </w:t>
            </w:r>
            <w:proofErr w:type="spellStart"/>
            <w:r w:rsidRPr="00517AF7">
              <w:rPr>
                <w:rFonts w:cstheme="minorHAnsi"/>
                <w:b w:val="0"/>
                <w:color w:val="auto"/>
              </w:rPr>
              <w:t>wantok</w:t>
            </w:r>
            <w:proofErr w:type="spellEnd"/>
            <w:r w:rsidRPr="00517AF7">
              <w:rPr>
                <w:rFonts w:cstheme="minorHAnsi"/>
                <w:b w:val="0"/>
                <w:color w:val="auto"/>
              </w:rPr>
              <w:t xml:space="preserve"> relationships, but starts to make MP accountability more linked to the delivery of substantive benefits for communities (as opposed to cash or some other form of short-term vote buying)?  </w:t>
            </w:r>
          </w:p>
          <w:p w14:paraId="0CE8CBB4" w14:textId="77777777" w:rsidR="009C1817" w:rsidRDefault="009C1817" w:rsidP="0025415F">
            <w:pPr>
              <w:rPr>
                <w:rFonts w:cstheme="minorHAnsi"/>
                <w:bCs w:val="0"/>
                <w:color w:val="auto"/>
              </w:rPr>
            </w:pPr>
          </w:p>
          <w:p w14:paraId="3725399E" w14:textId="55252427" w:rsidR="0025415F" w:rsidRPr="00517AF7" w:rsidRDefault="0025415F" w:rsidP="0025415F">
            <w:pPr>
              <w:rPr>
                <w:rFonts w:cstheme="minorHAnsi"/>
                <w:bCs w:val="0"/>
              </w:rPr>
            </w:pPr>
            <w:r w:rsidRPr="00517AF7">
              <w:rPr>
                <w:rFonts w:cstheme="minorHAnsi"/>
                <w:b w:val="0"/>
                <w:color w:val="auto"/>
              </w:rPr>
              <w:t>2.1) The media could be used to provide clear information on candidates, including potential funding relationships.</w:t>
            </w:r>
          </w:p>
          <w:p w14:paraId="2343520B" w14:textId="77777777" w:rsidR="0025415F" w:rsidRPr="00517AF7" w:rsidRDefault="0025415F" w:rsidP="0025415F">
            <w:pPr>
              <w:rPr>
                <w:rFonts w:cstheme="minorHAnsi"/>
                <w:b w:val="0"/>
              </w:rPr>
            </w:pPr>
          </w:p>
          <w:p w14:paraId="08FCD901" w14:textId="77777777" w:rsidR="0025415F" w:rsidRPr="00517AF7" w:rsidRDefault="0025415F" w:rsidP="0025415F">
            <w:pPr>
              <w:rPr>
                <w:rFonts w:cstheme="minorHAnsi"/>
                <w:b w:val="0"/>
                <w:color w:val="auto"/>
              </w:rPr>
            </w:pPr>
            <w:r w:rsidRPr="00517AF7">
              <w:rPr>
                <w:rFonts w:cstheme="minorHAnsi"/>
                <w:b w:val="0"/>
                <w:color w:val="auto"/>
              </w:rPr>
              <w:t>2.2) The media could be used to articulate the main local concerns during the campaign: for example, develop a focus on local issues, which motivate communities. A media focus on a small number of salient issues in the pre-election period (which may extract commitments from candidates) would then provide the basis of post-election accountability work.  This could be a far more effective approach than the broad and unfocused use of promise trackers.</w:t>
            </w:r>
          </w:p>
          <w:p w14:paraId="671DAE8A" w14:textId="77777777" w:rsidR="0025415F" w:rsidRPr="00517AF7" w:rsidRDefault="0025415F" w:rsidP="0025415F">
            <w:pPr>
              <w:spacing w:beforeLines="60" w:before="144" w:afterLines="60" w:after="144" w:line="276" w:lineRule="atLeast"/>
              <w:rPr>
                <w:rFonts w:cstheme="minorHAnsi"/>
                <w:b w:val="0"/>
                <w:color w:val="auto"/>
              </w:rPr>
            </w:pPr>
            <w:r w:rsidRPr="00517AF7">
              <w:rPr>
                <w:rFonts w:cstheme="minorHAnsi"/>
                <w:b w:val="0"/>
                <w:color w:val="auto"/>
              </w:rPr>
              <w:t xml:space="preserve">2.3) MDI could also seek to sequence activities over the coming few years and use the period over 2020/21 to focus on building up capacity for citizen voice in preparation for a focus on accountability in the more immediate run-up to the election 2022. </w:t>
            </w:r>
          </w:p>
          <w:p w14:paraId="55533885" w14:textId="6F441E17" w:rsidR="0025415F" w:rsidRPr="00517AF7" w:rsidRDefault="0025415F" w:rsidP="0025415F">
            <w:pPr>
              <w:rPr>
                <w:rFonts w:cstheme="minorHAnsi"/>
                <w:bCs w:val="0"/>
              </w:rPr>
            </w:pPr>
          </w:p>
        </w:tc>
        <w:tc>
          <w:tcPr>
            <w:tcW w:w="1883" w:type="dxa"/>
            <w:shd w:val="clear" w:color="auto" w:fill="auto"/>
          </w:tcPr>
          <w:p w14:paraId="6AE55214" w14:textId="77777777" w:rsidR="0025415F" w:rsidRPr="00517AF7" w:rsidRDefault="0025415F" w:rsidP="00A518BC">
            <w:pPr>
              <w:spacing w:beforeLines="60" w:before="144" w:afterLines="60" w:after="144" w:line="276" w:lineRule="atLeast"/>
              <w:cnfStyle w:val="000000000000" w:firstRow="0" w:lastRow="0" w:firstColumn="0" w:lastColumn="0" w:oddVBand="0" w:evenVBand="0" w:oddHBand="0" w:evenHBand="0" w:firstRowFirstColumn="0" w:firstRowLastColumn="0" w:lastRowFirstColumn="0" w:lastRowLastColumn="0"/>
              <w:rPr>
                <w:rFonts w:cstheme="minorHAnsi"/>
              </w:rPr>
            </w:pPr>
            <w:r w:rsidRPr="00517AF7">
              <w:rPr>
                <w:rFonts w:cstheme="minorHAnsi"/>
              </w:rPr>
              <w:t>Agree</w:t>
            </w:r>
          </w:p>
          <w:p w14:paraId="37B6657B" w14:textId="77777777" w:rsidR="0025415F" w:rsidRPr="00517AF7" w:rsidRDefault="0025415F" w:rsidP="00A518BC">
            <w:pPr>
              <w:spacing w:beforeLines="60" w:before="144" w:afterLines="60" w:after="144" w:line="276" w:lineRule="atLeas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p w14:paraId="5C5BD6B2" w14:textId="77777777" w:rsidR="0025415F" w:rsidRPr="00517AF7" w:rsidRDefault="0025415F" w:rsidP="00A518BC">
            <w:pPr>
              <w:spacing w:beforeLines="60" w:before="144" w:afterLines="60" w:after="144" w:line="276" w:lineRule="atLeas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p w14:paraId="5230D242" w14:textId="77777777" w:rsidR="0025415F" w:rsidRPr="00517AF7" w:rsidRDefault="0025415F" w:rsidP="00A518BC">
            <w:pPr>
              <w:spacing w:beforeLines="60" w:before="144" w:afterLines="60" w:after="144" w:line="276" w:lineRule="atLeas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p w14:paraId="1482671A" w14:textId="77777777" w:rsidR="0025415F" w:rsidRPr="00517AF7" w:rsidRDefault="0025415F" w:rsidP="00A518BC">
            <w:pPr>
              <w:spacing w:beforeLines="60" w:before="144" w:afterLines="60" w:after="144" w:line="276" w:lineRule="atLeas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p w14:paraId="1ED0D672" w14:textId="77777777" w:rsidR="0025415F" w:rsidRPr="00517AF7" w:rsidRDefault="0025415F" w:rsidP="00A518BC">
            <w:pPr>
              <w:spacing w:beforeLines="60" w:before="144" w:afterLines="60" w:after="144" w:line="276" w:lineRule="atLeas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p w14:paraId="6C6CD610" w14:textId="77777777" w:rsidR="0025415F" w:rsidRPr="00517AF7" w:rsidRDefault="0025415F" w:rsidP="00A518BC">
            <w:pPr>
              <w:spacing w:beforeLines="60" w:before="144" w:afterLines="60" w:after="144" w:line="276" w:lineRule="atLeas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p w14:paraId="5E527E2A" w14:textId="77777777" w:rsidR="0025415F" w:rsidRPr="00517AF7" w:rsidRDefault="0025415F" w:rsidP="00A518BC">
            <w:pPr>
              <w:spacing w:beforeLines="60" w:before="144" w:afterLines="60" w:after="144" w:line="276" w:lineRule="atLeas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p w14:paraId="4216FB31" w14:textId="77777777" w:rsidR="0025415F" w:rsidRPr="00517AF7" w:rsidRDefault="0025415F" w:rsidP="00A518BC">
            <w:pPr>
              <w:spacing w:beforeLines="60" w:before="144" w:afterLines="60" w:after="144" w:line="276" w:lineRule="atLeas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p w14:paraId="10942B55" w14:textId="77777777" w:rsidR="0025415F" w:rsidRPr="00517AF7" w:rsidRDefault="0025415F" w:rsidP="00A518BC">
            <w:pPr>
              <w:spacing w:beforeLines="60" w:before="144" w:afterLines="60" w:after="144" w:line="276" w:lineRule="atLeas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p w14:paraId="37438546" w14:textId="77777777" w:rsidR="0025415F" w:rsidRPr="00517AF7" w:rsidRDefault="0025415F" w:rsidP="00A518BC">
            <w:pPr>
              <w:spacing w:beforeLines="60" w:before="144" w:afterLines="60" w:after="144" w:line="276" w:lineRule="atLeas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p w14:paraId="6162943A" w14:textId="77777777" w:rsidR="0025415F" w:rsidRPr="00517AF7" w:rsidRDefault="0025415F" w:rsidP="00A518BC">
            <w:pPr>
              <w:spacing w:beforeLines="60" w:before="144" w:afterLines="60" w:after="144" w:line="276" w:lineRule="atLeas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p w14:paraId="5344F779" w14:textId="77777777" w:rsidR="0025415F" w:rsidRPr="00517AF7" w:rsidRDefault="0025415F" w:rsidP="00A518BC">
            <w:pPr>
              <w:spacing w:beforeLines="60" w:before="144" w:afterLines="60" w:after="144" w:line="276" w:lineRule="atLeas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p w14:paraId="6E79DE1C" w14:textId="1DDD7101" w:rsidR="0025415F" w:rsidRPr="00517AF7" w:rsidRDefault="0025415F" w:rsidP="00A518BC">
            <w:pPr>
              <w:spacing w:beforeLines="60" w:before="144" w:afterLines="60" w:after="144" w:line="276" w:lineRule="atLeas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tc>
        <w:tc>
          <w:tcPr>
            <w:tcW w:w="6237" w:type="dxa"/>
            <w:shd w:val="clear" w:color="auto" w:fill="auto"/>
          </w:tcPr>
          <w:p w14:paraId="6253D97E" w14:textId="18EB32AD" w:rsidR="0025415F" w:rsidRPr="00517AF7" w:rsidRDefault="0025415F" w:rsidP="00A518BC">
            <w:pPr>
              <w:cnfStyle w:val="000000000000" w:firstRow="0" w:lastRow="0" w:firstColumn="0" w:lastColumn="0" w:oddVBand="0" w:evenVBand="0" w:oddHBand="0" w:evenHBand="0" w:firstRowFirstColumn="0" w:firstRowLastColumn="0" w:lastRowFirstColumn="0" w:lastRowLastColumn="0"/>
              <w:rPr>
                <w:rFonts w:cstheme="minorHAnsi"/>
              </w:rPr>
            </w:pPr>
          </w:p>
          <w:p w14:paraId="4D1CF379" w14:textId="77777777" w:rsidR="0025415F" w:rsidRPr="00517AF7" w:rsidRDefault="0025415F" w:rsidP="00A518BC">
            <w:pPr>
              <w:cnfStyle w:val="000000000000" w:firstRow="0" w:lastRow="0" w:firstColumn="0" w:lastColumn="0" w:oddVBand="0" w:evenVBand="0" w:oddHBand="0" w:evenHBand="0" w:firstRowFirstColumn="0" w:firstRowLastColumn="0" w:lastRowFirstColumn="0" w:lastRowLastColumn="0"/>
              <w:rPr>
                <w:rFonts w:cstheme="minorHAnsi"/>
              </w:rPr>
            </w:pPr>
            <w:r w:rsidRPr="00517AF7">
              <w:rPr>
                <w:rFonts w:cstheme="minorHAnsi"/>
              </w:rPr>
              <w:t xml:space="preserve">MDI had previous experience in the area of content and awareness and can play a role in electoral and civic education. In terms of the accountability aspects, the citizen perception survey will be applicable. The proposed activity will have to be implemented in close partnership with relevant stakeholders (PNG Electoral Commission, </w:t>
            </w:r>
            <w:r w:rsidRPr="00517AF7">
              <w:rPr>
                <w:rFonts w:eastAsia="Times New Roman" w:cstheme="minorHAnsi"/>
                <w:color w:val="000000"/>
                <w:lang w:eastAsia="en-AU"/>
              </w:rPr>
              <w:t>Australian Electoral Commission (AES)</w:t>
            </w:r>
            <w:r w:rsidRPr="00517AF7">
              <w:rPr>
                <w:rFonts w:cstheme="minorHAnsi"/>
              </w:rPr>
              <w:t>, and International Foundation for Electoral System (IFES) etc.)</w:t>
            </w:r>
          </w:p>
          <w:p w14:paraId="45F8C77B" w14:textId="77777777" w:rsidR="00147648" w:rsidRPr="00517AF7" w:rsidRDefault="00147648" w:rsidP="00A518BC">
            <w:pPr>
              <w:cnfStyle w:val="000000000000" w:firstRow="0" w:lastRow="0" w:firstColumn="0" w:lastColumn="0" w:oddVBand="0" w:evenVBand="0" w:oddHBand="0" w:evenHBand="0" w:firstRowFirstColumn="0" w:firstRowLastColumn="0" w:lastRowFirstColumn="0" w:lastRowLastColumn="0"/>
              <w:rPr>
                <w:rFonts w:cstheme="minorHAnsi"/>
                <w:b/>
                <w:bCs/>
              </w:rPr>
            </w:pPr>
          </w:p>
          <w:p w14:paraId="2EAF6A61" w14:textId="77777777" w:rsidR="00147648" w:rsidRPr="00517AF7" w:rsidRDefault="00147648" w:rsidP="00A518BC">
            <w:pPr>
              <w:cnfStyle w:val="000000000000" w:firstRow="0" w:lastRow="0" w:firstColumn="0" w:lastColumn="0" w:oddVBand="0" w:evenVBand="0" w:oddHBand="0" w:evenHBand="0" w:firstRowFirstColumn="0" w:firstRowLastColumn="0" w:lastRowFirstColumn="0" w:lastRowLastColumn="0"/>
              <w:rPr>
                <w:rFonts w:cstheme="minorHAnsi"/>
                <w:b/>
                <w:bCs/>
              </w:rPr>
            </w:pPr>
          </w:p>
          <w:p w14:paraId="40EDE1C0" w14:textId="77777777" w:rsidR="00147648" w:rsidRPr="00517AF7" w:rsidRDefault="00147648" w:rsidP="00A518BC">
            <w:pPr>
              <w:cnfStyle w:val="000000000000" w:firstRow="0" w:lastRow="0" w:firstColumn="0" w:lastColumn="0" w:oddVBand="0" w:evenVBand="0" w:oddHBand="0" w:evenHBand="0" w:firstRowFirstColumn="0" w:firstRowLastColumn="0" w:lastRowFirstColumn="0" w:lastRowLastColumn="0"/>
              <w:rPr>
                <w:rFonts w:cstheme="minorHAnsi"/>
                <w:b/>
                <w:bCs/>
              </w:rPr>
            </w:pPr>
          </w:p>
          <w:p w14:paraId="38B971EE" w14:textId="1A90D2A6" w:rsidR="00147648" w:rsidRPr="00517AF7" w:rsidRDefault="00147648" w:rsidP="00A518BC">
            <w:pP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p>
        </w:tc>
        <w:tc>
          <w:tcPr>
            <w:tcW w:w="3686" w:type="dxa"/>
            <w:shd w:val="clear" w:color="auto" w:fill="auto"/>
          </w:tcPr>
          <w:p w14:paraId="2DCB04F5" w14:textId="77777777" w:rsidR="0025415F" w:rsidRPr="00517AF7" w:rsidRDefault="0025415F" w:rsidP="00A518BC">
            <w:pPr>
              <w:cnfStyle w:val="000000000000" w:firstRow="0" w:lastRow="0" w:firstColumn="0" w:lastColumn="0" w:oddVBand="0" w:evenVBand="0" w:oddHBand="0" w:evenHBand="0" w:firstRowFirstColumn="0" w:firstRowLastColumn="0" w:lastRowFirstColumn="0" w:lastRowLastColumn="0"/>
              <w:rPr>
                <w:rFonts w:cstheme="minorHAnsi"/>
              </w:rPr>
            </w:pPr>
          </w:p>
          <w:p w14:paraId="1F0DD55D" w14:textId="77777777" w:rsidR="0025415F" w:rsidRPr="00517AF7" w:rsidRDefault="0025415F" w:rsidP="0025415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517AF7">
              <w:rPr>
                <w:rFonts w:eastAsia="Times New Roman" w:cstheme="minorHAnsi"/>
                <w:color w:val="000000"/>
                <w:lang w:eastAsia="en-AU"/>
              </w:rPr>
              <w:t>Consultations with relevant stakeholders will lead to an action plan for DFAT’s consideration.</w:t>
            </w:r>
          </w:p>
          <w:p w14:paraId="3259C3CE" w14:textId="596A02B3" w:rsidR="0025415F" w:rsidRPr="00517AF7" w:rsidRDefault="0025415F" w:rsidP="00A518BC">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en-AU"/>
              </w:rPr>
            </w:pPr>
          </w:p>
        </w:tc>
        <w:tc>
          <w:tcPr>
            <w:tcW w:w="2409" w:type="dxa"/>
            <w:shd w:val="clear" w:color="auto" w:fill="auto"/>
          </w:tcPr>
          <w:p w14:paraId="68F49039" w14:textId="1BA12ECB" w:rsidR="0025415F" w:rsidRPr="00517AF7" w:rsidRDefault="0025415F" w:rsidP="00A518BC">
            <w:pPr>
              <w:cnfStyle w:val="000000000000" w:firstRow="0" w:lastRow="0" w:firstColumn="0" w:lastColumn="0" w:oddVBand="0" w:evenVBand="0" w:oddHBand="0" w:evenHBand="0" w:firstRowFirstColumn="0" w:firstRowLastColumn="0" w:lastRowFirstColumn="0" w:lastRowLastColumn="0"/>
              <w:rPr>
                <w:rFonts w:cstheme="minorHAnsi"/>
              </w:rPr>
            </w:pPr>
            <w:r w:rsidRPr="00517AF7">
              <w:rPr>
                <w:rFonts w:cstheme="minorHAnsi"/>
              </w:rPr>
              <w:t>Feb 2021</w:t>
            </w:r>
          </w:p>
        </w:tc>
      </w:tr>
      <w:tr w:rsidR="0073225F" w:rsidRPr="00517AF7" w14:paraId="77B5175F" w14:textId="77777777" w:rsidTr="009D3086">
        <w:trPr>
          <w:cnfStyle w:val="000000100000" w:firstRow="0" w:lastRow="0" w:firstColumn="0" w:lastColumn="0" w:oddVBand="0" w:evenVBand="0" w:oddHBand="1" w:evenHBand="0" w:firstRowFirstColumn="0" w:firstRowLastColumn="0" w:lastRowFirstColumn="0" w:lastRowLastColumn="0"/>
          <w:trHeight w:val="2880"/>
        </w:trPr>
        <w:tc>
          <w:tcPr>
            <w:cnfStyle w:val="001000000000" w:firstRow="0" w:lastRow="0" w:firstColumn="1" w:lastColumn="0" w:oddVBand="0" w:evenVBand="0" w:oddHBand="0" w:evenHBand="0" w:firstRowFirstColumn="0" w:firstRowLastColumn="0" w:lastRowFirstColumn="0" w:lastRowLastColumn="0"/>
            <w:tcW w:w="6759" w:type="dxa"/>
            <w:tcBorders>
              <w:left w:val="none" w:sz="0" w:space="0" w:color="auto"/>
            </w:tcBorders>
            <w:shd w:val="clear" w:color="auto" w:fill="auto"/>
          </w:tcPr>
          <w:p w14:paraId="21E66A2B" w14:textId="7821A02E" w:rsidR="0073225F" w:rsidRPr="00517AF7" w:rsidRDefault="0073225F" w:rsidP="00A518BC">
            <w:pPr>
              <w:rPr>
                <w:rFonts w:cstheme="minorHAnsi"/>
                <w:color w:val="auto"/>
              </w:rPr>
            </w:pPr>
            <w:r w:rsidRPr="00517AF7">
              <w:rPr>
                <w:rFonts w:cstheme="minorHAnsi"/>
                <w:color w:val="auto"/>
              </w:rPr>
              <w:t>3) New partnership with the churches.</w:t>
            </w:r>
          </w:p>
          <w:p w14:paraId="64420E0E" w14:textId="31921268" w:rsidR="0073225F" w:rsidRPr="00517AF7" w:rsidRDefault="0073225F" w:rsidP="00A518BC">
            <w:pPr>
              <w:rPr>
                <w:rFonts w:cstheme="minorHAnsi"/>
                <w:b w:val="0"/>
                <w:color w:val="auto"/>
              </w:rPr>
            </w:pPr>
            <w:r w:rsidRPr="00517AF7">
              <w:rPr>
                <w:rFonts w:cstheme="minorHAnsi"/>
                <w:b w:val="0"/>
                <w:color w:val="auto"/>
              </w:rPr>
              <w:t>One option would be to focus on partnering with the church because of their current and potential media platform – so could MDI work with the churches as they expand their own media radio services? This may expand public access to trusted sources of information.</w:t>
            </w:r>
          </w:p>
          <w:p w14:paraId="3F0D51B5" w14:textId="6B3B5194" w:rsidR="0073225F" w:rsidRPr="00517AF7" w:rsidRDefault="0073225F" w:rsidP="00A518BC">
            <w:pPr>
              <w:rPr>
                <w:rFonts w:cstheme="minorHAnsi"/>
                <w:b w:val="0"/>
                <w:color w:val="auto"/>
              </w:rPr>
            </w:pPr>
            <w:r w:rsidRPr="00517AF7">
              <w:rPr>
                <w:rFonts w:cstheme="minorHAnsi"/>
                <w:b w:val="0"/>
                <w:color w:val="auto"/>
              </w:rPr>
              <w:t>Another option would be to focus on partnering with the churches as potential influential advocates for change – who decision makers may listen to.  In</w:t>
            </w:r>
            <w:r w:rsidR="00511CEA" w:rsidRPr="00517AF7">
              <w:rPr>
                <w:rFonts w:cstheme="minorHAnsi"/>
                <w:b w:val="0"/>
                <w:color w:val="auto"/>
              </w:rPr>
              <w:t>fluential church figures could, for</w:t>
            </w:r>
            <w:r w:rsidRPr="00517AF7">
              <w:rPr>
                <w:rFonts w:cstheme="minorHAnsi"/>
                <w:b w:val="0"/>
                <w:color w:val="auto"/>
              </w:rPr>
              <w:t xml:space="preserve"> example, be linked to a strand of MDI work focused on particular “issues”. </w:t>
            </w:r>
          </w:p>
        </w:tc>
        <w:tc>
          <w:tcPr>
            <w:tcW w:w="1883" w:type="dxa"/>
            <w:shd w:val="clear" w:color="auto" w:fill="auto"/>
          </w:tcPr>
          <w:p w14:paraId="1885B42C" w14:textId="2AEAACA9" w:rsidR="0073225F" w:rsidRPr="00517AF7" w:rsidRDefault="0073225F" w:rsidP="00A518BC">
            <w:pPr>
              <w:cnfStyle w:val="000000100000" w:firstRow="0" w:lastRow="0" w:firstColumn="0" w:lastColumn="0" w:oddVBand="0" w:evenVBand="0" w:oddHBand="1" w:evenHBand="0" w:firstRowFirstColumn="0" w:firstRowLastColumn="0" w:lastRowFirstColumn="0" w:lastRowLastColumn="0"/>
              <w:rPr>
                <w:rFonts w:cstheme="minorHAnsi"/>
              </w:rPr>
            </w:pPr>
            <w:r w:rsidRPr="00517AF7">
              <w:rPr>
                <w:rFonts w:cstheme="minorHAnsi"/>
              </w:rPr>
              <w:t xml:space="preserve">Agree </w:t>
            </w:r>
          </w:p>
        </w:tc>
        <w:tc>
          <w:tcPr>
            <w:tcW w:w="6237" w:type="dxa"/>
            <w:shd w:val="clear" w:color="auto" w:fill="auto"/>
          </w:tcPr>
          <w:p w14:paraId="5C5DCC75" w14:textId="1A4C1653" w:rsidR="0073225F" w:rsidRPr="00517AF7" w:rsidRDefault="0073225F" w:rsidP="00A518BC">
            <w:pPr>
              <w:cnfStyle w:val="000000100000" w:firstRow="0" w:lastRow="0" w:firstColumn="0" w:lastColumn="0" w:oddVBand="0" w:evenVBand="0" w:oddHBand="1" w:evenHBand="0" w:firstRowFirstColumn="0" w:firstRowLastColumn="0" w:lastRowFirstColumn="0" w:lastRowLastColumn="0"/>
              <w:rPr>
                <w:rFonts w:cstheme="minorHAnsi"/>
              </w:rPr>
            </w:pPr>
            <w:r w:rsidRPr="00517AF7">
              <w:rPr>
                <w:rFonts w:cstheme="minorHAnsi"/>
              </w:rPr>
              <w:t xml:space="preserve">MDI’s current work plan on Covid-19 includes collaboration with churches on awareness and messaging on COVID-19. </w:t>
            </w:r>
          </w:p>
        </w:tc>
        <w:tc>
          <w:tcPr>
            <w:tcW w:w="3686" w:type="dxa"/>
            <w:shd w:val="clear" w:color="auto" w:fill="auto"/>
          </w:tcPr>
          <w:p w14:paraId="1579817E" w14:textId="74012E70" w:rsidR="0073225F" w:rsidRPr="00517AF7" w:rsidRDefault="0073225F" w:rsidP="00A518BC">
            <w:pPr>
              <w:cnfStyle w:val="000000100000" w:firstRow="0" w:lastRow="0" w:firstColumn="0" w:lastColumn="0" w:oddVBand="0" w:evenVBand="0" w:oddHBand="1" w:evenHBand="0" w:firstRowFirstColumn="0" w:firstRowLastColumn="0" w:lastRowFirstColumn="0" w:lastRowLastColumn="0"/>
              <w:rPr>
                <w:rFonts w:cstheme="minorHAnsi"/>
              </w:rPr>
            </w:pPr>
            <w:r w:rsidRPr="00517AF7">
              <w:rPr>
                <w:rFonts w:cstheme="minorHAnsi"/>
              </w:rPr>
              <w:t>MDI to engage with the media arms of the seven mainline churches, explore options for joint work and provide an options paper for DFAT’s consideration.</w:t>
            </w:r>
          </w:p>
        </w:tc>
        <w:tc>
          <w:tcPr>
            <w:tcW w:w="2409" w:type="dxa"/>
            <w:shd w:val="clear" w:color="auto" w:fill="auto"/>
          </w:tcPr>
          <w:p w14:paraId="71698235" w14:textId="0AB30FC4" w:rsidR="0073225F" w:rsidRPr="00517AF7" w:rsidRDefault="0073225F" w:rsidP="00A518BC">
            <w:pPr>
              <w:cnfStyle w:val="000000100000" w:firstRow="0" w:lastRow="0" w:firstColumn="0" w:lastColumn="0" w:oddVBand="0" w:evenVBand="0" w:oddHBand="1" w:evenHBand="0" w:firstRowFirstColumn="0" w:firstRowLastColumn="0" w:lastRowFirstColumn="0" w:lastRowLastColumn="0"/>
              <w:rPr>
                <w:rFonts w:cstheme="minorHAnsi"/>
              </w:rPr>
            </w:pPr>
            <w:r w:rsidRPr="00517AF7">
              <w:rPr>
                <w:rFonts w:cstheme="minorHAnsi"/>
              </w:rPr>
              <w:t xml:space="preserve"> June 2021</w:t>
            </w:r>
          </w:p>
        </w:tc>
      </w:tr>
      <w:tr w:rsidR="00350BEC" w:rsidRPr="00517AF7" w14:paraId="1E5BA2C9" w14:textId="77777777" w:rsidTr="009D3086">
        <w:trPr>
          <w:trHeight w:val="4587"/>
        </w:trPr>
        <w:tc>
          <w:tcPr>
            <w:cnfStyle w:val="001000000000" w:firstRow="0" w:lastRow="0" w:firstColumn="1" w:lastColumn="0" w:oddVBand="0" w:evenVBand="0" w:oddHBand="0" w:evenHBand="0" w:firstRowFirstColumn="0" w:firstRowLastColumn="0" w:lastRowFirstColumn="0" w:lastRowLastColumn="0"/>
            <w:tcW w:w="6759" w:type="dxa"/>
            <w:tcBorders>
              <w:left w:val="none" w:sz="0" w:space="0" w:color="auto"/>
            </w:tcBorders>
            <w:shd w:val="clear" w:color="auto" w:fill="auto"/>
          </w:tcPr>
          <w:p w14:paraId="30C03F94" w14:textId="77777777" w:rsidR="00350BEC" w:rsidRPr="00517AF7" w:rsidRDefault="00350BEC" w:rsidP="00A518BC">
            <w:pPr>
              <w:rPr>
                <w:rFonts w:cstheme="minorHAnsi"/>
                <w:color w:val="auto"/>
              </w:rPr>
            </w:pPr>
            <w:r w:rsidRPr="00517AF7">
              <w:rPr>
                <w:rFonts w:cstheme="minorHAnsi"/>
                <w:color w:val="auto"/>
              </w:rPr>
              <w:lastRenderedPageBreak/>
              <w:t>4) Increasing national decision maker responsiveness –an “issue based” approach.</w:t>
            </w:r>
          </w:p>
          <w:p w14:paraId="31CA845C" w14:textId="77777777" w:rsidR="00350BEC" w:rsidRPr="00517AF7" w:rsidRDefault="00350BEC" w:rsidP="00A518BC">
            <w:pPr>
              <w:rPr>
                <w:rFonts w:cstheme="minorHAnsi"/>
                <w:bCs w:val="0"/>
              </w:rPr>
            </w:pPr>
            <w:r w:rsidRPr="00517AF7">
              <w:rPr>
                <w:rFonts w:cstheme="minorHAnsi"/>
                <w:b w:val="0"/>
                <w:color w:val="auto"/>
              </w:rPr>
              <w:t xml:space="preserve">In contrast to programming that focuses largely on organisational capacity building, an issue-based approach starts from a consideration of which issues have the potential for change. It is possible to achieve </w:t>
            </w:r>
            <w:r w:rsidRPr="00517AF7">
              <w:rPr>
                <w:rFonts w:cstheme="minorHAnsi"/>
                <w:b w:val="0"/>
                <w:i/>
                <w:iCs/>
                <w:color w:val="auto"/>
              </w:rPr>
              <w:t>more meaningful</w:t>
            </w:r>
            <w:r w:rsidRPr="00517AF7">
              <w:rPr>
                <w:rFonts w:cstheme="minorHAnsi"/>
                <w:b w:val="0"/>
                <w:color w:val="auto"/>
              </w:rPr>
              <w:t xml:space="preserve"> </w:t>
            </w:r>
            <w:r w:rsidRPr="00517AF7">
              <w:rPr>
                <w:rFonts w:cstheme="minorHAnsi"/>
                <w:b w:val="0"/>
                <w:i/>
                <w:iCs/>
                <w:color w:val="auto"/>
              </w:rPr>
              <w:t xml:space="preserve">capacity building </w:t>
            </w:r>
            <w:r w:rsidRPr="00517AF7">
              <w:rPr>
                <w:rFonts w:cstheme="minorHAnsi"/>
                <w:b w:val="0"/>
                <w:color w:val="auto"/>
              </w:rPr>
              <w:t>by adopting a learning through doing approach rather than a more traditional workshop and training-based model.   Issue-based programming requires partnerships with a wider range of partners, beyond the media.</w:t>
            </w:r>
          </w:p>
          <w:p w14:paraId="7FE75172" w14:textId="7113EE43" w:rsidR="00350BEC" w:rsidRPr="00517AF7" w:rsidRDefault="00350BEC" w:rsidP="00A518BC">
            <w:pPr>
              <w:rPr>
                <w:rFonts w:cstheme="minorHAnsi"/>
              </w:rPr>
            </w:pPr>
          </w:p>
          <w:p w14:paraId="24A86F03" w14:textId="46E1FD96" w:rsidR="00350BEC" w:rsidRPr="00517AF7" w:rsidRDefault="00350BEC" w:rsidP="00A518BC">
            <w:pPr>
              <w:rPr>
                <w:rFonts w:cstheme="minorHAnsi"/>
              </w:rPr>
            </w:pPr>
            <w:r w:rsidRPr="00517AF7">
              <w:rPr>
                <w:rFonts w:cstheme="minorHAnsi"/>
                <w:b w:val="0"/>
                <w:color w:val="auto"/>
              </w:rPr>
              <w:t>Having selected the issue, the mix of tactics and activities adopted to influence policy makers would vary.  In some cases, public advocacy using the media would be important.  It might be, for example, that a social media campaign was deemed to have the right potential pressure decision makers. In other cases, achieving change may require a mix of public advocacy and more private or informal forms of policy influencing</w:t>
            </w:r>
            <w:r w:rsidR="00C40D52" w:rsidRPr="00517AF7">
              <w:rPr>
                <w:rFonts w:cstheme="minorHAnsi"/>
                <w:b w:val="0"/>
                <w:color w:val="000000" w:themeColor="text1"/>
              </w:rPr>
              <w:t>.</w:t>
            </w:r>
            <w:r w:rsidRPr="00517AF7">
              <w:rPr>
                <w:rFonts w:cstheme="minorHAnsi"/>
                <w:b w:val="0"/>
                <w:color w:val="000000" w:themeColor="text1"/>
              </w:rPr>
              <w:t xml:space="preserve">  </w:t>
            </w:r>
          </w:p>
          <w:p w14:paraId="57632E77" w14:textId="12FA70C3" w:rsidR="00350BEC" w:rsidRPr="00517AF7" w:rsidRDefault="00350BEC" w:rsidP="00A518BC">
            <w:pPr>
              <w:rPr>
                <w:rFonts w:cstheme="minorHAnsi"/>
              </w:rPr>
            </w:pPr>
          </w:p>
          <w:p w14:paraId="73F5BF3C" w14:textId="393C2C10" w:rsidR="00350BEC" w:rsidRPr="00517AF7" w:rsidRDefault="00350BEC" w:rsidP="00A518BC">
            <w:pPr>
              <w:rPr>
                <w:rFonts w:cstheme="minorHAnsi"/>
                <w:bCs w:val="0"/>
              </w:rPr>
            </w:pPr>
          </w:p>
        </w:tc>
        <w:tc>
          <w:tcPr>
            <w:tcW w:w="1883" w:type="dxa"/>
            <w:shd w:val="clear" w:color="auto" w:fill="auto"/>
          </w:tcPr>
          <w:p w14:paraId="30DFB70F" w14:textId="03D37B5F" w:rsidR="00350BEC" w:rsidRPr="00517AF7" w:rsidRDefault="00B83B08" w:rsidP="00A518BC">
            <w:pPr>
              <w:spacing w:before="144" w:after="144"/>
              <w:jc w:val="both"/>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A</w:t>
            </w:r>
            <w:r w:rsidR="00350BEC" w:rsidRPr="00517AF7">
              <w:rPr>
                <w:rFonts w:cstheme="minorHAnsi"/>
                <w:bCs/>
              </w:rPr>
              <w:t>gree</w:t>
            </w:r>
            <w:r>
              <w:rPr>
                <w:rFonts w:cstheme="minorHAnsi"/>
                <w:bCs/>
              </w:rPr>
              <w:t xml:space="preserve"> in part</w:t>
            </w:r>
          </w:p>
          <w:p w14:paraId="77BC5748" w14:textId="578089E7" w:rsidR="00147648" w:rsidRPr="00517AF7" w:rsidRDefault="00147648" w:rsidP="006F1DA2">
            <w:pPr>
              <w:spacing w:before="144" w:after="144"/>
              <w:jc w:val="both"/>
              <w:cnfStyle w:val="000000000000" w:firstRow="0" w:lastRow="0" w:firstColumn="0" w:lastColumn="0" w:oddVBand="0" w:evenVBand="0" w:oddHBand="0" w:evenHBand="0" w:firstRowFirstColumn="0" w:firstRowLastColumn="0" w:lastRowFirstColumn="0" w:lastRowLastColumn="0"/>
              <w:rPr>
                <w:rFonts w:cstheme="minorHAnsi"/>
                <w:bCs/>
                <w:color w:val="auto"/>
              </w:rPr>
            </w:pPr>
          </w:p>
        </w:tc>
        <w:tc>
          <w:tcPr>
            <w:tcW w:w="6237" w:type="dxa"/>
            <w:shd w:val="clear" w:color="auto" w:fill="auto"/>
          </w:tcPr>
          <w:p w14:paraId="58C37D65" w14:textId="77777777" w:rsidR="00350BEC" w:rsidRPr="00517AF7" w:rsidRDefault="00350BEC" w:rsidP="00A518BC">
            <w:pPr>
              <w:cnfStyle w:val="000000000000" w:firstRow="0" w:lastRow="0" w:firstColumn="0" w:lastColumn="0" w:oddVBand="0" w:evenVBand="0" w:oddHBand="0" w:evenHBand="0" w:firstRowFirstColumn="0" w:firstRowLastColumn="0" w:lastRowFirstColumn="0" w:lastRowLastColumn="0"/>
              <w:rPr>
                <w:rFonts w:cstheme="minorHAnsi"/>
              </w:rPr>
            </w:pPr>
            <w:r w:rsidRPr="00517AF7">
              <w:rPr>
                <w:rFonts w:cstheme="minorHAnsi"/>
              </w:rPr>
              <w:t>This recommendation will be considered as part of the accountability design process. The accountability design, beginning implementation in April 2022 will incorporate MDI.</w:t>
            </w:r>
          </w:p>
          <w:p w14:paraId="1597D2F2" w14:textId="09321633" w:rsidR="00147648" w:rsidRPr="00517AF7" w:rsidRDefault="00147648" w:rsidP="006F1DA2">
            <w:pP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p>
        </w:tc>
        <w:tc>
          <w:tcPr>
            <w:tcW w:w="3686" w:type="dxa"/>
            <w:shd w:val="clear" w:color="auto" w:fill="auto"/>
          </w:tcPr>
          <w:p w14:paraId="14A1C410" w14:textId="77777777" w:rsidR="00350BEC" w:rsidRPr="00517AF7" w:rsidRDefault="00350BEC" w:rsidP="00A518BC">
            <w:pP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p>
          <w:p w14:paraId="0A543DCF" w14:textId="77777777" w:rsidR="00147648" w:rsidRPr="00517AF7" w:rsidRDefault="00147648" w:rsidP="00A518BC">
            <w:pP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p>
          <w:p w14:paraId="46CAA3ED" w14:textId="77777777" w:rsidR="00147648" w:rsidRPr="00517AF7" w:rsidRDefault="00147648" w:rsidP="00A518BC">
            <w:pP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p>
          <w:p w14:paraId="75D66ECC" w14:textId="77777777" w:rsidR="00147648" w:rsidRPr="00517AF7" w:rsidRDefault="00147648" w:rsidP="00A518BC">
            <w:pP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p>
          <w:p w14:paraId="55DDF165" w14:textId="77777777" w:rsidR="00147648" w:rsidRPr="00517AF7" w:rsidRDefault="00147648" w:rsidP="00A518BC">
            <w:pP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p>
          <w:p w14:paraId="3307FF61" w14:textId="77777777" w:rsidR="00147648" w:rsidRPr="00517AF7" w:rsidRDefault="00147648" w:rsidP="00A518BC">
            <w:pP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p>
          <w:p w14:paraId="3B3401FC" w14:textId="77777777" w:rsidR="00147648" w:rsidRPr="00517AF7" w:rsidRDefault="00147648" w:rsidP="00A518BC">
            <w:pP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p>
          <w:p w14:paraId="1FF1130B" w14:textId="77777777" w:rsidR="00147648" w:rsidRPr="00517AF7" w:rsidRDefault="00147648" w:rsidP="00A518BC">
            <w:pP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p>
          <w:p w14:paraId="4FC871E0" w14:textId="77777777" w:rsidR="00147648" w:rsidRPr="00517AF7" w:rsidRDefault="00147648" w:rsidP="00A518BC">
            <w:pP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p>
          <w:p w14:paraId="4D5CAAC1" w14:textId="77777777" w:rsidR="00147648" w:rsidRPr="00517AF7" w:rsidRDefault="00147648" w:rsidP="00A518BC">
            <w:pP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p>
          <w:p w14:paraId="2D2107CF" w14:textId="77777777" w:rsidR="00147648" w:rsidRPr="00517AF7" w:rsidRDefault="00147648" w:rsidP="00A518BC">
            <w:pP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p>
          <w:p w14:paraId="06405E2C" w14:textId="77777777" w:rsidR="00147648" w:rsidRPr="00517AF7" w:rsidRDefault="00147648" w:rsidP="00A518BC">
            <w:pP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p>
          <w:p w14:paraId="5E43CCC3" w14:textId="77777777" w:rsidR="00147648" w:rsidRPr="00517AF7" w:rsidRDefault="00147648" w:rsidP="00A518BC">
            <w:pP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p>
          <w:p w14:paraId="7EEC841E" w14:textId="77777777" w:rsidR="00147648" w:rsidRPr="00517AF7" w:rsidRDefault="00147648" w:rsidP="00A518BC">
            <w:pP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p>
          <w:p w14:paraId="4AE638C3" w14:textId="77777777" w:rsidR="00147648" w:rsidRPr="00517AF7" w:rsidRDefault="00147648" w:rsidP="00A518BC">
            <w:pP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p>
          <w:p w14:paraId="443E5D84" w14:textId="77777777" w:rsidR="00147648" w:rsidRPr="00517AF7" w:rsidRDefault="00147648" w:rsidP="00A518BC">
            <w:pP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p>
          <w:p w14:paraId="4F554D62" w14:textId="77777777" w:rsidR="00147648" w:rsidRPr="00517AF7" w:rsidRDefault="00147648" w:rsidP="00A518BC">
            <w:pP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p>
          <w:p w14:paraId="33F2F1BF" w14:textId="50FFEDA0" w:rsidR="00147648" w:rsidRPr="00517AF7" w:rsidRDefault="00147648" w:rsidP="00A518BC">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09" w:type="dxa"/>
            <w:shd w:val="clear" w:color="auto" w:fill="auto"/>
          </w:tcPr>
          <w:p w14:paraId="4E24A203" w14:textId="77777777" w:rsidR="00350BEC" w:rsidRPr="00517AF7" w:rsidRDefault="00350BEC" w:rsidP="00A518BC">
            <w:pPr>
              <w:cnfStyle w:val="000000000000" w:firstRow="0" w:lastRow="0" w:firstColumn="0" w:lastColumn="0" w:oddVBand="0" w:evenVBand="0" w:oddHBand="0" w:evenHBand="0" w:firstRowFirstColumn="0" w:firstRowLastColumn="0" w:lastRowFirstColumn="0" w:lastRowLastColumn="0"/>
              <w:rPr>
                <w:rFonts w:cstheme="minorHAnsi"/>
              </w:rPr>
            </w:pPr>
            <w:r w:rsidRPr="00517AF7">
              <w:rPr>
                <w:rFonts w:cstheme="minorHAnsi"/>
              </w:rPr>
              <w:t>April 2022</w:t>
            </w:r>
          </w:p>
          <w:p w14:paraId="77875883" w14:textId="5CC68E96" w:rsidR="00147648" w:rsidRPr="00517AF7" w:rsidRDefault="00147648" w:rsidP="006F1DA2">
            <w:pPr>
              <w:cnfStyle w:val="000000000000" w:firstRow="0" w:lastRow="0" w:firstColumn="0" w:lastColumn="0" w:oddVBand="0" w:evenVBand="0" w:oddHBand="0" w:evenHBand="0" w:firstRowFirstColumn="0" w:firstRowLastColumn="0" w:lastRowFirstColumn="0" w:lastRowLastColumn="0"/>
              <w:rPr>
                <w:rFonts w:cstheme="minorHAnsi"/>
              </w:rPr>
            </w:pPr>
          </w:p>
        </w:tc>
      </w:tr>
      <w:tr w:rsidR="00511CEA" w:rsidRPr="00517AF7" w14:paraId="365C12C3" w14:textId="77777777" w:rsidTr="006F1DA2">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6759" w:type="dxa"/>
            <w:tcBorders>
              <w:left w:val="none" w:sz="0" w:space="0" w:color="auto"/>
              <w:bottom w:val="single" w:sz="4" w:space="0" w:color="auto"/>
            </w:tcBorders>
            <w:shd w:val="clear" w:color="auto" w:fill="auto"/>
          </w:tcPr>
          <w:p w14:paraId="1E46429C" w14:textId="77777777" w:rsidR="00D80535" w:rsidRDefault="00511CEA" w:rsidP="00A518BC">
            <w:pPr>
              <w:jc w:val="both"/>
              <w:rPr>
                <w:rFonts w:cstheme="minorHAnsi"/>
                <w:b w:val="0"/>
                <w:bCs w:val="0"/>
                <w:color w:val="auto"/>
              </w:rPr>
            </w:pPr>
            <w:r w:rsidRPr="00517AF7">
              <w:rPr>
                <w:rFonts w:cstheme="minorHAnsi"/>
                <w:color w:val="auto"/>
              </w:rPr>
              <w:t xml:space="preserve">5) Shift towards social media, but clarity on rationale and purpose. </w:t>
            </w:r>
          </w:p>
          <w:p w14:paraId="5FF8DFB9" w14:textId="7AB57494" w:rsidR="00511CEA" w:rsidRPr="00517AF7" w:rsidRDefault="00511CEA" w:rsidP="00A518BC">
            <w:pPr>
              <w:jc w:val="both"/>
              <w:rPr>
                <w:rFonts w:cstheme="minorHAnsi"/>
                <w:b w:val="0"/>
                <w:color w:val="auto"/>
              </w:rPr>
            </w:pPr>
            <w:r w:rsidRPr="00517AF7">
              <w:rPr>
                <w:rFonts w:cstheme="minorHAnsi"/>
                <w:b w:val="0"/>
                <w:color w:val="auto"/>
              </w:rPr>
              <w:t xml:space="preserve">The expectation is that internet usage continues to grow rapidly.  Some leading politicians are clearly using social media and there are signs that MPs and government are concerned about it.     </w:t>
            </w:r>
          </w:p>
          <w:p w14:paraId="69AB95BE" w14:textId="77777777" w:rsidR="00511CEA" w:rsidRPr="00517AF7" w:rsidRDefault="00511CEA" w:rsidP="00A518BC">
            <w:pPr>
              <w:rPr>
                <w:rFonts w:cstheme="minorHAnsi"/>
                <w:b w:val="0"/>
                <w:color w:val="auto"/>
              </w:rPr>
            </w:pPr>
            <w:r w:rsidRPr="00517AF7">
              <w:rPr>
                <w:rFonts w:cstheme="minorHAnsi"/>
                <w:b w:val="0"/>
                <w:color w:val="auto"/>
              </w:rPr>
              <w:t xml:space="preserve">Overall, there is an obvious case for MDI focusing more on social media. But the pace and purpose of that shift may require careful thought. </w:t>
            </w:r>
            <w:proofErr w:type="gramStart"/>
            <w:r w:rsidRPr="00517AF7">
              <w:rPr>
                <w:rFonts w:cstheme="minorHAnsi"/>
                <w:b w:val="0"/>
                <w:color w:val="auto"/>
              </w:rPr>
              <w:t>One point</w:t>
            </w:r>
            <w:proofErr w:type="gramEnd"/>
            <w:r w:rsidRPr="00517AF7">
              <w:rPr>
                <w:rFonts w:cstheme="minorHAnsi"/>
                <w:b w:val="0"/>
                <w:color w:val="auto"/>
              </w:rPr>
              <w:t xml:space="preserve"> worth considering is adopting a differentiated use of social media at the national/elite vs. local levels.  </w:t>
            </w:r>
          </w:p>
          <w:p w14:paraId="769C9C8C" w14:textId="77777777" w:rsidR="00511CEA" w:rsidRPr="00517AF7" w:rsidRDefault="00511CEA" w:rsidP="00A518BC">
            <w:pPr>
              <w:rPr>
                <w:rFonts w:cstheme="minorHAnsi"/>
                <w:b w:val="0"/>
                <w:color w:val="auto"/>
              </w:rPr>
            </w:pPr>
            <w:r w:rsidRPr="00517AF7">
              <w:rPr>
                <w:rFonts w:cstheme="minorHAnsi"/>
                <w:b w:val="0"/>
                <w:color w:val="auto"/>
              </w:rPr>
              <w:t>For urban middle class it maybe that the focus is more on using social media to mount campaigns which pressure decision makers – on some policy issues, which motivate a younger and urban demographic – social media maybe the best medium. This could be linked more to “issue-based” programming.</w:t>
            </w:r>
          </w:p>
          <w:p w14:paraId="3553D85A" w14:textId="0D0CC419" w:rsidR="00511CEA" w:rsidRPr="00517AF7" w:rsidRDefault="00511CEA" w:rsidP="00A518BC">
            <w:pPr>
              <w:rPr>
                <w:rFonts w:cstheme="minorHAnsi"/>
                <w:b w:val="0"/>
              </w:rPr>
            </w:pPr>
          </w:p>
        </w:tc>
        <w:tc>
          <w:tcPr>
            <w:tcW w:w="1883" w:type="dxa"/>
            <w:tcBorders>
              <w:bottom w:val="single" w:sz="4" w:space="0" w:color="auto"/>
            </w:tcBorders>
            <w:shd w:val="clear" w:color="auto" w:fill="auto"/>
          </w:tcPr>
          <w:p w14:paraId="16F464BA" w14:textId="7E09D594" w:rsidR="00511CEA" w:rsidRPr="00517AF7" w:rsidRDefault="00511CEA" w:rsidP="00A518BC">
            <w:pPr>
              <w:cnfStyle w:val="000000100000" w:firstRow="0" w:lastRow="0" w:firstColumn="0" w:lastColumn="0" w:oddVBand="0" w:evenVBand="0" w:oddHBand="1" w:evenHBand="0" w:firstRowFirstColumn="0" w:firstRowLastColumn="0" w:lastRowFirstColumn="0" w:lastRowLastColumn="0"/>
              <w:rPr>
                <w:rFonts w:cstheme="minorHAnsi"/>
              </w:rPr>
            </w:pPr>
            <w:r w:rsidRPr="00517AF7">
              <w:rPr>
                <w:rFonts w:cstheme="minorHAnsi"/>
              </w:rPr>
              <w:t>Agree</w:t>
            </w:r>
          </w:p>
        </w:tc>
        <w:tc>
          <w:tcPr>
            <w:tcW w:w="6237" w:type="dxa"/>
            <w:tcBorders>
              <w:bottom w:val="single" w:sz="4" w:space="0" w:color="auto"/>
            </w:tcBorders>
            <w:shd w:val="clear" w:color="auto" w:fill="auto"/>
          </w:tcPr>
          <w:p w14:paraId="38C90026" w14:textId="5A539004" w:rsidR="00511CEA" w:rsidRPr="00517AF7" w:rsidRDefault="00511CEA" w:rsidP="00A518BC">
            <w:pPr>
              <w:cnfStyle w:val="000000100000" w:firstRow="0" w:lastRow="0" w:firstColumn="0" w:lastColumn="0" w:oddVBand="0" w:evenVBand="0" w:oddHBand="1" w:evenHBand="0" w:firstRowFirstColumn="0" w:firstRowLastColumn="0" w:lastRowFirstColumn="0" w:lastRowLastColumn="0"/>
              <w:rPr>
                <w:rFonts w:cstheme="minorHAnsi"/>
              </w:rPr>
            </w:pPr>
            <w:r w:rsidRPr="00517AF7">
              <w:rPr>
                <w:rFonts w:cstheme="minorHAnsi"/>
              </w:rPr>
              <w:t>MDI to incorporate social media strategies in all areas of focus.</w:t>
            </w:r>
          </w:p>
        </w:tc>
        <w:tc>
          <w:tcPr>
            <w:tcW w:w="3686" w:type="dxa"/>
            <w:tcBorders>
              <w:bottom w:val="single" w:sz="4" w:space="0" w:color="auto"/>
            </w:tcBorders>
            <w:shd w:val="clear" w:color="auto" w:fill="auto"/>
          </w:tcPr>
          <w:p w14:paraId="12177DB6" w14:textId="52C8D007" w:rsidR="00511CEA" w:rsidRPr="00517AF7" w:rsidRDefault="00511CEA" w:rsidP="00A518BC">
            <w:pPr>
              <w:cnfStyle w:val="000000100000" w:firstRow="0" w:lastRow="0" w:firstColumn="0" w:lastColumn="0" w:oddVBand="0" w:evenVBand="0" w:oddHBand="1" w:evenHBand="0" w:firstRowFirstColumn="0" w:firstRowLastColumn="0" w:lastRowFirstColumn="0" w:lastRowLastColumn="0"/>
              <w:rPr>
                <w:rFonts w:cstheme="minorHAnsi"/>
              </w:rPr>
            </w:pPr>
            <w:r w:rsidRPr="00517AF7">
              <w:rPr>
                <w:rFonts w:cstheme="minorHAnsi"/>
              </w:rPr>
              <w:t>MDI support for social media engagement will need to be strategic with clear rationale and resourced adequately (TA).</w:t>
            </w:r>
          </w:p>
        </w:tc>
        <w:tc>
          <w:tcPr>
            <w:tcW w:w="2409" w:type="dxa"/>
            <w:shd w:val="clear" w:color="auto" w:fill="auto"/>
          </w:tcPr>
          <w:p w14:paraId="2A3E62AB" w14:textId="03934971" w:rsidR="00511CEA" w:rsidRPr="00517AF7" w:rsidRDefault="00511CEA" w:rsidP="00A518BC">
            <w:pPr>
              <w:cnfStyle w:val="000000100000" w:firstRow="0" w:lastRow="0" w:firstColumn="0" w:lastColumn="0" w:oddVBand="0" w:evenVBand="0" w:oddHBand="1" w:evenHBand="0" w:firstRowFirstColumn="0" w:firstRowLastColumn="0" w:lastRowFirstColumn="0" w:lastRowLastColumn="0"/>
              <w:rPr>
                <w:rFonts w:cstheme="minorHAnsi"/>
              </w:rPr>
            </w:pPr>
            <w:r w:rsidRPr="00517AF7">
              <w:rPr>
                <w:rFonts w:cstheme="minorHAnsi"/>
              </w:rPr>
              <w:t>Ongoing</w:t>
            </w:r>
          </w:p>
        </w:tc>
      </w:tr>
      <w:tr w:rsidR="00511CEA" w:rsidRPr="00517AF7" w14:paraId="70BB80EE" w14:textId="77777777" w:rsidTr="006F1DA2">
        <w:trPr>
          <w:trHeight w:val="2684"/>
        </w:trPr>
        <w:tc>
          <w:tcPr>
            <w:cnfStyle w:val="001000000000" w:firstRow="0" w:lastRow="0" w:firstColumn="1" w:lastColumn="0" w:oddVBand="0" w:evenVBand="0" w:oddHBand="0" w:evenHBand="0" w:firstRowFirstColumn="0" w:firstRowLastColumn="0" w:lastRowFirstColumn="0" w:lastRowLastColumn="0"/>
            <w:tcW w:w="6759" w:type="dxa"/>
            <w:tcBorders>
              <w:left w:val="none" w:sz="0" w:space="0" w:color="auto"/>
              <w:bottom w:val="single" w:sz="4" w:space="0" w:color="auto"/>
            </w:tcBorders>
            <w:shd w:val="clear" w:color="auto" w:fill="auto"/>
          </w:tcPr>
          <w:p w14:paraId="3739F4C0" w14:textId="77777777" w:rsidR="00D80535" w:rsidRDefault="00511CEA" w:rsidP="00A518BC">
            <w:pPr>
              <w:jc w:val="both"/>
              <w:rPr>
                <w:rFonts w:cstheme="minorHAnsi"/>
                <w:b w:val="0"/>
                <w:bCs w:val="0"/>
                <w:color w:val="auto"/>
              </w:rPr>
            </w:pPr>
            <w:r w:rsidRPr="00517AF7">
              <w:rPr>
                <w:rFonts w:cstheme="minorHAnsi"/>
                <w:color w:val="auto"/>
              </w:rPr>
              <w:t xml:space="preserve">6) Better understand decision maker’s media consumption. </w:t>
            </w:r>
          </w:p>
          <w:p w14:paraId="44751698" w14:textId="0876236E" w:rsidR="00511CEA" w:rsidRPr="00517AF7" w:rsidRDefault="00511CEA" w:rsidP="00A518BC">
            <w:pPr>
              <w:jc w:val="both"/>
              <w:rPr>
                <w:rFonts w:cstheme="minorHAnsi"/>
                <w:color w:val="auto"/>
              </w:rPr>
            </w:pPr>
            <w:r w:rsidRPr="00517AF7">
              <w:rPr>
                <w:rFonts w:cstheme="minorHAnsi"/>
                <w:b w:val="0"/>
                <w:color w:val="auto"/>
              </w:rPr>
              <w:t>MDI has excellent data on PNG citizens’ media use and views on governance.  It has less evidence on what media decision makers consume and consider important.  One option to consider would be a survey of MPs/PNG elites, which assessed decision maker media use/attitudes.  There are methodological challenges, particularly with the most senior policy makers, but some pollsters/survey companies are able to get some insights into this question, or more informal approaches could be used to assess what the PNG media landscape looks like “looking out from positions of power</w:t>
            </w:r>
            <w:r w:rsidRPr="00517AF7">
              <w:rPr>
                <w:rFonts w:cstheme="minorHAnsi"/>
                <w:color w:val="auto"/>
              </w:rPr>
              <w:t>.</w:t>
            </w:r>
          </w:p>
          <w:p w14:paraId="5AF094F1" w14:textId="77777777" w:rsidR="00511CEA" w:rsidRPr="00517AF7" w:rsidRDefault="00511CEA" w:rsidP="00A518BC">
            <w:pPr>
              <w:jc w:val="both"/>
              <w:rPr>
                <w:rFonts w:cstheme="minorHAnsi"/>
              </w:rPr>
            </w:pPr>
          </w:p>
          <w:p w14:paraId="5A8EC594" w14:textId="77777777" w:rsidR="00511CEA" w:rsidRPr="00517AF7" w:rsidRDefault="00511CEA" w:rsidP="00A518BC">
            <w:pPr>
              <w:rPr>
                <w:rFonts w:cstheme="minorHAnsi"/>
              </w:rPr>
            </w:pPr>
          </w:p>
          <w:p w14:paraId="4FFC8B82" w14:textId="02853CE1" w:rsidR="00511CEA" w:rsidRPr="00517AF7" w:rsidRDefault="00511CEA" w:rsidP="00A518BC">
            <w:pPr>
              <w:rPr>
                <w:rFonts w:cstheme="minorHAnsi"/>
                <w:b w:val="0"/>
              </w:rPr>
            </w:pPr>
          </w:p>
        </w:tc>
        <w:tc>
          <w:tcPr>
            <w:tcW w:w="1883" w:type="dxa"/>
            <w:tcBorders>
              <w:bottom w:val="single" w:sz="4" w:space="0" w:color="auto"/>
            </w:tcBorders>
            <w:shd w:val="clear" w:color="auto" w:fill="auto"/>
          </w:tcPr>
          <w:p w14:paraId="0C1FDC69" w14:textId="3ACF8D5F" w:rsidR="00511CEA" w:rsidRPr="00517AF7" w:rsidRDefault="00511CEA" w:rsidP="00A518BC">
            <w:pPr>
              <w:cnfStyle w:val="000000000000" w:firstRow="0" w:lastRow="0" w:firstColumn="0" w:lastColumn="0" w:oddVBand="0" w:evenVBand="0" w:oddHBand="0" w:evenHBand="0" w:firstRowFirstColumn="0" w:firstRowLastColumn="0" w:lastRowFirstColumn="0" w:lastRowLastColumn="0"/>
              <w:rPr>
                <w:rFonts w:cstheme="minorHAnsi"/>
              </w:rPr>
            </w:pPr>
            <w:r w:rsidRPr="00517AF7">
              <w:rPr>
                <w:rFonts w:cstheme="minorHAnsi"/>
              </w:rPr>
              <w:t xml:space="preserve">Agree </w:t>
            </w:r>
          </w:p>
        </w:tc>
        <w:tc>
          <w:tcPr>
            <w:tcW w:w="6237" w:type="dxa"/>
            <w:tcBorders>
              <w:bottom w:val="single" w:sz="4" w:space="0" w:color="auto"/>
            </w:tcBorders>
            <w:shd w:val="clear" w:color="auto" w:fill="auto"/>
          </w:tcPr>
          <w:p w14:paraId="3D5756E6" w14:textId="476F3EDE" w:rsidR="00511CEA" w:rsidRPr="00517AF7" w:rsidRDefault="00511CEA" w:rsidP="00A518BC">
            <w:pPr>
              <w:cnfStyle w:val="000000000000" w:firstRow="0" w:lastRow="0" w:firstColumn="0" w:lastColumn="0" w:oddVBand="0" w:evenVBand="0" w:oddHBand="0" w:evenHBand="0" w:firstRowFirstColumn="0" w:firstRowLastColumn="0" w:lastRowFirstColumn="0" w:lastRowLastColumn="0"/>
              <w:rPr>
                <w:rFonts w:cstheme="minorHAnsi"/>
              </w:rPr>
            </w:pPr>
            <w:r w:rsidRPr="00517AF7">
              <w:rPr>
                <w:rFonts w:cstheme="minorHAnsi"/>
              </w:rPr>
              <w:t>Future media usage surveys will incorporate this analysis.</w:t>
            </w:r>
          </w:p>
        </w:tc>
        <w:tc>
          <w:tcPr>
            <w:tcW w:w="3686" w:type="dxa"/>
            <w:tcBorders>
              <w:bottom w:val="single" w:sz="4" w:space="0" w:color="auto"/>
            </w:tcBorders>
            <w:shd w:val="clear" w:color="auto" w:fill="auto"/>
          </w:tcPr>
          <w:p w14:paraId="5AAD9C94" w14:textId="3D686BDC" w:rsidR="00511CEA" w:rsidRPr="00517AF7" w:rsidRDefault="00511CEA" w:rsidP="00A518BC">
            <w:pPr>
              <w:cnfStyle w:val="000000000000" w:firstRow="0" w:lastRow="0" w:firstColumn="0" w:lastColumn="0" w:oddVBand="0" w:evenVBand="0" w:oddHBand="0" w:evenHBand="0" w:firstRowFirstColumn="0" w:firstRowLastColumn="0" w:lastRowFirstColumn="0" w:lastRowLastColumn="0"/>
              <w:rPr>
                <w:rFonts w:cstheme="minorHAnsi"/>
              </w:rPr>
            </w:pPr>
          </w:p>
        </w:tc>
        <w:tc>
          <w:tcPr>
            <w:tcW w:w="2409" w:type="dxa"/>
            <w:shd w:val="clear" w:color="auto" w:fill="auto"/>
          </w:tcPr>
          <w:p w14:paraId="515CD09A" w14:textId="745B932C" w:rsidR="00511CEA" w:rsidRPr="00517AF7" w:rsidRDefault="00602D8A" w:rsidP="00A518BC">
            <w:pPr>
              <w:cnfStyle w:val="000000000000" w:firstRow="0" w:lastRow="0" w:firstColumn="0" w:lastColumn="0" w:oddVBand="0" w:evenVBand="0" w:oddHBand="0" w:evenHBand="0" w:firstRowFirstColumn="0" w:firstRowLastColumn="0" w:lastRowFirstColumn="0" w:lastRowLastColumn="0"/>
              <w:rPr>
                <w:rFonts w:cstheme="minorHAnsi"/>
              </w:rPr>
            </w:pPr>
            <w:r w:rsidRPr="00517AF7">
              <w:rPr>
                <w:rFonts w:cstheme="minorHAnsi"/>
              </w:rPr>
              <w:t>O</w:t>
            </w:r>
            <w:r w:rsidR="00511CEA" w:rsidRPr="00517AF7">
              <w:rPr>
                <w:rFonts w:cstheme="minorHAnsi"/>
              </w:rPr>
              <w:t>ngoing</w:t>
            </w:r>
          </w:p>
        </w:tc>
      </w:tr>
    </w:tbl>
    <w:p w14:paraId="5D74135A" w14:textId="49173E0F" w:rsidR="006F1DA2" w:rsidRDefault="006F1DA2" w:rsidP="00A518BC">
      <w:pPr>
        <w:rPr>
          <w:sz w:val="24"/>
          <w:szCs w:val="24"/>
        </w:rPr>
      </w:pPr>
    </w:p>
    <w:tbl>
      <w:tblPr>
        <w:tblStyle w:val="GridTable5Dark-Accent6"/>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9"/>
        <w:gridCol w:w="1883"/>
        <w:gridCol w:w="6237"/>
        <w:gridCol w:w="3686"/>
        <w:gridCol w:w="2409"/>
      </w:tblGrid>
      <w:tr w:rsidR="006F1DA2" w:rsidRPr="00517AF7" w14:paraId="4B0F8B4F" w14:textId="77777777" w:rsidTr="006F1DA2">
        <w:trPr>
          <w:cnfStyle w:val="100000000000" w:firstRow="1" w:lastRow="0" w:firstColumn="0" w:lastColumn="0" w:oddVBand="0" w:evenVBand="0" w:oddHBand="0" w:evenHBand="0" w:firstRowFirstColumn="0" w:firstRowLastColumn="0" w:lastRowFirstColumn="0" w:lastRowLastColumn="0"/>
          <w:trHeight w:val="810"/>
          <w:tblHeader/>
        </w:trPr>
        <w:tc>
          <w:tcPr>
            <w:cnfStyle w:val="001000000000" w:firstRow="0" w:lastRow="0" w:firstColumn="1" w:lastColumn="0" w:oddVBand="0" w:evenVBand="0" w:oddHBand="0" w:evenHBand="0" w:firstRowFirstColumn="0" w:firstRowLastColumn="0" w:lastRowFirstColumn="0" w:lastRowLastColumn="0"/>
            <w:tcW w:w="6759" w:type="dxa"/>
            <w:tcBorders>
              <w:top w:val="none" w:sz="0" w:space="0" w:color="auto"/>
              <w:left w:val="none" w:sz="0" w:space="0" w:color="auto"/>
              <w:right w:val="none" w:sz="0" w:space="0" w:color="auto"/>
            </w:tcBorders>
            <w:shd w:val="clear" w:color="auto" w:fill="auto"/>
          </w:tcPr>
          <w:p w14:paraId="7BA5E7AC" w14:textId="77777777" w:rsidR="006F1DA2" w:rsidRPr="00517AF7" w:rsidRDefault="006F1DA2" w:rsidP="0087224B">
            <w:pPr>
              <w:rPr>
                <w:rFonts w:cstheme="minorHAnsi"/>
              </w:rPr>
            </w:pPr>
            <w:r w:rsidRPr="00517AF7">
              <w:rPr>
                <w:rFonts w:cstheme="minorHAnsi"/>
                <w:color w:val="auto"/>
              </w:rPr>
              <w:lastRenderedPageBreak/>
              <w:t>Implications of next phase of programming (Design options)</w:t>
            </w:r>
          </w:p>
        </w:tc>
        <w:tc>
          <w:tcPr>
            <w:tcW w:w="1883" w:type="dxa"/>
            <w:tcBorders>
              <w:top w:val="none" w:sz="0" w:space="0" w:color="auto"/>
              <w:left w:val="none" w:sz="0" w:space="0" w:color="auto"/>
              <w:right w:val="none" w:sz="0" w:space="0" w:color="auto"/>
            </w:tcBorders>
            <w:shd w:val="clear" w:color="auto" w:fill="auto"/>
          </w:tcPr>
          <w:p w14:paraId="26B5A8B2" w14:textId="77777777" w:rsidR="006F1DA2" w:rsidRPr="00517AF7" w:rsidRDefault="006F1DA2" w:rsidP="0087224B">
            <w:pPr>
              <w:cnfStyle w:val="100000000000" w:firstRow="1" w:lastRow="0" w:firstColumn="0" w:lastColumn="0" w:oddVBand="0" w:evenVBand="0" w:oddHBand="0" w:evenHBand="0" w:firstRowFirstColumn="0" w:firstRowLastColumn="0" w:lastRowFirstColumn="0" w:lastRowLastColumn="0"/>
              <w:rPr>
                <w:rFonts w:cstheme="minorHAnsi"/>
              </w:rPr>
            </w:pPr>
            <w:r w:rsidRPr="00517AF7">
              <w:rPr>
                <w:rFonts w:eastAsia="Times New Roman" w:cstheme="minorHAnsi"/>
                <w:color w:val="auto"/>
                <w:sz w:val="24"/>
                <w:szCs w:val="24"/>
                <w:lang w:eastAsia="en-AU"/>
              </w:rPr>
              <w:t xml:space="preserve">Response (Agree, </w:t>
            </w:r>
            <w:proofErr w:type="gramStart"/>
            <w:r w:rsidRPr="00517AF7">
              <w:rPr>
                <w:rFonts w:eastAsia="Times New Roman" w:cstheme="minorHAnsi"/>
                <w:color w:val="auto"/>
                <w:sz w:val="24"/>
                <w:szCs w:val="24"/>
                <w:lang w:eastAsia="en-AU"/>
              </w:rPr>
              <w:t>Agree</w:t>
            </w:r>
            <w:proofErr w:type="gramEnd"/>
            <w:r w:rsidRPr="00517AF7">
              <w:rPr>
                <w:rFonts w:eastAsia="Times New Roman" w:cstheme="minorHAnsi"/>
                <w:color w:val="auto"/>
                <w:sz w:val="24"/>
                <w:szCs w:val="24"/>
                <w:lang w:eastAsia="en-AU"/>
              </w:rPr>
              <w:t xml:space="preserve"> in part, Disagree)</w:t>
            </w:r>
          </w:p>
        </w:tc>
        <w:tc>
          <w:tcPr>
            <w:tcW w:w="6237" w:type="dxa"/>
            <w:tcBorders>
              <w:top w:val="none" w:sz="0" w:space="0" w:color="auto"/>
              <w:left w:val="none" w:sz="0" w:space="0" w:color="auto"/>
              <w:right w:val="none" w:sz="0" w:space="0" w:color="auto"/>
            </w:tcBorders>
            <w:shd w:val="clear" w:color="auto" w:fill="auto"/>
          </w:tcPr>
          <w:p w14:paraId="22158E35" w14:textId="77777777" w:rsidR="006F1DA2" w:rsidRPr="00517AF7" w:rsidRDefault="006F1DA2" w:rsidP="0087224B">
            <w:pPr>
              <w:cnfStyle w:val="100000000000" w:firstRow="1" w:lastRow="0" w:firstColumn="0" w:lastColumn="0" w:oddVBand="0" w:evenVBand="0" w:oddHBand="0" w:evenHBand="0" w:firstRowFirstColumn="0" w:firstRowLastColumn="0" w:lastRowFirstColumn="0" w:lastRowLastColumn="0"/>
              <w:rPr>
                <w:rFonts w:cstheme="minorHAnsi"/>
              </w:rPr>
            </w:pPr>
            <w:r w:rsidRPr="00517AF7">
              <w:rPr>
                <w:rFonts w:eastAsia="Times New Roman" w:cstheme="minorHAnsi"/>
                <w:color w:val="auto"/>
                <w:lang w:eastAsia="en-AU"/>
              </w:rPr>
              <w:t>Explanation</w:t>
            </w:r>
          </w:p>
        </w:tc>
        <w:tc>
          <w:tcPr>
            <w:tcW w:w="3686" w:type="dxa"/>
            <w:tcBorders>
              <w:top w:val="none" w:sz="0" w:space="0" w:color="auto"/>
              <w:left w:val="none" w:sz="0" w:space="0" w:color="auto"/>
              <w:right w:val="none" w:sz="0" w:space="0" w:color="auto"/>
            </w:tcBorders>
            <w:shd w:val="clear" w:color="auto" w:fill="auto"/>
          </w:tcPr>
          <w:p w14:paraId="2FFD3D0E" w14:textId="77777777" w:rsidR="006F1DA2" w:rsidRPr="00517AF7" w:rsidRDefault="006F1DA2" w:rsidP="0087224B">
            <w:pPr>
              <w:cnfStyle w:val="100000000000" w:firstRow="1" w:lastRow="0" w:firstColumn="0" w:lastColumn="0" w:oddVBand="0" w:evenVBand="0" w:oddHBand="0" w:evenHBand="0" w:firstRowFirstColumn="0" w:firstRowLastColumn="0" w:lastRowFirstColumn="0" w:lastRowLastColumn="0"/>
              <w:rPr>
                <w:rFonts w:cstheme="minorHAnsi"/>
                <w:b w:val="0"/>
              </w:rPr>
            </w:pPr>
            <w:r w:rsidRPr="00517AF7">
              <w:rPr>
                <w:rFonts w:eastAsia="Times New Roman" w:cstheme="minorHAnsi"/>
                <w:color w:val="auto"/>
                <w:lang w:eastAsia="en-AU"/>
              </w:rPr>
              <w:t>Action Plan</w:t>
            </w:r>
          </w:p>
        </w:tc>
        <w:tc>
          <w:tcPr>
            <w:tcW w:w="2409" w:type="dxa"/>
            <w:tcBorders>
              <w:top w:val="none" w:sz="0" w:space="0" w:color="auto"/>
              <w:left w:val="none" w:sz="0" w:space="0" w:color="auto"/>
              <w:right w:val="none" w:sz="0" w:space="0" w:color="auto"/>
            </w:tcBorders>
            <w:shd w:val="clear" w:color="auto" w:fill="auto"/>
          </w:tcPr>
          <w:p w14:paraId="211C0599" w14:textId="77777777" w:rsidR="006F1DA2" w:rsidRPr="00517AF7" w:rsidRDefault="006F1DA2" w:rsidP="0087224B">
            <w:pPr>
              <w:cnfStyle w:val="100000000000" w:firstRow="1" w:lastRow="0" w:firstColumn="0" w:lastColumn="0" w:oddVBand="0" w:evenVBand="0" w:oddHBand="0" w:evenHBand="0" w:firstRowFirstColumn="0" w:firstRowLastColumn="0" w:lastRowFirstColumn="0" w:lastRowLastColumn="0"/>
              <w:rPr>
                <w:rFonts w:cstheme="minorHAnsi"/>
              </w:rPr>
            </w:pPr>
            <w:r w:rsidRPr="00517AF7">
              <w:rPr>
                <w:rFonts w:eastAsia="Times New Roman" w:cstheme="minorHAnsi"/>
                <w:color w:val="auto"/>
                <w:lang w:eastAsia="en-AU"/>
              </w:rPr>
              <w:t>Timeframe</w:t>
            </w:r>
          </w:p>
        </w:tc>
      </w:tr>
      <w:tr w:rsidR="006F1DA2" w:rsidRPr="00517AF7" w14:paraId="0489CCBA" w14:textId="77777777" w:rsidTr="006F1DA2">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6759" w:type="dxa"/>
            <w:tcBorders>
              <w:left w:val="none" w:sz="0" w:space="0" w:color="auto"/>
            </w:tcBorders>
            <w:shd w:val="clear" w:color="auto" w:fill="auto"/>
          </w:tcPr>
          <w:p w14:paraId="2E602F8A" w14:textId="77777777" w:rsidR="006F1DA2" w:rsidRPr="00517AF7" w:rsidRDefault="006F1DA2" w:rsidP="0087224B">
            <w:pPr>
              <w:rPr>
                <w:rFonts w:cstheme="minorHAnsi"/>
                <w:color w:val="auto"/>
              </w:rPr>
            </w:pPr>
            <w:r w:rsidRPr="00517AF7">
              <w:rPr>
                <w:rFonts w:cstheme="minorHAnsi"/>
                <w:color w:val="auto"/>
              </w:rPr>
              <w:t>Option 1: A refocused MDI, but improved links to wider DFAT government programming.</w:t>
            </w:r>
          </w:p>
          <w:p w14:paraId="3B0C92CE" w14:textId="77777777" w:rsidR="006F1DA2" w:rsidRPr="00517AF7" w:rsidRDefault="006F1DA2" w:rsidP="0087224B">
            <w:pPr>
              <w:rPr>
                <w:rFonts w:cstheme="minorHAnsi"/>
                <w:b w:val="0"/>
                <w:color w:val="auto"/>
              </w:rPr>
            </w:pPr>
            <w:r w:rsidRPr="00517AF7">
              <w:rPr>
                <w:rFonts w:cstheme="minorHAnsi"/>
                <w:b w:val="0"/>
                <w:color w:val="auto"/>
              </w:rPr>
              <w:t>This would involve MDI objectives being rationalised with a focus on extending citizen voice, but also clearer links between MDI and other governance programs. MDI could still adopt some useful reforms/evolutions to its work, including (</w:t>
            </w:r>
            <w:proofErr w:type="spellStart"/>
            <w:r w:rsidRPr="00517AF7">
              <w:rPr>
                <w:rFonts w:cstheme="minorHAnsi"/>
                <w:b w:val="0"/>
                <w:color w:val="auto"/>
              </w:rPr>
              <w:t>i</w:t>
            </w:r>
            <w:proofErr w:type="spellEnd"/>
            <w:r w:rsidRPr="00517AF7">
              <w:rPr>
                <w:rFonts w:cstheme="minorHAnsi"/>
                <w:b w:val="0"/>
                <w:color w:val="auto"/>
              </w:rPr>
              <w:t>) expansion at the sub-national level, (ii) developing a partnership with the Churches, and (iii) deepening the social media focus. But for example, programs working with civil society organisations/interest groups could help generate the content on salient/topical issues which MDI and its media partners pick up and use. Achieving responsiveness from decision makers would be the goal of a wider suite of programs, rather than just that of MDI.</w:t>
            </w:r>
          </w:p>
        </w:tc>
        <w:tc>
          <w:tcPr>
            <w:tcW w:w="1883" w:type="dxa"/>
            <w:shd w:val="clear" w:color="auto" w:fill="auto"/>
          </w:tcPr>
          <w:p w14:paraId="6C68C239" w14:textId="77777777" w:rsidR="006F1DA2" w:rsidRPr="00517AF7" w:rsidRDefault="006F1DA2" w:rsidP="0087224B">
            <w:pPr>
              <w:cnfStyle w:val="000000100000" w:firstRow="0" w:lastRow="0" w:firstColumn="0" w:lastColumn="0" w:oddVBand="0" w:evenVBand="0" w:oddHBand="1" w:evenHBand="0" w:firstRowFirstColumn="0" w:firstRowLastColumn="0" w:lastRowFirstColumn="0" w:lastRowLastColumn="0"/>
              <w:rPr>
                <w:rFonts w:cstheme="minorHAnsi"/>
                <w:b/>
              </w:rPr>
            </w:pPr>
            <w:r w:rsidRPr="00517AF7">
              <w:rPr>
                <w:rFonts w:cstheme="minorHAnsi"/>
              </w:rPr>
              <w:t>Agree</w:t>
            </w:r>
          </w:p>
        </w:tc>
        <w:tc>
          <w:tcPr>
            <w:tcW w:w="6237" w:type="dxa"/>
            <w:shd w:val="clear" w:color="auto" w:fill="auto"/>
          </w:tcPr>
          <w:p w14:paraId="09EFF94D" w14:textId="77777777" w:rsidR="006F1DA2" w:rsidRPr="00517AF7" w:rsidRDefault="006F1DA2" w:rsidP="0087224B">
            <w:pPr>
              <w:cnfStyle w:val="000000100000" w:firstRow="0" w:lastRow="0" w:firstColumn="0" w:lastColumn="0" w:oddVBand="0" w:evenVBand="0" w:oddHBand="1" w:evenHBand="0" w:firstRowFirstColumn="0" w:firstRowLastColumn="0" w:lastRowFirstColumn="0" w:lastRowLastColumn="0"/>
              <w:rPr>
                <w:rFonts w:cstheme="minorHAnsi"/>
                <w:b/>
              </w:rPr>
            </w:pPr>
            <w:r w:rsidRPr="00517AF7">
              <w:rPr>
                <w:rFonts w:cstheme="minorHAnsi"/>
              </w:rPr>
              <w:t>MDI annual workplan to reflect and to be incorporated into the new Accountability Program.</w:t>
            </w:r>
            <w:r w:rsidRPr="00517AF7">
              <w:rPr>
                <w:rFonts w:cstheme="minorHAnsi"/>
                <w:b/>
              </w:rPr>
              <w:t xml:space="preserve"> </w:t>
            </w:r>
          </w:p>
        </w:tc>
        <w:tc>
          <w:tcPr>
            <w:tcW w:w="3686" w:type="dxa"/>
            <w:shd w:val="clear" w:color="auto" w:fill="auto"/>
          </w:tcPr>
          <w:p w14:paraId="563BA45C" w14:textId="77777777" w:rsidR="006F1DA2" w:rsidRPr="00517AF7" w:rsidRDefault="006F1DA2" w:rsidP="0087224B">
            <w:pPr>
              <w:cnfStyle w:val="000000100000" w:firstRow="0" w:lastRow="0" w:firstColumn="0" w:lastColumn="0" w:oddVBand="0" w:evenVBand="0" w:oddHBand="1" w:evenHBand="0" w:firstRowFirstColumn="0" w:firstRowLastColumn="0" w:lastRowFirstColumn="0" w:lastRowLastColumn="0"/>
              <w:rPr>
                <w:rFonts w:cstheme="minorHAnsi"/>
                <w:b/>
              </w:rPr>
            </w:pPr>
          </w:p>
        </w:tc>
        <w:tc>
          <w:tcPr>
            <w:tcW w:w="2409" w:type="dxa"/>
            <w:shd w:val="clear" w:color="auto" w:fill="auto"/>
          </w:tcPr>
          <w:p w14:paraId="491D4FC3" w14:textId="77777777" w:rsidR="006F1DA2" w:rsidRPr="00517AF7" w:rsidRDefault="006F1DA2" w:rsidP="0087224B">
            <w:pPr>
              <w:cnfStyle w:val="000000100000" w:firstRow="0" w:lastRow="0" w:firstColumn="0" w:lastColumn="0" w:oddVBand="0" w:evenVBand="0" w:oddHBand="1" w:evenHBand="0" w:firstRowFirstColumn="0" w:firstRowLastColumn="0" w:lastRowFirstColumn="0" w:lastRowLastColumn="0"/>
              <w:rPr>
                <w:rFonts w:cstheme="minorHAnsi"/>
                <w:b/>
              </w:rPr>
            </w:pPr>
            <w:r w:rsidRPr="00517AF7">
              <w:rPr>
                <w:rFonts w:cstheme="minorHAnsi"/>
              </w:rPr>
              <w:t>Jan 2021</w:t>
            </w:r>
          </w:p>
        </w:tc>
      </w:tr>
      <w:tr w:rsidR="006F1DA2" w:rsidRPr="00517AF7" w14:paraId="089835DC" w14:textId="77777777" w:rsidTr="006F1DA2">
        <w:trPr>
          <w:trHeight w:val="89"/>
        </w:trPr>
        <w:tc>
          <w:tcPr>
            <w:cnfStyle w:val="001000000000" w:firstRow="0" w:lastRow="0" w:firstColumn="1" w:lastColumn="0" w:oddVBand="0" w:evenVBand="0" w:oddHBand="0" w:evenHBand="0" w:firstRowFirstColumn="0" w:firstRowLastColumn="0" w:lastRowFirstColumn="0" w:lastRowLastColumn="0"/>
            <w:tcW w:w="6759" w:type="dxa"/>
            <w:tcBorders>
              <w:left w:val="none" w:sz="0" w:space="0" w:color="auto"/>
            </w:tcBorders>
            <w:shd w:val="clear" w:color="auto" w:fill="auto"/>
          </w:tcPr>
          <w:p w14:paraId="357FA9BA" w14:textId="77777777" w:rsidR="006F1DA2" w:rsidRPr="00517AF7" w:rsidRDefault="006F1DA2" w:rsidP="0087224B">
            <w:pPr>
              <w:rPr>
                <w:rFonts w:cstheme="minorHAnsi"/>
                <w:color w:val="auto"/>
              </w:rPr>
            </w:pPr>
            <w:r w:rsidRPr="00517AF7">
              <w:rPr>
                <w:rFonts w:cstheme="minorHAnsi"/>
                <w:color w:val="auto"/>
              </w:rPr>
              <w:t>Option 2: Splitting MDI and Development of new “issue-based” policy influencing program.</w:t>
            </w:r>
          </w:p>
          <w:p w14:paraId="7D9F1A36" w14:textId="77777777" w:rsidR="006F1DA2" w:rsidRPr="00517AF7" w:rsidRDefault="006F1DA2" w:rsidP="0087224B">
            <w:pPr>
              <w:rPr>
                <w:rFonts w:cstheme="minorHAnsi"/>
                <w:b w:val="0"/>
                <w:color w:val="auto"/>
              </w:rPr>
            </w:pPr>
            <w:r w:rsidRPr="00517AF7">
              <w:rPr>
                <w:rFonts w:cstheme="minorHAnsi"/>
                <w:b w:val="0"/>
                <w:color w:val="auto"/>
              </w:rPr>
              <w:t>Recognising the Australian and PNG national interest element of the ABC’s work with NBC, MDI would be split into two separate activities. One would remain focused on achieving “voice” through the media, essentially a continuation of the traditional MDI work building on its current expansion to the broader PNG media. The second activity would be a specific governance/voice and accountability activity working with the key civil society organisations to bring about improved decision maker responsiveness. Both projects would be required to collaborate closely but would not necessarily be managed by the same entities as a question surrounds ABC’s core skill set to undertake a more extensive voice and accountability activity.</w:t>
            </w:r>
          </w:p>
        </w:tc>
        <w:tc>
          <w:tcPr>
            <w:tcW w:w="1883" w:type="dxa"/>
            <w:shd w:val="clear" w:color="auto" w:fill="auto"/>
          </w:tcPr>
          <w:p w14:paraId="5BBD7B0F" w14:textId="77777777" w:rsidR="006F1DA2" w:rsidRPr="00517AF7" w:rsidRDefault="006F1DA2" w:rsidP="0087224B">
            <w:pPr>
              <w:cnfStyle w:val="000000000000" w:firstRow="0" w:lastRow="0" w:firstColumn="0" w:lastColumn="0" w:oddVBand="0" w:evenVBand="0" w:oddHBand="0" w:evenHBand="0" w:firstRowFirstColumn="0" w:firstRowLastColumn="0" w:lastRowFirstColumn="0" w:lastRowLastColumn="0"/>
              <w:rPr>
                <w:rFonts w:cstheme="minorHAnsi"/>
              </w:rPr>
            </w:pPr>
            <w:r w:rsidRPr="00517AF7">
              <w:rPr>
                <w:rFonts w:cstheme="minorHAnsi"/>
              </w:rPr>
              <w:t>Disagree</w:t>
            </w:r>
          </w:p>
        </w:tc>
        <w:tc>
          <w:tcPr>
            <w:tcW w:w="6237" w:type="dxa"/>
            <w:shd w:val="clear" w:color="auto" w:fill="auto"/>
          </w:tcPr>
          <w:p w14:paraId="0F26C897" w14:textId="77777777" w:rsidR="006F1DA2" w:rsidRPr="00517AF7" w:rsidRDefault="006F1DA2" w:rsidP="0087224B">
            <w:pPr>
              <w:cnfStyle w:val="000000000000" w:firstRow="0" w:lastRow="0" w:firstColumn="0" w:lastColumn="0" w:oddVBand="0" w:evenVBand="0" w:oddHBand="0" w:evenHBand="0" w:firstRowFirstColumn="0" w:firstRowLastColumn="0" w:lastRowFirstColumn="0" w:lastRowLastColumn="0"/>
              <w:rPr>
                <w:rFonts w:cstheme="minorHAnsi"/>
                <w:b/>
              </w:rPr>
            </w:pPr>
            <w:r w:rsidRPr="00517AF7">
              <w:rPr>
                <w:rFonts w:cstheme="minorHAnsi"/>
              </w:rPr>
              <w:t>MDI will be an integrated component of the new Accountability Program.</w:t>
            </w:r>
          </w:p>
        </w:tc>
        <w:tc>
          <w:tcPr>
            <w:tcW w:w="3686" w:type="dxa"/>
            <w:shd w:val="clear" w:color="auto" w:fill="auto"/>
          </w:tcPr>
          <w:p w14:paraId="5DEA1009" w14:textId="77777777" w:rsidR="006F1DA2" w:rsidRPr="00517AF7" w:rsidRDefault="006F1DA2" w:rsidP="0087224B">
            <w:pPr>
              <w:cnfStyle w:val="000000000000" w:firstRow="0" w:lastRow="0" w:firstColumn="0" w:lastColumn="0" w:oddVBand="0" w:evenVBand="0" w:oddHBand="0" w:evenHBand="0" w:firstRowFirstColumn="0" w:firstRowLastColumn="0" w:lastRowFirstColumn="0" w:lastRowLastColumn="0"/>
              <w:rPr>
                <w:rFonts w:cstheme="minorHAnsi"/>
              </w:rPr>
            </w:pPr>
          </w:p>
        </w:tc>
        <w:tc>
          <w:tcPr>
            <w:tcW w:w="2409" w:type="dxa"/>
            <w:shd w:val="clear" w:color="auto" w:fill="auto"/>
          </w:tcPr>
          <w:p w14:paraId="77761889" w14:textId="77777777" w:rsidR="006F1DA2" w:rsidRPr="00517AF7" w:rsidRDefault="006F1DA2" w:rsidP="0087224B">
            <w:pPr>
              <w:cnfStyle w:val="000000000000" w:firstRow="0" w:lastRow="0" w:firstColumn="0" w:lastColumn="0" w:oddVBand="0" w:evenVBand="0" w:oddHBand="0" w:evenHBand="0" w:firstRowFirstColumn="0" w:firstRowLastColumn="0" w:lastRowFirstColumn="0" w:lastRowLastColumn="0"/>
              <w:rPr>
                <w:rFonts w:cstheme="minorHAnsi"/>
              </w:rPr>
            </w:pPr>
            <w:r w:rsidRPr="00517AF7">
              <w:rPr>
                <w:rFonts w:cstheme="minorHAnsi"/>
              </w:rPr>
              <w:t>2022</w:t>
            </w:r>
          </w:p>
        </w:tc>
      </w:tr>
      <w:tr w:rsidR="006F1DA2" w:rsidRPr="00517AF7" w14:paraId="55B3636A" w14:textId="77777777" w:rsidTr="006F1DA2">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6759" w:type="dxa"/>
            <w:tcBorders>
              <w:left w:val="none" w:sz="0" w:space="0" w:color="auto"/>
              <w:bottom w:val="none" w:sz="0" w:space="0" w:color="auto"/>
            </w:tcBorders>
            <w:shd w:val="clear" w:color="auto" w:fill="auto"/>
          </w:tcPr>
          <w:p w14:paraId="5256F696" w14:textId="77777777" w:rsidR="006F1DA2" w:rsidRPr="00517AF7" w:rsidRDefault="006F1DA2" w:rsidP="0087224B">
            <w:pPr>
              <w:rPr>
                <w:rFonts w:cstheme="minorHAnsi"/>
                <w:color w:val="auto"/>
              </w:rPr>
            </w:pPr>
            <w:r w:rsidRPr="00517AF7">
              <w:rPr>
                <w:rFonts w:cstheme="minorHAnsi"/>
                <w:color w:val="auto"/>
              </w:rPr>
              <w:t>Option 3: An expanded MDI with specific accountability and policy influencing expertise.</w:t>
            </w:r>
          </w:p>
          <w:p w14:paraId="6D3EC523" w14:textId="77777777" w:rsidR="006F1DA2" w:rsidRPr="00517AF7" w:rsidRDefault="006F1DA2" w:rsidP="0087224B">
            <w:pPr>
              <w:spacing w:before="144" w:after="144"/>
              <w:contextualSpacing/>
              <w:jc w:val="both"/>
              <w:rPr>
                <w:rFonts w:cstheme="minorHAnsi"/>
                <w:b w:val="0"/>
                <w:color w:val="auto"/>
              </w:rPr>
            </w:pPr>
            <w:r w:rsidRPr="00517AF7">
              <w:rPr>
                <w:rFonts w:cstheme="minorHAnsi"/>
                <w:b w:val="0"/>
                <w:color w:val="auto"/>
              </w:rPr>
              <w:t>Recognising the difficulty of achieving responsiveness from decision makers, MDI could be expanded. An increased budget and reforms to the team structure could allow for the deepening of MDI’s partnerships with non-media organisations, including for example civil society organisations and interest groups with influence in PNG (the churches, NGOs such as Transparency International, think tanks etc.) Developing this wide range of partnerships would allow for a more comprehensive approach to influencing decision makers.</w:t>
            </w:r>
          </w:p>
        </w:tc>
        <w:tc>
          <w:tcPr>
            <w:tcW w:w="1883" w:type="dxa"/>
            <w:shd w:val="clear" w:color="auto" w:fill="auto"/>
          </w:tcPr>
          <w:p w14:paraId="1C1DB818" w14:textId="77777777" w:rsidR="006F1DA2" w:rsidRPr="00517AF7" w:rsidRDefault="006F1DA2" w:rsidP="0087224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w:t>
            </w:r>
            <w:r w:rsidRPr="00517AF7">
              <w:rPr>
                <w:rFonts w:cstheme="minorHAnsi"/>
              </w:rPr>
              <w:t>gree</w:t>
            </w:r>
            <w:r>
              <w:rPr>
                <w:rFonts w:cstheme="minorHAnsi"/>
              </w:rPr>
              <w:t xml:space="preserve"> in part</w:t>
            </w:r>
          </w:p>
        </w:tc>
        <w:tc>
          <w:tcPr>
            <w:tcW w:w="6237" w:type="dxa"/>
            <w:shd w:val="clear" w:color="auto" w:fill="auto"/>
          </w:tcPr>
          <w:p w14:paraId="3B2C253E" w14:textId="77777777" w:rsidR="006F1DA2" w:rsidRPr="00517AF7" w:rsidRDefault="006F1DA2" w:rsidP="0087224B">
            <w:pPr>
              <w:cnfStyle w:val="000000100000" w:firstRow="0" w:lastRow="0" w:firstColumn="0" w:lastColumn="0" w:oddVBand="0" w:evenVBand="0" w:oddHBand="1" w:evenHBand="0" w:firstRowFirstColumn="0" w:firstRowLastColumn="0" w:lastRowFirstColumn="0" w:lastRowLastColumn="0"/>
              <w:rPr>
                <w:rFonts w:cstheme="minorHAnsi"/>
              </w:rPr>
            </w:pPr>
            <w:r w:rsidRPr="00517AF7">
              <w:rPr>
                <w:rFonts w:cstheme="minorHAnsi"/>
              </w:rPr>
              <w:t>MDI budget will be considered against computing priorities on an annual basis.</w:t>
            </w:r>
          </w:p>
        </w:tc>
        <w:tc>
          <w:tcPr>
            <w:tcW w:w="3686" w:type="dxa"/>
            <w:shd w:val="clear" w:color="auto" w:fill="auto"/>
          </w:tcPr>
          <w:p w14:paraId="279DA207" w14:textId="77777777" w:rsidR="006F1DA2" w:rsidRPr="00517AF7" w:rsidRDefault="006F1DA2" w:rsidP="0087224B">
            <w:pPr>
              <w:cnfStyle w:val="000000100000" w:firstRow="0" w:lastRow="0" w:firstColumn="0" w:lastColumn="0" w:oddVBand="0" w:evenVBand="0" w:oddHBand="1" w:evenHBand="0" w:firstRowFirstColumn="0" w:firstRowLastColumn="0" w:lastRowFirstColumn="0" w:lastRowLastColumn="0"/>
              <w:rPr>
                <w:rFonts w:cstheme="minorHAnsi"/>
              </w:rPr>
            </w:pPr>
          </w:p>
        </w:tc>
        <w:tc>
          <w:tcPr>
            <w:tcW w:w="2409" w:type="dxa"/>
            <w:shd w:val="clear" w:color="auto" w:fill="auto"/>
          </w:tcPr>
          <w:p w14:paraId="655DAC99" w14:textId="77777777" w:rsidR="006F1DA2" w:rsidRPr="00517AF7" w:rsidRDefault="006F1DA2" w:rsidP="0087224B">
            <w:pPr>
              <w:cnfStyle w:val="000000100000" w:firstRow="0" w:lastRow="0" w:firstColumn="0" w:lastColumn="0" w:oddVBand="0" w:evenVBand="0" w:oddHBand="1" w:evenHBand="0" w:firstRowFirstColumn="0" w:firstRowLastColumn="0" w:lastRowFirstColumn="0" w:lastRowLastColumn="0"/>
              <w:rPr>
                <w:rFonts w:cstheme="minorHAnsi"/>
              </w:rPr>
            </w:pPr>
            <w:r w:rsidRPr="00517AF7">
              <w:rPr>
                <w:rFonts w:cstheme="minorHAnsi"/>
              </w:rPr>
              <w:t>Ongoing</w:t>
            </w:r>
          </w:p>
        </w:tc>
      </w:tr>
    </w:tbl>
    <w:p w14:paraId="1BB4A18A" w14:textId="77777777" w:rsidR="006F1DA2" w:rsidRPr="00D966AB" w:rsidRDefault="006F1DA2" w:rsidP="00A518BC">
      <w:pPr>
        <w:rPr>
          <w:sz w:val="24"/>
          <w:szCs w:val="24"/>
        </w:rPr>
      </w:pPr>
    </w:p>
    <w:sectPr w:rsidR="006F1DA2" w:rsidRPr="00D966AB" w:rsidSect="004C1BBA">
      <w:headerReference w:type="default" r:id="rId8"/>
      <w:footerReference w:type="default" r:id="rId9"/>
      <w:pgSz w:w="23811" w:h="16838" w:orient="landscape" w:code="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57CD5" w14:textId="77777777" w:rsidR="003007BD" w:rsidRDefault="003007BD" w:rsidP="009F0338">
      <w:pPr>
        <w:spacing w:after="0" w:line="240" w:lineRule="auto"/>
      </w:pPr>
      <w:r>
        <w:separator/>
      </w:r>
    </w:p>
  </w:endnote>
  <w:endnote w:type="continuationSeparator" w:id="0">
    <w:p w14:paraId="29A7081E" w14:textId="77777777" w:rsidR="003007BD" w:rsidRDefault="003007BD" w:rsidP="009F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558095"/>
      <w:docPartObj>
        <w:docPartGallery w:val="Page Numbers (Bottom of Page)"/>
        <w:docPartUnique/>
      </w:docPartObj>
    </w:sdtPr>
    <w:sdtEndPr>
      <w:rPr>
        <w:noProof/>
      </w:rPr>
    </w:sdtEndPr>
    <w:sdtContent>
      <w:p w14:paraId="5CB179C1" w14:textId="75639F1F" w:rsidR="00F74277" w:rsidRDefault="00F74277">
        <w:pPr>
          <w:pStyle w:val="Footer"/>
          <w:jc w:val="right"/>
        </w:pPr>
        <w:r>
          <w:fldChar w:fldCharType="begin"/>
        </w:r>
        <w:r>
          <w:instrText xml:space="preserve"> PAGE   \* MERGEFORMAT </w:instrText>
        </w:r>
        <w:r>
          <w:fldChar w:fldCharType="separate"/>
        </w:r>
        <w:r w:rsidR="00615D23">
          <w:rPr>
            <w:noProof/>
          </w:rPr>
          <w:t>4</w:t>
        </w:r>
        <w:r>
          <w:rPr>
            <w:noProof/>
          </w:rPr>
          <w:fldChar w:fldCharType="end"/>
        </w:r>
      </w:p>
    </w:sdtContent>
  </w:sdt>
  <w:p w14:paraId="1F98C7EB" w14:textId="77777777" w:rsidR="00F74277" w:rsidRDefault="00F74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353C5" w14:textId="77777777" w:rsidR="003007BD" w:rsidRDefault="003007BD" w:rsidP="009F0338">
      <w:pPr>
        <w:spacing w:after="0" w:line="240" w:lineRule="auto"/>
      </w:pPr>
      <w:r>
        <w:separator/>
      </w:r>
    </w:p>
  </w:footnote>
  <w:footnote w:type="continuationSeparator" w:id="0">
    <w:p w14:paraId="40ADE4FD" w14:textId="77777777" w:rsidR="003007BD" w:rsidRDefault="003007BD" w:rsidP="009F0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505516"/>
      <w:docPartObj>
        <w:docPartGallery w:val="Page Numbers (Top of Page)"/>
        <w:docPartUnique/>
      </w:docPartObj>
    </w:sdtPr>
    <w:sdtEndPr>
      <w:rPr>
        <w:noProof/>
      </w:rPr>
    </w:sdtEndPr>
    <w:sdtContent>
      <w:p w14:paraId="712AE038" w14:textId="0EF27731" w:rsidR="007E0D7F" w:rsidRDefault="007E0D7F">
        <w:pPr>
          <w:pStyle w:val="Header"/>
        </w:pPr>
        <w:r>
          <w:fldChar w:fldCharType="begin"/>
        </w:r>
        <w:r>
          <w:instrText xml:space="preserve"> PAGE   \* MERGEFORMAT </w:instrText>
        </w:r>
        <w:r>
          <w:fldChar w:fldCharType="separate"/>
        </w:r>
        <w:r w:rsidR="00615D23">
          <w:rPr>
            <w:noProof/>
          </w:rPr>
          <w:t>4</w:t>
        </w:r>
        <w:r>
          <w:rPr>
            <w:noProof/>
          </w:rPr>
          <w:fldChar w:fldCharType="end"/>
        </w:r>
      </w:p>
    </w:sdtContent>
  </w:sdt>
  <w:p w14:paraId="6543D5A9" w14:textId="685FEF72" w:rsidR="00F74277" w:rsidRPr="00860989" w:rsidRDefault="00F74277" w:rsidP="00860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0E49"/>
    <w:multiLevelType w:val="hybridMultilevel"/>
    <w:tmpl w:val="C8D897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261779"/>
    <w:multiLevelType w:val="hybridMultilevel"/>
    <w:tmpl w:val="1C5C5B0A"/>
    <w:lvl w:ilvl="0" w:tplc="683E804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F91B27"/>
    <w:multiLevelType w:val="hybridMultilevel"/>
    <w:tmpl w:val="C0CC0C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730F9"/>
    <w:multiLevelType w:val="hybridMultilevel"/>
    <w:tmpl w:val="B0F66DF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1526B6"/>
    <w:multiLevelType w:val="hybridMultilevel"/>
    <w:tmpl w:val="76B0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9B32BD"/>
    <w:multiLevelType w:val="hybridMultilevel"/>
    <w:tmpl w:val="2CDE9CD2"/>
    <w:lvl w:ilvl="0" w:tplc="068A32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8C1C53"/>
    <w:multiLevelType w:val="hybridMultilevel"/>
    <w:tmpl w:val="B79ED7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25F46"/>
    <w:multiLevelType w:val="hybridMultilevel"/>
    <w:tmpl w:val="B9C68F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847AE"/>
    <w:multiLevelType w:val="hybridMultilevel"/>
    <w:tmpl w:val="F8103160"/>
    <w:lvl w:ilvl="0" w:tplc="9A485B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4195EB1"/>
    <w:multiLevelType w:val="hybridMultilevel"/>
    <w:tmpl w:val="03787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8814A6"/>
    <w:multiLevelType w:val="hybridMultilevel"/>
    <w:tmpl w:val="76F2C5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3"/>
  </w:num>
  <w:num w:numId="5">
    <w:abstractNumId w:val="0"/>
  </w:num>
  <w:num w:numId="6">
    <w:abstractNumId w:val="2"/>
  </w:num>
  <w:num w:numId="7">
    <w:abstractNumId w:val="6"/>
  </w:num>
  <w:num w:numId="8">
    <w:abstractNumId w:val="7"/>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7E"/>
    <w:rsid w:val="000011A8"/>
    <w:rsid w:val="000048AB"/>
    <w:rsid w:val="0001526D"/>
    <w:rsid w:val="00021CA8"/>
    <w:rsid w:val="000246EB"/>
    <w:rsid w:val="00034332"/>
    <w:rsid w:val="000349F0"/>
    <w:rsid w:val="0004281B"/>
    <w:rsid w:val="00042AD2"/>
    <w:rsid w:val="0004309F"/>
    <w:rsid w:val="0006021F"/>
    <w:rsid w:val="00066952"/>
    <w:rsid w:val="000739AF"/>
    <w:rsid w:val="000753E9"/>
    <w:rsid w:val="0009126C"/>
    <w:rsid w:val="00093677"/>
    <w:rsid w:val="000A186F"/>
    <w:rsid w:val="000A18E1"/>
    <w:rsid w:val="000A35ED"/>
    <w:rsid w:val="000A5CD4"/>
    <w:rsid w:val="000B1396"/>
    <w:rsid w:val="000B1691"/>
    <w:rsid w:val="000B1B48"/>
    <w:rsid w:val="000B1C73"/>
    <w:rsid w:val="000C28DC"/>
    <w:rsid w:val="000C5430"/>
    <w:rsid w:val="000C7E36"/>
    <w:rsid w:val="000D07D4"/>
    <w:rsid w:val="000D242E"/>
    <w:rsid w:val="000D701F"/>
    <w:rsid w:val="000E75E5"/>
    <w:rsid w:val="000F1B85"/>
    <w:rsid w:val="000F4939"/>
    <w:rsid w:val="000F76B1"/>
    <w:rsid w:val="00103827"/>
    <w:rsid w:val="001079E4"/>
    <w:rsid w:val="00111BE8"/>
    <w:rsid w:val="001136E0"/>
    <w:rsid w:val="00114820"/>
    <w:rsid w:val="001179FB"/>
    <w:rsid w:val="00122B5E"/>
    <w:rsid w:val="00123B15"/>
    <w:rsid w:val="00127E14"/>
    <w:rsid w:val="00134C84"/>
    <w:rsid w:val="00135F4D"/>
    <w:rsid w:val="00141BBD"/>
    <w:rsid w:val="00147648"/>
    <w:rsid w:val="0015199C"/>
    <w:rsid w:val="0015389B"/>
    <w:rsid w:val="001556DC"/>
    <w:rsid w:val="00157396"/>
    <w:rsid w:val="00160261"/>
    <w:rsid w:val="00161CD1"/>
    <w:rsid w:val="001624EE"/>
    <w:rsid w:val="00170E91"/>
    <w:rsid w:val="00173B38"/>
    <w:rsid w:val="00174679"/>
    <w:rsid w:val="00180B2F"/>
    <w:rsid w:val="0018755C"/>
    <w:rsid w:val="001A2857"/>
    <w:rsid w:val="001B09FC"/>
    <w:rsid w:val="001C0191"/>
    <w:rsid w:val="001C73A3"/>
    <w:rsid w:val="001D0BE7"/>
    <w:rsid w:val="001D1BD9"/>
    <w:rsid w:val="001D4BA1"/>
    <w:rsid w:val="001D7664"/>
    <w:rsid w:val="001E0F0D"/>
    <w:rsid w:val="001F550C"/>
    <w:rsid w:val="001F7A45"/>
    <w:rsid w:val="00212169"/>
    <w:rsid w:val="002135F1"/>
    <w:rsid w:val="00214392"/>
    <w:rsid w:val="002147A8"/>
    <w:rsid w:val="00216AB2"/>
    <w:rsid w:val="00222D6E"/>
    <w:rsid w:val="00226DC4"/>
    <w:rsid w:val="00230A59"/>
    <w:rsid w:val="00232F44"/>
    <w:rsid w:val="0024115B"/>
    <w:rsid w:val="00243A24"/>
    <w:rsid w:val="002442C1"/>
    <w:rsid w:val="00246659"/>
    <w:rsid w:val="00246DD3"/>
    <w:rsid w:val="002479EE"/>
    <w:rsid w:val="00253843"/>
    <w:rsid w:val="0025415F"/>
    <w:rsid w:val="00254FDE"/>
    <w:rsid w:val="00261474"/>
    <w:rsid w:val="002620C8"/>
    <w:rsid w:val="00263175"/>
    <w:rsid w:val="002645E0"/>
    <w:rsid w:val="00264B6C"/>
    <w:rsid w:val="00265533"/>
    <w:rsid w:val="002740A7"/>
    <w:rsid w:val="002743CD"/>
    <w:rsid w:val="00280CC3"/>
    <w:rsid w:val="002873E6"/>
    <w:rsid w:val="00291A0D"/>
    <w:rsid w:val="002A27E8"/>
    <w:rsid w:val="002B6D18"/>
    <w:rsid w:val="002C2990"/>
    <w:rsid w:val="002C7FB0"/>
    <w:rsid w:val="002D530A"/>
    <w:rsid w:val="002D6C02"/>
    <w:rsid w:val="002D798E"/>
    <w:rsid w:val="002E172F"/>
    <w:rsid w:val="002F575A"/>
    <w:rsid w:val="002F6A3A"/>
    <w:rsid w:val="003007BD"/>
    <w:rsid w:val="00301BAE"/>
    <w:rsid w:val="00305805"/>
    <w:rsid w:val="0030751F"/>
    <w:rsid w:val="00315B35"/>
    <w:rsid w:val="00317455"/>
    <w:rsid w:val="00317F55"/>
    <w:rsid w:val="00325A4A"/>
    <w:rsid w:val="003277BC"/>
    <w:rsid w:val="0034525F"/>
    <w:rsid w:val="00350BEC"/>
    <w:rsid w:val="00352BB2"/>
    <w:rsid w:val="00354327"/>
    <w:rsid w:val="00354C89"/>
    <w:rsid w:val="003571B1"/>
    <w:rsid w:val="00362CCB"/>
    <w:rsid w:val="003643D9"/>
    <w:rsid w:val="003649A6"/>
    <w:rsid w:val="0036539D"/>
    <w:rsid w:val="003669F0"/>
    <w:rsid w:val="00370C18"/>
    <w:rsid w:val="00377C97"/>
    <w:rsid w:val="003826BF"/>
    <w:rsid w:val="00382F10"/>
    <w:rsid w:val="00390B55"/>
    <w:rsid w:val="003A4427"/>
    <w:rsid w:val="003A7AE7"/>
    <w:rsid w:val="003B1617"/>
    <w:rsid w:val="003C2E52"/>
    <w:rsid w:val="003C3EA7"/>
    <w:rsid w:val="003C519A"/>
    <w:rsid w:val="003D01BA"/>
    <w:rsid w:val="003D61C4"/>
    <w:rsid w:val="003D76A6"/>
    <w:rsid w:val="003E0D9C"/>
    <w:rsid w:val="003E4BED"/>
    <w:rsid w:val="003E53C5"/>
    <w:rsid w:val="003F14D9"/>
    <w:rsid w:val="003F2246"/>
    <w:rsid w:val="003F2AFE"/>
    <w:rsid w:val="003F3BEB"/>
    <w:rsid w:val="003F4AAB"/>
    <w:rsid w:val="00415FFB"/>
    <w:rsid w:val="00423A32"/>
    <w:rsid w:val="0042468D"/>
    <w:rsid w:val="004247D8"/>
    <w:rsid w:val="00424B48"/>
    <w:rsid w:val="00427FAF"/>
    <w:rsid w:val="004312EC"/>
    <w:rsid w:val="004330F2"/>
    <w:rsid w:val="0043311B"/>
    <w:rsid w:val="00436E94"/>
    <w:rsid w:val="00441FCC"/>
    <w:rsid w:val="00453B92"/>
    <w:rsid w:val="00453C4B"/>
    <w:rsid w:val="00454A12"/>
    <w:rsid w:val="00456329"/>
    <w:rsid w:val="00457831"/>
    <w:rsid w:val="004650A2"/>
    <w:rsid w:val="0047225C"/>
    <w:rsid w:val="00472735"/>
    <w:rsid w:val="00472B96"/>
    <w:rsid w:val="004841CD"/>
    <w:rsid w:val="00491BFC"/>
    <w:rsid w:val="00493A38"/>
    <w:rsid w:val="004946CC"/>
    <w:rsid w:val="004A13FA"/>
    <w:rsid w:val="004A40BC"/>
    <w:rsid w:val="004A461B"/>
    <w:rsid w:val="004B3707"/>
    <w:rsid w:val="004C1BBA"/>
    <w:rsid w:val="004C2A92"/>
    <w:rsid w:val="004C5732"/>
    <w:rsid w:val="004C5DAA"/>
    <w:rsid w:val="004D3A81"/>
    <w:rsid w:val="004D7DF6"/>
    <w:rsid w:val="004E4DB0"/>
    <w:rsid w:val="004F278C"/>
    <w:rsid w:val="004F2878"/>
    <w:rsid w:val="004F3445"/>
    <w:rsid w:val="0050018F"/>
    <w:rsid w:val="00501050"/>
    <w:rsid w:val="00504A53"/>
    <w:rsid w:val="00504AFC"/>
    <w:rsid w:val="005073BA"/>
    <w:rsid w:val="00511CEA"/>
    <w:rsid w:val="00513CC8"/>
    <w:rsid w:val="00517AF7"/>
    <w:rsid w:val="00521033"/>
    <w:rsid w:val="00521048"/>
    <w:rsid w:val="00523DDF"/>
    <w:rsid w:val="00524318"/>
    <w:rsid w:val="00527AA7"/>
    <w:rsid w:val="005365B5"/>
    <w:rsid w:val="00536796"/>
    <w:rsid w:val="00542B73"/>
    <w:rsid w:val="00543B0D"/>
    <w:rsid w:val="005624DD"/>
    <w:rsid w:val="00564E4D"/>
    <w:rsid w:val="00577B13"/>
    <w:rsid w:val="0058004D"/>
    <w:rsid w:val="00586D6E"/>
    <w:rsid w:val="00591918"/>
    <w:rsid w:val="005B059C"/>
    <w:rsid w:val="005B3979"/>
    <w:rsid w:val="005B45A6"/>
    <w:rsid w:val="005B5416"/>
    <w:rsid w:val="005C0E77"/>
    <w:rsid w:val="005C293B"/>
    <w:rsid w:val="005C56AA"/>
    <w:rsid w:val="005C7289"/>
    <w:rsid w:val="005E1163"/>
    <w:rsid w:val="005E1623"/>
    <w:rsid w:val="005E3F85"/>
    <w:rsid w:val="005E4BB7"/>
    <w:rsid w:val="005F01C4"/>
    <w:rsid w:val="005F1FC7"/>
    <w:rsid w:val="00601631"/>
    <w:rsid w:val="00602D8A"/>
    <w:rsid w:val="006047E1"/>
    <w:rsid w:val="00604F97"/>
    <w:rsid w:val="00605E96"/>
    <w:rsid w:val="0060663A"/>
    <w:rsid w:val="00607427"/>
    <w:rsid w:val="00611D91"/>
    <w:rsid w:val="00611F57"/>
    <w:rsid w:val="00615D23"/>
    <w:rsid w:val="00615E3B"/>
    <w:rsid w:val="00622B34"/>
    <w:rsid w:val="00624891"/>
    <w:rsid w:val="00624AC3"/>
    <w:rsid w:val="0062562A"/>
    <w:rsid w:val="006375DE"/>
    <w:rsid w:val="00640EB2"/>
    <w:rsid w:val="00662310"/>
    <w:rsid w:val="00665C4E"/>
    <w:rsid w:val="00666413"/>
    <w:rsid w:val="00673F02"/>
    <w:rsid w:val="00675F79"/>
    <w:rsid w:val="00683BAD"/>
    <w:rsid w:val="00686826"/>
    <w:rsid w:val="00690148"/>
    <w:rsid w:val="006A608E"/>
    <w:rsid w:val="006A77C9"/>
    <w:rsid w:val="006B062A"/>
    <w:rsid w:val="006B0640"/>
    <w:rsid w:val="006B0934"/>
    <w:rsid w:val="006B15BB"/>
    <w:rsid w:val="006C50FA"/>
    <w:rsid w:val="006D36A7"/>
    <w:rsid w:val="006D73A3"/>
    <w:rsid w:val="006E0A2A"/>
    <w:rsid w:val="006E1492"/>
    <w:rsid w:val="006F1DA2"/>
    <w:rsid w:val="006F5A06"/>
    <w:rsid w:val="007017ED"/>
    <w:rsid w:val="00711E82"/>
    <w:rsid w:val="0072250E"/>
    <w:rsid w:val="00722992"/>
    <w:rsid w:val="00727D48"/>
    <w:rsid w:val="007308C6"/>
    <w:rsid w:val="0073225F"/>
    <w:rsid w:val="00733BA7"/>
    <w:rsid w:val="00740163"/>
    <w:rsid w:val="00753368"/>
    <w:rsid w:val="00754DD4"/>
    <w:rsid w:val="007567B2"/>
    <w:rsid w:val="0075795A"/>
    <w:rsid w:val="007628A7"/>
    <w:rsid w:val="00766FA0"/>
    <w:rsid w:val="00771FA6"/>
    <w:rsid w:val="00774792"/>
    <w:rsid w:val="00777942"/>
    <w:rsid w:val="00781634"/>
    <w:rsid w:val="007830CD"/>
    <w:rsid w:val="00797030"/>
    <w:rsid w:val="007A021C"/>
    <w:rsid w:val="007A201A"/>
    <w:rsid w:val="007A5FFA"/>
    <w:rsid w:val="007A7D9B"/>
    <w:rsid w:val="007B2DAA"/>
    <w:rsid w:val="007B2FD9"/>
    <w:rsid w:val="007B34F9"/>
    <w:rsid w:val="007B3540"/>
    <w:rsid w:val="007B552D"/>
    <w:rsid w:val="007B721E"/>
    <w:rsid w:val="007C5455"/>
    <w:rsid w:val="007D1270"/>
    <w:rsid w:val="007D35F8"/>
    <w:rsid w:val="007D443C"/>
    <w:rsid w:val="007D7C5F"/>
    <w:rsid w:val="007E0C85"/>
    <w:rsid w:val="007E0D7F"/>
    <w:rsid w:val="007E42E2"/>
    <w:rsid w:val="007F3504"/>
    <w:rsid w:val="007F59CF"/>
    <w:rsid w:val="00803F42"/>
    <w:rsid w:val="00807CF0"/>
    <w:rsid w:val="0081181E"/>
    <w:rsid w:val="008139DD"/>
    <w:rsid w:val="008147C0"/>
    <w:rsid w:val="00816AA3"/>
    <w:rsid w:val="00820EF7"/>
    <w:rsid w:val="00822D25"/>
    <w:rsid w:val="0083578D"/>
    <w:rsid w:val="008470AB"/>
    <w:rsid w:val="0085140E"/>
    <w:rsid w:val="00854A0D"/>
    <w:rsid w:val="00860989"/>
    <w:rsid w:val="008610B7"/>
    <w:rsid w:val="0086167C"/>
    <w:rsid w:val="008668C0"/>
    <w:rsid w:val="008709C1"/>
    <w:rsid w:val="00875945"/>
    <w:rsid w:val="00886EDC"/>
    <w:rsid w:val="00894150"/>
    <w:rsid w:val="00894629"/>
    <w:rsid w:val="00894B9F"/>
    <w:rsid w:val="00897111"/>
    <w:rsid w:val="008975E6"/>
    <w:rsid w:val="008A3FE1"/>
    <w:rsid w:val="008A7087"/>
    <w:rsid w:val="008B3990"/>
    <w:rsid w:val="008B4A9B"/>
    <w:rsid w:val="008B57A0"/>
    <w:rsid w:val="008B5884"/>
    <w:rsid w:val="008C74F1"/>
    <w:rsid w:val="008C7E1A"/>
    <w:rsid w:val="008D00EE"/>
    <w:rsid w:val="008D272D"/>
    <w:rsid w:val="008E56D4"/>
    <w:rsid w:val="008E7D6E"/>
    <w:rsid w:val="008F78C8"/>
    <w:rsid w:val="0090056F"/>
    <w:rsid w:val="00902B35"/>
    <w:rsid w:val="00904B0A"/>
    <w:rsid w:val="00912B41"/>
    <w:rsid w:val="009165DA"/>
    <w:rsid w:val="00920BF7"/>
    <w:rsid w:val="009266CC"/>
    <w:rsid w:val="009315E7"/>
    <w:rsid w:val="00933CA1"/>
    <w:rsid w:val="0095107B"/>
    <w:rsid w:val="0095154E"/>
    <w:rsid w:val="009544E4"/>
    <w:rsid w:val="00955693"/>
    <w:rsid w:val="0095647E"/>
    <w:rsid w:val="009568C2"/>
    <w:rsid w:val="00957A50"/>
    <w:rsid w:val="00957E81"/>
    <w:rsid w:val="00961376"/>
    <w:rsid w:val="0096415A"/>
    <w:rsid w:val="009643ED"/>
    <w:rsid w:val="009673F5"/>
    <w:rsid w:val="00977393"/>
    <w:rsid w:val="009802AE"/>
    <w:rsid w:val="00983898"/>
    <w:rsid w:val="00983C94"/>
    <w:rsid w:val="0098521B"/>
    <w:rsid w:val="0099356E"/>
    <w:rsid w:val="0099513B"/>
    <w:rsid w:val="00996723"/>
    <w:rsid w:val="00996853"/>
    <w:rsid w:val="009A2BF2"/>
    <w:rsid w:val="009A5BF0"/>
    <w:rsid w:val="009B4D13"/>
    <w:rsid w:val="009B6C26"/>
    <w:rsid w:val="009C0FB3"/>
    <w:rsid w:val="009C1817"/>
    <w:rsid w:val="009C4E40"/>
    <w:rsid w:val="009C5226"/>
    <w:rsid w:val="009D3086"/>
    <w:rsid w:val="009D390A"/>
    <w:rsid w:val="009D3BF6"/>
    <w:rsid w:val="009E330D"/>
    <w:rsid w:val="009E389B"/>
    <w:rsid w:val="009E5F5A"/>
    <w:rsid w:val="009F0338"/>
    <w:rsid w:val="009F3D03"/>
    <w:rsid w:val="009F70AA"/>
    <w:rsid w:val="00A00D16"/>
    <w:rsid w:val="00A13C04"/>
    <w:rsid w:val="00A144E3"/>
    <w:rsid w:val="00A22B4D"/>
    <w:rsid w:val="00A2439C"/>
    <w:rsid w:val="00A27192"/>
    <w:rsid w:val="00A3154C"/>
    <w:rsid w:val="00A32827"/>
    <w:rsid w:val="00A32EE8"/>
    <w:rsid w:val="00A431EC"/>
    <w:rsid w:val="00A47F04"/>
    <w:rsid w:val="00A500BD"/>
    <w:rsid w:val="00A518BC"/>
    <w:rsid w:val="00A53FDE"/>
    <w:rsid w:val="00A630B1"/>
    <w:rsid w:val="00A64F45"/>
    <w:rsid w:val="00A670B2"/>
    <w:rsid w:val="00A72BCA"/>
    <w:rsid w:val="00A84414"/>
    <w:rsid w:val="00A857D5"/>
    <w:rsid w:val="00A9137C"/>
    <w:rsid w:val="00A96A12"/>
    <w:rsid w:val="00AA03DF"/>
    <w:rsid w:val="00AA3084"/>
    <w:rsid w:val="00AA39B8"/>
    <w:rsid w:val="00AB27A9"/>
    <w:rsid w:val="00AB4E1D"/>
    <w:rsid w:val="00AB51F7"/>
    <w:rsid w:val="00AB6971"/>
    <w:rsid w:val="00AC09CA"/>
    <w:rsid w:val="00AC112D"/>
    <w:rsid w:val="00AC173D"/>
    <w:rsid w:val="00AC17F0"/>
    <w:rsid w:val="00AC76C9"/>
    <w:rsid w:val="00AE066D"/>
    <w:rsid w:val="00AE2BD2"/>
    <w:rsid w:val="00AE340B"/>
    <w:rsid w:val="00AF536C"/>
    <w:rsid w:val="00AF5AB3"/>
    <w:rsid w:val="00AF654E"/>
    <w:rsid w:val="00AF7345"/>
    <w:rsid w:val="00B0177A"/>
    <w:rsid w:val="00B0452C"/>
    <w:rsid w:val="00B04B1E"/>
    <w:rsid w:val="00B06F36"/>
    <w:rsid w:val="00B107BD"/>
    <w:rsid w:val="00B1198A"/>
    <w:rsid w:val="00B11FE8"/>
    <w:rsid w:val="00B147BB"/>
    <w:rsid w:val="00B22571"/>
    <w:rsid w:val="00B22839"/>
    <w:rsid w:val="00B263AC"/>
    <w:rsid w:val="00B27DE0"/>
    <w:rsid w:val="00B33AF2"/>
    <w:rsid w:val="00B40046"/>
    <w:rsid w:val="00B41836"/>
    <w:rsid w:val="00B46AAC"/>
    <w:rsid w:val="00B571FA"/>
    <w:rsid w:val="00B63293"/>
    <w:rsid w:val="00B665CE"/>
    <w:rsid w:val="00B71D87"/>
    <w:rsid w:val="00B7344D"/>
    <w:rsid w:val="00B82B51"/>
    <w:rsid w:val="00B83B08"/>
    <w:rsid w:val="00B947A1"/>
    <w:rsid w:val="00BA0528"/>
    <w:rsid w:val="00BA14FC"/>
    <w:rsid w:val="00BA30DC"/>
    <w:rsid w:val="00BA4FCA"/>
    <w:rsid w:val="00BA6677"/>
    <w:rsid w:val="00BA77B0"/>
    <w:rsid w:val="00BB3C9A"/>
    <w:rsid w:val="00BB6314"/>
    <w:rsid w:val="00BB690B"/>
    <w:rsid w:val="00BC08D3"/>
    <w:rsid w:val="00BC0F2F"/>
    <w:rsid w:val="00BC212D"/>
    <w:rsid w:val="00BC3CB6"/>
    <w:rsid w:val="00BC6C30"/>
    <w:rsid w:val="00BD07EF"/>
    <w:rsid w:val="00BD28E6"/>
    <w:rsid w:val="00BE66A2"/>
    <w:rsid w:val="00BF3330"/>
    <w:rsid w:val="00BF6E62"/>
    <w:rsid w:val="00C005A1"/>
    <w:rsid w:val="00C043CA"/>
    <w:rsid w:val="00C16DC5"/>
    <w:rsid w:val="00C22989"/>
    <w:rsid w:val="00C22A60"/>
    <w:rsid w:val="00C25817"/>
    <w:rsid w:val="00C275C7"/>
    <w:rsid w:val="00C40D52"/>
    <w:rsid w:val="00C42E43"/>
    <w:rsid w:val="00C44092"/>
    <w:rsid w:val="00C4688F"/>
    <w:rsid w:val="00C5087B"/>
    <w:rsid w:val="00C50CE1"/>
    <w:rsid w:val="00C522A1"/>
    <w:rsid w:val="00C54807"/>
    <w:rsid w:val="00C72DEE"/>
    <w:rsid w:val="00C74633"/>
    <w:rsid w:val="00C82228"/>
    <w:rsid w:val="00C84961"/>
    <w:rsid w:val="00C853B8"/>
    <w:rsid w:val="00C96991"/>
    <w:rsid w:val="00C9745F"/>
    <w:rsid w:val="00CA0560"/>
    <w:rsid w:val="00CB31D0"/>
    <w:rsid w:val="00CB7266"/>
    <w:rsid w:val="00CC1B83"/>
    <w:rsid w:val="00CD0BF2"/>
    <w:rsid w:val="00CD3E2D"/>
    <w:rsid w:val="00CE097D"/>
    <w:rsid w:val="00CE2ACE"/>
    <w:rsid w:val="00CF698C"/>
    <w:rsid w:val="00CF74C6"/>
    <w:rsid w:val="00D04B3A"/>
    <w:rsid w:val="00D05DA8"/>
    <w:rsid w:val="00D15E4E"/>
    <w:rsid w:val="00D2120B"/>
    <w:rsid w:val="00D228F6"/>
    <w:rsid w:val="00D26395"/>
    <w:rsid w:val="00D26539"/>
    <w:rsid w:val="00D307DA"/>
    <w:rsid w:val="00D33024"/>
    <w:rsid w:val="00D3658B"/>
    <w:rsid w:val="00D40082"/>
    <w:rsid w:val="00D42915"/>
    <w:rsid w:val="00D42E26"/>
    <w:rsid w:val="00D448C7"/>
    <w:rsid w:val="00D45E62"/>
    <w:rsid w:val="00D46FA2"/>
    <w:rsid w:val="00D505C5"/>
    <w:rsid w:val="00D50BA3"/>
    <w:rsid w:val="00D5232A"/>
    <w:rsid w:val="00D528C9"/>
    <w:rsid w:val="00D55362"/>
    <w:rsid w:val="00D56342"/>
    <w:rsid w:val="00D56928"/>
    <w:rsid w:val="00D664A9"/>
    <w:rsid w:val="00D7570D"/>
    <w:rsid w:val="00D767A0"/>
    <w:rsid w:val="00D80535"/>
    <w:rsid w:val="00D87E52"/>
    <w:rsid w:val="00D966AB"/>
    <w:rsid w:val="00D97140"/>
    <w:rsid w:val="00DB1021"/>
    <w:rsid w:val="00DC0E7E"/>
    <w:rsid w:val="00DD352E"/>
    <w:rsid w:val="00DD3B0B"/>
    <w:rsid w:val="00DD68DA"/>
    <w:rsid w:val="00DE4E46"/>
    <w:rsid w:val="00DE5F6A"/>
    <w:rsid w:val="00DE6892"/>
    <w:rsid w:val="00DE71F2"/>
    <w:rsid w:val="00DF245B"/>
    <w:rsid w:val="00DF5DCA"/>
    <w:rsid w:val="00E00473"/>
    <w:rsid w:val="00E00A3A"/>
    <w:rsid w:val="00E0128C"/>
    <w:rsid w:val="00E05EAB"/>
    <w:rsid w:val="00E203C8"/>
    <w:rsid w:val="00E2299F"/>
    <w:rsid w:val="00E23A00"/>
    <w:rsid w:val="00E30534"/>
    <w:rsid w:val="00E31092"/>
    <w:rsid w:val="00E36010"/>
    <w:rsid w:val="00E4654D"/>
    <w:rsid w:val="00E4760E"/>
    <w:rsid w:val="00E5293F"/>
    <w:rsid w:val="00E53315"/>
    <w:rsid w:val="00E540CA"/>
    <w:rsid w:val="00E66453"/>
    <w:rsid w:val="00E677EF"/>
    <w:rsid w:val="00E702C9"/>
    <w:rsid w:val="00E71BAE"/>
    <w:rsid w:val="00E73D67"/>
    <w:rsid w:val="00E757E8"/>
    <w:rsid w:val="00E76518"/>
    <w:rsid w:val="00E82311"/>
    <w:rsid w:val="00E83049"/>
    <w:rsid w:val="00E85EDC"/>
    <w:rsid w:val="00E8768B"/>
    <w:rsid w:val="00EA161B"/>
    <w:rsid w:val="00EA3284"/>
    <w:rsid w:val="00EA39F4"/>
    <w:rsid w:val="00EA4423"/>
    <w:rsid w:val="00EA5C65"/>
    <w:rsid w:val="00EC7A11"/>
    <w:rsid w:val="00ED7EC3"/>
    <w:rsid w:val="00EE2A13"/>
    <w:rsid w:val="00EE790A"/>
    <w:rsid w:val="00EE7BF1"/>
    <w:rsid w:val="00EF1221"/>
    <w:rsid w:val="00EF2C76"/>
    <w:rsid w:val="00EF65FA"/>
    <w:rsid w:val="00F11B6C"/>
    <w:rsid w:val="00F15A41"/>
    <w:rsid w:val="00F21FC2"/>
    <w:rsid w:val="00F24445"/>
    <w:rsid w:val="00F24ED5"/>
    <w:rsid w:val="00F3113D"/>
    <w:rsid w:val="00F35CAA"/>
    <w:rsid w:val="00F35EB1"/>
    <w:rsid w:val="00F40843"/>
    <w:rsid w:val="00F41BB7"/>
    <w:rsid w:val="00F50AA7"/>
    <w:rsid w:val="00F5321E"/>
    <w:rsid w:val="00F5348F"/>
    <w:rsid w:val="00F56135"/>
    <w:rsid w:val="00F72551"/>
    <w:rsid w:val="00F74277"/>
    <w:rsid w:val="00F7706D"/>
    <w:rsid w:val="00F77628"/>
    <w:rsid w:val="00F8391C"/>
    <w:rsid w:val="00F90809"/>
    <w:rsid w:val="00F921C1"/>
    <w:rsid w:val="00F928C4"/>
    <w:rsid w:val="00F95A79"/>
    <w:rsid w:val="00F975B1"/>
    <w:rsid w:val="00FA489B"/>
    <w:rsid w:val="00FB1A75"/>
    <w:rsid w:val="00FB596C"/>
    <w:rsid w:val="00FB5CE3"/>
    <w:rsid w:val="00FC1127"/>
    <w:rsid w:val="00FC6AE8"/>
    <w:rsid w:val="00FD4E8C"/>
    <w:rsid w:val="00FD5499"/>
    <w:rsid w:val="00FF0305"/>
    <w:rsid w:val="00FF3FD4"/>
    <w:rsid w:val="00FF5F9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6E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DA2"/>
    <w:pPr>
      <w:shd w:val="clear" w:color="auto" w:fill="FFFFFF" w:themeFill="background1"/>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6AB"/>
    <w:rPr>
      <w:rFonts w:ascii="Segoe UI" w:hAnsi="Segoe UI" w:cs="Segoe UI"/>
      <w:sz w:val="18"/>
      <w:szCs w:val="18"/>
    </w:rPr>
  </w:style>
  <w:style w:type="character" w:styleId="CommentReference">
    <w:name w:val="annotation reference"/>
    <w:basedOn w:val="DefaultParagraphFont"/>
    <w:uiPriority w:val="99"/>
    <w:semiHidden/>
    <w:unhideWhenUsed/>
    <w:rsid w:val="007A7D9B"/>
    <w:rPr>
      <w:sz w:val="16"/>
      <w:szCs w:val="16"/>
    </w:rPr>
  </w:style>
  <w:style w:type="paragraph" w:styleId="CommentText">
    <w:name w:val="annotation text"/>
    <w:basedOn w:val="Normal"/>
    <w:link w:val="CommentTextChar"/>
    <w:uiPriority w:val="99"/>
    <w:unhideWhenUsed/>
    <w:rsid w:val="007A7D9B"/>
    <w:pPr>
      <w:spacing w:line="240" w:lineRule="auto"/>
    </w:pPr>
    <w:rPr>
      <w:sz w:val="20"/>
      <w:szCs w:val="20"/>
    </w:rPr>
  </w:style>
  <w:style w:type="character" w:customStyle="1" w:styleId="CommentTextChar">
    <w:name w:val="Comment Text Char"/>
    <w:basedOn w:val="DefaultParagraphFont"/>
    <w:link w:val="CommentText"/>
    <w:uiPriority w:val="99"/>
    <w:rsid w:val="007A7D9B"/>
    <w:rPr>
      <w:sz w:val="20"/>
      <w:szCs w:val="20"/>
    </w:rPr>
  </w:style>
  <w:style w:type="paragraph" w:styleId="CommentSubject">
    <w:name w:val="annotation subject"/>
    <w:basedOn w:val="CommentText"/>
    <w:next w:val="CommentText"/>
    <w:link w:val="CommentSubjectChar"/>
    <w:uiPriority w:val="99"/>
    <w:semiHidden/>
    <w:unhideWhenUsed/>
    <w:rsid w:val="007A7D9B"/>
    <w:rPr>
      <w:b/>
      <w:bCs/>
    </w:rPr>
  </w:style>
  <w:style w:type="character" w:customStyle="1" w:styleId="CommentSubjectChar">
    <w:name w:val="Comment Subject Char"/>
    <w:basedOn w:val="CommentTextChar"/>
    <w:link w:val="CommentSubject"/>
    <w:uiPriority w:val="99"/>
    <w:semiHidden/>
    <w:rsid w:val="007A7D9B"/>
    <w:rPr>
      <w:b/>
      <w:bCs/>
      <w:sz w:val="20"/>
      <w:szCs w:val="20"/>
    </w:rPr>
  </w:style>
  <w:style w:type="paragraph" w:styleId="Header">
    <w:name w:val="header"/>
    <w:basedOn w:val="Normal"/>
    <w:link w:val="HeaderChar"/>
    <w:uiPriority w:val="99"/>
    <w:unhideWhenUsed/>
    <w:rsid w:val="009F0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338"/>
  </w:style>
  <w:style w:type="paragraph" w:styleId="Footer">
    <w:name w:val="footer"/>
    <w:basedOn w:val="Normal"/>
    <w:link w:val="FooterChar"/>
    <w:uiPriority w:val="99"/>
    <w:unhideWhenUsed/>
    <w:rsid w:val="009F0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338"/>
  </w:style>
  <w:style w:type="character" w:styleId="Hyperlink">
    <w:name w:val="Hyperlink"/>
    <w:basedOn w:val="DefaultParagraphFont"/>
    <w:uiPriority w:val="99"/>
    <w:unhideWhenUsed/>
    <w:rsid w:val="00D448C7"/>
    <w:rPr>
      <w:color w:val="0000FF" w:themeColor="hyperlink"/>
      <w:u w:val="single"/>
    </w:rPr>
  </w:style>
  <w:style w:type="table" w:styleId="TableGrid">
    <w:name w:val="Table Grid"/>
    <w:basedOn w:val="TableNormal"/>
    <w:uiPriority w:val="39"/>
    <w:rsid w:val="007D1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Bullet1,L,CV text,Table text,F5 List Paragraph,Dot pt,List Paragraph111,Medium Grid 1 - Accent 21,Numbered Paragraph,List Paragraph2,Bulleted Para,NFP GP Bulleted List,FooterText,numbered,Inputs,DWA List 1"/>
    <w:basedOn w:val="Normal"/>
    <w:link w:val="ListParagraphChar"/>
    <w:uiPriority w:val="34"/>
    <w:qFormat/>
    <w:rsid w:val="0006021F"/>
    <w:pPr>
      <w:ind w:left="720"/>
      <w:contextualSpacing/>
    </w:pPr>
  </w:style>
  <w:style w:type="character" w:customStyle="1" w:styleId="ListParagraphChar">
    <w:name w:val="List Paragraph Char"/>
    <w:aliases w:val="List Paragraph1 Char,List Paragraph11 Char,Bullet1 Char,L Char,CV text Char,Table text Char,F5 List Paragraph Char,Dot pt Char,List Paragraph111 Char,Medium Grid 1 - Accent 21 Char,Numbered Paragraph Char,List Paragraph2 Char"/>
    <w:basedOn w:val="DefaultParagraphFont"/>
    <w:link w:val="ListParagraph"/>
    <w:uiPriority w:val="34"/>
    <w:qFormat/>
    <w:locked/>
    <w:rsid w:val="0095107B"/>
  </w:style>
  <w:style w:type="table" w:styleId="GridTable5Dark-Accent6">
    <w:name w:val="Grid Table 5 Dark Accent 6"/>
    <w:basedOn w:val="ColorfulGrid-Accent2"/>
    <w:uiPriority w:val="50"/>
    <w:rsid w:val="00350BEC"/>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ColorfulGrid-Accent2">
    <w:name w:val="Colorful Grid Accent 2"/>
    <w:basedOn w:val="TableNormal"/>
    <w:uiPriority w:val="73"/>
    <w:semiHidden/>
    <w:unhideWhenUsed/>
    <w:rsid w:val="00350B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Heading1Char">
    <w:name w:val="Heading 1 Char"/>
    <w:basedOn w:val="DefaultParagraphFont"/>
    <w:link w:val="Heading1"/>
    <w:uiPriority w:val="9"/>
    <w:rsid w:val="006F1DA2"/>
    <w:rPr>
      <w:b/>
      <w:sz w:val="28"/>
      <w:szCs w:val="28"/>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7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F1E45-0510-4EE4-9C71-6D3780B4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to QTAG’s MDI review recommendations</dc:title>
  <dc:subject/>
  <dc:creator/>
  <cp:keywords/>
  <dc:description/>
  <cp:lastModifiedBy/>
  <cp:revision>1</cp:revision>
  <dcterms:created xsi:type="dcterms:W3CDTF">2021-01-12T04:04:00Z</dcterms:created>
  <dcterms:modified xsi:type="dcterms:W3CDTF">2021-01-12T04:04:00Z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625875d3-a61f-4736-97c8-e895a9162603</vt:lpwstr>
  </property>
  <property fmtid="{D5CDD505-2E9C-101B-9397-08002B2CF9AE}" pid="3" name="SEC">
    <vt:lpwstr>OFFICIAL</vt:lpwstr>
  </property>
</Properties>
</file>