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60C1" w14:textId="01E503D0" w:rsidR="00781E7F" w:rsidRPr="00DA483A" w:rsidRDefault="00781E7F" w:rsidP="00781E7F">
      <w:pPr>
        <w:pStyle w:val="Heading1"/>
        <w:spacing w:before="247"/>
        <w:ind w:left="0"/>
        <w:rPr>
          <w:rFonts w:asciiTheme="minorHAnsi" w:hAnsiTheme="minorHAnsi" w:cstheme="minorHAnsi"/>
          <w:w w:val="85"/>
        </w:rPr>
      </w:pPr>
      <w:bookmarkStart w:id="0" w:name="_Hlk160178041"/>
      <w:r w:rsidRPr="00DA483A">
        <w:rPr>
          <w:rFonts w:asciiTheme="minorHAnsi" w:hAnsiTheme="minorHAnsi" w:cstheme="minorHAnsi"/>
          <w:w w:val="85"/>
        </w:rPr>
        <w:t>MEKONG-AUSTRALIA PARTNERSHIP</w:t>
      </w:r>
      <w:bookmarkEnd w:id="0"/>
    </w:p>
    <w:p w14:paraId="031F4758" w14:textId="77777777" w:rsidR="00781E7F" w:rsidRPr="00310F43" w:rsidRDefault="00781E7F" w:rsidP="00781E7F">
      <w:pPr>
        <w:pStyle w:val="Heading2"/>
        <w:rPr>
          <w:color w:val="auto"/>
          <w:spacing w:val="-4"/>
          <w:w w:val="85"/>
          <w:sz w:val="36"/>
          <w:szCs w:val="36"/>
          <w:u w:val="single"/>
        </w:rPr>
      </w:pPr>
      <w:r w:rsidRPr="00310F43">
        <w:rPr>
          <w:color w:val="auto"/>
          <w:spacing w:val="-2"/>
          <w:w w:val="85"/>
          <w:sz w:val="36"/>
          <w:szCs w:val="36"/>
          <w:u w:val="single"/>
        </w:rPr>
        <w:t>KEY</w:t>
      </w:r>
      <w:r w:rsidRPr="00310F43">
        <w:rPr>
          <w:color w:val="auto"/>
          <w:spacing w:val="-31"/>
          <w:w w:val="85"/>
          <w:sz w:val="36"/>
          <w:szCs w:val="36"/>
          <w:u w:val="single"/>
        </w:rPr>
        <w:t xml:space="preserve"> </w:t>
      </w:r>
      <w:r w:rsidRPr="00310F43">
        <w:rPr>
          <w:color w:val="auto"/>
          <w:spacing w:val="-2"/>
          <w:w w:val="85"/>
          <w:sz w:val="36"/>
          <w:szCs w:val="36"/>
          <w:u w:val="single"/>
        </w:rPr>
        <w:t>RESULTS</w:t>
      </w:r>
      <w:r w:rsidRPr="00310F43">
        <w:rPr>
          <w:color w:val="auto"/>
          <w:spacing w:val="-30"/>
          <w:w w:val="85"/>
          <w:sz w:val="36"/>
          <w:szCs w:val="36"/>
          <w:u w:val="single"/>
        </w:rPr>
        <w:t xml:space="preserve"> </w:t>
      </w:r>
      <w:r w:rsidRPr="00310F43">
        <w:rPr>
          <w:color w:val="auto"/>
          <w:spacing w:val="-2"/>
          <w:w w:val="85"/>
          <w:sz w:val="36"/>
          <w:szCs w:val="36"/>
          <w:u w:val="single"/>
        </w:rPr>
        <w:t>FOR</w:t>
      </w:r>
      <w:r w:rsidRPr="00310F43">
        <w:rPr>
          <w:color w:val="auto"/>
          <w:spacing w:val="-31"/>
          <w:w w:val="85"/>
          <w:sz w:val="36"/>
          <w:szCs w:val="36"/>
          <w:u w:val="single"/>
        </w:rPr>
        <w:t xml:space="preserve"> </w:t>
      </w:r>
      <w:r w:rsidRPr="00310F43">
        <w:rPr>
          <w:color w:val="auto"/>
          <w:spacing w:val="-2"/>
          <w:w w:val="85"/>
          <w:sz w:val="36"/>
          <w:szCs w:val="36"/>
          <w:u w:val="single"/>
        </w:rPr>
        <w:t>THE</w:t>
      </w:r>
      <w:r w:rsidRPr="00310F43">
        <w:rPr>
          <w:color w:val="auto"/>
          <w:spacing w:val="-30"/>
          <w:w w:val="85"/>
          <w:sz w:val="36"/>
          <w:szCs w:val="36"/>
          <w:u w:val="single"/>
        </w:rPr>
        <w:t xml:space="preserve"> </w:t>
      </w:r>
      <w:r w:rsidRPr="00310F43">
        <w:rPr>
          <w:color w:val="auto"/>
          <w:spacing w:val="-2"/>
          <w:w w:val="85"/>
          <w:sz w:val="36"/>
          <w:szCs w:val="36"/>
          <w:u w:val="single"/>
        </w:rPr>
        <w:t>PERIOD</w:t>
      </w:r>
      <w:r w:rsidRPr="00310F43">
        <w:rPr>
          <w:color w:val="auto"/>
          <w:spacing w:val="-31"/>
          <w:w w:val="85"/>
          <w:sz w:val="36"/>
          <w:szCs w:val="36"/>
          <w:u w:val="single"/>
        </w:rPr>
        <w:t xml:space="preserve"> </w:t>
      </w:r>
      <w:r w:rsidRPr="00310F43">
        <w:rPr>
          <w:color w:val="auto"/>
          <w:spacing w:val="-2"/>
          <w:w w:val="85"/>
          <w:sz w:val="36"/>
          <w:szCs w:val="36"/>
          <w:u w:val="single"/>
        </w:rPr>
        <w:t>FROM</w:t>
      </w:r>
      <w:r w:rsidRPr="00310F43">
        <w:rPr>
          <w:color w:val="auto"/>
          <w:spacing w:val="-30"/>
          <w:w w:val="85"/>
          <w:sz w:val="36"/>
          <w:szCs w:val="36"/>
          <w:u w:val="single"/>
        </w:rPr>
        <w:t xml:space="preserve"> </w:t>
      </w:r>
      <w:r w:rsidRPr="00310F43">
        <w:rPr>
          <w:color w:val="auto"/>
          <w:spacing w:val="-2"/>
          <w:w w:val="80"/>
          <w:sz w:val="36"/>
          <w:szCs w:val="36"/>
          <w:u w:val="single"/>
        </w:rPr>
        <w:t>1</w:t>
      </w:r>
      <w:r w:rsidRPr="00310F43">
        <w:rPr>
          <w:color w:val="auto"/>
          <w:spacing w:val="-23"/>
          <w:w w:val="80"/>
          <w:sz w:val="36"/>
          <w:szCs w:val="36"/>
          <w:u w:val="single"/>
        </w:rPr>
        <w:t xml:space="preserve"> </w:t>
      </w:r>
      <w:r w:rsidRPr="00310F43">
        <w:rPr>
          <w:color w:val="auto"/>
          <w:spacing w:val="-2"/>
          <w:w w:val="85"/>
          <w:sz w:val="36"/>
          <w:szCs w:val="36"/>
          <w:u w:val="single"/>
        </w:rPr>
        <w:t>JANUARY</w:t>
      </w:r>
      <w:r w:rsidRPr="00310F43">
        <w:rPr>
          <w:color w:val="auto"/>
          <w:spacing w:val="-30"/>
          <w:w w:val="85"/>
          <w:sz w:val="36"/>
          <w:szCs w:val="36"/>
          <w:u w:val="single"/>
        </w:rPr>
        <w:t xml:space="preserve"> </w:t>
      </w:r>
      <w:r w:rsidRPr="00310F43">
        <w:rPr>
          <w:color w:val="auto"/>
          <w:spacing w:val="-2"/>
          <w:w w:val="85"/>
          <w:sz w:val="36"/>
          <w:szCs w:val="36"/>
          <w:u w:val="single"/>
        </w:rPr>
        <w:t>2022</w:t>
      </w:r>
      <w:r w:rsidRPr="00310F43">
        <w:rPr>
          <w:color w:val="auto"/>
          <w:spacing w:val="-31"/>
          <w:w w:val="85"/>
          <w:sz w:val="36"/>
          <w:szCs w:val="36"/>
          <w:u w:val="single"/>
        </w:rPr>
        <w:t xml:space="preserve"> </w:t>
      </w:r>
      <w:r w:rsidRPr="00310F43">
        <w:rPr>
          <w:color w:val="auto"/>
          <w:spacing w:val="-2"/>
          <w:w w:val="85"/>
          <w:sz w:val="36"/>
          <w:szCs w:val="36"/>
          <w:u w:val="single"/>
        </w:rPr>
        <w:t>TO</w:t>
      </w:r>
      <w:r w:rsidRPr="00310F43">
        <w:rPr>
          <w:color w:val="auto"/>
          <w:spacing w:val="-30"/>
          <w:w w:val="85"/>
          <w:sz w:val="36"/>
          <w:szCs w:val="36"/>
          <w:u w:val="single"/>
        </w:rPr>
        <w:t xml:space="preserve"> </w:t>
      </w:r>
      <w:r w:rsidRPr="00310F43">
        <w:rPr>
          <w:color w:val="auto"/>
          <w:spacing w:val="-2"/>
          <w:w w:val="85"/>
          <w:sz w:val="36"/>
          <w:szCs w:val="36"/>
          <w:u w:val="single"/>
        </w:rPr>
        <w:t>31</w:t>
      </w:r>
      <w:r w:rsidRPr="00310F43">
        <w:rPr>
          <w:color w:val="auto"/>
          <w:spacing w:val="-31"/>
          <w:w w:val="85"/>
          <w:sz w:val="36"/>
          <w:szCs w:val="36"/>
          <w:u w:val="single"/>
        </w:rPr>
        <w:t xml:space="preserve"> </w:t>
      </w:r>
      <w:r w:rsidRPr="00310F43">
        <w:rPr>
          <w:color w:val="auto"/>
          <w:spacing w:val="-2"/>
          <w:w w:val="85"/>
          <w:sz w:val="36"/>
          <w:szCs w:val="36"/>
          <w:u w:val="single"/>
        </w:rPr>
        <w:t>DECEMBER</w:t>
      </w:r>
      <w:r w:rsidRPr="00310F43">
        <w:rPr>
          <w:color w:val="auto"/>
          <w:spacing w:val="-30"/>
          <w:w w:val="85"/>
          <w:sz w:val="36"/>
          <w:szCs w:val="36"/>
          <w:u w:val="single"/>
        </w:rPr>
        <w:t xml:space="preserve"> </w:t>
      </w:r>
      <w:r w:rsidRPr="00310F43">
        <w:rPr>
          <w:color w:val="auto"/>
          <w:spacing w:val="-4"/>
          <w:w w:val="85"/>
          <w:sz w:val="36"/>
          <w:szCs w:val="36"/>
          <w:u w:val="single"/>
        </w:rPr>
        <w:t>2022</w:t>
      </w:r>
    </w:p>
    <w:p w14:paraId="6200A706" w14:textId="77777777" w:rsidR="00781E7F" w:rsidRDefault="00781E7F" w:rsidP="00781E7F">
      <w:pPr>
        <w:spacing w:before="100" w:line="244" w:lineRule="auto"/>
        <w:ind w:right="2081"/>
        <w:rPr>
          <w:rFonts w:ascii="Calibri" w:hAnsi="Calibri"/>
          <w:w w:val="110"/>
          <w:sz w:val="24"/>
        </w:rPr>
      </w:pPr>
      <w:r w:rsidRPr="00392C98">
        <w:rPr>
          <w:rFonts w:ascii="Calibri" w:hAnsi="Calibri"/>
          <w:w w:val="110"/>
          <w:sz w:val="24"/>
        </w:rPr>
        <w:t>The</w:t>
      </w:r>
      <w:r w:rsidRPr="00392C98">
        <w:rPr>
          <w:rFonts w:ascii="Calibri" w:hAnsi="Calibri"/>
          <w:spacing w:val="-8"/>
          <w:w w:val="110"/>
          <w:sz w:val="24"/>
        </w:rPr>
        <w:t xml:space="preserve"> </w:t>
      </w:r>
      <w:r w:rsidRPr="00392C98">
        <w:rPr>
          <w:rFonts w:ascii="Calibri" w:hAnsi="Calibri"/>
          <w:w w:val="110"/>
          <w:sz w:val="24"/>
        </w:rPr>
        <w:t>Mekong-Australia</w:t>
      </w:r>
      <w:r w:rsidRPr="00392C98">
        <w:rPr>
          <w:rFonts w:ascii="Calibri" w:hAnsi="Calibri"/>
          <w:spacing w:val="-8"/>
          <w:w w:val="110"/>
          <w:sz w:val="24"/>
        </w:rPr>
        <w:t xml:space="preserve"> </w:t>
      </w:r>
      <w:r w:rsidRPr="00392C98">
        <w:rPr>
          <w:rFonts w:ascii="Calibri" w:hAnsi="Calibri"/>
          <w:w w:val="110"/>
          <w:sz w:val="24"/>
        </w:rPr>
        <w:t>Partnership</w:t>
      </w:r>
      <w:r w:rsidRPr="00392C98">
        <w:rPr>
          <w:rFonts w:ascii="Calibri" w:hAnsi="Calibri"/>
          <w:spacing w:val="-8"/>
          <w:w w:val="110"/>
          <w:sz w:val="24"/>
        </w:rPr>
        <w:t xml:space="preserve"> </w:t>
      </w:r>
      <w:r w:rsidRPr="00392C98">
        <w:rPr>
          <w:rFonts w:ascii="Calibri" w:hAnsi="Calibri"/>
          <w:w w:val="110"/>
          <w:sz w:val="24"/>
        </w:rPr>
        <w:t>(MAP)</w:t>
      </w:r>
      <w:r w:rsidRPr="00392C98">
        <w:rPr>
          <w:rFonts w:ascii="Calibri" w:hAnsi="Calibri"/>
          <w:spacing w:val="-8"/>
          <w:w w:val="110"/>
          <w:sz w:val="24"/>
        </w:rPr>
        <w:t xml:space="preserve"> </w:t>
      </w:r>
      <w:r w:rsidRPr="00392C98">
        <w:rPr>
          <w:rFonts w:ascii="Calibri" w:hAnsi="Calibri"/>
          <w:w w:val="110"/>
          <w:sz w:val="24"/>
        </w:rPr>
        <w:t>is</w:t>
      </w:r>
      <w:r w:rsidRPr="00392C98">
        <w:rPr>
          <w:rFonts w:ascii="Calibri" w:hAnsi="Calibri"/>
          <w:spacing w:val="-8"/>
          <w:w w:val="110"/>
          <w:sz w:val="24"/>
        </w:rPr>
        <w:t xml:space="preserve"> </w:t>
      </w:r>
      <w:r w:rsidRPr="00392C98">
        <w:rPr>
          <w:rFonts w:ascii="Calibri" w:hAnsi="Calibri"/>
          <w:w w:val="110"/>
          <w:sz w:val="24"/>
        </w:rPr>
        <w:t>a</w:t>
      </w:r>
      <w:r w:rsidRPr="00392C98">
        <w:rPr>
          <w:rFonts w:ascii="Calibri" w:hAnsi="Calibri"/>
          <w:spacing w:val="-8"/>
          <w:w w:val="110"/>
          <w:sz w:val="24"/>
        </w:rPr>
        <w:t xml:space="preserve"> </w:t>
      </w:r>
      <w:r w:rsidRPr="00392C98">
        <w:rPr>
          <w:rFonts w:ascii="Calibri" w:hAnsi="Calibri"/>
          <w:w w:val="110"/>
          <w:sz w:val="24"/>
        </w:rPr>
        <w:t>four-year</w:t>
      </w:r>
      <w:r w:rsidRPr="00392C98">
        <w:rPr>
          <w:rFonts w:ascii="Calibri" w:hAnsi="Calibri"/>
          <w:spacing w:val="-8"/>
          <w:w w:val="110"/>
          <w:sz w:val="24"/>
        </w:rPr>
        <w:t xml:space="preserve"> </w:t>
      </w:r>
      <w:r w:rsidRPr="00392C98">
        <w:rPr>
          <w:rFonts w:ascii="Calibri" w:hAnsi="Calibri"/>
          <w:w w:val="110"/>
          <w:sz w:val="24"/>
        </w:rPr>
        <w:t>flexible</w:t>
      </w:r>
      <w:r w:rsidRPr="00392C98">
        <w:rPr>
          <w:rFonts w:ascii="Calibri" w:hAnsi="Calibri"/>
          <w:spacing w:val="-8"/>
          <w:w w:val="110"/>
          <w:sz w:val="24"/>
        </w:rPr>
        <w:t xml:space="preserve"> </w:t>
      </w:r>
      <w:r w:rsidRPr="00392C98">
        <w:rPr>
          <w:rFonts w:ascii="Calibri" w:hAnsi="Calibri"/>
          <w:w w:val="110"/>
          <w:sz w:val="24"/>
        </w:rPr>
        <w:t>$232</w:t>
      </w:r>
      <w:r w:rsidRPr="00392C98">
        <w:rPr>
          <w:rFonts w:ascii="Calibri" w:hAnsi="Calibri"/>
          <w:spacing w:val="-8"/>
          <w:w w:val="110"/>
          <w:sz w:val="24"/>
        </w:rPr>
        <w:t xml:space="preserve"> </w:t>
      </w:r>
      <w:r w:rsidRPr="00392C98">
        <w:rPr>
          <w:rFonts w:ascii="Calibri" w:hAnsi="Calibri"/>
          <w:w w:val="110"/>
          <w:sz w:val="24"/>
        </w:rPr>
        <w:t>million</w:t>
      </w:r>
      <w:r w:rsidRPr="00392C98">
        <w:rPr>
          <w:rFonts w:ascii="Calibri" w:hAnsi="Calibri"/>
          <w:spacing w:val="-8"/>
          <w:w w:val="110"/>
          <w:sz w:val="24"/>
        </w:rPr>
        <w:t xml:space="preserve"> </w:t>
      </w:r>
      <w:r w:rsidRPr="00392C98">
        <w:rPr>
          <w:rFonts w:ascii="Calibri" w:hAnsi="Calibri"/>
          <w:w w:val="110"/>
          <w:sz w:val="24"/>
        </w:rPr>
        <w:t>program</w:t>
      </w:r>
      <w:r w:rsidRPr="00392C98">
        <w:rPr>
          <w:rFonts w:ascii="Calibri" w:hAnsi="Calibri"/>
          <w:spacing w:val="-8"/>
          <w:w w:val="110"/>
          <w:sz w:val="24"/>
        </w:rPr>
        <w:t xml:space="preserve"> </w:t>
      </w:r>
      <w:r w:rsidRPr="00392C98">
        <w:rPr>
          <w:rFonts w:ascii="Calibri" w:hAnsi="Calibri"/>
          <w:w w:val="110"/>
          <w:sz w:val="24"/>
        </w:rPr>
        <w:t>(2020/21</w:t>
      </w:r>
      <w:r w:rsidRPr="00392C98">
        <w:rPr>
          <w:rFonts w:ascii="Calibri" w:hAnsi="Calibri"/>
          <w:spacing w:val="-8"/>
          <w:w w:val="110"/>
          <w:sz w:val="24"/>
        </w:rPr>
        <w:t xml:space="preserve"> </w:t>
      </w:r>
      <w:r w:rsidRPr="00392C98">
        <w:rPr>
          <w:rFonts w:ascii="Calibri" w:hAnsi="Calibri"/>
          <w:w w:val="110"/>
          <w:sz w:val="24"/>
        </w:rPr>
        <w:t>to</w:t>
      </w:r>
      <w:r w:rsidRPr="00392C98">
        <w:rPr>
          <w:rFonts w:ascii="Calibri" w:hAnsi="Calibri"/>
          <w:spacing w:val="-8"/>
          <w:w w:val="110"/>
          <w:sz w:val="24"/>
        </w:rPr>
        <w:t xml:space="preserve"> </w:t>
      </w:r>
      <w:r w:rsidRPr="00392C98">
        <w:rPr>
          <w:rFonts w:ascii="Calibri" w:hAnsi="Calibri"/>
          <w:w w:val="110"/>
          <w:sz w:val="24"/>
        </w:rPr>
        <w:t>2023/24).</w:t>
      </w:r>
      <w:r w:rsidRPr="00392C98">
        <w:rPr>
          <w:rFonts w:ascii="Calibri" w:hAnsi="Calibri"/>
          <w:spacing w:val="-8"/>
          <w:w w:val="110"/>
          <w:sz w:val="24"/>
        </w:rPr>
        <w:t xml:space="preserve"> </w:t>
      </w:r>
      <w:r w:rsidRPr="00392C98">
        <w:rPr>
          <w:rFonts w:ascii="Calibri" w:hAnsi="Calibri"/>
          <w:w w:val="110"/>
          <w:sz w:val="24"/>
        </w:rPr>
        <w:t>MAP’s</w:t>
      </w:r>
      <w:r w:rsidRPr="00392C98">
        <w:rPr>
          <w:rFonts w:ascii="Calibri" w:hAnsi="Calibri"/>
          <w:spacing w:val="-8"/>
          <w:w w:val="110"/>
          <w:sz w:val="24"/>
        </w:rPr>
        <w:t xml:space="preserve"> </w:t>
      </w:r>
      <w:r w:rsidRPr="00392C98">
        <w:rPr>
          <w:rFonts w:ascii="Calibri" w:hAnsi="Calibri"/>
          <w:w w:val="110"/>
          <w:sz w:val="24"/>
        </w:rPr>
        <w:t>overarching</w:t>
      </w:r>
      <w:r w:rsidRPr="00392C98">
        <w:rPr>
          <w:rFonts w:ascii="Calibri" w:hAnsi="Calibri"/>
          <w:spacing w:val="-8"/>
          <w:w w:val="110"/>
          <w:sz w:val="24"/>
        </w:rPr>
        <w:t xml:space="preserve"> </w:t>
      </w:r>
      <w:r w:rsidRPr="00392C98">
        <w:rPr>
          <w:rFonts w:ascii="Calibri" w:hAnsi="Calibri"/>
          <w:w w:val="110"/>
          <w:sz w:val="24"/>
        </w:rPr>
        <w:t>goal</w:t>
      </w:r>
      <w:r w:rsidRPr="00392C98">
        <w:rPr>
          <w:rFonts w:ascii="Calibri" w:hAnsi="Calibri"/>
          <w:spacing w:val="-8"/>
          <w:w w:val="110"/>
          <w:sz w:val="24"/>
        </w:rPr>
        <w:t xml:space="preserve"> </w:t>
      </w:r>
      <w:r w:rsidRPr="00392C98">
        <w:rPr>
          <w:rFonts w:ascii="Calibri" w:hAnsi="Calibri"/>
          <w:w w:val="110"/>
          <w:sz w:val="24"/>
        </w:rPr>
        <w:t>is</w:t>
      </w:r>
      <w:r w:rsidRPr="00392C98">
        <w:rPr>
          <w:rFonts w:ascii="Calibri" w:hAnsi="Calibri"/>
          <w:spacing w:val="-8"/>
          <w:w w:val="110"/>
          <w:sz w:val="24"/>
        </w:rPr>
        <w:t xml:space="preserve"> </w:t>
      </w:r>
      <w:r w:rsidRPr="00392C98">
        <w:rPr>
          <w:rFonts w:ascii="Calibri" w:hAnsi="Calibri"/>
          <w:w w:val="110"/>
          <w:sz w:val="24"/>
        </w:rPr>
        <w:t>to</w:t>
      </w:r>
      <w:r w:rsidRPr="00392C98">
        <w:rPr>
          <w:rFonts w:ascii="Calibri" w:hAnsi="Calibri"/>
          <w:spacing w:val="-8"/>
          <w:w w:val="110"/>
          <w:sz w:val="24"/>
        </w:rPr>
        <w:t xml:space="preserve"> </w:t>
      </w:r>
      <w:r w:rsidRPr="00392C98">
        <w:rPr>
          <w:rFonts w:ascii="Calibri" w:hAnsi="Calibri"/>
          <w:w w:val="110"/>
          <w:sz w:val="24"/>
        </w:rPr>
        <w:t>foster</w:t>
      </w:r>
      <w:r w:rsidRPr="00392C98">
        <w:rPr>
          <w:rFonts w:ascii="Calibri" w:hAnsi="Calibri"/>
          <w:spacing w:val="-8"/>
          <w:w w:val="110"/>
          <w:sz w:val="24"/>
        </w:rPr>
        <w:t xml:space="preserve"> </w:t>
      </w:r>
      <w:r w:rsidRPr="00392C98">
        <w:rPr>
          <w:rFonts w:ascii="Calibri" w:hAnsi="Calibri"/>
          <w:w w:val="110"/>
          <w:sz w:val="24"/>
        </w:rPr>
        <w:t>an</w:t>
      </w:r>
      <w:r w:rsidRPr="00392C98">
        <w:rPr>
          <w:rFonts w:ascii="Calibri" w:hAnsi="Calibri"/>
          <w:spacing w:val="-8"/>
          <w:w w:val="110"/>
          <w:sz w:val="24"/>
        </w:rPr>
        <w:t xml:space="preserve"> </w:t>
      </w:r>
      <w:r w:rsidRPr="00392C98">
        <w:rPr>
          <w:rFonts w:ascii="Calibri" w:hAnsi="Calibri"/>
          <w:w w:val="110"/>
          <w:sz w:val="24"/>
        </w:rPr>
        <w:t>inclusive</w:t>
      </w:r>
      <w:r w:rsidRPr="00392C98">
        <w:rPr>
          <w:rFonts w:ascii="Calibri" w:hAnsi="Calibri"/>
          <w:spacing w:val="-8"/>
          <w:w w:val="110"/>
          <w:sz w:val="24"/>
        </w:rPr>
        <w:t xml:space="preserve"> </w:t>
      </w:r>
      <w:r w:rsidRPr="00392C98">
        <w:rPr>
          <w:rFonts w:ascii="Calibri" w:hAnsi="Calibri"/>
          <w:w w:val="110"/>
          <w:sz w:val="24"/>
        </w:rPr>
        <w:t>and</w:t>
      </w:r>
      <w:r w:rsidRPr="00392C98">
        <w:rPr>
          <w:rFonts w:ascii="Calibri" w:hAnsi="Calibri"/>
          <w:spacing w:val="-8"/>
          <w:w w:val="110"/>
          <w:sz w:val="24"/>
        </w:rPr>
        <w:t xml:space="preserve"> </w:t>
      </w:r>
      <w:r w:rsidRPr="00392C98">
        <w:rPr>
          <w:rFonts w:ascii="Calibri" w:hAnsi="Calibri"/>
          <w:w w:val="110"/>
          <w:sz w:val="24"/>
        </w:rPr>
        <w:t>sustainable</w:t>
      </w:r>
      <w:r w:rsidRPr="00392C98">
        <w:rPr>
          <w:rFonts w:ascii="Calibri" w:hAnsi="Calibri"/>
          <w:spacing w:val="-8"/>
          <w:w w:val="110"/>
          <w:sz w:val="24"/>
        </w:rPr>
        <w:t xml:space="preserve"> </w:t>
      </w:r>
      <w:r w:rsidRPr="00392C98">
        <w:rPr>
          <w:rFonts w:ascii="Calibri" w:hAnsi="Calibri"/>
          <w:w w:val="110"/>
          <w:sz w:val="24"/>
        </w:rPr>
        <w:t>recovery</w:t>
      </w:r>
      <w:r w:rsidRPr="00392C98">
        <w:rPr>
          <w:rFonts w:ascii="Calibri" w:hAnsi="Calibri"/>
          <w:spacing w:val="-8"/>
          <w:w w:val="110"/>
          <w:sz w:val="24"/>
        </w:rPr>
        <w:t xml:space="preserve"> </w:t>
      </w:r>
      <w:r w:rsidRPr="00392C98">
        <w:rPr>
          <w:rFonts w:ascii="Calibri" w:hAnsi="Calibri"/>
          <w:w w:val="110"/>
          <w:sz w:val="24"/>
        </w:rPr>
        <w:t>from</w:t>
      </w:r>
      <w:r w:rsidRPr="00392C98">
        <w:rPr>
          <w:rFonts w:ascii="Calibri" w:hAnsi="Calibri"/>
          <w:spacing w:val="-8"/>
          <w:w w:val="110"/>
          <w:sz w:val="24"/>
        </w:rPr>
        <w:t xml:space="preserve"> </w:t>
      </w:r>
      <w:r w:rsidRPr="00392C98">
        <w:rPr>
          <w:rFonts w:ascii="Calibri" w:hAnsi="Calibri"/>
          <w:w w:val="110"/>
          <w:sz w:val="24"/>
        </w:rPr>
        <w:t>the COVID-19</w:t>
      </w:r>
      <w:r w:rsidRPr="00392C98">
        <w:rPr>
          <w:rFonts w:ascii="Calibri" w:hAnsi="Calibri"/>
          <w:spacing w:val="-10"/>
          <w:w w:val="110"/>
          <w:sz w:val="24"/>
        </w:rPr>
        <w:t xml:space="preserve"> </w:t>
      </w:r>
      <w:r w:rsidRPr="00392C98">
        <w:rPr>
          <w:rFonts w:ascii="Calibri" w:hAnsi="Calibri"/>
          <w:w w:val="110"/>
          <w:sz w:val="24"/>
        </w:rPr>
        <w:t>pandemic,</w:t>
      </w:r>
      <w:r w:rsidRPr="00392C98">
        <w:rPr>
          <w:rFonts w:ascii="Calibri" w:hAnsi="Calibri"/>
          <w:spacing w:val="-10"/>
          <w:w w:val="110"/>
          <w:sz w:val="24"/>
        </w:rPr>
        <w:t xml:space="preserve"> </w:t>
      </w:r>
      <w:r w:rsidRPr="00392C98">
        <w:rPr>
          <w:rFonts w:ascii="Calibri" w:hAnsi="Calibri"/>
          <w:w w:val="110"/>
          <w:sz w:val="24"/>
        </w:rPr>
        <w:t>and</w:t>
      </w:r>
      <w:r w:rsidRPr="00392C98">
        <w:rPr>
          <w:rFonts w:ascii="Calibri" w:hAnsi="Calibri"/>
          <w:spacing w:val="-10"/>
          <w:w w:val="110"/>
          <w:sz w:val="24"/>
        </w:rPr>
        <w:t xml:space="preserve"> </w:t>
      </w:r>
      <w:r w:rsidRPr="00392C98">
        <w:rPr>
          <w:rFonts w:ascii="Calibri" w:hAnsi="Calibri"/>
          <w:w w:val="110"/>
          <w:sz w:val="24"/>
        </w:rPr>
        <w:t>support</w:t>
      </w:r>
      <w:r w:rsidRPr="00392C98">
        <w:rPr>
          <w:rFonts w:ascii="Calibri" w:hAnsi="Calibri"/>
          <w:spacing w:val="-10"/>
          <w:w w:val="110"/>
          <w:sz w:val="24"/>
        </w:rPr>
        <w:t xml:space="preserve"> </w:t>
      </w:r>
      <w:r w:rsidRPr="00392C98">
        <w:rPr>
          <w:rFonts w:ascii="Calibri" w:hAnsi="Calibri"/>
          <w:w w:val="110"/>
          <w:sz w:val="24"/>
        </w:rPr>
        <w:t>an</w:t>
      </w:r>
      <w:r w:rsidRPr="00392C98">
        <w:rPr>
          <w:rFonts w:ascii="Calibri" w:hAnsi="Calibri"/>
          <w:spacing w:val="-10"/>
          <w:w w:val="110"/>
          <w:sz w:val="24"/>
        </w:rPr>
        <w:t xml:space="preserve"> </w:t>
      </w:r>
      <w:r w:rsidRPr="00392C98">
        <w:rPr>
          <w:rFonts w:ascii="Calibri" w:hAnsi="Calibri"/>
          <w:w w:val="110"/>
          <w:sz w:val="24"/>
        </w:rPr>
        <w:t>open,</w:t>
      </w:r>
      <w:r w:rsidRPr="00392C98">
        <w:rPr>
          <w:rFonts w:ascii="Calibri" w:hAnsi="Calibri"/>
          <w:spacing w:val="-10"/>
          <w:w w:val="110"/>
          <w:sz w:val="24"/>
        </w:rPr>
        <w:t xml:space="preserve"> </w:t>
      </w:r>
      <w:proofErr w:type="gramStart"/>
      <w:r w:rsidRPr="00392C98">
        <w:rPr>
          <w:rFonts w:ascii="Calibri" w:hAnsi="Calibri"/>
          <w:w w:val="110"/>
          <w:sz w:val="24"/>
        </w:rPr>
        <w:t>prosperous</w:t>
      </w:r>
      <w:proofErr w:type="gramEnd"/>
      <w:r w:rsidRPr="00392C98">
        <w:rPr>
          <w:rFonts w:ascii="Calibri" w:hAnsi="Calibri"/>
          <w:spacing w:val="-10"/>
          <w:w w:val="110"/>
          <w:sz w:val="24"/>
        </w:rPr>
        <w:t xml:space="preserve"> </w:t>
      </w:r>
      <w:r w:rsidRPr="00392C98">
        <w:rPr>
          <w:rFonts w:ascii="Calibri" w:hAnsi="Calibri"/>
          <w:w w:val="110"/>
          <w:sz w:val="24"/>
        </w:rPr>
        <w:t>and</w:t>
      </w:r>
      <w:r w:rsidRPr="00392C98">
        <w:rPr>
          <w:rFonts w:ascii="Calibri" w:hAnsi="Calibri"/>
          <w:spacing w:val="-10"/>
          <w:w w:val="110"/>
          <w:sz w:val="24"/>
        </w:rPr>
        <w:t xml:space="preserve"> </w:t>
      </w:r>
      <w:r w:rsidRPr="00392C98">
        <w:rPr>
          <w:rFonts w:ascii="Calibri" w:hAnsi="Calibri"/>
          <w:w w:val="110"/>
          <w:sz w:val="24"/>
        </w:rPr>
        <w:t>stable</w:t>
      </w:r>
      <w:r w:rsidRPr="00392C98">
        <w:rPr>
          <w:rFonts w:ascii="Calibri" w:hAnsi="Calibri"/>
          <w:spacing w:val="-10"/>
          <w:w w:val="110"/>
          <w:sz w:val="24"/>
        </w:rPr>
        <w:t xml:space="preserve"> </w:t>
      </w:r>
      <w:r w:rsidRPr="00392C98">
        <w:rPr>
          <w:rFonts w:ascii="Calibri" w:hAnsi="Calibri"/>
          <w:w w:val="110"/>
          <w:sz w:val="24"/>
        </w:rPr>
        <w:t>Mekong</w:t>
      </w:r>
      <w:r w:rsidRPr="00392C98">
        <w:rPr>
          <w:rFonts w:ascii="Calibri" w:hAnsi="Calibri"/>
          <w:spacing w:val="-10"/>
          <w:w w:val="110"/>
          <w:sz w:val="24"/>
        </w:rPr>
        <w:t xml:space="preserve"> </w:t>
      </w:r>
      <w:r w:rsidRPr="00392C98">
        <w:rPr>
          <w:rFonts w:ascii="Calibri" w:hAnsi="Calibri"/>
          <w:w w:val="110"/>
          <w:sz w:val="24"/>
        </w:rPr>
        <w:t>subregion.</w:t>
      </w:r>
    </w:p>
    <w:p w14:paraId="4C397EAB" w14:textId="3ADE9B7F" w:rsidR="00781E7F" w:rsidRDefault="00781E7F" w:rsidP="00781E7F">
      <w:pPr>
        <w:spacing w:before="100" w:line="244" w:lineRule="auto"/>
        <w:ind w:right="2081"/>
        <w:rPr>
          <w:rFonts w:ascii="Calibri" w:hAnsi="Calibri"/>
          <w:w w:val="110"/>
          <w:sz w:val="24"/>
        </w:rPr>
      </w:pPr>
      <w:r w:rsidRPr="00781E7F">
        <w:rPr>
          <w:rFonts w:ascii="Calibri" w:hAnsi="Calibri"/>
          <w:w w:val="110"/>
          <w:sz w:val="24"/>
        </w:rPr>
        <w:t xml:space="preserve">MAP </w:t>
      </w:r>
      <w:r>
        <w:rPr>
          <w:rFonts w:ascii="Calibri" w:hAnsi="Calibri"/>
          <w:w w:val="110"/>
          <w:sz w:val="24"/>
        </w:rPr>
        <w:t xml:space="preserve">is strengthening Australia’s economic, political and development relationships in the Mekong Subregion and is contributing to development results. </w:t>
      </w:r>
    </w:p>
    <w:p w14:paraId="1D38A93C" w14:textId="77777777" w:rsidR="00F64444" w:rsidRPr="00781E7F" w:rsidRDefault="00F64444" w:rsidP="00781E7F">
      <w:pPr>
        <w:spacing w:before="100" w:line="244" w:lineRule="auto"/>
        <w:ind w:right="2081"/>
        <w:rPr>
          <w:rFonts w:ascii="Calibri" w:hAnsi="Calibri"/>
          <w:w w:val="110"/>
          <w:sz w:val="24"/>
        </w:rPr>
      </w:pPr>
    </w:p>
    <w:p w14:paraId="796450B3" w14:textId="3DBD1B38" w:rsidR="00781E7F" w:rsidRPr="00781E7F" w:rsidRDefault="00781E7F" w:rsidP="00781E7F">
      <w:pPr>
        <w:pStyle w:val="Heading2"/>
        <w:rPr>
          <w:color w:val="auto"/>
          <w:spacing w:val="-4"/>
          <w:w w:val="85"/>
          <w:sz w:val="36"/>
          <w:szCs w:val="36"/>
        </w:rPr>
      </w:pPr>
      <w:r>
        <w:rPr>
          <w:color w:val="auto"/>
          <w:spacing w:val="-2"/>
          <w:w w:val="85"/>
          <w:sz w:val="36"/>
          <w:szCs w:val="36"/>
        </w:rPr>
        <w:t>Economic resilience pillar</w:t>
      </w:r>
      <w:r>
        <w:rPr>
          <w:rFonts w:ascii="Calibri" w:hAnsi="Calibri"/>
          <w:w w:val="110"/>
          <w:sz w:val="24"/>
        </w:rPr>
        <w:t xml:space="preserve">. </w:t>
      </w:r>
    </w:p>
    <w:p w14:paraId="310439E2" w14:textId="422E1CB3" w:rsidR="00781E7F" w:rsidRDefault="00781E7F" w:rsidP="00781E7F">
      <w:pPr>
        <w:pStyle w:val="Heading2"/>
        <w:numPr>
          <w:ilvl w:val="0"/>
          <w:numId w:val="2"/>
        </w:numPr>
        <w:rPr>
          <w:rFonts w:ascii="Calibri" w:eastAsiaTheme="minorHAnsi" w:hAnsi="Calibri" w:cstheme="minorBidi"/>
          <w:color w:val="auto"/>
          <w:w w:val="110"/>
          <w:sz w:val="24"/>
          <w:szCs w:val="22"/>
        </w:rPr>
      </w:pPr>
      <w:r w:rsidRPr="00781E7F">
        <w:rPr>
          <w:rFonts w:ascii="Calibri" w:eastAsiaTheme="minorHAnsi" w:hAnsi="Calibri" w:cstheme="minorBidi"/>
          <w:color w:val="auto"/>
          <w:w w:val="110"/>
          <w:sz w:val="24"/>
          <w:szCs w:val="22"/>
        </w:rPr>
        <w:t>The Cambodia Trust Fund on Public Financial Management and Service Delivery Activity led to:</w:t>
      </w:r>
    </w:p>
    <w:p w14:paraId="43865139" w14:textId="28039FC6" w:rsidR="00781E7F" w:rsidRDefault="00781E7F" w:rsidP="00781E7F">
      <w:pPr>
        <w:pStyle w:val="BodyText"/>
        <w:numPr>
          <w:ilvl w:val="0"/>
          <w:numId w:val="3"/>
        </w:numPr>
        <w:spacing w:before="101" w:line="249" w:lineRule="auto"/>
        <w:ind w:right="42"/>
        <w:rPr>
          <w:rFonts w:ascii="Calibri" w:eastAsiaTheme="minorHAnsi" w:hAnsi="Calibri" w:cstheme="minorBidi"/>
          <w:w w:val="110"/>
          <w:kern w:val="2"/>
          <w:sz w:val="24"/>
          <w:lang w:val="en-AU"/>
          <w14:ligatures w14:val="standardContextual"/>
        </w:rPr>
      </w:pPr>
      <w:r w:rsidRPr="00781E7F">
        <w:rPr>
          <w:rFonts w:ascii="Calibri" w:eastAsiaTheme="minorHAnsi" w:hAnsi="Calibri" w:cstheme="minorBidi"/>
          <w:w w:val="110"/>
          <w:kern w:val="2"/>
          <w:sz w:val="24"/>
          <w:lang w:val="en-AU"/>
          <w14:ligatures w14:val="standardContextual"/>
        </w:rPr>
        <w:t>Measurable improvements to the Government’s payroll payment times from 33.4 to 10.4 days and payment processing times reduced by over 50 per cent</w:t>
      </w:r>
      <w:r>
        <w:rPr>
          <w:rFonts w:ascii="Calibri" w:eastAsiaTheme="minorHAnsi" w:hAnsi="Calibri" w:cstheme="minorBidi"/>
          <w:w w:val="110"/>
          <w:kern w:val="2"/>
          <w:sz w:val="24"/>
          <w:lang w:val="en-AU"/>
          <w14:ligatures w14:val="standardContextual"/>
        </w:rPr>
        <w:t>.</w:t>
      </w:r>
    </w:p>
    <w:p w14:paraId="01A0FEBA" w14:textId="3D26E638" w:rsidR="00781E7F" w:rsidRDefault="00781E7F" w:rsidP="00781E7F">
      <w:pPr>
        <w:pStyle w:val="BodyText"/>
        <w:numPr>
          <w:ilvl w:val="0"/>
          <w:numId w:val="3"/>
        </w:numPr>
        <w:spacing w:before="101" w:line="249" w:lineRule="auto"/>
        <w:ind w:right="42"/>
        <w:rPr>
          <w:rFonts w:ascii="Calibri" w:eastAsiaTheme="minorHAnsi" w:hAnsi="Calibri" w:cstheme="minorBidi"/>
          <w:w w:val="110"/>
          <w:kern w:val="2"/>
          <w:sz w:val="24"/>
          <w:lang w:val="en-AU"/>
          <w14:ligatures w14:val="standardContextual"/>
        </w:rPr>
      </w:pPr>
      <w:r w:rsidRPr="00781E7F">
        <w:rPr>
          <w:rFonts w:ascii="Calibri" w:eastAsiaTheme="minorHAnsi" w:hAnsi="Calibri" w:cstheme="minorBidi"/>
          <w:w w:val="110"/>
          <w:kern w:val="2"/>
          <w:sz w:val="24"/>
          <w:lang w:val="en-AU"/>
          <w14:ligatures w14:val="standardContextual"/>
        </w:rPr>
        <w:t>A 97 per cent completion rate for a leadership and innovation program on Public Financial Management (PFM) involving 473 senior government officials</w:t>
      </w:r>
      <w:r>
        <w:rPr>
          <w:rFonts w:ascii="Calibri" w:eastAsiaTheme="minorHAnsi" w:hAnsi="Calibri" w:cstheme="minorBidi"/>
          <w:w w:val="110"/>
          <w:kern w:val="2"/>
          <w:sz w:val="24"/>
          <w:lang w:val="en-AU"/>
          <w14:ligatures w14:val="standardContextual"/>
        </w:rPr>
        <w:t>.</w:t>
      </w:r>
    </w:p>
    <w:p w14:paraId="6F01911D" w14:textId="170D8CD8" w:rsidR="00781E7F" w:rsidRDefault="00781E7F" w:rsidP="00781E7F">
      <w:pPr>
        <w:pStyle w:val="BodyText"/>
        <w:numPr>
          <w:ilvl w:val="0"/>
          <w:numId w:val="3"/>
        </w:numPr>
        <w:spacing w:before="101" w:line="249" w:lineRule="auto"/>
        <w:ind w:right="42"/>
        <w:rPr>
          <w:rFonts w:ascii="Calibri" w:eastAsiaTheme="minorHAnsi" w:hAnsi="Calibri" w:cstheme="minorBidi"/>
          <w:w w:val="110"/>
          <w:kern w:val="2"/>
          <w:sz w:val="24"/>
          <w:lang w:val="en-AU"/>
          <w14:ligatures w14:val="standardContextual"/>
        </w:rPr>
      </w:pPr>
      <w:r w:rsidRPr="00781E7F">
        <w:rPr>
          <w:rFonts w:ascii="Calibri" w:eastAsiaTheme="minorHAnsi" w:hAnsi="Calibri" w:cstheme="minorBidi"/>
          <w:w w:val="110"/>
          <w:kern w:val="2"/>
          <w:sz w:val="24"/>
          <w:lang w:val="en-AU"/>
          <w14:ligatures w14:val="standardContextual"/>
        </w:rPr>
        <w:t>Improving Cambodia’s social protection system to protect households against shocks through a new cash transfer program and an integration of datasets.</w:t>
      </w:r>
    </w:p>
    <w:p w14:paraId="7D9B05C6" w14:textId="77777777" w:rsidR="00781E7F" w:rsidRDefault="00781E7F"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75015BD9" w14:textId="1C08E2A8" w:rsidR="00781E7F" w:rsidRDefault="00781E7F" w:rsidP="00781E7F">
      <w:pPr>
        <w:pStyle w:val="Heading2"/>
        <w:numPr>
          <w:ilvl w:val="0"/>
          <w:numId w:val="2"/>
        </w:numPr>
        <w:rPr>
          <w:rFonts w:ascii="Calibri" w:eastAsiaTheme="minorHAnsi" w:hAnsi="Calibri" w:cstheme="minorBidi"/>
          <w:color w:val="auto"/>
          <w:w w:val="110"/>
          <w:sz w:val="24"/>
          <w:szCs w:val="22"/>
        </w:rPr>
      </w:pPr>
      <w:r w:rsidRPr="00781E7F">
        <w:rPr>
          <w:rFonts w:ascii="Calibri" w:eastAsiaTheme="minorHAnsi" w:hAnsi="Calibri" w:cstheme="minorBidi"/>
          <w:color w:val="auto"/>
          <w:w w:val="110"/>
          <w:sz w:val="24"/>
          <w:szCs w:val="22"/>
        </w:rPr>
        <w:t>The Australia-Thailand Economic Resilience Partnership provided technical advice and capacity building results, influencing a decision to increase public funding by almost six times for learning materials and for food and milk for the Bangkok Metropolitan Administration’s early childhood centres</w:t>
      </w:r>
      <w:r>
        <w:rPr>
          <w:rFonts w:ascii="Calibri" w:eastAsiaTheme="minorHAnsi" w:hAnsi="Calibri" w:cstheme="minorBidi"/>
          <w:color w:val="auto"/>
          <w:w w:val="110"/>
          <w:sz w:val="24"/>
          <w:szCs w:val="22"/>
        </w:rPr>
        <w:t>.</w:t>
      </w:r>
    </w:p>
    <w:p w14:paraId="06E55F3B" w14:textId="77777777" w:rsidR="00F45F9A" w:rsidRPr="00F45F9A" w:rsidRDefault="00F45F9A" w:rsidP="00F45F9A"/>
    <w:p w14:paraId="7681E906" w14:textId="2B023B7B" w:rsidR="00781E7F" w:rsidRDefault="00F45F9A" w:rsidP="00781E7F">
      <w:pPr>
        <w:pStyle w:val="Heading2"/>
        <w:numPr>
          <w:ilvl w:val="0"/>
          <w:numId w:val="2"/>
        </w:numPr>
        <w:rPr>
          <w:rFonts w:ascii="Calibri" w:eastAsiaTheme="minorHAnsi" w:hAnsi="Calibri" w:cstheme="minorBidi"/>
          <w:color w:val="auto"/>
          <w:w w:val="110"/>
          <w:sz w:val="24"/>
          <w:szCs w:val="22"/>
        </w:rPr>
      </w:pPr>
      <w:bookmarkStart w:id="1" w:name="_Hlk160179058"/>
      <w:r w:rsidRPr="00F45F9A">
        <w:rPr>
          <w:rFonts w:ascii="Calibri" w:eastAsiaTheme="minorHAnsi" w:hAnsi="Calibri" w:cstheme="minorBidi"/>
          <w:color w:val="auto"/>
          <w:w w:val="110"/>
          <w:sz w:val="24"/>
          <w:szCs w:val="22"/>
        </w:rPr>
        <w:t xml:space="preserve">The Australia-Thailand Policy Dialogue on Critical Infrastructure draw over </w:t>
      </w:r>
      <w:r w:rsidR="00781E7F" w:rsidRPr="00F45F9A">
        <w:rPr>
          <w:rFonts w:ascii="Calibri" w:eastAsiaTheme="minorHAnsi" w:hAnsi="Calibri" w:cstheme="minorBidi"/>
          <w:color w:val="auto"/>
          <w:w w:val="110"/>
          <w:sz w:val="24"/>
          <w:szCs w:val="22"/>
        </w:rPr>
        <w:t>100 participants to discuss the nature of risks, including national interest concerns, associated with foreign investment</w:t>
      </w:r>
      <w:bookmarkEnd w:id="1"/>
      <w:r w:rsidR="00781E7F">
        <w:rPr>
          <w:rFonts w:ascii="Calibri" w:eastAsiaTheme="minorHAnsi" w:hAnsi="Calibri" w:cstheme="minorBidi"/>
          <w:color w:val="auto"/>
          <w:w w:val="110"/>
          <w:sz w:val="24"/>
          <w:szCs w:val="22"/>
        </w:rPr>
        <w:t>.</w:t>
      </w:r>
    </w:p>
    <w:p w14:paraId="3E30FA0E" w14:textId="77777777" w:rsidR="00F45F9A" w:rsidRPr="00F45F9A" w:rsidRDefault="00F45F9A" w:rsidP="00F45F9A"/>
    <w:p w14:paraId="35D90844" w14:textId="4885724E" w:rsidR="00F45F9A" w:rsidRDefault="00F45F9A" w:rsidP="00F45F9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 xml:space="preserve">Through the Consumer Protection Capacity Building program, knowledge sharing between Australia and Vietnam’s consumer protection agencies was strengthened through four key events: a Leaders’ Dialogue; a seminar on drafting legislation; a study </w:t>
      </w:r>
      <w:proofErr w:type="gramStart"/>
      <w:r w:rsidRPr="00F45F9A">
        <w:rPr>
          <w:rFonts w:ascii="Calibri" w:eastAsiaTheme="minorHAnsi" w:hAnsi="Calibri" w:cstheme="minorBidi"/>
          <w:color w:val="auto"/>
          <w:w w:val="110"/>
          <w:sz w:val="24"/>
          <w:szCs w:val="22"/>
        </w:rPr>
        <w:t>visit</w:t>
      </w:r>
      <w:proofErr w:type="gramEnd"/>
      <w:r w:rsidRPr="00F45F9A">
        <w:rPr>
          <w:rFonts w:ascii="Calibri" w:eastAsiaTheme="minorHAnsi" w:hAnsi="Calibri" w:cstheme="minorBidi"/>
          <w:color w:val="auto"/>
          <w:w w:val="110"/>
          <w:sz w:val="24"/>
          <w:szCs w:val="22"/>
        </w:rPr>
        <w:t xml:space="preserve"> with 12 Vietnamese delegates; and a law reform symposium</w:t>
      </w:r>
      <w:r>
        <w:rPr>
          <w:rFonts w:ascii="Calibri" w:eastAsiaTheme="minorHAnsi" w:hAnsi="Calibri" w:cstheme="minorBidi"/>
          <w:color w:val="auto"/>
          <w:w w:val="110"/>
          <w:sz w:val="24"/>
          <w:szCs w:val="22"/>
        </w:rPr>
        <w:t>.</w:t>
      </w:r>
    </w:p>
    <w:p w14:paraId="33C4030E" w14:textId="77777777" w:rsidR="00781E7F" w:rsidRPr="00781E7F" w:rsidRDefault="00781E7F" w:rsidP="00781E7F"/>
    <w:p w14:paraId="0C906982" w14:textId="31072ADB" w:rsidR="00F45F9A" w:rsidRDefault="00F45F9A" w:rsidP="00F45F9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In Laos, the PFM for Stability initiative delivered six key assessments, including on governance frameworks of state- owned enterprises, digital economy tax revenue, land, and environmental tax laws. Forty government officials attended a workshop on mainstreaming gender in PFM</w:t>
      </w:r>
      <w:r>
        <w:rPr>
          <w:rFonts w:ascii="Calibri" w:eastAsiaTheme="minorHAnsi" w:hAnsi="Calibri" w:cstheme="minorBidi"/>
          <w:color w:val="auto"/>
          <w:w w:val="110"/>
          <w:sz w:val="24"/>
          <w:szCs w:val="22"/>
        </w:rPr>
        <w:t>.</w:t>
      </w:r>
    </w:p>
    <w:p w14:paraId="34F908E0" w14:textId="77777777" w:rsidR="00F45F9A" w:rsidRPr="00F45F9A" w:rsidRDefault="00F45F9A" w:rsidP="00F45F9A"/>
    <w:p w14:paraId="66B456AC" w14:textId="231D98BC" w:rsidR="00F45F9A" w:rsidRDefault="00F45F9A" w:rsidP="00F45F9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 xml:space="preserve">The Mekong Safeguards program supported increased use of environmental, </w:t>
      </w:r>
      <w:proofErr w:type="gramStart"/>
      <w:r w:rsidRPr="00F45F9A">
        <w:rPr>
          <w:rFonts w:ascii="Calibri" w:eastAsiaTheme="minorHAnsi" w:hAnsi="Calibri" w:cstheme="minorBidi"/>
          <w:color w:val="auto"/>
          <w:w w:val="110"/>
          <w:sz w:val="24"/>
          <w:szCs w:val="22"/>
        </w:rPr>
        <w:t>social</w:t>
      </w:r>
      <w:proofErr w:type="gramEnd"/>
      <w:r w:rsidRPr="00F45F9A">
        <w:rPr>
          <w:rFonts w:ascii="Calibri" w:eastAsiaTheme="minorHAnsi" w:hAnsi="Calibri" w:cstheme="minorBidi"/>
          <w:color w:val="auto"/>
          <w:w w:val="110"/>
          <w:sz w:val="24"/>
          <w:szCs w:val="22"/>
        </w:rPr>
        <w:t xml:space="preserve"> and corporate governance standards for infrastructure development by Mekong organisations, including a major Thai power producer.</w:t>
      </w:r>
    </w:p>
    <w:p w14:paraId="3E678DD8" w14:textId="77777777" w:rsidR="00E47612" w:rsidRDefault="00E47612" w:rsidP="00E47612"/>
    <w:p w14:paraId="5705EC51" w14:textId="57B40282" w:rsidR="00E47612" w:rsidRPr="00C811CE" w:rsidRDefault="00E47612" w:rsidP="00C811CE">
      <w:pPr>
        <w:pStyle w:val="BodyText"/>
        <w:spacing w:before="105"/>
        <w:ind w:right="1"/>
        <w:jc w:val="center"/>
        <w:rPr>
          <w:rFonts w:ascii="Calibri" w:eastAsiaTheme="minorHAnsi" w:hAnsi="Calibri" w:cstheme="minorBidi"/>
          <w:w w:val="110"/>
          <w:kern w:val="2"/>
          <w:sz w:val="24"/>
          <w:lang w:val="en-AU"/>
          <w14:ligatures w14:val="standardContextual"/>
        </w:rPr>
      </w:pPr>
      <w:r w:rsidRPr="00C811CE">
        <w:rPr>
          <w:rFonts w:ascii="Calibri" w:eastAsiaTheme="minorHAnsi" w:hAnsi="Calibri" w:cstheme="minorBidi"/>
          <w:w w:val="110"/>
          <w:kern w:val="2"/>
          <w:sz w:val="24"/>
          <w:lang w:val="en-AU"/>
          <w14:ligatures w14:val="standardContextual"/>
        </w:rPr>
        <w:t xml:space="preserve">AND THIS CONTRIBUTED TO observed changes supporting the Mekong subregion’s economic recovery and </w:t>
      </w:r>
      <w:proofErr w:type="gramStart"/>
      <w:r w:rsidRPr="00C811CE">
        <w:rPr>
          <w:rFonts w:ascii="Calibri" w:eastAsiaTheme="minorHAnsi" w:hAnsi="Calibri" w:cstheme="minorBidi"/>
          <w:w w:val="110"/>
          <w:kern w:val="2"/>
          <w:sz w:val="24"/>
          <w:lang w:val="en-AU"/>
          <w14:ligatures w14:val="standardContextual"/>
        </w:rPr>
        <w:t>resilience</w:t>
      </w:r>
      <w:proofErr w:type="gramEnd"/>
    </w:p>
    <w:p w14:paraId="62B65D5E" w14:textId="77777777" w:rsidR="00F45F9A" w:rsidRPr="00F45F9A" w:rsidRDefault="00F45F9A" w:rsidP="00F45F9A"/>
    <w:p w14:paraId="5C5B171C" w14:textId="4F014BD2" w:rsidR="00F45F9A" w:rsidRPr="00781E7F" w:rsidRDefault="00F45F9A" w:rsidP="00F45F9A">
      <w:pPr>
        <w:pStyle w:val="Heading2"/>
        <w:rPr>
          <w:color w:val="auto"/>
          <w:spacing w:val="-4"/>
          <w:w w:val="85"/>
          <w:sz w:val="36"/>
          <w:szCs w:val="36"/>
        </w:rPr>
      </w:pPr>
      <w:r>
        <w:rPr>
          <w:color w:val="auto"/>
          <w:spacing w:val="-2"/>
          <w:w w:val="85"/>
          <w:sz w:val="36"/>
          <w:szCs w:val="36"/>
        </w:rPr>
        <w:t>Water, Energy and Climate Pillar</w:t>
      </w:r>
      <w:r>
        <w:rPr>
          <w:rFonts w:ascii="Calibri" w:hAnsi="Calibri"/>
          <w:w w:val="110"/>
          <w:sz w:val="24"/>
        </w:rPr>
        <w:t xml:space="preserve">. </w:t>
      </w:r>
    </w:p>
    <w:p w14:paraId="01136125" w14:textId="3558218E" w:rsidR="00F45F9A" w:rsidRDefault="00F45F9A" w:rsidP="00F45F9A">
      <w:pPr>
        <w:pStyle w:val="Heading2"/>
        <w:numPr>
          <w:ilvl w:val="0"/>
          <w:numId w:val="2"/>
        </w:numPr>
        <w:rPr>
          <w:rFonts w:ascii="Calibri" w:eastAsiaTheme="minorHAnsi" w:hAnsi="Calibri" w:cstheme="minorBidi"/>
          <w:color w:val="auto"/>
          <w:w w:val="110"/>
          <w:sz w:val="24"/>
          <w:szCs w:val="22"/>
        </w:rPr>
      </w:pPr>
      <w:r w:rsidRPr="00781E7F">
        <w:rPr>
          <w:rFonts w:ascii="Calibri" w:eastAsiaTheme="minorHAnsi" w:hAnsi="Calibri" w:cstheme="minorBidi"/>
          <w:color w:val="auto"/>
          <w:w w:val="110"/>
          <w:sz w:val="24"/>
          <w:szCs w:val="22"/>
        </w:rPr>
        <w:t xml:space="preserve">The </w:t>
      </w:r>
      <w:r w:rsidRPr="00F45F9A">
        <w:rPr>
          <w:rFonts w:ascii="Calibri" w:eastAsiaTheme="minorHAnsi" w:hAnsi="Calibri" w:cstheme="minorBidi"/>
          <w:color w:val="auto"/>
          <w:w w:val="110"/>
          <w:sz w:val="24"/>
          <w:szCs w:val="22"/>
        </w:rPr>
        <w:t>support to the Mekong River Commission (MRC) activity helped to generate a comprehensive analysis of water flows to improve transboundary water security and provide concrete strategies for climate adaptation and mitigation in the Mekong River Basin.</w:t>
      </w:r>
    </w:p>
    <w:p w14:paraId="608DADDD" w14:textId="77777777" w:rsidR="00F45F9A" w:rsidRDefault="00F45F9A" w:rsidP="00F45F9A"/>
    <w:p w14:paraId="3A3B5594" w14:textId="4ED63157" w:rsidR="00F45F9A" w:rsidRDefault="00F45F9A" w:rsidP="00F45F9A">
      <w:pPr>
        <w:pStyle w:val="Heading2"/>
        <w:numPr>
          <w:ilvl w:val="0"/>
          <w:numId w:val="2"/>
        </w:numPr>
        <w:rPr>
          <w:rFonts w:ascii="Calibri" w:eastAsiaTheme="minorHAnsi" w:hAnsi="Calibri" w:cstheme="minorBidi"/>
          <w:color w:val="auto"/>
          <w:w w:val="110"/>
          <w:sz w:val="24"/>
          <w:szCs w:val="22"/>
        </w:rPr>
      </w:pPr>
      <w:r w:rsidRPr="00781E7F">
        <w:rPr>
          <w:rFonts w:ascii="Calibri" w:eastAsiaTheme="minorHAnsi" w:hAnsi="Calibri" w:cstheme="minorBidi"/>
          <w:color w:val="auto"/>
          <w:w w:val="110"/>
          <w:sz w:val="24"/>
          <w:szCs w:val="22"/>
        </w:rPr>
        <w:t xml:space="preserve">The </w:t>
      </w:r>
      <w:r w:rsidRPr="00F45F9A">
        <w:rPr>
          <w:rFonts w:ascii="Calibri" w:eastAsiaTheme="minorHAnsi" w:hAnsi="Calibri" w:cstheme="minorBidi"/>
          <w:color w:val="auto"/>
          <w:w w:val="110"/>
          <w:sz w:val="24"/>
          <w:szCs w:val="22"/>
        </w:rPr>
        <w:t>MRC was also supported to trial an updated, user-friendly, highly visual website using up-to-date status of river condition, river flood forecast, risk of flash flooding, drought forecast, and rainfall distribution over the Lower Mekong River Basin.</w:t>
      </w:r>
    </w:p>
    <w:p w14:paraId="130207AF" w14:textId="77777777" w:rsidR="00F45F9A" w:rsidRDefault="00F45F9A" w:rsidP="00F45F9A"/>
    <w:p w14:paraId="66E39CB5" w14:textId="44C26B40" w:rsidR="00F45F9A" w:rsidRPr="00F45F9A" w:rsidRDefault="00F45F9A" w:rsidP="00F45F9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 xml:space="preserve">The </w:t>
      </w:r>
      <w:r w:rsidRPr="00F45F9A">
        <w:rPr>
          <w:rFonts w:ascii="Calibri" w:eastAsiaTheme="minorHAnsi" w:hAnsi="Calibri" w:cstheme="minorBidi"/>
          <w:i/>
          <w:iCs/>
          <w:color w:val="auto"/>
          <w:w w:val="110"/>
          <w:sz w:val="24"/>
          <w:szCs w:val="22"/>
        </w:rPr>
        <w:t>Resilient Urban Centre and Surrounds</w:t>
      </w:r>
      <w:r w:rsidRPr="00F45F9A">
        <w:rPr>
          <w:rFonts w:ascii="Calibri" w:eastAsiaTheme="minorHAnsi" w:hAnsi="Calibri" w:cstheme="minorBidi"/>
          <w:color w:val="auto"/>
          <w:w w:val="110"/>
          <w:sz w:val="24"/>
          <w:szCs w:val="22"/>
        </w:rPr>
        <w:t xml:space="preserve"> investment supported the promotion of nature-based solutions (NBS) in managing urban challenges with different agencies in Cambodia, Laos, </w:t>
      </w:r>
      <w:proofErr w:type="gramStart"/>
      <w:r w:rsidRPr="00F45F9A">
        <w:rPr>
          <w:rFonts w:ascii="Calibri" w:eastAsiaTheme="minorHAnsi" w:hAnsi="Calibri" w:cstheme="minorBidi"/>
          <w:color w:val="auto"/>
          <w:w w:val="110"/>
          <w:sz w:val="24"/>
          <w:szCs w:val="22"/>
        </w:rPr>
        <w:t>Thailand</w:t>
      </w:r>
      <w:proofErr w:type="gramEnd"/>
      <w:r w:rsidRPr="00F45F9A">
        <w:rPr>
          <w:rFonts w:ascii="Calibri" w:eastAsiaTheme="minorHAnsi" w:hAnsi="Calibri" w:cstheme="minorBidi"/>
          <w:color w:val="auto"/>
          <w:w w:val="110"/>
          <w:sz w:val="24"/>
          <w:szCs w:val="22"/>
        </w:rPr>
        <w:t xml:space="preserve"> and Vietnam through eight projects in eight cities.</w:t>
      </w:r>
    </w:p>
    <w:p w14:paraId="4D9DCFD7" w14:textId="77777777" w:rsidR="00F45F9A" w:rsidRPr="00F45F9A" w:rsidRDefault="00F45F9A" w:rsidP="00F45F9A"/>
    <w:p w14:paraId="0B4A1B72" w14:textId="69140CB6" w:rsidR="00F45F9A" w:rsidRDefault="00F45F9A" w:rsidP="00F45F9A">
      <w:pPr>
        <w:pStyle w:val="Heading2"/>
        <w:numPr>
          <w:ilvl w:val="0"/>
          <w:numId w:val="2"/>
        </w:numPr>
        <w:rPr>
          <w:rFonts w:ascii="Calibri" w:eastAsiaTheme="minorHAnsi" w:hAnsi="Calibri" w:cstheme="minorBidi"/>
          <w:color w:val="auto"/>
          <w:w w:val="110"/>
          <w:sz w:val="24"/>
          <w:szCs w:val="22"/>
        </w:rPr>
      </w:pPr>
      <w:r w:rsidRPr="00781E7F">
        <w:rPr>
          <w:rFonts w:ascii="Calibri" w:eastAsiaTheme="minorHAnsi" w:hAnsi="Calibri" w:cstheme="minorBidi"/>
          <w:color w:val="auto"/>
          <w:w w:val="110"/>
          <w:sz w:val="24"/>
          <w:szCs w:val="22"/>
        </w:rPr>
        <w:t xml:space="preserve">The </w:t>
      </w:r>
      <w:r w:rsidRPr="00F45F9A">
        <w:rPr>
          <w:rFonts w:ascii="Calibri" w:eastAsiaTheme="minorHAnsi" w:hAnsi="Calibri" w:cstheme="minorBidi"/>
          <w:color w:val="auto"/>
          <w:w w:val="110"/>
          <w:sz w:val="24"/>
          <w:szCs w:val="22"/>
        </w:rPr>
        <w:t xml:space="preserve">2022, MAP supported the MRC to publish a </w:t>
      </w:r>
      <w:r w:rsidRPr="00F45F9A">
        <w:rPr>
          <w:rFonts w:ascii="Calibri" w:eastAsiaTheme="minorHAnsi" w:hAnsi="Calibri" w:cstheme="minorBidi"/>
          <w:i/>
          <w:iCs/>
          <w:color w:val="auto"/>
          <w:w w:val="110"/>
          <w:sz w:val="24"/>
          <w:szCs w:val="22"/>
        </w:rPr>
        <w:t>‘Handbook on Mainstreaming Gender into the Mekong River Commission’s Core Functions and Activities: A Guidebook for a Gender- Responsive and Resilient Lower Mekong River Basin’</w:t>
      </w:r>
      <w:r w:rsidRPr="00F45F9A">
        <w:rPr>
          <w:rFonts w:ascii="Calibri" w:eastAsiaTheme="minorHAnsi" w:hAnsi="Calibri" w:cstheme="minorBidi"/>
          <w:color w:val="auto"/>
          <w:w w:val="110"/>
          <w:sz w:val="24"/>
          <w:szCs w:val="22"/>
        </w:rPr>
        <w:t xml:space="preserve"> to provide guidance on developing more gender inclusive strategies</w:t>
      </w:r>
      <w:r>
        <w:rPr>
          <w:rFonts w:ascii="Calibri" w:eastAsiaTheme="minorHAnsi" w:hAnsi="Calibri" w:cstheme="minorBidi"/>
          <w:color w:val="auto"/>
          <w:w w:val="110"/>
          <w:sz w:val="24"/>
          <w:szCs w:val="22"/>
        </w:rPr>
        <w:t>.</w:t>
      </w:r>
    </w:p>
    <w:p w14:paraId="33DD7F4A" w14:textId="77777777" w:rsidR="00F45F9A" w:rsidRDefault="00F45F9A" w:rsidP="00F45F9A"/>
    <w:p w14:paraId="6E921375" w14:textId="4DD83252" w:rsidR="00781E7F" w:rsidRDefault="00F45F9A" w:rsidP="00F45F9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lastRenderedPageBreak/>
        <w:t>In 2022, MAP supported 3,095 women, including young and Indigenous women, engaged in water resource governance and renewable energy- related public events, platforms, and forums at local, national, regional, and international levels.</w:t>
      </w:r>
    </w:p>
    <w:p w14:paraId="38782748" w14:textId="77777777" w:rsidR="00F45F9A" w:rsidRPr="00F45F9A" w:rsidRDefault="00F45F9A" w:rsidP="00F45F9A"/>
    <w:p w14:paraId="61B53EFF" w14:textId="1BC02A31" w:rsidR="00BE5444" w:rsidRDefault="00F45F9A" w:rsidP="00BE5444">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In Vietnam, the Australia Mekong Water Facility (the Facility) provided Australian expertise on pressurised water piping systems in 17 schemes across five provinces to ensure that irrigation systems can supply water on demand for high-value crops</w:t>
      </w:r>
      <w:r w:rsidR="00BE5444">
        <w:rPr>
          <w:rFonts w:ascii="Calibri" w:eastAsiaTheme="minorHAnsi" w:hAnsi="Calibri" w:cstheme="minorBidi"/>
          <w:color w:val="auto"/>
          <w:w w:val="110"/>
          <w:sz w:val="24"/>
          <w:szCs w:val="22"/>
        </w:rPr>
        <w:t>.</w:t>
      </w:r>
    </w:p>
    <w:p w14:paraId="308E2F46" w14:textId="77777777" w:rsidR="00C4074E" w:rsidRDefault="00C4074E" w:rsidP="00C4074E"/>
    <w:p w14:paraId="7759E4CA" w14:textId="5CF011DB" w:rsidR="00C4074E" w:rsidRPr="00BE5444" w:rsidRDefault="00C4074E" w:rsidP="00C4074E">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 xml:space="preserve">In </w:t>
      </w:r>
      <w:r w:rsidR="0027368F" w:rsidRPr="0027368F">
        <w:rPr>
          <w:rFonts w:ascii="Calibri" w:eastAsiaTheme="minorHAnsi" w:hAnsi="Calibri" w:cstheme="minorBidi"/>
          <w:color w:val="auto"/>
          <w:w w:val="110"/>
          <w:sz w:val="24"/>
          <w:szCs w:val="22"/>
        </w:rPr>
        <w:t>Thailand, the Facility is sharing knowledge on Australia’s water allocation systems and building the capacity of Thai officials to monitor water quality in its reservoirs and implement effective systems to enable equitable access to water among agricultural users</w:t>
      </w:r>
      <w:r>
        <w:rPr>
          <w:rFonts w:ascii="Calibri" w:eastAsiaTheme="minorHAnsi" w:hAnsi="Calibri" w:cstheme="minorBidi"/>
          <w:color w:val="auto"/>
          <w:w w:val="110"/>
          <w:sz w:val="24"/>
          <w:szCs w:val="22"/>
        </w:rPr>
        <w:t>.</w:t>
      </w:r>
    </w:p>
    <w:p w14:paraId="107BC5A4" w14:textId="77777777" w:rsidR="00C4074E" w:rsidRDefault="00C4074E" w:rsidP="00C4074E"/>
    <w:p w14:paraId="4033D985" w14:textId="1A35E496" w:rsidR="00616FD2" w:rsidRDefault="00A96FEB" w:rsidP="00A96FEB">
      <w:pPr>
        <w:pStyle w:val="Heading2"/>
        <w:numPr>
          <w:ilvl w:val="0"/>
          <w:numId w:val="2"/>
        </w:numPr>
        <w:rPr>
          <w:rFonts w:ascii="Calibri" w:eastAsiaTheme="minorHAnsi" w:hAnsi="Calibri" w:cstheme="minorBidi"/>
          <w:color w:val="auto"/>
          <w:w w:val="110"/>
          <w:sz w:val="24"/>
          <w:szCs w:val="22"/>
        </w:rPr>
      </w:pPr>
      <w:r w:rsidRPr="00A96FEB">
        <w:rPr>
          <w:rFonts w:ascii="Calibri" w:eastAsiaTheme="minorHAnsi" w:hAnsi="Calibri" w:cstheme="minorBidi"/>
          <w:color w:val="auto"/>
          <w:w w:val="110"/>
          <w:sz w:val="24"/>
          <w:szCs w:val="22"/>
        </w:rPr>
        <w:t>In</w:t>
      </w:r>
      <w:r w:rsidR="00616FD2" w:rsidRPr="00781E7F">
        <w:rPr>
          <w:rFonts w:ascii="Calibri" w:eastAsiaTheme="minorHAnsi" w:hAnsi="Calibri" w:cstheme="minorBidi"/>
          <w:color w:val="auto"/>
          <w:w w:val="110"/>
          <w:sz w:val="24"/>
          <w:szCs w:val="22"/>
        </w:rPr>
        <w:t xml:space="preserve"> </w:t>
      </w:r>
      <w:r w:rsidRPr="00A96FEB">
        <w:rPr>
          <w:rFonts w:ascii="Calibri" w:eastAsiaTheme="minorHAnsi" w:hAnsi="Calibri" w:cstheme="minorBidi"/>
          <w:color w:val="auto"/>
          <w:w w:val="110"/>
          <w:sz w:val="24"/>
          <w:szCs w:val="22"/>
        </w:rPr>
        <w:t>Cambodia, through the Strengthening Climate Resilience in Lower Mekong activity, leaders in three communities were supported to conduct vulnerability risk assessments and formulate a disaster risk reduction and climate change adaptation plan</w:t>
      </w:r>
      <w:r>
        <w:rPr>
          <w:rFonts w:ascii="Calibri" w:eastAsiaTheme="minorHAnsi" w:hAnsi="Calibri" w:cstheme="minorBidi"/>
          <w:color w:val="auto"/>
          <w:w w:val="110"/>
          <w:sz w:val="24"/>
          <w:szCs w:val="22"/>
        </w:rPr>
        <w:t>.</w:t>
      </w:r>
    </w:p>
    <w:p w14:paraId="16763D15" w14:textId="77777777" w:rsidR="003A5106" w:rsidRDefault="003A5106" w:rsidP="003A5106"/>
    <w:p w14:paraId="01124CF4" w14:textId="37396013" w:rsidR="003A5106" w:rsidRPr="00090B8A" w:rsidRDefault="003A5106" w:rsidP="00090B8A">
      <w:pPr>
        <w:pStyle w:val="Heading2"/>
        <w:numPr>
          <w:ilvl w:val="0"/>
          <w:numId w:val="2"/>
        </w:numPr>
        <w:rPr>
          <w:rFonts w:ascii="Calibri" w:eastAsiaTheme="minorHAnsi" w:hAnsi="Calibri" w:cstheme="minorBidi"/>
          <w:color w:val="auto"/>
          <w:w w:val="110"/>
          <w:sz w:val="24"/>
          <w:szCs w:val="22"/>
        </w:rPr>
      </w:pPr>
      <w:r w:rsidRPr="00F45F9A">
        <w:rPr>
          <w:rFonts w:ascii="Calibri" w:eastAsiaTheme="minorHAnsi" w:hAnsi="Calibri" w:cstheme="minorBidi"/>
          <w:color w:val="auto"/>
          <w:w w:val="110"/>
          <w:sz w:val="24"/>
          <w:szCs w:val="22"/>
        </w:rPr>
        <w:t xml:space="preserve">In </w:t>
      </w:r>
      <w:r w:rsidR="00090B8A" w:rsidRPr="00090B8A">
        <w:rPr>
          <w:rFonts w:ascii="Calibri" w:eastAsiaTheme="minorHAnsi" w:hAnsi="Calibri" w:cstheme="minorBidi"/>
          <w:color w:val="auto"/>
          <w:w w:val="110"/>
          <w:sz w:val="24"/>
          <w:szCs w:val="22"/>
        </w:rPr>
        <w:t xml:space="preserve">Laos, the Department of Water Resources gained knowledge in groundwater management which was used to prepare a Sustainable Groundwater Management Plan (SGMP) for the </w:t>
      </w:r>
      <w:proofErr w:type="spellStart"/>
      <w:r w:rsidR="00090B8A" w:rsidRPr="00090B8A">
        <w:rPr>
          <w:rFonts w:ascii="Calibri" w:eastAsiaTheme="minorHAnsi" w:hAnsi="Calibri" w:cstheme="minorBidi"/>
          <w:color w:val="auto"/>
          <w:w w:val="110"/>
          <w:sz w:val="24"/>
          <w:szCs w:val="22"/>
        </w:rPr>
        <w:t>Sekong</w:t>
      </w:r>
      <w:proofErr w:type="spellEnd"/>
      <w:r w:rsidR="00090B8A" w:rsidRPr="00090B8A">
        <w:rPr>
          <w:rFonts w:ascii="Calibri" w:eastAsiaTheme="minorHAnsi" w:hAnsi="Calibri" w:cstheme="minorBidi"/>
          <w:color w:val="auto"/>
          <w:w w:val="110"/>
          <w:sz w:val="24"/>
          <w:szCs w:val="22"/>
        </w:rPr>
        <w:t xml:space="preserve"> Province, potentially benefitting 132,000 people</w:t>
      </w:r>
      <w:r w:rsidR="00090B8A">
        <w:rPr>
          <w:rFonts w:ascii="Calibri" w:eastAsiaTheme="minorHAnsi" w:hAnsi="Calibri" w:cstheme="minorBidi"/>
          <w:color w:val="auto"/>
          <w:w w:val="110"/>
          <w:sz w:val="24"/>
          <w:szCs w:val="22"/>
        </w:rPr>
        <w:t>.</w:t>
      </w:r>
    </w:p>
    <w:p w14:paraId="3B88903D" w14:textId="77777777" w:rsidR="003A5106" w:rsidRPr="003A5106" w:rsidRDefault="003A5106" w:rsidP="003A5106"/>
    <w:p w14:paraId="195A1ABE" w14:textId="1A5E6E97" w:rsidR="00240FB4" w:rsidRPr="00240FB4" w:rsidRDefault="00240FB4" w:rsidP="00240FB4">
      <w:pPr>
        <w:pStyle w:val="BodyText"/>
        <w:spacing w:before="105"/>
        <w:ind w:right="1"/>
        <w:jc w:val="center"/>
        <w:rPr>
          <w:rFonts w:ascii="Calibri" w:eastAsiaTheme="minorHAnsi" w:hAnsi="Calibri" w:cstheme="minorBidi"/>
          <w:w w:val="110"/>
          <w:kern w:val="2"/>
          <w:sz w:val="24"/>
          <w:lang w:val="en-AU"/>
          <w14:ligatures w14:val="standardContextual"/>
        </w:rPr>
      </w:pPr>
      <w:r w:rsidRPr="00240FB4">
        <w:rPr>
          <w:rFonts w:ascii="Calibri" w:eastAsiaTheme="minorHAnsi" w:hAnsi="Calibri" w:cstheme="minorBidi"/>
          <w:w w:val="110"/>
          <w:kern w:val="2"/>
          <w:sz w:val="24"/>
          <w:lang w:val="en-AU"/>
          <w14:ligatures w14:val="standardContextual"/>
        </w:rPr>
        <w:t xml:space="preserve">AND THIS CONTRIBUTED TO strengthened transboundary and domestic water governance and improved water management </w:t>
      </w:r>
      <w:proofErr w:type="gramStart"/>
      <w:r w:rsidRPr="00240FB4">
        <w:rPr>
          <w:rFonts w:ascii="Calibri" w:eastAsiaTheme="minorHAnsi" w:hAnsi="Calibri" w:cstheme="minorBidi"/>
          <w:w w:val="110"/>
          <w:kern w:val="2"/>
          <w:sz w:val="24"/>
          <w:lang w:val="en-AU"/>
          <w14:ligatures w14:val="standardContextual"/>
        </w:rPr>
        <w:t>capacity</w:t>
      </w:r>
      <w:proofErr w:type="gramEnd"/>
    </w:p>
    <w:p w14:paraId="71936FC5" w14:textId="77777777" w:rsidR="00616FD2" w:rsidRPr="00C4074E" w:rsidRDefault="00616FD2" w:rsidP="00C4074E"/>
    <w:p w14:paraId="080E8BA4" w14:textId="18444D31" w:rsidR="007C434A" w:rsidRPr="00781E7F" w:rsidRDefault="007C434A" w:rsidP="007C434A">
      <w:pPr>
        <w:pStyle w:val="Heading2"/>
        <w:rPr>
          <w:color w:val="auto"/>
          <w:spacing w:val="-4"/>
          <w:w w:val="85"/>
          <w:sz w:val="36"/>
          <w:szCs w:val="36"/>
        </w:rPr>
      </w:pPr>
      <w:r>
        <w:rPr>
          <w:color w:val="auto"/>
          <w:spacing w:val="-2"/>
          <w:w w:val="85"/>
          <w:sz w:val="36"/>
          <w:szCs w:val="36"/>
        </w:rPr>
        <w:t xml:space="preserve">Human Capacity Pillar. </w:t>
      </w:r>
    </w:p>
    <w:p w14:paraId="37390DDB" w14:textId="0E2E16DA" w:rsidR="00217A65" w:rsidRDefault="00157A60" w:rsidP="00217A65">
      <w:pPr>
        <w:pStyle w:val="Heading2"/>
        <w:numPr>
          <w:ilvl w:val="0"/>
          <w:numId w:val="2"/>
        </w:numPr>
        <w:rPr>
          <w:rFonts w:ascii="Calibri" w:eastAsiaTheme="minorHAnsi" w:hAnsi="Calibri" w:cstheme="minorBidi"/>
          <w:color w:val="auto"/>
          <w:w w:val="110"/>
          <w:sz w:val="24"/>
          <w:szCs w:val="22"/>
        </w:rPr>
      </w:pPr>
      <w:r w:rsidRPr="00157A60">
        <w:rPr>
          <w:rFonts w:ascii="Calibri" w:eastAsiaTheme="minorHAnsi" w:hAnsi="Calibri" w:cstheme="minorBidi"/>
          <w:color w:val="auto"/>
          <w:w w:val="110"/>
          <w:sz w:val="24"/>
          <w:szCs w:val="22"/>
        </w:rPr>
        <w:t>In Almost 600 participants from Mekong subregion countries attended 29 short courses and workshops.</w:t>
      </w:r>
    </w:p>
    <w:p w14:paraId="4A4D9549" w14:textId="77777777" w:rsidR="00217A65" w:rsidRPr="00217A65" w:rsidRDefault="00217A65" w:rsidP="00217A65"/>
    <w:p w14:paraId="29930C40" w14:textId="23E28B86" w:rsidR="00C177A4" w:rsidRDefault="00C177A4" w:rsidP="00C177A4">
      <w:pPr>
        <w:pStyle w:val="Heading2"/>
        <w:numPr>
          <w:ilvl w:val="0"/>
          <w:numId w:val="2"/>
        </w:numPr>
        <w:rPr>
          <w:rFonts w:ascii="Calibri" w:eastAsiaTheme="minorHAnsi" w:hAnsi="Calibri" w:cstheme="minorBidi"/>
          <w:color w:val="auto"/>
          <w:w w:val="110"/>
          <w:sz w:val="24"/>
          <w:szCs w:val="22"/>
        </w:rPr>
      </w:pPr>
      <w:r w:rsidRPr="00C177A4">
        <w:rPr>
          <w:rFonts w:ascii="Calibri" w:eastAsiaTheme="minorHAnsi" w:hAnsi="Calibri" w:cstheme="minorBidi"/>
          <w:color w:val="auto"/>
          <w:w w:val="110"/>
          <w:sz w:val="24"/>
          <w:szCs w:val="22"/>
        </w:rPr>
        <w:t xml:space="preserve">In Vietnam, participants reported that three short courses (Strategic Analysis and Analytical Writing, Water Diplomacy for a Resilient Mekong, and Carbon Market Operations and Co-operative Mechanisms under the Paris Agreement) enabled them to contribute to policy development, </w:t>
      </w:r>
      <w:proofErr w:type="gramStart"/>
      <w:r w:rsidRPr="00C177A4">
        <w:rPr>
          <w:rFonts w:ascii="Calibri" w:eastAsiaTheme="minorHAnsi" w:hAnsi="Calibri" w:cstheme="minorBidi"/>
          <w:color w:val="auto"/>
          <w:w w:val="110"/>
          <w:sz w:val="24"/>
          <w:szCs w:val="22"/>
        </w:rPr>
        <w:t>practice</w:t>
      </w:r>
      <w:proofErr w:type="gramEnd"/>
      <w:r w:rsidRPr="00C177A4">
        <w:rPr>
          <w:rFonts w:ascii="Calibri" w:eastAsiaTheme="minorHAnsi" w:hAnsi="Calibri" w:cstheme="minorBidi"/>
          <w:color w:val="auto"/>
          <w:w w:val="110"/>
          <w:sz w:val="24"/>
          <w:szCs w:val="22"/>
        </w:rPr>
        <w:t xml:space="preserve"> and knowledge transfer. Participants completed legal documents on climate change adaptation, and proposed context-specific policies for Vietnam.</w:t>
      </w:r>
    </w:p>
    <w:p w14:paraId="54C4F2F7" w14:textId="77777777" w:rsidR="00C177A4" w:rsidRPr="00C177A4" w:rsidRDefault="00C177A4" w:rsidP="00C177A4"/>
    <w:p w14:paraId="59807DB2" w14:textId="15D086B9" w:rsidR="007C434A" w:rsidRDefault="00667F5B" w:rsidP="007C434A">
      <w:pPr>
        <w:pStyle w:val="Heading2"/>
        <w:numPr>
          <w:ilvl w:val="0"/>
          <w:numId w:val="2"/>
        </w:numPr>
        <w:rPr>
          <w:rFonts w:ascii="Calibri" w:eastAsiaTheme="minorHAnsi" w:hAnsi="Calibri" w:cstheme="minorBidi"/>
          <w:color w:val="auto"/>
          <w:w w:val="110"/>
          <w:sz w:val="24"/>
          <w:szCs w:val="22"/>
        </w:rPr>
      </w:pPr>
      <w:r>
        <w:rPr>
          <w:rFonts w:ascii="Calibri" w:eastAsiaTheme="minorHAnsi" w:hAnsi="Calibri" w:cstheme="minorBidi"/>
          <w:color w:val="auto"/>
          <w:w w:val="110"/>
          <w:sz w:val="24"/>
          <w:szCs w:val="22"/>
        </w:rPr>
        <w:t xml:space="preserve">In </w:t>
      </w:r>
      <w:r w:rsidRPr="00667F5B">
        <w:rPr>
          <w:rFonts w:ascii="Calibri" w:eastAsiaTheme="minorHAnsi" w:hAnsi="Calibri" w:cstheme="minorBidi"/>
          <w:color w:val="auto"/>
          <w:w w:val="110"/>
          <w:sz w:val="24"/>
          <w:szCs w:val="22"/>
        </w:rPr>
        <w:t xml:space="preserve">Laos, the </w:t>
      </w:r>
      <w:r w:rsidRPr="00667F5B">
        <w:rPr>
          <w:rFonts w:ascii="Calibri" w:eastAsiaTheme="minorHAnsi" w:hAnsi="Calibri" w:cstheme="minorBidi"/>
          <w:i/>
          <w:iCs/>
          <w:color w:val="auto"/>
          <w:w w:val="110"/>
          <w:sz w:val="24"/>
          <w:szCs w:val="22"/>
        </w:rPr>
        <w:t>Leadership for Responsive Public Administration</w:t>
      </w:r>
      <w:r w:rsidRPr="00667F5B">
        <w:rPr>
          <w:rFonts w:ascii="Calibri" w:eastAsiaTheme="minorHAnsi" w:hAnsi="Calibri" w:cstheme="minorBidi"/>
          <w:color w:val="auto"/>
          <w:w w:val="110"/>
          <w:sz w:val="24"/>
          <w:szCs w:val="22"/>
        </w:rPr>
        <w:t xml:space="preserve"> training program equipped participants with knowledge and skills on leadership concepts and practices for middle-level managers at the National Academy of Politics and Public Administration and contributed to their individual and organisational performance.</w:t>
      </w:r>
    </w:p>
    <w:p w14:paraId="6D75A8A3" w14:textId="77777777" w:rsidR="00F45F9A" w:rsidRDefault="00F45F9A"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04741CC9" w14:textId="77777777" w:rsidR="009D274F" w:rsidRPr="009D274F" w:rsidRDefault="009D274F" w:rsidP="009D274F">
      <w:pPr>
        <w:pStyle w:val="Heading2"/>
        <w:numPr>
          <w:ilvl w:val="0"/>
          <w:numId w:val="2"/>
        </w:numPr>
        <w:rPr>
          <w:rFonts w:ascii="Calibri" w:eastAsiaTheme="minorHAnsi" w:hAnsi="Calibri" w:cstheme="minorBidi"/>
          <w:color w:val="auto"/>
          <w:w w:val="110"/>
          <w:sz w:val="24"/>
          <w:szCs w:val="22"/>
        </w:rPr>
      </w:pPr>
      <w:r w:rsidRPr="009D274F">
        <w:rPr>
          <w:rFonts w:ascii="Calibri" w:eastAsiaTheme="minorHAnsi" w:hAnsi="Calibri" w:cstheme="minorBidi"/>
          <w:color w:val="auto"/>
          <w:w w:val="110"/>
          <w:sz w:val="24"/>
          <w:szCs w:val="22"/>
        </w:rPr>
        <w:t>Cambodian participants of the</w:t>
      </w:r>
      <w:r w:rsidRPr="009D274F">
        <w:rPr>
          <w:rFonts w:ascii="Calibri" w:eastAsiaTheme="minorHAnsi" w:hAnsi="Calibri" w:cstheme="minorBidi"/>
          <w:i/>
          <w:iCs/>
          <w:color w:val="auto"/>
          <w:w w:val="110"/>
          <w:sz w:val="24"/>
          <w:szCs w:val="22"/>
        </w:rPr>
        <w:t xml:space="preserve"> Fundamentals of Governance for Mining Industry Regulators</w:t>
      </w:r>
      <w:r w:rsidRPr="009D274F">
        <w:rPr>
          <w:rFonts w:ascii="Calibri" w:eastAsiaTheme="minorHAnsi" w:hAnsi="Calibri" w:cstheme="minorBidi"/>
          <w:color w:val="auto"/>
          <w:w w:val="110"/>
          <w:sz w:val="24"/>
          <w:szCs w:val="22"/>
        </w:rPr>
        <w:t xml:space="preserve"> training course visited two mine sites and were introduced to 39 Australian organisations across QLD, ACT, and NSW.</w:t>
      </w:r>
    </w:p>
    <w:p w14:paraId="1A9FEDD7" w14:textId="77777777" w:rsidR="009D274F" w:rsidRDefault="009D274F"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3BBFA3E9" w14:textId="6476AE17" w:rsidR="00FE6C34" w:rsidRPr="00FE6C34" w:rsidRDefault="00FE6C34" w:rsidP="00FE6C34">
      <w:pPr>
        <w:pStyle w:val="Heading2"/>
        <w:numPr>
          <w:ilvl w:val="0"/>
          <w:numId w:val="2"/>
        </w:numPr>
        <w:rPr>
          <w:rFonts w:ascii="Calibri" w:eastAsiaTheme="minorHAnsi" w:hAnsi="Calibri" w:cstheme="minorBidi"/>
          <w:color w:val="auto"/>
          <w:w w:val="110"/>
          <w:sz w:val="24"/>
          <w:szCs w:val="22"/>
        </w:rPr>
      </w:pPr>
      <w:r w:rsidRPr="00FE6C34">
        <w:rPr>
          <w:rFonts w:ascii="Calibri" w:eastAsiaTheme="minorHAnsi" w:hAnsi="Calibri" w:cstheme="minorBidi"/>
          <w:color w:val="auto"/>
          <w:w w:val="110"/>
          <w:sz w:val="24"/>
          <w:szCs w:val="22"/>
        </w:rPr>
        <w:t xml:space="preserve">In Thailand, the </w:t>
      </w:r>
      <w:r w:rsidRPr="00FE6C34">
        <w:rPr>
          <w:rFonts w:ascii="Calibri" w:eastAsiaTheme="minorHAnsi" w:hAnsi="Calibri" w:cstheme="minorBidi"/>
          <w:i/>
          <w:iCs/>
          <w:color w:val="auto"/>
          <w:w w:val="110"/>
          <w:sz w:val="24"/>
          <w:szCs w:val="22"/>
        </w:rPr>
        <w:t>Attracting and Managing Foreign Direct Investment</w:t>
      </w:r>
      <w:r w:rsidRPr="00FE6C34">
        <w:rPr>
          <w:rFonts w:ascii="Calibri" w:eastAsiaTheme="minorHAnsi" w:hAnsi="Calibri" w:cstheme="minorBidi"/>
          <w:color w:val="auto"/>
          <w:w w:val="110"/>
          <w:sz w:val="24"/>
          <w:szCs w:val="22"/>
        </w:rPr>
        <w:t xml:space="preserve"> short course and the </w:t>
      </w:r>
      <w:r w:rsidRPr="00FE6C34">
        <w:rPr>
          <w:rFonts w:ascii="Calibri" w:eastAsiaTheme="minorHAnsi" w:hAnsi="Calibri" w:cstheme="minorBidi"/>
          <w:i/>
          <w:iCs/>
          <w:color w:val="auto"/>
          <w:w w:val="110"/>
          <w:sz w:val="24"/>
          <w:szCs w:val="22"/>
        </w:rPr>
        <w:t>Thailand-Australian Competition Law Implementation</w:t>
      </w:r>
      <w:r w:rsidRPr="00FE6C34">
        <w:rPr>
          <w:rFonts w:ascii="Calibri" w:eastAsiaTheme="minorHAnsi" w:hAnsi="Calibri" w:cstheme="minorBidi"/>
          <w:color w:val="auto"/>
          <w:w w:val="110"/>
          <w:sz w:val="24"/>
          <w:szCs w:val="22"/>
        </w:rPr>
        <w:t xml:space="preserve"> program supported the implementation of competition laws and provided training on foreign direct investment.</w:t>
      </w:r>
    </w:p>
    <w:p w14:paraId="6FCED7C7" w14:textId="77777777" w:rsidR="00FE6C34" w:rsidRDefault="00FE6C34"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22C19087" w14:textId="77777777" w:rsidR="00F64444" w:rsidRPr="00F64444" w:rsidRDefault="00F64444" w:rsidP="00F64444">
      <w:pPr>
        <w:pStyle w:val="Heading2"/>
        <w:numPr>
          <w:ilvl w:val="0"/>
          <w:numId w:val="2"/>
        </w:numPr>
        <w:rPr>
          <w:rFonts w:ascii="Calibri" w:eastAsiaTheme="minorHAnsi" w:hAnsi="Calibri" w:cstheme="minorBidi"/>
          <w:color w:val="auto"/>
          <w:w w:val="110"/>
          <w:sz w:val="24"/>
          <w:szCs w:val="22"/>
        </w:rPr>
      </w:pPr>
      <w:r w:rsidRPr="00F64444">
        <w:rPr>
          <w:rFonts w:ascii="Calibri" w:eastAsiaTheme="minorHAnsi" w:hAnsi="Calibri" w:cstheme="minorBidi"/>
          <w:color w:val="auto"/>
          <w:w w:val="110"/>
          <w:sz w:val="24"/>
          <w:szCs w:val="22"/>
        </w:rPr>
        <w:t>47 scholarships were awarded, with all scholars mobilised to Australia by mid-2022.</w:t>
      </w:r>
    </w:p>
    <w:p w14:paraId="765D245A" w14:textId="77777777" w:rsidR="00593B78" w:rsidRDefault="00593B78" w:rsidP="00593B78">
      <w:pPr>
        <w:pStyle w:val="ListParagraph"/>
        <w:spacing w:before="24"/>
        <w:ind w:left="360" w:right="22"/>
        <w:rPr>
          <w:rFonts w:ascii="Tahoma"/>
          <w:color w:val="414A53"/>
          <w:w w:val="80"/>
        </w:rPr>
      </w:pPr>
    </w:p>
    <w:p w14:paraId="47E7427E" w14:textId="5F5DB03C" w:rsidR="00593B78" w:rsidRPr="00593B78" w:rsidRDefault="00593B78" w:rsidP="00593B78">
      <w:pPr>
        <w:pStyle w:val="BodyText"/>
        <w:spacing w:before="105"/>
        <w:ind w:right="1"/>
        <w:jc w:val="center"/>
        <w:rPr>
          <w:rFonts w:ascii="Calibri" w:eastAsiaTheme="minorHAnsi" w:hAnsi="Calibri" w:cstheme="minorBidi"/>
          <w:w w:val="110"/>
          <w:kern w:val="2"/>
          <w:sz w:val="24"/>
          <w:lang w:val="en-AU"/>
          <w14:ligatures w14:val="standardContextual"/>
        </w:rPr>
      </w:pPr>
      <w:r w:rsidRPr="00593B78">
        <w:rPr>
          <w:rFonts w:ascii="Calibri" w:eastAsiaTheme="minorHAnsi" w:hAnsi="Calibri" w:cstheme="minorBidi"/>
          <w:w w:val="110"/>
          <w:kern w:val="2"/>
          <w:sz w:val="24"/>
          <w:lang w:val="en-AU"/>
          <w14:ligatures w14:val="standardContextual"/>
        </w:rPr>
        <w:t xml:space="preserve">AND THIS CONTRIBUTED TO enhanced skills, knowledge and networks of alumni and increased cooperation and dialogue between </w:t>
      </w:r>
      <w:proofErr w:type="gramStart"/>
      <w:r w:rsidRPr="00593B78">
        <w:rPr>
          <w:rFonts w:ascii="Calibri" w:eastAsiaTheme="minorHAnsi" w:hAnsi="Calibri" w:cstheme="minorBidi"/>
          <w:w w:val="110"/>
          <w:kern w:val="2"/>
          <w:sz w:val="24"/>
          <w:lang w:val="en-AU"/>
          <w14:ligatures w14:val="standardContextual"/>
        </w:rPr>
        <w:t>countries</w:t>
      </w:r>
      <w:proofErr w:type="gramEnd"/>
    </w:p>
    <w:p w14:paraId="39378A4D" w14:textId="77777777" w:rsidR="00F64444" w:rsidRDefault="00F64444"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43BD03D2" w14:textId="1A512CAC" w:rsidR="00593B78" w:rsidRDefault="009F1B3A" w:rsidP="00593B78">
      <w:pPr>
        <w:pStyle w:val="Heading2"/>
        <w:rPr>
          <w:color w:val="auto"/>
          <w:spacing w:val="-2"/>
          <w:w w:val="85"/>
          <w:sz w:val="36"/>
          <w:szCs w:val="36"/>
        </w:rPr>
      </w:pPr>
      <w:r>
        <w:rPr>
          <w:color w:val="auto"/>
          <w:spacing w:val="-2"/>
          <w:w w:val="85"/>
          <w:sz w:val="36"/>
          <w:szCs w:val="36"/>
        </w:rPr>
        <w:t>Cyber Pillar</w:t>
      </w:r>
    </w:p>
    <w:p w14:paraId="1A0E47E5" w14:textId="77777777" w:rsidR="009F1B3A" w:rsidRDefault="009F1B3A" w:rsidP="009F1B3A"/>
    <w:p w14:paraId="496F30E8" w14:textId="78197C0B" w:rsidR="002F4180" w:rsidRDefault="002F4180" w:rsidP="002F4180">
      <w:pPr>
        <w:pStyle w:val="Heading2"/>
        <w:numPr>
          <w:ilvl w:val="0"/>
          <w:numId w:val="2"/>
        </w:numPr>
        <w:rPr>
          <w:rFonts w:ascii="Calibri" w:eastAsiaTheme="minorHAnsi" w:hAnsi="Calibri" w:cstheme="minorBidi"/>
          <w:color w:val="auto"/>
          <w:w w:val="110"/>
          <w:sz w:val="24"/>
          <w:szCs w:val="22"/>
        </w:rPr>
      </w:pPr>
      <w:r w:rsidRPr="002F4180">
        <w:rPr>
          <w:rFonts w:ascii="Calibri" w:eastAsiaTheme="minorHAnsi" w:hAnsi="Calibri" w:cstheme="minorBidi"/>
          <w:color w:val="auto"/>
          <w:w w:val="110"/>
          <w:sz w:val="24"/>
          <w:szCs w:val="22"/>
        </w:rPr>
        <w:t>The Digital Transformation Opportunities and Challenges in the Lower Mekong Region: A Focus on Cambodia, Laos, Myanmar, Thailand, and Vietnam research provided recommendations for regional and country level digital transformation</w:t>
      </w:r>
      <w:r>
        <w:rPr>
          <w:rFonts w:ascii="Calibri" w:eastAsiaTheme="minorHAnsi" w:hAnsi="Calibri" w:cstheme="minorBidi"/>
          <w:color w:val="auto"/>
          <w:w w:val="110"/>
          <w:sz w:val="24"/>
          <w:szCs w:val="22"/>
        </w:rPr>
        <w:t>.</w:t>
      </w:r>
    </w:p>
    <w:p w14:paraId="6A945CBF" w14:textId="77777777" w:rsidR="00E44825" w:rsidRPr="00E44825" w:rsidRDefault="00E44825" w:rsidP="00E44825"/>
    <w:p w14:paraId="3CF4C5D5" w14:textId="77777777" w:rsidR="00E44825" w:rsidRDefault="00E44825" w:rsidP="00E44825">
      <w:pPr>
        <w:pStyle w:val="Heading2"/>
        <w:numPr>
          <w:ilvl w:val="0"/>
          <w:numId w:val="2"/>
        </w:numPr>
        <w:rPr>
          <w:rFonts w:ascii="Calibri" w:eastAsiaTheme="minorHAnsi" w:hAnsi="Calibri" w:cstheme="minorBidi"/>
          <w:color w:val="auto"/>
          <w:w w:val="110"/>
          <w:sz w:val="24"/>
          <w:szCs w:val="22"/>
        </w:rPr>
      </w:pPr>
      <w:r w:rsidRPr="00E44825">
        <w:rPr>
          <w:rFonts w:ascii="Calibri" w:eastAsiaTheme="minorHAnsi" w:hAnsi="Calibri" w:cstheme="minorBidi"/>
          <w:color w:val="auto"/>
          <w:w w:val="110"/>
          <w:sz w:val="24"/>
          <w:szCs w:val="22"/>
        </w:rPr>
        <w:t>The Strengthening Digital Media Literacy in the Mekong activity delivered a four-module media literacy curriculum to five Civil Society Organization (CSO) partners in Cambodia, Thailand, and Vietnam, who went on to deliver 11 information sessions reaching 360 people.</w:t>
      </w:r>
    </w:p>
    <w:p w14:paraId="574D98FB" w14:textId="77777777" w:rsidR="004E472C" w:rsidRPr="004E472C" w:rsidRDefault="004E472C" w:rsidP="004E472C"/>
    <w:p w14:paraId="4AF768D6" w14:textId="77777777" w:rsidR="004E472C" w:rsidRDefault="004E472C" w:rsidP="004E472C">
      <w:pPr>
        <w:pStyle w:val="Heading2"/>
        <w:numPr>
          <w:ilvl w:val="0"/>
          <w:numId w:val="2"/>
        </w:numPr>
        <w:rPr>
          <w:rFonts w:ascii="Calibri" w:eastAsiaTheme="minorHAnsi" w:hAnsi="Calibri" w:cstheme="minorBidi"/>
          <w:color w:val="auto"/>
          <w:w w:val="110"/>
          <w:sz w:val="24"/>
          <w:szCs w:val="22"/>
        </w:rPr>
      </w:pPr>
      <w:r w:rsidRPr="004E472C">
        <w:rPr>
          <w:rFonts w:ascii="Calibri" w:eastAsiaTheme="minorHAnsi" w:hAnsi="Calibri" w:cstheme="minorBidi"/>
          <w:color w:val="auto"/>
          <w:w w:val="110"/>
          <w:sz w:val="24"/>
          <w:szCs w:val="22"/>
        </w:rPr>
        <w:t>The Cambodian Cyber Security Uplift – Cyber Security Training program was provided to over 60 participants from several public institutions to improve security awareness and cyber incident responses.</w:t>
      </w:r>
    </w:p>
    <w:p w14:paraId="508A22F1" w14:textId="77777777" w:rsidR="00C22CE9" w:rsidRPr="00C22CE9" w:rsidRDefault="00C22CE9" w:rsidP="00C22CE9"/>
    <w:p w14:paraId="613217B6" w14:textId="77777777" w:rsidR="00C22CE9" w:rsidRDefault="00C22CE9" w:rsidP="00C22CE9">
      <w:pPr>
        <w:pStyle w:val="Heading2"/>
        <w:numPr>
          <w:ilvl w:val="0"/>
          <w:numId w:val="2"/>
        </w:numPr>
        <w:rPr>
          <w:rFonts w:ascii="Calibri" w:eastAsiaTheme="minorHAnsi" w:hAnsi="Calibri" w:cstheme="minorBidi"/>
          <w:color w:val="auto"/>
          <w:w w:val="110"/>
          <w:sz w:val="24"/>
          <w:szCs w:val="22"/>
        </w:rPr>
      </w:pPr>
      <w:r w:rsidRPr="00C22CE9">
        <w:rPr>
          <w:rFonts w:ascii="Calibri" w:eastAsiaTheme="minorHAnsi" w:hAnsi="Calibri" w:cstheme="minorBidi"/>
          <w:color w:val="auto"/>
          <w:w w:val="110"/>
          <w:sz w:val="24"/>
          <w:szCs w:val="22"/>
        </w:rPr>
        <w:lastRenderedPageBreak/>
        <w:t xml:space="preserve">In Vietnam, the Women, </w:t>
      </w:r>
      <w:proofErr w:type="gramStart"/>
      <w:r w:rsidRPr="00C22CE9">
        <w:rPr>
          <w:rFonts w:ascii="Calibri" w:eastAsiaTheme="minorHAnsi" w:hAnsi="Calibri" w:cstheme="minorBidi"/>
          <w:color w:val="auto"/>
          <w:w w:val="110"/>
          <w:sz w:val="24"/>
          <w:szCs w:val="22"/>
        </w:rPr>
        <w:t>Peace</w:t>
      </w:r>
      <w:proofErr w:type="gramEnd"/>
      <w:r w:rsidRPr="00C22CE9">
        <w:rPr>
          <w:rFonts w:ascii="Calibri" w:eastAsiaTheme="minorHAnsi" w:hAnsi="Calibri" w:cstheme="minorBidi"/>
          <w:color w:val="auto"/>
          <w:w w:val="110"/>
          <w:sz w:val="24"/>
          <w:szCs w:val="22"/>
        </w:rPr>
        <w:t xml:space="preserve"> and Cybersecurity: Promoting Women’s Peace and Security in the Digital World in Southeast Asia and the Pacific activity strengthened the leadership of women’s CSOs by working with the Vietnam Women’s Union to develop a handbook on cyber security.</w:t>
      </w:r>
    </w:p>
    <w:p w14:paraId="20052E67" w14:textId="77777777" w:rsidR="00E82A4F" w:rsidRPr="00E82A4F" w:rsidRDefault="00E82A4F" w:rsidP="00E82A4F"/>
    <w:p w14:paraId="41757A70" w14:textId="77777777" w:rsidR="00E82A4F" w:rsidRPr="00E82A4F" w:rsidRDefault="00E82A4F" w:rsidP="00E82A4F">
      <w:pPr>
        <w:pStyle w:val="Heading2"/>
        <w:numPr>
          <w:ilvl w:val="0"/>
          <w:numId w:val="2"/>
        </w:numPr>
        <w:rPr>
          <w:rFonts w:ascii="Calibri" w:eastAsiaTheme="minorHAnsi" w:hAnsi="Calibri" w:cstheme="minorBidi"/>
          <w:color w:val="auto"/>
          <w:w w:val="110"/>
          <w:sz w:val="24"/>
          <w:szCs w:val="22"/>
        </w:rPr>
      </w:pPr>
      <w:r w:rsidRPr="00E82A4F">
        <w:rPr>
          <w:rFonts w:ascii="Calibri" w:eastAsiaTheme="minorHAnsi" w:hAnsi="Calibri" w:cstheme="minorBidi"/>
          <w:color w:val="auto"/>
          <w:w w:val="110"/>
          <w:sz w:val="24"/>
          <w:szCs w:val="22"/>
        </w:rPr>
        <w:t>The Thailand Cyber Security Defensive Readiness program delivered a cyber security fundamentals workshop on cyber security threats and three incident response fundamentals sessions to the National Cyber Security Agency and other critical infrastructure organisations.</w:t>
      </w:r>
    </w:p>
    <w:p w14:paraId="4C271F41" w14:textId="77777777" w:rsidR="00935F15" w:rsidRDefault="00935F15" w:rsidP="00935F15">
      <w:pPr>
        <w:pStyle w:val="BodyText"/>
        <w:spacing w:before="105"/>
        <w:ind w:left="360"/>
        <w:rPr>
          <w:rFonts w:ascii="Tahoma"/>
          <w:color w:val="414A53"/>
          <w:w w:val="80"/>
        </w:rPr>
      </w:pPr>
    </w:p>
    <w:p w14:paraId="1952C5F5" w14:textId="65932DA1" w:rsidR="00EC4A66" w:rsidRDefault="00BD434E" w:rsidP="00EC4A66">
      <w:pPr>
        <w:pStyle w:val="BodyText"/>
        <w:spacing w:before="105"/>
        <w:ind w:right="1"/>
        <w:jc w:val="center"/>
        <w:rPr>
          <w:rFonts w:ascii="Calibri" w:eastAsiaTheme="minorHAnsi" w:hAnsi="Calibri" w:cstheme="minorBidi"/>
          <w:w w:val="110"/>
          <w:kern w:val="2"/>
          <w:sz w:val="24"/>
          <w:lang w:val="en-AU"/>
          <w14:ligatures w14:val="standardContextual"/>
        </w:rPr>
      </w:pPr>
      <w:r>
        <w:rPr>
          <w:rFonts w:ascii="Calibri" w:eastAsiaTheme="minorHAnsi" w:hAnsi="Calibri" w:cstheme="minorBidi"/>
          <w:w w:val="110"/>
          <w:kern w:val="2"/>
          <w:sz w:val="24"/>
          <w:lang w:val="en-AU"/>
          <w14:ligatures w14:val="standardContextual"/>
        </w:rPr>
        <w:t xml:space="preserve">AND </w:t>
      </w:r>
      <w:r w:rsidR="00935F15" w:rsidRPr="00935F15">
        <w:rPr>
          <w:rFonts w:ascii="Calibri" w:eastAsiaTheme="minorHAnsi" w:hAnsi="Calibri" w:cstheme="minorBidi"/>
          <w:w w:val="110"/>
          <w:kern w:val="2"/>
          <w:sz w:val="24"/>
          <w:lang w:val="en-AU"/>
          <w14:ligatures w14:val="standardContextual"/>
        </w:rPr>
        <w:t xml:space="preserve">THIS CONTRIBUTED TO addressing cyber-related gaps and generating knowledge for cyber </w:t>
      </w:r>
      <w:proofErr w:type="gramStart"/>
      <w:r w:rsidR="00935F15" w:rsidRPr="00935F15">
        <w:rPr>
          <w:rFonts w:ascii="Calibri" w:eastAsiaTheme="minorHAnsi" w:hAnsi="Calibri" w:cstheme="minorBidi"/>
          <w:w w:val="110"/>
          <w:kern w:val="2"/>
          <w:sz w:val="24"/>
          <w:lang w:val="en-AU"/>
          <w14:ligatures w14:val="standardContextual"/>
        </w:rPr>
        <w:t>resilience</w:t>
      </w:r>
      <w:proofErr w:type="gramEnd"/>
    </w:p>
    <w:p w14:paraId="7384EB7E" w14:textId="77777777" w:rsidR="00EC4A66" w:rsidRPr="00EC4A66" w:rsidRDefault="00EC4A66" w:rsidP="00EC4A66">
      <w:pPr>
        <w:pStyle w:val="BodyText"/>
        <w:spacing w:before="105"/>
        <w:ind w:right="1"/>
        <w:jc w:val="center"/>
        <w:rPr>
          <w:rFonts w:ascii="Calibri" w:eastAsiaTheme="minorHAnsi" w:hAnsi="Calibri" w:cstheme="minorBidi"/>
          <w:w w:val="110"/>
          <w:kern w:val="2"/>
          <w:sz w:val="24"/>
          <w:lang w:val="en-AU"/>
          <w14:ligatures w14:val="standardContextual"/>
        </w:rPr>
      </w:pPr>
    </w:p>
    <w:p w14:paraId="1C6639B0" w14:textId="04DB8031" w:rsidR="00EC4A66" w:rsidRPr="00781E7F" w:rsidRDefault="00EC4A66" w:rsidP="00EC4A66">
      <w:pPr>
        <w:pStyle w:val="Heading2"/>
        <w:rPr>
          <w:color w:val="auto"/>
          <w:spacing w:val="-4"/>
          <w:w w:val="85"/>
          <w:sz w:val="36"/>
          <w:szCs w:val="36"/>
        </w:rPr>
      </w:pPr>
      <w:r>
        <w:rPr>
          <w:color w:val="auto"/>
          <w:spacing w:val="-2"/>
          <w:w w:val="85"/>
          <w:sz w:val="36"/>
          <w:szCs w:val="36"/>
        </w:rPr>
        <w:t>Trade and Investment Pillar</w:t>
      </w:r>
      <w:r>
        <w:rPr>
          <w:rFonts w:ascii="Calibri" w:hAnsi="Calibri"/>
          <w:w w:val="110"/>
          <w:sz w:val="24"/>
        </w:rPr>
        <w:t xml:space="preserve">. </w:t>
      </w:r>
    </w:p>
    <w:p w14:paraId="09766BBC" w14:textId="1EB7D332" w:rsidR="005C5045" w:rsidRDefault="005C5045" w:rsidP="005C5045">
      <w:pPr>
        <w:pStyle w:val="Heading2"/>
        <w:numPr>
          <w:ilvl w:val="0"/>
          <w:numId w:val="2"/>
        </w:numPr>
        <w:rPr>
          <w:rFonts w:ascii="Calibri" w:eastAsiaTheme="minorHAnsi" w:hAnsi="Calibri" w:cstheme="minorBidi"/>
          <w:color w:val="auto"/>
          <w:w w:val="110"/>
          <w:sz w:val="24"/>
          <w:szCs w:val="22"/>
        </w:rPr>
      </w:pPr>
      <w:r w:rsidRPr="005C5045">
        <w:rPr>
          <w:rFonts w:ascii="Calibri" w:eastAsiaTheme="minorHAnsi" w:hAnsi="Calibri" w:cstheme="minorBidi"/>
          <w:color w:val="auto"/>
          <w:w w:val="110"/>
          <w:sz w:val="24"/>
          <w:szCs w:val="22"/>
        </w:rPr>
        <w:t xml:space="preserve">Supporting the implementation of the Australia-Vietnam Enhanced Economic Engagement Strategy, </w:t>
      </w:r>
      <w:r w:rsidRPr="004221ED">
        <w:rPr>
          <w:rFonts w:ascii="Calibri" w:eastAsiaTheme="minorHAnsi" w:hAnsi="Calibri" w:cstheme="minorBidi"/>
          <w:i/>
          <w:iCs/>
          <w:color w:val="auto"/>
          <w:w w:val="110"/>
          <w:sz w:val="24"/>
          <w:szCs w:val="22"/>
        </w:rPr>
        <w:t>the Australia- Vietnam Enhanced Economic Engagement Grant (AVEG)</w:t>
      </w:r>
      <w:r w:rsidRPr="005C5045">
        <w:rPr>
          <w:rFonts w:ascii="Calibri" w:eastAsiaTheme="minorHAnsi" w:hAnsi="Calibri" w:cstheme="minorBidi"/>
          <w:color w:val="auto"/>
          <w:w w:val="110"/>
          <w:sz w:val="24"/>
          <w:szCs w:val="22"/>
        </w:rPr>
        <w:t xml:space="preserve"> pilot round provided 28 grants </w:t>
      </w:r>
      <w:proofErr w:type="spellStart"/>
      <w:r w:rsidRPr="005C5045">
        <w:rPr>
          <w:rFonts w:ascii="Calibri" w:eastAsiaTheme="minorHAnsi" w:hAnsi="Calibri" w:cstheme="minorBidi"/>
          <w:color w:val="auto"/>
          <w:w w:val="110"/>
          <w:sz w:val="24"/>
          <w:szCs w:val="22"/>
        </w:rPr>
        <w:t>totaling</w:t>
      </w:r>
      <w:proofErr w:type="spellEnd"/>
      <w:r w:rsidRPr="005C5045">
        <w:rPr>
          <w:rFonts w:ascii="Calibri" w:eastAsiaTheme="minorHAnsi" w:hAnsi="Calibri" w:cstheme="minorBidi"/>
          <w:color w:val="auto"/>
          <w:w w:val="110"/>
          <w:sz w:val="24"/>
          <w:szCs w:val="22"/>
        </w:rPr>
        <w:t xml:space="preserve"> $2.6 million for activities including research, training (seminars and workshops), dialogues, forums, and visit and study tours. The 28 grant activities have largely been completed, supporting advancements in the following key sectors in Vietnam: education, skills, training; agriculture, forestry, and fisheries; science, </w:t>
      </w:r>
      <w:proofErr w:type="gramStart"/>
      <w:r w:rsidRPr="005C5045">
        <w:rPr>
          <w:rFonts w:ascii="Calibri" w:eastAsiaTheme="minorHAnsi" w:hAnsi="Calibri" w:cstheme="minorBidi"/>
          <w:color w:val="auto"/>
          <w:w w:val="110"/>
          <w:sz w:val="24"/>
          <w:szCs w:val="22"/>
        </w:rPr>
        <w:t>technology</w:t>
      </w:r>
      <w:proofErr w:type="gramEnd"/>
      <w:r w:rsidRPr="005C5045">
        <w:rPr>
          <w:rFonts w:ascii="Calibri" w:eastAsiaTheme="minorHAnsi" w:hAnsi="Calibri" w:cstheme="minorBidi"/>
          <w:color w:val="auto"/>
          <w:w w:val="110"/>
          <w:sz w:val="24"/>
          <w:szCs w:val="22"/>
        </w:rPr>
        <w:t xml:space="preserve"> and innovation; and services.</w:t>
      </w:r>
    </w:p>
    <w:p w14:paraId="18AB48F6" w14:textId="77777777" w:rsidR="00E46FD8" w:rsidRPr="00E46FD8" w:rsidRDefault="00E46FD8" w:rsidP="00E46FD8"/>
    <w:p w14:paraId="4B4A74E1" w14:textId="77777777" w:rsidR="00E46FD8" w:rsidRPr="00E46FD8" w:rsidRDefault="00E46FD8" w:rsidP="00E46FD8">
      <w:pPr>
        <w:pStyle w:val="Heading2"/>
        <w:numPr>
          <w:ilvl w:val="0"/>
          <w:numId w:val="2"/>
        </w:numPr>
        <w:rPr>
          <w:rFonts w:ascii="Calibri" w:eastAsiaTheme="minorHAnsi" w:hAnsi="Calibri" w:cstheme="minorBidi"/>
          <w:color w:val="auto"/>
          <w:w w:val="110"/>
          <w:sz w:val="24"/>
          <w:szCs w:val="22"/>
        </w:rPr>
      </w:pPr>
      <w:r w:rsidRPr="00E46FD8">
        <w:rPr>
          <w:rFonts w:ascii="Calibri" w:eastAsiaTheme="minorHAnsi" w:hAnsi="Calibri" w:cstheme="minorBidi"/>
          <w:color w:val="auto"/>
          <w:w w:val="110"/>
          <w:sz w:val="24"/>
          <w:szCs w:val="22"/>
        </w:rPr>
        <w:t xml:space="preserve">The development of an </w:t>
      </w:r>
      <w:r w:rsidRPr="00CE37AB">
        <w:rPr>
          <w:rFonts w:ascii="Calibri" w:eastAsiaTheme="minorHAnsi" w:hAnsi="Calibri" w:cstheme="minorBidi"/>
          <w:i/>
          <w:iCs/>
          <w:color w:val="auto"/>
          <w:w w:val="110"/>
          <w:sz w:val="24"/>
          <w:szCs w:val="22"/>
        </w:rPr>
        <w:t xml:space="preserve">Australia-Vietnam Global Engagement Roadmap </w:t>
      </w:r>
      <w:r w:rsidRPr="00E46FD8">
        <w:rPr>
          <w:rFonts w:ascii="Calibri" w:eastAsiaTheme="minorHAnsi" w:hAnsi="Calibri" w:cstheme="minorBidi"/>
          <w:color w:val="auto"/>
          <w:w w:val="110"/>
          <w:sz w:val="24"/>
          <w:szCs w:val="22"/>
        </w:rPr>
        <w:t>to support Australian Small to Medium Enterprises (SMEs) to diversify and expand supply chains in partnership with Vietnamese SMEs, with gender as a key focus.</w:t>
      </w:r>
    </w:p>
    <w:p w14:paraId="48F71E19" w14:textId="77777777" w:rsidR="00E46FD8" w:rsidRDefault="00E46FD8" w:rsidP="00E46FD8"/>
    <w:p w14:paraId="129B3338" w14:textId="77777777" w:rsidR="0031431B" w:rsidRDefault="0031431B" w:rsidP="0031431B">
      <w:pPr>
        <w:pStyle w:val="Heading2"/>
        <w:numPr>
          <w:ilvl w:val="0"/>
          <w:numId w:val="2"/>
        </w:numPr>
        <w:rPr>
          <w:rFonts w:ascii="Calibri" w:eastAsiaTheme="minorHAnsi" w:hAnsi="Calibri" w:cstheme="minorBidi"/>
          <w:color w:val="auto"/>
          <w:w w:val="110"/>
          <w:sz w:val="24"/>
          <w:szCs w:val="22"/>
        </w:rPr>
      </w:pPr>
      <w:r w:rsidRPr="0031431B">
        <w:rPr>
          <w:rFonts w:ascii="Calibri" w:eastAsiaTheme="minorHAnsi" w:hAnsi="Calibri" w:cstheme="minorBidi"/>
          <w:color w:val="auto"/>
          <w:w w:val="110"/>
          <w:sz w:val="24"/>
          <w:szCs w:val="22"/>
        </w:rPr>
        <w:t>The Australian Chamber of Commerce in Vietnam (</w:t>
      </w:r>
      <w:proofErr w:type="spellStart"/>
      <w:r w:rsidRPr="0031431B">
        <w:rPr>
          <w:rFonts w:ascii="Calibri" w:eastAsiaTheme="minorHAnsi" w:hAnsi="Calibri" w:cstheme="minorBidi"/>
          <w:color w:val="auto"/>
          <w:w w:val="110"/>
          <w:sz w:val="24"/>
          <w:szCs w:val="22"/>
        </w:rPr>
        <w:t>AusCham</w:t>
      </w:r>
      <w:proofErr w:type="spellEnd"/>
      <w:r w:rsidRPr="0031431B">
        <w:rPr>
          <w:rFonts w:ascii="Calibri" w:eastAsiaTheme="minorHAnsi" w:hAnsi="Calibri" w:cstheme="minorBidi"/>
          <w:color w:val="auto"/>
          <w:w w:val="110"/>
          <w:sz w:val="24"/>
          <w:szCs w:val="22"/>
        </w:rPr>
        <w:t>) and DFAT signed an agreement to establish a hub for Australian industry bodies to link with Vietnamese industry groups to increase bilateral trade and investment.</w:t>
      </w:r>
    </w:p>
    <w:p w14:paraId="629A998C" w14:textId="77777777" w:rsidR="000B6F17" w:rsidRPr="000B6F17" w:rsidRDefault="000B6F17" w:rsidP="000B6F17">
      <w:pPr>
        <w:pStyle w:val="Heading2"/>
        <w:ind w:left="360"/>
        <w:rPr>
          <w:rFonts w:ascii="Calibri" w:eastAsiaTheme="minorHAnsi" w:hAnsi="Calibri" w:cstheme="minorBidi"/>
          <w:color w:val="auto"/>
          <w:w w:val="110"/>
          <w:sz w:val="24"/>
          <w:szCs w:val="22"/>
        </w:rPr>
      </w:pPr>
    </w:p>
    <w:p w14:paraId="17E04A9D" w14:textId="29778901" w:rsidR="0031431B" w:rsidRDefault="000B6F17" w:rsidP="00E46FD8">
      <w:pPr>
        <w:pStyle w:val="Heading2"/>
        <w:numPr>
          <w:ilvl w:val="0"/>
          <w:numId w:val="2"/>
        </w:numPr>
        <w:rPr>
          <w:rFonts w:ascii="Calibri" w:eastAsiaTheme="minorHAnsi" w:hAnsi="Calibri" w:cstheme="minorBidi"/>
          <w:color w:val="auto"/>
          <w:w w:val="110"/>
          <w:sz w:val="24"/>
          <w:szCs w:val="22"/>
        </w:rPr>
      </w:pPr>
      <w:r w:rsidRPr="000B6F17">
        <w:rPr>
          <w:rFonts w:ascii="Calibri" w:eastAsiaTheme="minorHAnsi" w:hAnsi="Calibri" w:cstheme="minorBidi"/>
          <w:color w:val="auto"/>
          <w:w w:val="110"/>
          <w:sz w:val="24"/>
          <w:szCs w:val="22"/>
        </w:rPr>
        <w:t xml:space="preserve">The establishment of </w:t>
      </w:r>
      <w:r w:rsidRPr="004221ED">
        <w:rPr>
          <w:rFonts w:ascii="Calibri" w:eastAsiaTheme="minorHAnsi" w:hAnsi="Calibri" w:cstheme="minorBidi"/>
          <w:i/>
          <w:iCs/>
          <w:color w:val="auto"/>
          <w:w w:val="110"/>
          <w:sz w:val="24"/>
          <w:szCs w:val="22"/>
        </w:rPr>
        <w:t>the Australia-Vietnam Policy Institute</w:t>
      </w:r>
      <w:r w:rsidRPr="000B6F17">
        <w:rPr>
          <w:rFonts w:ascii="Calibri" w:eastAsiaTheme="minorHAnsi" w:hAnsi="Calibri" w:cstheme="minorBidi"/>
          <w:color w:val="auto"/>
          <w:w w:val="110"/>
          <w:sz w:val="24"/>
          <w:szCs w:val="22"/>
        </w:rPr>
        <w:t xml:space="preserve"> provides a platform for universities, think-</w:t>
      </w:r>
      <w:proofErr w:type="gramStart"/>
      <w:r w:rsidRPr="000B6F17">
        <w:rPr>
          <w:rFonts w:ascii="Calibri" w:eastAsiaTheme="minorHAnsi" w:hAnsi="Calibri" w:cstheme="minorBidi"/>
          <w:color w:val="auto"/>
          <w:w w:val="110"/>
          <w:sz w:val="24"/>
          <w:szCs w:val="22"/>
        </w:rPr>
        <w:t>tanks</w:t>
      </w:r>
      <w:proofErr w:type="gramEnd"/>
      <w:r w:rsidRPr="000B6F17">
        <w:rPr>
          <w:rFonts w:ascii="Calibri" w:eastAsiaTheme="minorHAnsi" w:hAnsi="Calibri" w:cstheme="minorBidi"/>
          <w:color w:val="auto"/>
          <w:w w:val="110"/>
          <w:sz w:val="24"/>
          <w:szCs w:val="22"/>
        </w:rPr>
        <w:t xml:space="preserve"> and businesses to share research and insights on Vietnam.</w:t>
      </w:r>
    </w:p>
    <w:p w14:paraId="7EAF53E0" w14:textId="77777777" w:rsidR="004221ED" w:rsidRPr="004221ED" w:rsidRDefault="004221ED" w:rsidP="004221ED"/>
    <w:p w14:paraId="22DD4E38" w14:textId="6457A213" w:rsidR="004221ED" w:rsidRPr="004221ED" w:rsidRDefault="004221ED" w:rsidP="004221ED">
      <w:pPr>
        <w:pStyle w:val="Heading2"/>
        <w:numPr>
          <w:ilvl w:val="0"/>
          <w:numId w:val="2"/>
        </w:numPr>
        <w:rPr>
          <w:rFonts w:ascii="Calibri" w:eastAsiaTheme="minorHAnsi" w:hAnsi="Calibri" w:cstheme="minorBidi"/>
          <w:color w:val="auto"/>
          <w:w w:val="110"/>
          <w:sz w:val="24"/>
          <w:szCs w:val="22"/>
        </w:rPr>
      </w:pPr>
      <w:r w:rsidRPr="004221ED">
        <w:rPr>
          <w:rFonts w:ascii="Calibri" w:eastAsiaTheme="minorHAnsi" w:hAnsi="Calibri" w:cstheme="minorBidi"/>
          <w:color w:val="auto"/>
          <w:w w:val="110"/>
          <w:sz w:val="24"/>
          <w:szCs w:val="22"/>
        </w:rPr>
        <w:t xml:space="preserve">The </w:t>
      </w:r>
      <w:r w:rsidRPr="004221ED">
        <w:rPr>
          <w:rFonts w:ascii="Calibri" w:eastAsiaTheme="minorHAnsi" w:hAnsi="Calibri" w:cstheme="minorBidi"/>
          <w:i/>
          <w:iCs/>
          <w:color w:val="auto"/>
          <w:w w:val="110"/>
          <w:sz w:val="24"/>
          <w:szCs w:val="22"/>
        </w:rPr>
        <w:t>Women entrepreneurs in Australia and Vietnam: Building capacity, Building Relationships</w:t>
      </w:r>
      <w:r w:rsidRPr="004221ED">
        <w:rPr>
          <w:rFonts w:ascii="Calibri" w:eastAsiaTheme="minorHAnsi" w:hAnsi="Calibri" w:cstheme="minorBidi"/>
          <w:color w:val="auto"/>
          <w:w w:val="110"/>
          <w:sz w:val="24"/>
          <w:szCs w:val="22"/>
        </w:rPr>
        <w:t xml:space="preserve"> training program provided opportunities for 20 Vietnamese women entrepreneurs to enhance their capacities and build relationships as a start-up community.</w:t>
      </w:r>
    </w:p>
    <w:p w14:paraId="4D9EDC3F" w14:textId="77777777" w:rsidR="00985DE2" w:rsidRDefault="00985DE2"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50CEBFA1" w14:textId="0A6CFF81" w:rsidR="006B58B2" w:rsidRPr="006B58B2" w:rsidRDefault="006B58B2" w:rsidP="006B58B2">
      <w:pPr>
        <w:pStyle w:val="BodyText"/>
        <w:spacing w:before="105"/>
        <w:ind w:right="1"/>
        <w:jc w:val="center"/>
        <w:rPr>
          <w:rFonts w:ascii="Calibri" w:eastAsiaTheme="minorHAnsi" w:hAnsi="Calibri" w:cstheme="minorBidi"/>
          <w:w w:val="110"/>
          <w:kern w:val="2"/>
          <w:sz w:val="24"/>
          <w:lang w:val="en-AU"/>
          <w14:ligatures w14:val="standardContextual"/>
        </w:rPr>
      </w:pPr>
      <w:r w:rsidRPr="006B58B2">
        <w:rPr>
          <w:rFonts w:ascii="Calibri" w:eastAsiaTheme="minorHAnsi" w:hAnsi="Calibri" w:cstheme="minorBidi"/>
          <w:w w:val="110"/>
          <w:kern w:val="2"/>
          <w:sz w:val="24"/>
          <w:lang w:val="en-AU"/>
          <w14:ligatures w14:val="standardContextual"/>
        </w:rPr>
        <w:t>AND THIS CONTRIBUTED TO</w:t>
      </w:r>
      <w:r>
        <w:rPr>
          <w:rFonts w:ascii="Calibri" w:eastAsiaTheme="minorHAnsi" w:hAnsi="Calibri" w:cstheme="minorBidi"/>
          <w:w w:val="110"/>
          <w:kern w:val="2"/>
          <w:sz w:val="24"/>
          <w:lang w:val="en-AU"/>
          <w14:ligatures w14:val="standardContextual"/>
        </w:rPr>
        <w:t xml:space="preserve"> </w:t>
      </w:r>
      <w:r w:rsidRPr="006B58B2">
        <w:rPr>
          <w:rFonts w:ascii="Calibri" w:eastAsiaTheme="minorHAnsi" w:hAnsi="Calibri" w:cstheme="minorBidi"/>
          <w:w w:val="110"/>
          <w:kern w:val="2"/>
          <w:sz w:val="24"/>
          <w:lang w:val="en-AU"/>
          <w14:ligatures w14:val="standardContextual"/>
        </w:rPr>
        <w:t xml:space="preserve">supporting increased trade and investment, economic resilience and advancements in industry </w:t>
      </w:r>
      <w:proofErr w:type="gramStart"/>
      <w:r w:rsidRPr="006B58B2">
        <w:rPr>
          <w:rFonts w:ascii="Calibri" w:eastAsiaTheme="minorHAnsi" w:hAnsi="Calibri" w:cstheme="minorBidi"/>
          <w:w w:val="110"/>
          <w:kern w:val="2"/>
          <w:sz w:val="24"/>
          <w:lang w:val="en-AU"/>
          <w14:ligatures w14:val="standardContextual"/>
        </w:rPr>
        <w:t>engagement</w:t>
      </w:r>
      <w:proofErr w:type="gramEnd"/>
    </w:p>
    <w:p w14:paraId="19F1FA9B" w14:textId="77777777" w:rsidR="00CC5238" w:rsidRDefault="00CC5238" w:rsidP="00CC5238">
      <w:pPr>
        <w:pStyle w:val="Heading2"/>
        <w:rPr>
          <w:color w:val="auto"/>
          <w:spacing w:val="-2"/>
          <w:w w:val="85"/>
          <w:sz w:val="36"/>
          <w:szCs w:val="36"/>
        </w:rPr>
      </w:pPr>
    </w:p>
    <w:p w14:paraId="77738F90" w14:textId="52C67559" w:rsidR="00CC5238" w:rsidRPr="005B37DC" w:rsidRDefault="00CC5238" w:rsidP="00CC5238">
      <w:pPr>
        <w:pStyle w:val="Heading2"/>
        <w:rPr>
          <w:color w:val="auto"/>
          <w:spacing w:val="-4"/>
          <w:w w:val="85"/>
          <w:sz w:val="36"/>
          <w:szCs w:val="36"/>
          <w:u w:val="single"/>
        </w:rPr>
      </w:pPr>
      <w:r w:rsidRPr="005B37DC">
        <w:rPr>
          <w:color w:val="auto"/>
          <w:spacing w:val="-2"/>
          <w:w w:val="85"/>
          <w:sz w:val="36"/>
          <w:szCs w:val="36"/>
          <w:u w:val="single"/>
        </w:rPr>
        <w:t xml:space="preserve">EXAMPLES OF MAP CONTRIBUTIONS </w:t>
      </w:r>
    </w:p>
    <w:p w14:paraId="03ECA353" w14:textId="5381DA70" w:rsidR="00725BB1" w:rsidRDefault="00725BB1" w:rsidP="00725BB1">
      <w:pPr>
        <w:pStyle w:val="BodyText"/>
        <w:spacing w:before="101" w:line="249" w:lineRule="auto"/>
        <w:ind w:right="42"/>
        <w:rPr>
          <w:rFonts w:ascii="Calibri" w:eastAsiaTheme="minorHAnsi" w:hAnsi="Calibri" w:cstheme="minorBidi"/>
          <w:w w:val="110"/>
          <w:kern w:val="2"/>
          <w:sz w:val="24"/>
          <w:lang w:val="en-AU"/>
          <w14:ligatures w14:val="standardContextual"/>
        </w:rPr>
      </w:pPr>
      <w:r>
        <w:rPr>
          <w:rFonts w:ascii="Calibri" w:eastAsiaTheme="minorHAnsi" w:hAnsi="Calibri" w:cstheme="minorBidi"/>
          <w:w w:val="110"/>
          <w:kern w:val="2"/>
          <w:sz w:val="24"/>
          <w:lang w:val="en-AU"/>
          <w14:ligatures w14:val="standardContextual"/>
        </w:rPr>
        <w:t xml:space="preserve">MAP has received positive feedback, seen high participation and demand across the pillars and contributed to locally owned activities and improvements. </w:t>
      </w:r>
    </w:p>
    <w:p w14:paraId="71B71B1D" w14:textId="77777777" w:rsidR="00725BB1" w:rsidRPr="00725BB1" w:rsidRDefault="00725BB1" w:rsidP="00725BB1">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6CEE32FF" w14:textId="17ABBD20" w:rsidR="00725BB1" w:rsidRDefault="00725BB1" w:rsidP="00725BB1">
      <w:pPr>
        <w:pStyle w:val="Heading2"/>
        <w:rPr>
          <w:color w:val="auto"/>
          <w:spacing w:val="-2"/>
          <w:w w:val="85"/>
          <w:sz w:val="36"/>
          <w:szCs w:val="36"/>
        </w:rPr>
      </w:pPr>
      <w:r>
        <w:rPr>
          <w:color w:val="auto"/>
          <w:spacing w:val="-2"/>
          <w:w w:val="85"/>
          <w:sz w:val="36"/>
          <w:szCs w:val="36"/>
        </w:rPr>
        <w:t>Positive Feedback</w:t>
      </w:r>
    </w:p>
    <w:p w14:paraId="70AB50D1" w14:textId="77777777" w:rsidR="00725BB1" w:rsidRDefault="00725BB1" w:rsidP="00725BB1"/>
    <w:p w14:paraId="7A8182E5" w14:textId="77777777" w:rsidR="008025C4" w:rsidRDefault="008025C4" w:rsidP="008025C4">
      <w:pPr>
        <w:pStyle w:val="Heading2"/>
        <w:numPr>
          <w:ilvl w:val="0"/>
          <w:numId w:val="2"/>
        </w:numPr>
        <w:rPr>
          <w:rFonts w:ascii="Calibri" w:eastAsiaTheme="minorHAnsi" w:hAnsi="Calibri" w:cstheme="minorBidi"/>
          <w:color w:val="auto"/>
          <w:w w:val="110"/>
          <w:sz w:val="24"/>
          <w:szCs w:val="22"/>
        </w:rPr>
      </w:pPr>
      <w:r w:rsidRPr="008025C4">
        <w:rPr>
          <w:rFonts w:ascii="Calibri" w:eastAsiaTheme="minorHAnsi" w:hAnsi="Calibri" w:cstheme="minorBidi"/>
          <w:color w:val="auto"/>
          <w:w w:val="110"/>
          <w:sz w:val="24"/>
          <w:szCs w:val="22"/>
        </w:rPr>
        <w:t>The Attracting and Managing Foreign Direct Investment short course received 100 per cent satisfaction from participants who were pleased with the ‘ecosystem approach’ for attracting and managing foreign direct investment.</w:t>
      </w:r>
    </w:p>
    <w:p w14:paraId="4AD82691" w14:textId="77777777" w:rsidR="00331F28" w:rsidRDefault="00331F28" w:rsidP="00331F28"/>
    <w:p w14:paraId="384F9712" w14:textId="77777777" w:rsidR="00331F28" w:rsidRPr="00331F28" w:rsidRDefault="00331F28" w:rsidP="00331F28">
      <w:pPr>
        <w:pStyle w:val="Heading2"/>
        <w:numPr>
          <w:ilvl w:val="0"/>
          <w:numId w:val="2"/>
        </w:numPr>
        <w:rPr>
          <w:rFonts w:ascii="Calibri" w:eastAsiaTheme="minorHAnsi" w:hAnsi="Calibri" w:cstheme="minorBidi"/>
          <w:color w:val="auto"/>
          <w:w w:val="110"/>
          <w:sz w:val="24"/>
          <w:szCs w:val="22"/>
        </w:rPr>
      </w:pPr>
      <w:r w:rsidRPr="00331F28">
        <w:rPr>
          <w:rFonts w:ascii="Calibri" w:eastAsiaTheme="minorHAnsi" w:hAnsi="Calibri" w:cstheme="minorBidi"/>
          <w:color w:val="auto"/>
          <w:w w:val="110"/>
          <w:sz w:val="24"/>
          <w:szCs w:val="22"/>
        </w:rPr>
        <w:t>70 per cent of respondents completing the impact survey on three short courses in Vietnam (Strategic Analysis and Analytical Writing, Water Diplomacy for a Resilient Mekong, and Carbon Market Operations and Co-operative Mechanisms under the Paris Agreement) reported that the courses were useful and enabled them to contribute to development outcomes.</w:t>
      </w:r>
    </w:p>
    <w:p w14:paraId="2C377CC6" w14:textId="77777777" w:rsidR="00725BB1" w:rsidRPr="00725BB1" w:rsidRDefault="00725BB1" w:rsidP="00725BB1"/>
    <w:p w14:paraId="3AC84C83" w14:textId="548504B6" w:rsidR="00E77A52" w:rsidRPr="00651897" w:rsidRDefault="00331F28" w:rsidP="00651897">
      <w:pPr>
        <w:pStyle w:val="Heading2"/>
        <w:rPr>
          <w:color w:val="auto"/>
          <w:spacing w:val="-2"/>
          <w:w w:val="85"/>
          <w:sz w:val="36"/>
          <w:szCs w:val="36"/>
        </w:rPr>
      </w:pPr>
      <w:r>
        <w:rPr>
          <w:color w:val="auto"/>
          <w:spacing w:val="-2"/>
          <w:w w:val="85"/>
          <w:sz w:val="36"/>
          <w:szCs w:val="36"/>
        </w:rPr>
        <w:t>High Participation and Demand</w:t>
      </w:r>
    </w:p>
    <w:p w14:paraId="488F219F" w14:textId="5E4D6273" w:rsidR="00F9533F" w:rsidRDefault="00E77A52" w:rsidP="00F9533F">
      <w:pPr>
        <w:pStyle w:val="Heading2"/>
        <w:numPr>
          <w:ilvl w:val="0"/>
          <w:numId w:val="2"/>
        </w:numPr>
        <w:rPr>
          <w:rFonts w:ascii="Calibri" w:eastAsiaTheme="minorHAnsi" w:hAnsi="Calibri" w:cstheme="minorBidi"/>
          <w:color w:val="auto"/>
          <w:w w:val="110"/>
          <w:sz w:val="24"/>
          <w:szCs w:val="22"/>
        </w:rPr>
      </w:pPr>
      <w:r w:rsidRPr="00E77A52">
        <w:rPr>
          <w:rFonts w:ascii="Calibri" w:eastAsiaTheme="minorHAnsi" w:hAnsi="Calibri" w:cstheme="minorBidi"/>
          <w:color w:val="auto"/>
          <w:w w:val="110"/>
          <w:sz w:val="24"/>
          <w:szCs w:val="22"/>
        </w:rPr>
        <w:t>Under the Cambodia Trust Fund on PFM and Service Delivery activity, 473 senior government officials successfully completed a leadership and innovation program on PFM (a 97 per cent completion rate).</w:t>
      </w:r>
    </w:p>
    <w:p w14:paraId="37F57EEE" w14:textId="77777777" w:rsidR="00F9533F" w:rsidRPr="00F9533F" w:rsidRDefault="00F9533F" w:rsidP="00F9533F"/>
    <w:p w14:paraId="57F22F7F" w14:textId="77777777" w:rsidR="005D6C02" w:rsidRPr="00F9533F" w:rsidRDefault="005D6C02" w:rsidP="00F9533F">
      <w:pPr>
        <w:pStyle w:val="Heading2"/>
        <w:numPr>
          <w:ilvl w:val="0"/>
          <w:numId w:val="2"/>
        </w:numPr>
        <w:rPr>
          <w:rFonts w:ascii="Calibri" w:eastAsiaTheme="minorHAnsi" w:hAnsi="Calibri" w:cstheme="minorBidi"/>
          <w:color w:val="auto"/>
          <w:w w:val="110"/>
          <w:sz w:val="24"/>
          <w:szCs w:val="22"/>
        </w:rPr>
      </w:pPr>
      <w:r w:rsidRPr="00F9533F">
        <w:rPr>
          <w:rFonts w:ascii="Calibri" w:eastAsiaTheme="minorHAnsi" w:hAnsi="Calibri" w:cstheme="minorBidi"/>
          <w:color w:val="auto"/>
          <w:w w:val="110"/>
          <w:sz w:val="24"/>
          <w:szCs w:val="22"/>
        </w:rPr>
        <w:t>Following the delivery of the Cyber Security Defensive Readiness program, the Thai National Cyber Security Agency requested further Australian engagement and training.</w:t>
      </w:r>
    </w:p>
    <w:p w14:paraId="1ED47751" w14:textId="77777777" w:rsidR="005D6C02" w:rsidRDefault="005D6C02" w:rsidP="00781E7F">
      <w:pPr>
        <w:pStyle w:val="BodyText"/>
        <w:spacing w:before="101" w:line="249" w:lineRule="auto"/>
        <w:ind w:right="42"/>
        <w:rPr>
          <w:rFonts w:ascii="Calibri" w:eastAsiaTheme="minorHAnsi" w:hAnsi="Calibri" w:cstheme="minorBidi"/>
          <w:w w:val="110"/>
          <w:kern w:val="2"/>
          <w:sz w:val="24"/>
          <w:lang w:val="en-AU"/>
          <w14:ligatures w14:val="standardContextual"/>
        </w:rPr>
      </w:pPr>
    </w:p>
    <w:p w14:paraId="1526A4C2" w14:textId="654143FF" w:rsidR="00E87A2E" w:rsidRDefault="00E87A2E" w:rsidP="00E87A2E">
      <w:pPr>
        <w:pStyle w:val="Heading2"/>
        <w:rPr>
          <w:color w:val="auto"/>
          <w:spacing w:val="-2"/>
          <w:w w:val="85"/>
          <w:sz w:val="36"/>
          <w:szCs w:val="36"/>
        </w:rPr>
      </w:pPr>
      <w:r w:rsidRPr="00E87A2E">
        <w:rPr>
          <w:color w:val="auto"/>
          <w:spacing w:val="-2"/>
          <w:w w:val="85"/>
          <w:sz w:val="36"/>
          <w:szCs w:val="36"/>
        </w:rPr>
        <w:t>Ownership</w:t>
      </w:r>
    </w:p>
    <w:p w14:paraId="39D91182" w14:textId="77777777" w:rsidR="009C0C72" w:rsidRDefault="009C0C72" w:rsidP="009C0C72"/>
    <w:p w14:paraId="6CD5D85C" w14:textId="05488905" w:rsidR="009C0C72" w:rsidRDefault="009C0C72" w:rsidP="009C0C72">
      <w:pPr>
        <w:pStyle w:val="Heading2"/>
        <w:numPr>
          <w:ilvl w:val="0"/>
          <w:numId w:val="2"/>
        </w:numPr>
        <w:rPr>
          <w:rFonts w:ascii="Calibri" w:eastAsiaTheme="minorHAnsi" w:hAnsi="Calibri" w:cstheme="minorBidi"/>
          <w:color w:val="auto"/>
          <w:w w:val="110"/>
          <w:sz w:val="24"/>
          <w:szCs w:val="22"/>
        </w:rPr>
      </w:pPr>
      <w:r w:rsidRPr="009C0C72">
        <w:rPr>
          <w:rFonts w:ascii="Calibri" w:eastAsiaTheme="minorHAnsi" w:hAnsi="Calibri" w:cstheme="minorBidi"/>
          <w:color w:val="auto"/>
          <w:w w:val="110"/>
          <w:sz w:val="24"/>
          <w:szCs w:val="22"/>
        </w:rPr>
        <w:lastRenderedPageBreak/>
        <w:t>Laos' Department of Irrigation actively participated in the design and implementation of a fish passageway in partnership with Charles Sturt University to boost food security and climate resilience.</w:t>
      </w:r>
    </w:p>
    <w:p w14:paraId="3BFA3BC2" w14:textId="77777777" w:rsidR="009C0C72" w:rsidRDefault="009C0C72" w:rsidP="009C0C72"/>
    <w:p w14:paraId="51AACB4F" w14:textId="77777777" w:rsidR="00CE356A" w:rsidRPr="00CE356A" w:rsidRDefault="00CE356A" w:rsidP="00CE356A">
      <w:pPr>
        <w:pStyle w:val="Heading2"/>
        <w:numPr>
          <w:ilvl w:val="0"/>
          <w:numId w:val="2"/>
        </w:numPr>
        <w:rPr>
          <w:rFonts w:ascii="Calibri" w:eastAsiaTheme="minorHAnsi" w:hAnsi="Calibri" w:cstheme="minorBidi"/>
          <w:color w:val="auto"/>
          <w:w w:val="110"/>
          <w:sz w:val="24"/>
          <w:szCs w:val="22"/>
        </w:rPr>
      </w:pPr>
      <w:r w:rsidRPr="00CE356A">
        <w:rPr>
          <w:rFonts w:ascii="Calibri" w:eastAsiaTheme="minorHAnsi" w:hAnsi="Calibri" w:cstheme="minorBidi"/>
          <w:color w:val="auto"/>
          <w:w w:val="110"/>
          <w:sz w:val="24"/>
          <w:szCs w:val="22"/>
        </w:rPr>
        <w:t>Vietnam’s consumer protection agency drove the development of a training agenda which informed the capacity development activities delivered by Australia's consumer protection agency.</w:t>
      </w:r>
    </w:p>
    <w:p w14:paraId="0BB0CC1F" w14:textId="77777777" w:rsidR="009C0C72" w:rsidRDefault="009C0C72" w:rsidP="009C0C72"/>
    <w:p w14:paraId="1A3E5057" w14:textId="6DCE6D30" w:rsidR="0013036F" w:rsidRPr="00812E8F" w:rsidRDefault="005120B7" w:rsidP="00812E8F">
      <w:pPr>
        <w:pStyle w:val="Heading2"/>
        <w:rPr>
          <w:color w:val="auto"/>
          <w:spacing w:val="-2"/>
          <w:w w:val="85"/>
          <w:sz w:val="36"/>
          <w:szCs w:val="36"/>
        </w:rPr>
      </w:pPr>
      <w:r>
        <w:rPr>
          <w:color w:val="auto"/>
          <w:spacing w:val="-2"/>
          <w:w w:val="85"/>
          <w:sz w:val="36"/>
          <w:szCs w:val="36"/>
        </w:rPr>
        <w:t>Improvements</w:t>
      </w:r>
    </w:p>
    <w:p w14:paraId="097E3465" w14:textId="5C6E3F73" w:rsidR="00805131" w:rsidRDefault="0013036F" w:rsidP="0013036F">
      <w:pPr>
        <w:pStyle w:val="Heading2"/>
        <w:numPr>
          <w:ilvl w:val="0"/>
          <w:numId w:val="2"/>
        </w:numPr>
        <w:rPr>
          <w:rFonts w:ascii="Calibri" w:eastAsiaTheme="minorHAnsi" w:hAnsi="Calibri" w:cstheme="minorBidi"/>
          <w:color w:val="auto"/>
          <w:w w:val="110"/>
          <w:sz w:val="24"/>
          <w:szCs w:val="22"/>
        </w:rPr>
      </w:pPr>
      <w:r w:rsidRPr="0013036F">
        <w:rPr>
          <w:rFonts w:ascii="Calibri" w:eastAsiaTheme="minorHAnsi" w:hAnsi="Calibri" w:cstheme="minorBidi"/>
          <w:color w:val="auto"/>
          <w:w w:val="110"/>
          <w:sz w:val="24"/>
          <w:szCs w:val="22"/>
        </w:rPr>
        <w:t>Support provided through the Cambodia Trust Fund on PFM and Service Delivery activity led to measurable improvements in business processes such as a 69 per cent reduction in processing times for staff salaries</w:t>
      </w:r>
      <w:r w:rsidR="00812E8F">
        <w:rPr>
          <w:rFonts w:ascii="Calibri" w:eastAsiaTheme="minorHAnsi" w:hAnsi="Calibri" w:cstheme="minorBidi"/>
          <w:color w:val="auto"/>
          <w:w w:val="110"/>
          <w:sz w:val="24"/>
          <w:szCs w:val="22"/>
        </w:rPr>
        <w:t>.</w:t>
      </w:r>
    </w:p>
    <w:p w14:paraId="3479C6EA" w14:textId="77777777" w:rsidR="001B44E4" w:rsidRPr="001B44E4" w:rsidRDefault="001B44E4" w:rsidP="001B44E4"/>
    <w:p w14:paraId="2EA8A46D" w14:textId="77777777" w:rsidR="001B44E4" w:rsidRDefault="001B44E4" w:rsidP="001B44E4">
      <w:pPr>
        <w:pStyle w:val="Heading2"/>
        <w:numPr>
          <w:ilvl w:val="0"/>
          <w:numId w:val="2"/>
        </w:numPr>
        <w:rPr>
          <w:rFonts w:ascii="Calibri" w:eastAsiaTheme="minorHAnsi" w:hAnsi="Calibri" w:cstheme="minorBidi"/>
          <w:color w:val="auto"/>
          <w:w w:val="110"/>
          <w:sz w:val="24"/>
          <w:szCs w:val="22"/>
        </w:rPr>
      </w:pPr>
      <w:r w:rsidRPr="001B44E4">
        <w:rPr>
          <w:rFonts w:ascii="Calibri" w:eastAsiaTheme="minorHAnsi" w:hAnsi="Calibri" w:cstheme="minorBidi"/>
          <w:color w:val="auto"/>
          <w:w w:val="110"/>
          <w:sz w:val="24"/>
          <w:szCs w:val="22"/>
        </w:rPr>
        <w:t>Through the Australia-Thailand Economic Resilience Partnership, advice to Thai policy makers led to improvements to leadership in public schools, including increased engagement by school principals in classrooms to better understand student and teacher needs.</w:t>
      </w:r>
    </w:p>
    <w:p w14:paraId="794A8203" w14:textId="77777777" w:rsidR="00ED2148" w:rsidRDefault="00ED2148" w:rsidP="00ED2148"/>
    <w:p w14:paraId="17D1B4F4" w14:textId="77777777" w:rsidR="00CC6BA3" w:rsidRPr="00CC6BA3" w:rsidRDefault="00CC6BA3" w:rsidP="00CC6BA3">
      <w:pPr>
        <w:pStyle w:val="Heading4"/>
        <w:spacing w:before="1"/>
        <w:rPr>
          <w:i w:val="0"/>
          <w:iCs w:val="0"/>
          <w:color w:val="auto"/>
          <w:spacing w:val="-2"/>
          <w:w w:val="85"/>
          <w:sz w:val="36"/>
          <w:szCs w:val="36"/>
        </w:rPr>
      </w:pPr>
      <w:r w:rsidRPr="00CC6BA3">
        <w:rPr>
          <w:i w:val="0"/>
          <w:iCs w:val="0"/>
          <w:noProof/>
          <w:color w:val="auto"/>
          <w:spacing w:val="-2"/>
          <w:w w:val="85"/>
          <w:sz w:val="36"/>
          <w:szCs w:val="36"/>
        </w:rPr>
        <mc:AlternateContent>
          <mc:Choice Requires="wps">
            <w:drawing>
              <wp:anchor distT="0" distB="0" distL="0" distR="0" simplePos="0" relativeHeight="251659264" behindDoc="0" locked="0" layoutInCell="1" allowOverlap="1" wp14:anchorId="6317BF58" wp14:editId="2114707B">
                <wp:simplePos x="0" y="0"/>
                <wp:positionH relativeFrom="page">
                  <wp:posOffset>14286607</wp:posOffset>
                </wp:positionH>
                <wp:positionV relativeFrom="paragraph">
                  <wp:posOffset>51729</wp:posOffset>
                </wp:positionV>
                <wp:extent cx="10160" cy="1016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10160"/>
                        </a:xfrm>
                        <a:custGeom>
                          <a:avLst/>
                          <a:gdLst/>
                          <a:ahLst/>
                          <a:cxnLst/>
                          <a:rect l="l" t="t" r="r" b="b"/>
                          <a:pathLst>
                            <a:path w="10160" h="10160">
                              <a:moveTo>
                                <a:pt x="9728" y="0"/>
                              </a:moveTo>
                              <a:lnTo>
                                <a:pt x="0" y="9728"/>
                              </a:lnTo>
                            </a:path>
                          </a:pathLst>
                        </a:custGeom>
                        <a:ln w="4602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C968936" id="Graphic 174" o:spid="_x0000_s1026" style="position:absolute;margin-left:1124.95pt;margin-top:4.05pt;width:.8pt;height:.8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1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" path="m9728,l,9728e" filled="f" strokecolor="white" strokeweight="1.2784mm">
                <v:path arrowok="t"/>
                <w10:wrap anchorx="page"/>
              </v:shape>
            </w:pict>
          </mc:Fallback>
        </mc:AlternateContent>
      </w:r>
      <w:r w:rsidRPr="00CC6BA3">
        <w:rPr>
          <w:i w:val="0"/>
          <w:iCs w:val="0"/>
          <w:noProof/>
          <w:color w:val="auto"/>
          <w:spacing w:val="-2"/>
          <w:w w:val="85"/>
          <w:sz w:val="36"/>
          <w:szCs w:val="36"/>
        </w:rPr>
        <mc:AlternateContent>
          <mc:Choice Requires="wps">
            <w:drawing>
              <wp:anchor distT="0" distB="0" distL="0" distR="0" simplePos="0" relativeHeight="251660288" behindDoc="0" locked="0" layoutInCell="1" allowOverlap="1" wp14:anchorId="282BEC89" wp14:editId="381E130B">
                <wp:simplePos x="0" y="0"/>
                <wp:positionH relativeFrom="page">
                  <wp:posOffset>14427424</wp:posOffset>
                </wp:positionH>
                <wp:positionV relativeFrom="paragraph">
                  <wp:posOffset>50624</wp:posOffset>
                </wp:positionV>
                <wp:extent cx="10160" cy="1016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10160"/>
                        </a:xfrm>
                        <a:custGeom>
                          <a:avLst/>
                          <a:gdLst/>
                          <a:ahLst/>
                          <a:cxnLst/>
                          <a:rect l="l" t="t" r="r" b="b"/>
                          <a:pathLst>
                            <a:path w="10160" h="10160">
                              <a:moveTo>
                                <a:pt x="9728" y="0"/>
                              </a:moveTo>
                              <a:lnTo>
                                <a:pt x="0" y="9728"/>
                              </a:lnTo>
                            </a:path>
                          </a:pathLst>
                        </a:custGeom>
                        <a:ln w="46024">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BC3992B" id="Graphic 175" o:spid="_x0000_s1026" style="position:absolute;margin-left:1136pt;margin-top:4pt;width:.8pt;height:.8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1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" path="m9728,l,9728e" filled="f" strokecolor="white" strokeweight="1.2784mm">
                <v:path arrowok="t"/>
                <w10:wrap anchorx="page"/>
              </v:shape>
            </w:pict>
          </mc:Fallback>
        </mc:AlternateContent>
      </w:r>
      <w:r w:rsidRPr="00CC6BA3">
        <w:rPr>
          <w:i w:val="0"/>
          <w:iCs w:val="0"/>
          <w:color w:val="auto"/>
          <w:spacing w:val="-2"/>
          <w:w w:val="85"/>
          <w:sz w:val="36"/>
          <w:szCs w:val="36"/>
        </w:rPr>
        <w:t>CASE STUDY: THE AUSTRALIA-VIETNAM BUSINESS CHAMPIONS INITIATIVE</w:t>
      </w:r>
    </w:p>
    <w:p w14:paraId="2A86BC69" w14:textId="77777777" w:rsidR="00ED2148" w:rsidRPr="00ED2148" w:rsidRDefault="00ED2148" w:rsidP="00ED2148"/>
    <w:p w14:paraId="251FB455" w14:textId="5987C4EE" w:rsidR="00104ACA" w:rsidRPr="003C5C84" w:rsidRDefault="00553A2D" w:rsidP="00812E8F">
      <w:pPr>
        <w:rPr>
          <w:rFonts w:ascii="Calibri" w:hAnsi="Calibri"/>
          <w:w w:val="110"/>
          <w:sz w:val="24"/>
        </w:rPr>
      </w:pPr>
      <w:r w:rsidRPr="003C5C84">
        <w:rPr>
          <w:rFonts w:ascii="Calibri" w:hAnsi="Calibri"/>
          <w:w w:val="110"/>
          <w:sz w:val="24"/>
        </w:rPr>
        <w:t>The Business Champions Initiative played a crucial role in advocating for trade and investment between Australia and Vietnam, with the appointment of distinguished industry leaders in Australia and Vietnam as Business Champions. These individuals worked to engage their respective business communities, raise awareness about opportunities in both markets, streamline regulatory and investment frameworks, and facilitate smoother business operations.</w:t>
      </w:r>
    </w:p>
    <w:p w14:paraId="023CBECB" w14:textId="77777777" w:rsidR="00CD54E9" w:rsidRPr="003C5C84" w:rsidRDefault="00AE0372" w:rsidP="00CD54E9">
      <w:pPr>
        <w:rPr>
          <w:rFonts w:ascii="Calibri" w:hAnsi="Calibri"/>
          <w:w w:val="110"/>
          <w:sz w:val="24"/>
        </w:rPr>
      </w:pPr>
      <w:r w:rsidRPr="003C5C84">
        <w:rPr>
          <w:rFonts w:ascii="Calibri" w:hAnsi="Calibri"/>
          <w:w w:val="110"/>
          <w:sz w:val="24"/>
        </w:rPr>
        <w:t>This initiative culminated in the Australia-Vietnam Business Champions Recommendations Report, which presented business-led and business-informed recommendations to promote and strengthen the commercial relationship between Australia and Vietnam. The Report was presented to the trade ministers in both countries during the third Australia-Vietnam Economic Partnership Meeting in April 2023, solidifying its significance in guiding future strategies for bilateral economic cooperation</w:t>
      </w:r>
      <w:r w:rsidR="00CD54E9" w:rsidRPr="003C5C84">
        <w:rPr>
          <w:rFonts w:ascii="Calibri" w:hAnsi="Calibri"/>
          <w:w w:val="110"/>
          <w:sz w:val="24"/>
        </w:rPr>
        <w:t>.</w:t>
      </w:r>
    </w:p>
    <w:p w14:paraId="4BCB3472" w14:textId="5F956B28" w:rsidR="00CD54E9" w:rsidRPr="003C5C84" w:rsidRDefault="00CD54E9" w:rsidP="00CD54E9">
      <w:pPr>
        <w:rPr>
          <w:rFonts w:ascii="Calibri" w:hAnsi="Calibri"/>
          <w:w w:val="110"/>
          <w:sz w:val="24"/>
        </w:rPr>
      </w:pPr>
      <w:r w:rsidRPr="003C5C84">
        <w:rPr>
          <w:rFonts w:ascii="Calibri" w:hAnsi="Calibri"/>
          <w:w w:val="110"/>
          <w:sz w:val="24"/>
        </w:rPr>
        <w:t>The various engagement activities were of significant benefit, as they fostered knowledge sharing and networking that enhanced awareness and an understanding of commercial engagements in Vietnam.</w:t>
      </w:r>
    </w:p>
    <w:p w14:paraId="2902B595" w14:textId="77777777" w:rsidR="009C0C72" w:rsidRPr="009C0C72" w:rsidRDefault="009C0C72" w:rsidP="009C0C72"/>
    <w:sectPr w:rsidR="009C0C72" w:rsidRPr="009C0C72" w:rsidSect="00781E7F">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30E2" w14:textId="77777777" w:rsidR="0031440E" w:rsidRDefault="0031440E" w:rsidP="00BE5444">
      <w:pPr>
        <w:spacing w:after="0" w:line="240" w:lineRule="auto"/>
      </w:pPr>
      <w:r>
        <w:separator/>
      </w:r>
    </w:p>
  </w:endnote>
  <w:endnote w:type="continuationSeparator" w:id="0">
    <w:p w14:paraId="3F543C4F" w14:textId="77777777" w:rsidR="0031440E" w:rsidRDefault="0031440E" w:rsidP="00BE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6883" w14:textId="77777777" w:rsidR="0031440E" w:rsidRDefault="0031440E" w:rsidP="00BE5444">
      <w:pPr>
        <w:spacing w:after="0" w:line="240" w:lineRule="auto"/>
      </w:pPr>
      <w:r>
        <w:separator/>
      </w:r>
    </w:p>
  </w:footnote>
  <w:footnote w:type="continuationSeparator" w:id="0">
    <w:p w14:paraId="5C3DA485" w14:textId="77777777" w:rsidR="0031440E" w:rsidRDefault="0031440E" w:rsidP="00BE5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942"/>
    <w:multiLevelType w:val="hybridMultilevel"/>
    <w:tmpl w:val="6870F07E"/>
    <w:lvl w:ilvl="0" w:tplc="EDF46F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9C55B3"/>
    <w:multiLevelType w:val="hybridMultilevel"/>
    <w:tmpl w:val="01C0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99415D"/>
    <w:multiLevelType w:val="hybridMultilevel"/>
    <w:tmpl w:val="B136F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94826">
    <w:abstractNumId w:val="1"/>
  </w:num>
  <w:num w:numId="2" w16cid:durableId="534345748">
    <w:abstractNumId w:val="2"/>
  </w:num>
  <w:num w:numId="3" w16cid:durableId="6049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7F"/>
    <w:rsid w:val="00090B8A"/>
    <w:rsid w:val="000B6F17"/>
    <w:rsid w:val="00104ACA"/>
    <w:rsid w:val="0013036F"/>
    <w:rsid w:val="00157A60"/>
    <w:rsid w:val="001B44E4"/>
    <w:rsid w:val="00217A65"/>
    <w:rsid w:val="00240FB4"/>
    <w:rsid w:val="0027368F"/>
    <w:rsid w:val="002F4180"/>
    <w:rsid w:val="00310F43"/>
    <w:rsid w:val="0031431B"/>
    <w:rsid w:val="0031440E"/>
    <w:rsid w:val="00331F28"/>
    <w:rsid w:val="003559FE"/>
    <w:rsid w:val="003A5106"/>
    <w:rsid w:val="003C5C84"/>
    <w:rsid w:val="004221ED"/>
    <w:rsid w:val="004E472C"/>
    <w:rsid w:val="004F1F6A"/>
    <w:rsid w:val="005120B7"/>
    <w:rsid w:val="00553A2D"/>
    <w:rsid w:val="00593B78"/>
    <w:rsid w:val="005B37DC"/>
    <w:rsid w:val="005C5045"/>
    <w:rsid w:val="005D6C02"/>
    <w:rsid w:val="00616FD2"/>
    <w:rsid w:val="0063225B"/>
    <w:rsid w:val="00651897"/>
    <w:rsid w:val="00667F5B"/>
    <w:rsid w:val="006B58B2"/>
    <w:rsid w:val="00725BB1"/>
    <w:rsid w:val="00781E7F"/>
    <w:rsid w:val="007C434A"/>
    <w:rsid w:val="007E422C"/>
    <w:rsid w:val="008025C4"/>
    <w:rsid w:val="00805131"/>
    <w:rsid w:val="00812E8F"/>
    <w:rsid w:val="008555F1"/>
    <w:rsid w:val="00855E48"/>
    <w:rsid w:val="008F3761"/>
    <w:rsid w:val="0090294E"/>
    <w:rsid w:val="00935F15"/>
    <w:rsid w:val="00985DE2"/>
    <w:rsid w:val="009C0C72"/>
    <w:rsid w:val="009D274F"/>
    <w:rsid w:val="009F1B3A"/>
    <w:rsid w:val="00A96FEB"/>
    <w:rsid w:val="00AA4A1A"/>
    <w:rsid w:val="00AE0372"/>
    <w:rsid w:val="00B110E6"/>
    <w:rsid w:val="00BD434E"/>
    <w:rsid w:val="00BE5444"/>
    <w:rsid w:val="00C177A4"/>
    <w:rsid w:val="00C22CE9"/>
    <w:rsid w:val="00C23AB9"/>
    <w:rsid w:val="00C4074E"/>
    <w:rsid w:val="00C811CE"/>
    <w:rsid w:val="00CC5238"/>
    <w:rsid w:val="00CC6BA3"/>
    <w:rsid w:val="00CD54E9"/>
    <w:rsid w:val="00CE356A"/>
    <w:rsid w:val="00CE37AB"/>
    <w:rsid w:val="00D2038A"/>
    <w:rsid w:val="00D73A3B"/>
    <w:rsid w:val="00DA483A"/>
    <w:rsid w:val="00E44825"/>
    <w:rsid w:val="00E46FD8"/>
    <w:rsid w:val="00E47612"/>
    <w:rsid w:val="00E77A52"/>
    <w:rsid w:val="00E82A4F"/>
    <w:rsid w:val="00E87A2E"/>
    <w:rsid w:val="00EC4A66"/>
    <w:rsid w:val="00ED2148"/>
    <w:rsid w:val="00F45F9A"/>
    <w:rsid w:val="00F64444"/>
    <w:rsid w:val="00F9533F"/>
    <w:rsid w:val="00FB727D"/>
    <w:rsid w:val="00FE6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93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E7F"/>
    <w:pPr>
      <w:widowControl w:val="0"/>
      <w:autoSpaceDE w:val="0"/>
      <w:autoSpaceDN w:val="0"/>
      <w:spacing w:before="104" w:after="0" w:line="240" w:lineRule="auto"/>
      <w:ind w:left="8032"/>
      <w:outlineLvl w:val="0"/>
    </w:pPr>
    <w:rPr>
      <w:rFonts w:ascii="Century Gothic" w:eastAsia="Century Gothic" w:hAnsi="Century Gothic" w:cs="Century Gothic"/>
      <w:b/>
      <w:bCs/>
      <w:kern w:val="0"/>
      <w:sz w:val="71"/>
      <w:szCs w:val="71"/>
      <w:lang w:val="en-US"/>
      <w14:ligatures w14:val="none"/>
    </w:rPr>
  </w:style>
  <w:style w:type="paragraph" w:styleId="Heading2">
    <w:name w:val="heading 2"/>
    <w:basedOn w:val="Normal"/>
    <w:next w:val="Normal"/>
    <w:link w:val="Heading2Char"/>
    <w:uiPriority w:val="9"/>
    <w:unhideWhenUsed/>
    <w:qFormat/>
    <w:rsid w:val="00781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C6B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7F"/>
    <w:rPr>
      <w:rFonts w:ascii="Century Gothic" w:eastAsia="Century Gothic" w:hAnsi="Century Gothic" w:cs="Century Gothic"/>
      <w:b/>
      <w:bCs/>
      <w:kern w:val="0"/>
      <w:sz w:val="71"/>
      <w:szCs w:val="71"/>
      <w:lang w:val="en-US"/>
      <w14:ligatures w14:val="none"/>
    </w:rPr>
  </w:style>
  <w:style w:type="character" w:customStyle="1" w:styleId="Heading2Char">
    <w:name w:val="Heading 2 Char"/>
    <w:basedOn w:val="DefaultParagraphFont"/>
    <w:link w:val="Heading2"/>
    <w:uiPriority w:val="9"/>
    <w:semiHidden/>
    <w:rsid w:val="00781E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1E7F"/>
    <w:pPr>
      <w:ind w:left="720"/>
      <w:contextualSpacing/>
    </w:pPr>
  </w:style>
  <w:style w:type="paragraph" w:styleId="BodyText">
    <w:name w:val="Body Text"/>
    <w:basedOn w:val="Normal"/>
    <w:link w:val="BodyTextChar"/>
    <w:uiPriority w:val="1"/>
    <w:qFormat/>
    <w:rsid w:val="00781E7F"/>
    <w:pPr>
      <w:widowControl w:val="0"/>
      <w:autoSpaceDE w:val="0"/>
      <w:autoSpaceDN w:val="0"/>
      <w:spacing w:after="0" w:line="240" w:lineRule="auto"/>
    </w:pPr>
    <w:rPr>
      <w:rFonts w:ascii="Calibri Light" w:eastAsia="Calibri Light" w:hAnsi="Calibri Light" w:cs="Calibri Light"/>
      <w:kern w:val="0"/>
      <w:lang w:val="en-US"/>
      <w14:ligatures w14:val="none"/>
    </w:rPr>
  </w:style>
  <w:style w:type="character" w:customStyle="1" w:styleId="BodyTextChar">
    <w:name w:val="Body Text Char"/>
    <w:basedOn w:val="DefaultParagraphFont"/>
    <w:link w:val="BodyText"/>
    <w:uiPriority w:val="1"/>
    <w:rsid w:val="00781E7F"/>
    <w:rPr>
      <w:rFonts w:ascii="Calibri Light" w:eastAsia="Calibri Light" w:hAnsi="Calibri Light" w:cs="Calibri Light"/>
      <w:kern w:val="0"/>
      <w:lang w:val="en-US"/>
      <w14:ligatures w14:val="none"/>
    </w:rPr>
  </w:style>
  <w:style w:type="paragraph" w:customStyle="1" w:styleId="TableParagraph">
    <w:name w:val="Table Paragraph"/>
    <w:basedOn w:val="Normal"/>
    <w:uiPriority w:val="1"/>
    <w:qFormat/>
    <w:rsid w:val="00781E7F"/>
    <w:pPr>
      <w:widowControl w:val="0"/>
      <w:autoSpaceDE w:val="0"/>
      <w:autoSpaceDN w:val="0"/>
      <w:spacing w:after="0" w:line="240" w:lineRule="auto"/>
    </w:pPr>
    <w:rPr>
      <w:rFonts w:ascii="Calibri Light" w:eastAsia="Calibri Light" w:hAnsi="Calibri Light" w:cs="Calibri Light"/>
      <w:kern w:val="0"/>
      <w:lang w:val="en-US"/>
      <w14:ligatures w14:val="none"/>
    </w:rPr>
  </w:style>
  <w:style w:type="character" w:customStyle="1" w:styleId="Heading4Char">
    <w:name w:val="Heading 4 Char"/>
    <w:basedOn w:val="DefaultParagraphFont"/>
    <w:link w:val="Heading4"/>
    <w:uiPriority w:val="9"/>
    <w:semiHidden/>
    <w:rsid w:val="00CC6BA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32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25B"/>
  </w:style>
  <w:style w:type="paragraph" w:styleId="Footer">
    <w:name w:val="footer"/>
    <w:basedOn w:val="Normal"/>
    <w:link w:val="FooterChar"/>
    <w:uiPriority w:val="99"/>
    <w:unhideWhenUsed/>
    <w:rsid w:val="00632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10946</Characters>
  <Application>Microsoft Office Word</Application>
  <DocSecurity>0</DocSecurity>
  <Lines>189</Lines>
  <Paragraphs>66</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Mekong-Australia Partnership - Key results for the period from 1 January 2022 to 31 December 2022</dc:title>
  <dc:subject/>
  <dc:creator/>
  <cp:keywords>[SEC=OFFICIAL]</cp:keywords>
  <dc:description/>
  <cp:lastModifiedBy/>
  <cp:revision>1</cp:revision>
  <dcterms:created xsi:type="dcterms:W3CDTF">2024-03-03T22:40:00Z</dcterms:created>
  <dcterms:modified xsi:type="dcterms:W3CDTF">2024-03-03T22:41:00Z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v=2022.1;a=SHA256;h=BAA14BE996E4C7FBC7E55C6D43E5F4F652D9A05F0F02641B45C62451761414BE</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2024-02-29T23:01:13Z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FA8E16A212284D7782E7B7FCC36337FD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A661BABC7DF940DBE1CF952D17FD56B1</vt:lpwstr>
  </property>
  <property fmtid="{D5CDD505-2E9C-101B-9397-08002B2CF9AE}" pid="24" name="PM_Hash_Salt">
    <vt:lpwstr>5E939B09DF57A460B8822B0B89318E49</vt:lpwstr>
  </property>
  <property fmtid="{D5CDD505-2E9C-101B-9397-08002B2CF9AE}" pid="25" name="PM_Hash_SHA1">
    <vt:lpwstr>FA380F1EF98C7C0E15097327999C8663ED96A5D5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