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AE3D" w14:textId="7DC88AF1" w:rsidR="00123F9E" w:rsidRPr="001F14E7" w:rsidRDefault="00123F9E" w:rsidP="003C504A">
      <w:pPr>
        <w:pStyle w:val="Title"/>
        <w:rPr>
          <w:sz w:val="40"/>
          <w:szCs w:val="40"/>
          <w:lang w:val="en-AU"/>
        </w:rPr>
      </w:pPr>
      <w:bookmarkStart w:id="0" w:name="_Toc413078488"/>
      <w:r w:rsidRPr="001F14E7">
        <w:rPr>
          <w:sz w:val="40"/>
          <w:szCs w:val="40"/>
          <w:lang w:val="en-AU"/>
        </w:rPr>
        <w:t>Mekong Australia Partnership Phase 2</w:t>
      </w:r>
    </w:p>
    <w:p w14:paraId="48636C54" w14:textId="77777777" w:rsidR="003C504A" w:rsidRPr="001F14E7" w:rsidRDefault="003C504A" w:rsidP="003C504A">
      <w:pPr>
        <w:rPr>
          <w:sz w:val="40"/>
          <w:szCs w:val="40"/>
          <w:lang w:val="en-AU"/>
        </w:rPr>
      </w:pPr>
    </w:p>
    <w:p w14:paraId="20A6AC7C" w14:textId="4D1BE30A" w:rsidR="00123F9E" w:rsidRPr="001F14E7" w:rsidRDefault="008839EB" w:rsidP="00CC6E0F">
      <w:pPr>
        <w:pStyle w:val="Title"/>
        <w:tabs>
          <w:tab w:val="left" w:pos="7236"/>
        </w:tabs>
        <w:rPr>
          <w:sz w:val="40"/>
          <w:szCs w:val="40"/>
          <w:lang w:val="en-AU"/>
        </w:rPr>
      </w:pPr>
      <w:r w:rsidRPr="001F14E7">
        <w:rPr>
          <w:sz w:val="40"/>
          <w:szCs w:val="40"/>
          <w:lang w:val="en-AU"/>
        </w:rPr>
        <w:t xml:space="preserve">Portfolio </w:t>
      </w:r>
      <w:r w:rsidR="007C38BC" w:rsidRPr="001F14E7">
        <w:rPr>
          <w:sz w:val="40"/>
          <w:szCs w:val="40"/>
          <w:lang w:val="en-AU"/>
        </w:rPr>
        <w:t>Design</w:t>
      </w:r>
      <w:r w:rsidR="00123F9E" w:rsidRPr="001F14E7">
        <w:rPr>
          <w:sz w:val="40"/>
          <w:szCs w:val="40"/>
          <w:lang w:val="en-AU"/>
        </w:rPr>
        <w:t xml:space="preserve"> </w:t>
      </w:r>
      <w:r w:rsidR="005530BF" w:rsidRPr="001F14E7">
        <w:rPr>
          <w:sz w:val="40"/>
          <w:szCs w:val="40"/>
          <w:lang w:val="en-AU"/>
        </w:rPr>
        <w:t>Framewor</w:t>
      </w:r>
      <w:r w:rsidR="00D97AA5">
        <w:rPr>
          <w:sz w:val="40"/>
          <w:szCs w:val="40"/>
          <w:lang w:val="en-AU"/>
        </w:rPr>
        <w:t>k</w:t>
      </w:r>
      <w:r w:rsidR="000F197D">
        <w:rPr>
          <w:sz w:val="40"/>
          <w:szCs w:val="40"/>
          <w:lang w:val="en-AU"/>
        </w:rPr>
        <w:tab/>
      </w:r>
    </w:p>
    <w:p w14:paraId="55443A89" w14:textId="77777777" w:rsidR="00DE3454" w:rsidRPr="001F14E7" w:rsidRDefault="00DE3454" w:rsidP="00123F9E">
      <w:pPr>
        <w:pStyle w:val="BodyTextHanging"/>
        <w:rPr>
          <w:lang w:val="en-AU"/>
        </w:rPr>
      </w:pPr>
    </w:p>
    <w:bookmarkEnd w:id="0"/>
    <w:p w14:paraId="6CA3A890" w14:textId="20F82A8C" w:rsidR="007D3A64" w:rsidRPr="0000253E" w:rsidRDefault="00CC6747" w:rsidP="00A32858">
      <w:pPr>
        <w:spacing w:after="120"/>
        <w:rPr>
          <w:i/>
          <w:iCs/>
          <w:sz w:val="21"/>
          <w:szCs w:val="21"/>
          <w:lang w:val="en-AU"/>
        </w:rPr>
      </w:pPr>
      <w:r w:rsidRPr="0000253E">
        <w:rPr>
          <w:i/>
          <w:iCs/>
          <w:sz w:val="21"/>
          <w:szCs w:val="21"/>
          <w:lang w:val="en-AU"/>
        </w:rPr>
        <w:t>Version for external publication – August 2024</w:t>
      </w:r>
    </w:p>
    <w:p w14:paraId="47E5E30D" w14:textId="530BF622" w:rsidR="00A32858" w:rsidRPr="00E54D0D" w:rsidRDefault="4EEF5BCF" w:rsidP="4C1C98D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4"/>
          <w:szCs w:val="24"/>
          <w:lang w:val="en-AU"/>
        </w:rPr>
      </w:pPr>
      <w:r w:rsidRPr="00E54D0D">
        <w:rPr>
          <w:b/>
          <w:bCs/>
          <w:sz w:val="24"/>
          <w:szCs w:val="24"/>
          <w:lang w:val="en-AU"/>
        </w:rPr>
        <w:t xml:space="preserve">Investment Design </w:t>
      </w:r>
      <w:bookmarkStart w:id="1" w:name="_Int_kqX8nBNA"/>
      <w:r w:rsidRPr="00E54D0D">
        <w:rPr>
          <w:b/>
          <w:bCs/>
          <w:sz w:val="24"/>
          <w:szCs w:val="24"/>
          <w:lang w:val="en-AU"/>
        </w:rPr>
        <w:t>Title:</w:t>
      </w:r>
      <w:r w:rsidR="00A32858" w:rsidRPr="00E54D0D">
        <w:rPr>
          <w:sz w:val="24"/>
          <w:szCs w:val="24"/>
        </w:rPr>
        <w:tab/>
      </w:r>
      <w:bookmarkEnd w:id="1"/>
      <w:r w:rsidR="35537753" w:rsidRPr="00E54D0D">
        <w:rPr>
          <w:sz w:val="24"/>
          <w:szCs w:val="24"/>
          <w:lang w:val="en-AU"/>
        </w:rPr>
        <w:t xml:space="preserve"> Mekong</w:t>
      </w:r>
      <w:r w:rsidR="7A25B700" w:rsidRPr="00E54D0D">
        <w:rPr>
          <w:sz w:val="24"/>
          <w:szCs w:val="24"/>
          <w:lang w:val="en-AU"/>
        </w:rPr>
        <w:t>-</w:t>
      </w:r>
      <w:r w:rsidR="35537753" w:rsidRPr="00E54D0D">
        <w:rPr>
          <w:sz w:val="24"/>
          <w:szCs w:val="24"/>
          <w:lang w:val="en-AU"/>
        </w:rPr>
        <w:t>Australia Partnership Phase 2</w:t>
      </w:r>
      <w:r w:rsidR="00A32858" w:rsidRPr="00E54D0D">
        <w:rPr>
          <w:sz w:val="24"/>
          <w:szCs w:val="24"/>
        </w:rPr>
        <w:tab/>
      </w:r>
      <w:r w:rsidR="00A32858" w:rsidRPr="00E54D0D">
        <w:rPr>
          <w:sz w:val="24"/>
          <w:szCs w:val="24"/>
        </w:rPr>
        <w:tab/>
      </w:r>
    </w:p>
    <w:p w14:paraId="6A49F6C2" w14:textId="5FDB17E3" w:rsidR="004C1535" w:rsidRPr="00E54D0D" w:rsidRDefault="4EEF5BCF" w:rsidP="4C1C98D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bCs/>
          <w:sz w:val="24"/>
          <w:szCs w:val="24"/>
          <w:lang w:val="en-AU"/>
        </w:rPr>
      </w:pPr>
      <w:r w:rsidRPr="00E54D0D">
        <w:rPr>
          <w:b/>
          <w:bCs/>
          <w:sz w:val="24"/>
          <w:szCs w:val="24"/>
          <w:lang w:val="en-AU"/>
        </w:rPr>
        <w:t xml:space="preserve">Start </w:t>
      </w:r>
      <w:r w:rsidR="24616DA2" w:rsidRPr="00E54D0D">
        <w:rPr>
          <w:b/>
          <w:bCs/>
          <w:sz w:val="24"/>
          <w:szCs w:val="24"/>
          <w:lang w:val="en-AU"/>
        </w:rPr>
        <w:t xml:space="preserve">date: </w:t>
      </w:r>
      <w:r w:rsidR="35537753" w:rsidRPr="00E54D0D">
        <w:rPr>
          <w:sz w:val="24"/>
          <w:szCs w:val="24"/>
          <w:lang w:val="en-AU"/>
        </w:rPr>
        <w:t>July 2024</w:t>
      </w:r>
      <w:r w:rsidR="00A32858" w:rsidRPr="00E54D0D">
        <w:rPr>
          <w:sz w:val="24"/>
          <w:szCs w:val="24"/>
        </w:rPr>
        <w:tab/>
      </w:r>
      <w:r w:rsidR="00A32858" w:rsidRPr="00E54D0D">
        <w:rPr>
          <w:sz w:val="24"/>
          <w:szCs w:val="24"/>
        </w:rPr>
        <w:tab/>
      </w:r>
      <w:r w:rsidR="00A32858" w:rsidRPr="00E54D0D">
        <w:rPr>
          <w:sz w:val="24"/>
          <w:szCs w:val="24"/>
        </w:rPr>
        <w:tab/>
      </w:r>
      <w:r w:rsidR="00A32858" w:rsidRPr="00E54D0D">
        <w:rPr>
          <w:sz w:val="24"/>
          <w:szCs w:val="24"/>
        </w:rPr>
        <w:tab/>
      </w:r>
    </w:p>
    <w:p w14:paraId="59443B9E" w14:textId="608E0958" w:rsidR="00A32858" w:rsidRPr="00E54D0D" w:rsidRDefault="4EEF5BCF" w:rsidP="4C1C98D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bCs/>
          <w:sz w:val="24"/>
          <w:szCs w:val="24"/>
          <w:lang w:val="en-AU"/>
        </w:rPr>
      </w:pPr>
      <w:r w:rsidRPr="00E54D0D">
        <w:rPr>
          <w:b/>
          <w:bCs/>
          <w:sz w:val="24"/>
          <w:szCs w:val="24"/>
          <w:lang w:val="en-AU"/>
        </w:rPr>
        <w:t xml:space="preserve">End date: </w:t>
      </w:r>
      <w:r w:rsidR="35537753" w:rsidRPr="00E54D0D">
        <w:rPr>
          <w:sz w:val="24"/>
          <w:szCs w:val="24"/>
          <w:lang w:val="en-AU"/>
        </w:rPr>
        <w:t xml:space="preserve">June 2029 </w:t>
      </w:r>
    </w:p>
    <w:p w14:paraId="00130D5B" w14:textId="4EBA9254" w:rsidR="004C1535" w:rsidRPr="00E54D0D" w:rsidRDefault="4EEF5BCF" w:rsidP="4C1C98D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bCs/>
          <w:sz w:val="24"/>
          <w:szCs w:val="24"/>
          <w:lang w:val="en-AU"/>
        </w:rPr>
      </w:pPr>
      <w:r w:rsidRPr="00E54D0D">
        <w:rPr>
          <w:b/>
          <w:bCs/>
          <w:sz w:val="24"/>
          <w:szCs w:val="24"/>
          <w:lang w:val="en-AU"/>
        </w:rPr>
        <w:t xml:space="preserve">Total proposed </w:t>
      </w:r>
      <w:bookmarkStart w:id="2" w:name="_Int_ficdlX50"/>
      <w:r w:rsidRPr="00E54D0D">
        <w:rPr>
          <w:b/>
          <w:bCs/>
          <w:sz w:val="24"/>
          <w:szCs w:val="24"/>
          <w:lang w:val="en-AU"/>
        </w:rPr>
        <w:t>DFAT</w:t>
      </w:r>
      <w:bookmarkEnd w:id="2"/>
      <w:r w:rsidRPr="00E54D0D">
        <w:rPr>
          <w:b/>
          <w:bCs/>
          <w:sz w:val="24"/>
          <w:szCs w:val="24"/>
          <w:lang w:val="en-AU"/>
        </w:rPr>
        <w:t xml:space="preserve"> funding: </w:t>
      </w:r>
      <w:r w:rsidR="1B30F14F" w:rsidRPr="00E54D0D">
        <w:rPr>
          <w:b/>
          <w:bCs/>
          <w:sz w:val="24"/>
          <w:szCs w:val="24"/>
          <w:lang w:val="en-AU"/>
        </w:rPr>
        <w:t xml:space="preserve"> </w:t>
      </w:r>
      <w:r w:rsidR="1B30F14F" w:rsidRPr="00E54D0D">
        <w:rPr>
          <w:sz w:val="24"/>
          <w:szCs w:val="24"/>
          <w:lang w:val="en-AU"/>
        </w:rPr>
        <w:t xml:space="preserve">AUD </w:t>
      </w:r>
      <w:r w:rsidR="41BAF7FF" w:rsidRPr="00E54D0D">
        <w:rPr>
          <w:sz w:val="24"/>
          <w:szCs w:val="24"/>
          <w:lang w:val="en-AU"/>
        </w:rPr>
        <w:t>222.5 million</w:t>
      </w:r>
      <w:r w:rsidR="00A32858" w:rsidRPr="00E54D0D">
        <w:rPr>
          <w:sz w:val="24"/>
          <w:szCs w:val="24"/>
        </w:rPr>
        <w:tab/>
      </w:r>
      <w:r w:rsidR="39233A7F" w:rsidRPr="00E54D0D">
        <w:rPr>
          <w:i/>
          <w:iCs/>
          <w:sz w:val="24"/>
          <w:szCs w:val="24"/>
          <w:lang w:val="en-AU"/>
        </w:rPr>
        <w:t xml:space="preserve"> </w:t>
      </w:r>
      <w:r w:rsidR="00A32858" w:rsidRPr="00E54D0D">
        <w:rPr>
          <w:sz w:val="24"/>
          <w:szCs w:val="24"/>
        </w:rPr>
        <w:tab/>
      </w:r>
      <w:r w:rsidR="00A32858" w:rsidRPr="00E54D0D">
        <w:rPr>
          <w:sz w:val="24"/>
          <w:szCs w:val="24"/>
        </w:rPr>
        <w:tab/>
      </w:r>
    </w:p>
    <w:p w14:paraId="29B00AB2" w14:textId="5DE290E7" w:rsidR="00A32858" w:rsidRPr="00E54D0D" w:rsidRDefault="4EEF5BCF" w:rsidP="4C1C98D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4"/>
          <w:szCs w:val="24"/>
          <w:lang w:val="en-AU"/>
        </w:rPr>
      </w:pPr>
      <w:r w:rsidRPr="00E54D0D">
        <w:rPr>
          <w:b/>
          <w:bCs/>
          <w:sz w:val="24"/>
          <w:szCs w:val="24"/>
          <w:lang w:val="en-AU"/>
        </w:rPr>
        <w:t xml:space="preserve">Total proposed funding from all donor/s: </w:t>
      </w:r>
      <w:r w:rsidR="0C9CB3B7" w:rsidRPr="00E54D0D">
        <w:rPr>
          <w:b/>
          <w:bCs/>
          <w:sz w:val="24"/>
          <w:szCs w:val="24"/>
          <w:lang w:val="en-AU"/>
        </w:rPr>
        <w:t xml:space="preserve"> </w:t>
      </w:r>
      <w:r w:rsidR="0C9CB3B7" w:rsidRPr="00E54D0D">
        <w:rPr>
          <w:sz w:val="24"/>
          <w:szCs w:val="24"/>
          <w:lang w:val="en-AU"/>
        </w:rPr>
        <w:t xml:space="preserve">AUD </w:t>
      </w:r>
      <w:r w:rsidR="3C604538" w:rsidRPr="00E54D0D">
        <w:rPr>
          <w:i/>
          <w:iCs/>
          <w:sz w:val="24"/>
          <w:szCs w:val="24"/>
          <w:lang w:val="en-AU"/>
        </w:rPr>
        <w:t>222.5 million</w:t>
      </w:r>
    </w:p>
    <w:p w14:paraId="2250F672" w14:textId="6D8B6C1E" w:rsidR="004C1535" w:rsidRPr="00E54D0D" w:rsidRDefault="4EEF5BCF" w:rsidP="4C1C98D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rFonts w:cs="Arial"/>
          <w:b/>
          <w:bCs/>
          <w:sz w:val="24"/>
          <w:szCs w:val="24"/>
          <w:lang w:val="en-AU"/>
        </w:rPr>
      </w:pPr>
      <w:r w:rsidRPr="00E54D0D">
        <w:rPr>
          <w:rFonts w:cs="Arial"/>
          <w:b/>
          <w:bCs/>
          <w:sz w:val="24"/>
          <w:szCs w:val="24"/>
          <w:lang w:val="en-AU"/>
        </w:rPr>
        <w:t xml:space="preserve">Current program fund annual allocation: </w:t>
      </w:r>
      <w:r w:rsidR="57434C50" w:rsidRPr="00E54D0D">
        <w:rPr>
          <w:rFonts w:cs="Arial"/>
          <w:b/>
          <w:bCs/>
          <w:sz w:val="24"/>
          <w:szCs w:val="24"/>
          <w:lang w:val="en-AU"/>
        </w:rPr>
        <w:t xml:space="preserve"> </w:t>
      </w:r>
      <w:r w:rsidR="57434C50" w:rsidRPr="00E54D0D">
        <w:rPr>
          <w:rFonts w:cs="Arial"/>
          <w:sz w:val="24"/>
          <w:szCs w:val="24"/>
          <w:lang w:val="en-AU"/>
        </w:rPr>
        <w:t xml:space="preserve">AUD </w:t>
      </w:r>
      <w:r w:rsidR="3C604538" w:rsidRPr="00E54D0D">
        <w:rPr>
          <w:i/>
          <w:iCs/>
          <w:sz w:val="24"/>
          <w:szCs w:val="24"/>
          <w:lang w:val="en-AU"/>
        </w:rPr>
        <w:t>45 million in 2024/25</w:t>
      </w:r>
    </w:p>
    <w:p w14:paraId="61971086" w14:textId="2F06B9BD" w:rsidR="00A32858" w:rsidRPr="00E54D0D" w:rsidRDefault="4EEF5BCF" w:rsidP="4C1C98D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4"/>
          <w:szCs w:val="24"/>
          <w:lang w:val="en-AU"/>
        </w:rPr>
      </w:pPr>
      <w:r w:rsidRPr="00E54D0D">
        <w:rPr>
          <w:b/>
          <w:bCs/>
          <w:sz w:val="24"/>
          <w:szCs w:val="24"/>
          <w:lang w:val="en-AU"/>
        </w:rPr>
        <w:t>AidWorks investment number:</w:t>
      </w:r>
      <w:r w:rsidR="00A32858" w:rsidRPr="00E54D0D">
        <w:rPr>
          <w:sz w:val="24"/>
          <w:szCs w:val="24"/>
        </w:rPr>
        <w:tab/>
      </w:r>
      <w:r w:rsidR="35537753" w:rsidRPr="00E54D0D">
        <w:rPr>
          <w:sz w:val="24"/>
          <w:szCs w:val="24"/>
          <w:lang w:val="en-AU"/>
        </w:rPr>
        <w:t>INO250</w:t>
      </w:r>
    </w:p>
    <w:p w14:paraId="2583209A" w14:textId="1DE8A81A" w:rsidR="004C1535" w:rsidRPr="00E54D0D" w:rsidRDefault="07DB2F87" w:rsidP="42839A6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4"/>
          <w:szCs w:val="24"/>
          <w:lang w:val="en-AU"/>
        </w:rPr>
      </w:pPr>
      <w:r w:rsidRPr="00E54D0D">
        <w:rPr>
          <w:b/>
          <w:bCs/>
          <w:sz w:val="24"/>
          <w:szCs w:val="24"/>
          <w:lang w:val="en-AU"/>
        </w:rPr>
        <w:t>Risk</w:t>
      </w:r>
      <w:r w:rsidR="2EA98EFE" w:rsidRPr="00E54D0D">
        <w:rPr>
          <w:b/>
          <w:bCs/>
          <w:sz w:val="24"/>
          <w:szCs w:val="24"/>
          <w:lang w:val="en-AU"/>
        </w:rPr>
        <w:t>:</w:t>
      </w:r>
      <w:r w:rsidRPr="00E54D0D">
        <w:rPr>
          <w:b/>
          <w:bCs/>
          <w:sz w:val="24"/>
          <w:szCs w:val="24"/>
          <w:lang w:val="en-AU"/>
        </w:rPr>
        <w:t xml:space="preserve"> </w:t>
      </w:r>
      <w:r w:rsidRPr="00E54D0D">
        <w:rPr>
          <w:i/>
          <w:iCs/>
          <w:sz w:val="24"/>
          <w:szCs w:val="24"/>
          <w:lang w:val="en-AU"/>
        </w:rPr>
        <w:t>medium</w:t>
      </w:r>
      <w:r w:rsidRPr="00E54D0D">
        <w:rPr>
          <w:sz w:val="24"/>
          <w:szCs w:val="24"/>
        </w:rPr>
        <w:tab/>
      </w:r>
      <w:r w:rsidR="7A59EC1C" w:rsidRPr="00E54D0D">
        <w:rPr>
          <w:b/>
          <w:bCs/>
          <w:sz w:val="24"/>
          <w:szCs w:val="24"/>
          <w:lang w:val="en-AU"/>
        </w:rPr>
        <w:t xml:space="preserve">  </w:t>
      </w:r>
      <w:r w:rsidRPr="00E54D0D">
        <w:rPr>
          <w:b/>
          <w:bCs/>
          <w:sz w:val="24"/>
          <w:szCs w:val="24"/>
          <w:lang w:val="en-AU"/>
        </w:rPr>
        <w:t xml:space="preserve"> </w:t>
      </w:r>
      <w:r w:rsidRPr="00E54D0D">
        <w:rPr>
          <w:sz w:val="24"/>
          <w:szCs w:val="24"/>
        </w:rPr>
        <w:tab/>
      </w:r>
      <w:r w:rsidRPr="00E54D0D">
        <w:rPr>
          <w:sz w:val="24"/>
          <w:szCs w:val="24"/>
        </w:rPr>
        <w:tab/>
      </w:r>
      <w:r w:rsidRPr="00E54D0D">
        <w:rPr>
          <w:sz w:val="24"/>
          <w:szCs w:val="24"/>
        </w:rPr>
        <w:tab/>
      </w:r>
    </w:p>
    <w:p w14:paraId="7B61D7EB" w14:textId="1DEF1E26" w:rsidR="00A32858" w:rsidRPr="00E54D0D" w:rsidRDefault="00815A9B" w:rsidP="44DF8683">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i/>
          <w:iCs/>
          <w:sz w:val="24"/>
          <w:szCs w:val="24"/>
          <w:lang w:val="en-AU"/>
        </w:rPr>
      </w:pPr>
      <w:r w:rsidRPr="00E54D0D">
        <w:rPr>
          <w:b/>
          <w:bCs/>
          <w:sz w:val="24"/>
          <w:szCs w:val="24"/>
          <w:lang w:val="en-AU"/>
        </w:rPr>
        <w:t>Value</w:t>
      </w:r>
      <w:r w:rsidR="4F1A373F" w:rsidRPr="00E54D0D">
        <w:rPr>
          <w:b/>
          <w:bCs/>
          <w:sz w:val="24"/>
          <w:szCs w:val="24"/>
          <w:lang w:val="en-AU"/>
        </w:rPr>
        <w:t xml:space="preserve">: </w:t>
      </w:r>
      <w:r w:rsidR="000619CB" w:rsidRPr="00E54D0D">
        <w:rPr>
          <w:i/>
          <w:iCs/>
          <w:sz w:val="24"/>
          <w:szCs w:val="24"/>
          <w:lang w:val="en-AU"/>
        </w:rPr>
        <w:t>high</w:t>
      </w:r>
      <w:r w:rsidR="00BD78BA" w:rsidRPr="00E54D0D">
        <w:rPr>
          <w:b/>
          <w:bCs/>
          <w:sz w:val="24"/>
          <w:szCs w:val="24"/>
          <w:lang w:val="en-AU"/>
        </w:rPr>
        <w:t xml:space="preserve"> </w:t>
      </w:r>
    </w:p>
    <w:p w14:paraId="6A489FBF" w14:textId="3387F893" w:rsidR="004C1535" w:rsidRPr="00E54D0D" w:rsidRDefault="4EEF5BCF" w:rsidP="4C1C98D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bCs/>
          <w:sz w:val="24"/>
          <w:szCs w:val="24"/>
          <w:lang w:val="en-AU"/>
        </w:rPr>
      </w:pPr>
      <w:r w:rsidRPr="00E54D0D">
        <w:rPr>
          <w:b/>
          <w:bCs/>
          <w:sz w:val="24"/>
          <w:szCs w:val="24"/>
          <w:lang w:val="en-AU"/>
        </w:rPr>
        <w:t xml:space="preserve">Concept approved by: </w:t>
      </w:r>
      <w:r w:rsidR="35537753" w:rsidRPr="00E54D0D">
        <w:rPr>
          <w:i/>
          <w:iCs/>
          <w:color w:val="auto"/>
          <w:sz w:val="24"/>
          <w:szCs w:val="24"/>
          <w:lang w:val="en-AU"/>
        </w:rPr>
        <w:t xml:space="preserve"> </w:t>
      </w:r>
      <w:r w:rsidR="7584821D" w:rsidRPr="00E54D0D">
        <w:rPr>
          <w:sz w:val="24"/>
          <w:szCs w:val="24"/>
          <w:lang w:val="en-AU"/>
        </w:rPr>
        <w:t xml:space="preserve">Deputy Secretary, South and Southeast Asia Group (SGG) </w:t>
      </w:r>
      <w:r w:rsidR="00A32858" w:rsidRPr="00E54D0D">
        <w:rPr>
          <w:sz w:val="24"/>
          <w:szCs w:val="24"/>
        </w:rPr>
        <w:tab/>
      </w:r>
    </w:p>
    <w:p w14:paraId="73A53A25" w14:textId="11D1FEF0" w:rsidR="00A32858" w:rsidRPr="00E54D0D" w:rsidRDefault="00A32858" w:rsidP="1DA5F46F">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4"/>
          <w:szCs w:val="24"/>
          <w:lang w:val="en-AU"/>
        </w:rPr>
      </w:pPr>
      <w:r w:rsidRPr="00E54D0D">
        <w:rPr>
          <w:b/>
          <w:bCs/>
          <w:sz w:val="24"/>
          <w:szCs w:val="24"/>
          <w:lang w:val="en-AU"/>
        </w:rPr>
        <w:t xml:space="preserve">Concept endorsed by </w:t>
      </w:r>
      <w:r w:rsidR="3555B07C" w:rsidRPr="00E54D0D">
        <w:rPr>
          <w:b/>
          <w:bCs/>
          <w:sz w:val="24"/>
          <w:szCs w:val="24"/>
          <w:lang w:val="en-AU"/>
        </w:rPr>
        <w:t>DP</w:t>
      </w:r>
      <w:r w:rsidR="576CCC65" w:rsidRPr="00E54D0D">
        <w:rPr>
          <w:b/>
          <w:bCs/>
          <w:sz w:val="24"/>
          <w:szCs w:val="24"/>
          <w:lang w:val="en-AU"/>
        </w:rPr>
        <w:t>C</w:t>
      </w:r>
      <w:r w:rsidRPr="00E54D0D">
        <w:rPr>
          <w:b/>
          <w:bCs/>
          <w:sz w:val="24"/>
          <w:szCs w:val="24"/>
          <w:lang w:val="en-AU"/>
        </w:rPr>
        <w:t xml:space="preserve">: </w:t>
      </w:r>
      <w:r w:rsidRPr="00E54D0D">
        <w:rPr>
          <w:sz w:val="24"/>
          <w:szCs w:val="24"/>
          <w:lang w:val="en-AU"/>
        </w:rPr>
        <w:t>Yes</w:t>
      </w:r>
    </w:p>
    <w:p w14:paraId="24B48D50" w14:textId="707DA463" w:rsidR="00A32858" w:rsidRPr="00E54D0D"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4"/>
          <w:szCs w:val="24"/>
          <w:lang w:val="en-AU"/>
        </w:rPr>
      </w:pPr>
      <w:r w:rsidRPr="00E54D0D">
        <w:rPr>
          <w:b/>
          <w:sz w:val="24"/>
          <w:szCs w:val="24"/>
          <w:lang w:val="en-AU"/>
        </w:rPr>
        <w:t xml:space="preserve">Quality Assurance completed: </w:t>
      </w:r>
      <w:r w:rsidR="009B4FA6" w:rsidRPr="00E54D0D">
        <w:rPr>
          <w:iCs/>
          <w:sz w:val="24"/>
          <w:szCs w:val="24"/>
          <w:lang w:val="en-AU"/>
        </w:rPr>
        <w:t>Independent A</w:t>
      </w:r>
      <w:r w:rsidRPr="00E54D0D">
        <w:rPr>
          <w:iCs/>
          <w:sz w:val="24"/>
          <w:szCs w:val="24"/>
          <w:lang w:val="en-AU"/>
        </w:rPr>
        <w:t xml:space="preserve">ppraisal, </w:t>
      </w:r>
      <w:r w:rsidR="009B4FA6" w:rsidRPr="00E54D0D">
        <w:rPr>
          <w:iCs/>
          <w:sz w:val="24"/>
          <w:szCs w:val="24"/>
          <w:lang w:val="en-AU"/>
        </w:rPr>
        <w:t>P</w:t>
      </w:r>
      <w:r w:rsidRPr="00E54D0D">
        <w:rPr>
          <w:iCs/>
          <w:sz w:val="24"/>
          <w:szCs w:val="24"/>
          <w:lang w:val="en-AU"/>
        </w:rPr>
        <w:t xml:space="preserve">eer </w:t>
      </w:r>
      <w:r w:rsidR="009B4FA6" w:rsidRPr="00E54D0D">
        <w:rPr>
          <w:iCs/>
          <w:sz w:val="24"/>
          <w:szCs w:val="24"/>
          <w:lang w:val="en-AU"/>
        </w:rPr>
        <w:t>Review.</w:t>
      </w:r>
    </w:p>
    <w:p w14:paraId="57A313C5" w14:textId="08A5BBB2" w:rsidR="004C1535" w:rsidRPr="00E54D0D"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4"/>
          <w:szCs w:val="24"/>
          <w:lang w:val="en-AU"/>
        </w:rPr>
      </w:pPr>
      <w:r w:rsidRPr="00E54D0D">
        <w:rPr>
          <w:b/>
          <w:sz w:val="24"/>
          <w:szCs w:val="24"/>
          <w:lang w:val="en-AU"/>
        </w:rPr>
        <w:t xml:space="preserve">Approval: Delegate at </w:t>
      </w:r>
      <w:r w:rsidR="00BB2501" w:rsidRPr="00E54D0D">
        <w:rPr>
          <w:b/>
          <w:sz w:val="24"/>
          <w:szCs w:val="24"/>
          <w:lang w:val="en-AU"/>
        </w:rPr>
        <w:t>Post</w:t>
      </w:r>
      <w:r w:rsidRPr="00E54D0D">
        <w:rPr>
          <w:b/>
          <w:sz w:val="24"/>
          <w:szCs w:val="24"/>
          <w:lang w:val="en-AU"/>
        </w:rPr>
        <w:t xml:space="preserve">: </w:t>
      </w:r>
      <w:r w:rsidR="00451E48" w:rsidRPr="00E54D0D">
        <w:rPr>
          <w:i/>
          <w:sz w:val="24"/>
          <w:szCs w:val="24"/>
          <w:lang w:val="en-AU"/>
        </w:rPr>
        <w:t>N/A</w:t>
      </w:r>
      <w:r w:rsidRPr="00E54D0D">
        <w:rPr>
          <w:b/>
          <w:i/>
          <w:sz w:val="24"/>
          <w:szCs w:val="24"/>
          <w:lang w:val="en-AU"/>
        </w:rPr>
        <w:tab/>
      </w:r>
      <w:r w:rsidRPr="00E54D0D">
        <w:rPr>
          <w:b/>
          <w:sz w:val="24"/>
          <w:szCs w:val="24"/>
          <w:lang w:val="en-AU"/>
        </w:rPr>
        <w:tab/>
      </w:r>
      <w:r w:rsidRPr="00E54D0D">
        <w:rPr>
          <w:b/>
          <w:sz w:val="24"/>
          <w:szCs w:val="24"/>
          <w:lang w:val="en-AU"/>
        </w:rPr>
        <w:tab/>
      </w:r>
    </w:p>
    <w:p w14:paraId="643B2900" w14:textId="65EEC8F0" w:rsidR="00F138B6" w:rsidRPr="00C7406F" w:rsidRDefault="00A32858" w:rsidP="533542AD">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4"/>
          <w:szCs w:val="24"/>
          <w:lang w:val="en-AU"/>
        </w:rPr>
        <w:sectPr w:rsidR="00F138B6" w:rsidRPr="00C7406F" w:rsidSect="003E52D8">
          <w:headerReference w:type="default" r:id="rId8"/>
          <w:footerReference w:type="default" r:id="rId9"/>
          <w:headerReference w:type="first" r:id="rId10"/>
          <w:footerReference w:type="first" r:id="rId11"/>
          <w:pgSz w:w="11906" w:h="16838" w:code="9"/>
          <w:pgMar w:top="1701" w:right="1134" w:bottom="1418" w:left="1134" w:header="425" w:footer="493" w:gutter="0"/>
          <w:cols w:space="397"/>
          <w:titlePg/>
          <w:docGrid w:linePitch="360"/>
        </w:sectPr>
      </w:pPr>
      <w:r w:rsidRPr="00E54D0D">
        <w:rPr>
          <w:b/>
          <w:bCs/>
          <w:sz w:val="24"/>
          <w:szCs w:val="24"/>
          <w:lang w:val="en-AU"/>
        </w:rPr>
        <w:t xml:space="preserve">Delegate in Canberra: </w:t>
      </w:r>
      <w:r w:rsidR="01F41F19" w:rsidRPr="00E54D0D">
        <w:rPr>
          <w:sz w:val="24"/>
          <w:szCs w:val="24"/>
          <w:lang w:val="en-AU"/>
        </w:rPr>
        <w:t>Deputy</w:t>
      </w:r>
      <w:r w:rsidR="01F41F19" w:rsidRPr="00C7406F">
        <w:rPr>
          <w:sz w:val="24"/>
          <w:szCs w:val="24"/>
          <w:lang w:val="en-AU"/>
        </w:rPr>
        <w:t xml:space="preserve"> Secretary, South and Southeast Asia Group </w:t>
      </w:r>
    </w:p>
    <w:p w14:paraId="6F2ED821" w14:textId="77777777" w:rsidR="00A32858" w:rsidRPr="001F14E7" w:rsidRDefault="00A32858" w:rsidP="00E70594">
      <w:pPr>
        <w:pStyle w:val="Heading1smallspaceafter"/>
        <w:spacing w:before="0" w:after="120"/>
        <w:rPr>
          <w:lang w:val="en-AU"/>
        </w:rPr>
      </w:pPr>
      <w:bookmarkStart w:id="3" w:name="_Toc162287849"/>
      <w:bookmarkStart w:id="4" w:name="_Toc163539136"/>
      <w:bookmarkStart w:id="5" w:name="_Toc174029020"/>
      <w:r w:rsidRPr="001F14E7">
        <w:rPr>
          <w:lang w:val="en-AU"/>
        </w:rPr>
        <w:lastRenderedPageBreak/>
        <w:t>Executive Summary</w:t>
      </w:r>
      <w:bookmarkEnd w:id="3"/>
      <w:bookmarkEnd w:id="4"/>
      <w:bookmarkEnd w:id="5"/>
    </w:p>
    <w:p w14:paraId="20069D5E" w14:textId="3DCBF720" w:rsidR="00E70594" w:rsidRPr="00E54D0D" w:rsidRDefault="5DEC2816" w:rsidP="00E725A3">
      <w:pPr>
        <w:rPr>
          <w:rFonts w:eastAsia="Times New Roman" w:cs="Times New Roman"/>
          <w:sz w:val="24"/>
          <w:szCs w:val="24"/>
          <w:lang w:val="en-AU"/>
        </w:rPr>
      </w:pPr>
      <w:r w:rsidRPr="00E54D0D">
        <w:rPr>
          <w:rFonts w:eastAsia="Times New Roman" w:cs="Times New Roman"/>
          <w:sz w:val="24"/>
          <w:szCs w:val="24"/>
          <w:lang w:val="en-AU"/>
        </w:rPr>
        <w:t xml:space="preserve">The Mekong subregion (Cambodia, Laos, Myanmar, Thailand, Vietnam) is key </w:t>
      </w:r>
      <w:r w:rsidR="00DB4019" w:rsidRPr="00E54D0D">
        <w:rPr>
          <w:rFonts w:eastAsia="Times New Roman" w:cs="Times New Roman"/>
          <w:sz w:val="24"/>
          <w:szCs w:val="24"/>
          <w:lang w:val="en-AU"/>
        </w:rPr>
        <w:t>to</w:t>
      </w:r>
      <w:r w:rsidR="6AAA62D7" w:rsidRPr="00E54D0D">
        <w:rPr>
          <w:sz w:val="24"/>
          <w:szCs w:val="24"/>
          <w:lang w:val="en-AU"/>
        </w:rPr>
        <w:t xml:space="preserve"> </w:t>
      </w:r>
      <w:r w:rsidR="0A1B7948" w:rsidRPr="00E54D0D">
        <w:rPr>
          <w:sz w:val="24"/>
          <w:szCs w:val="24"/>
          <w:lang w:val="en-AU"/>
        </w:rPr>
        <w:t>Australia’s vision for a stable and prosperous region, where international law, rules and norms are upheld</w:t>
      </w:r>
      <w:r w:rsidRPr="00E54D0D">
        <w:rPr>
          <w:rFonts w:eastAsia="Times New Roman" w:cs="Times New Roman"/>
          <w:sz w:val="24"/>
          <w:szCs w:val="24"/>
          <w:lang w:val="en-AU"/>
        </w:rPr>
        <w:t xml:space="preserve">. The subregion is economically, </w:t>
      </w:r>
      <w:r w:rsidR="00407F50" w:rsidRPr="00E54D0D">
        <w:rPr>
          <w:rFonts w:eastAsia="Times New Roman" w:cs="Times New Roman"/>
          <w:sz w:val="24"/>
          <w:szCs w:val="24"/>
          <w:lang w:val="en-AU"/>
        </w:rPr>
        <w:t>strategically</w:t>
      </w:r>
      <w:r w:rsidRPr="00E54D0D">
        <w:rPr>
          <w:rFonts w:eastAsia="Times New Roman" w:cs="Times New Roman"/>
          <w:sz w:val="24"/>
          <w:szCs w:val="24"/>
          <w:lang w:val="en-AU"/>
        </w:rPr>
        <w:t xml:space="preserve"> and environmentally important and its trajectory has a direct bearing on sustainable </w:t>
      </w:r>
      <w:r w:rsidR="00407F50" w:rsidRPr="00E54D0D">
        <w:rPr>
          <w:rFonts w:eastAsia="Times New Roman" w:cs="Times New Roman"/>
          <w:sz w:val="24"/>
          <w:szCs w:val="24"/>
          <w:lang w:val="en-AU"/>
        </w:rPr>
        <w:t>development, regional</w:t>
      </w:r>
      <w:r w:rsidRPr="00E54D0D">
        <w:rPr>
          <w:rFonts w:eastAsia="Times New Roman" w:cs="Times New Roman"/>
          <w:sz w:val="24"/>
          <w:szCs w:val="24"/>
          <w:lang w:val="en-AU"/>
        </w:rPr>
        <w:t xml:space="preserve"> stability and cohesion. Many of the challenges facing the Mekong subregion are transboundary in nature and reflect the complex and intertwined opportunities and challenges for the region.</w:t>
      </w:r>
    </w:p>
    <w:p w14:paraId="38CFEEB9" w14:textId="3000D739" w:rsidR="00E70594" w:rsidRPr="00E54D0D" w:rsidRDefault="5ABD8BFF" w:rsidP="00E725A3">
      <w:pPr>
        <w:rPr>
          <w:rFonts w:eastAsia="Times New Roman" w:cs="Times New Roman"/>
          <w:sz w:val="24"/>
          <w:szCs w:val="24"/>
          <w:lang w:val="en-AU"/>
        </w:rPr>
      </w:pPr>
      <w:r w:rsidRPr="00E54D0D">
        <w:rPr>
          <w:rFonts w:eastAsia="Times New Roman" w:cs="Times New Roman"/>
          <w:sz w:val="24"/>
          <w:szCs w:val="24"/>
          <w:lang w:val="en-AU"/>
        </w:rPr>
        <w:t xml:space="preserve"> </w:t>
      </w:r>
      <w:r w:rsidR="02DC875F" w:rsidRPr="00E54D0D">
        <w:rPr>
          <w:rFonts w:eastAsia="Times New Roman" w:cs="Times New Roman"/>
          <w:sz w:val="24"/>
          <w:szCs w:val="24"/>
          <w:lang w:val="en-AU"/>
        </w:rPr>
        <w:t xml:space="preserve">As </w:t>
      </w:r>
      <w:r w:rsidR="00707584" w:rsidRPr="00E54D0D">
        <w:rPr>
          <w:rFonts w:eastAsia="Times New Roman" w:cs="Times New Roman"/>
          <w:sz w:val="24"/>
          <w:szCs w:val="24"/>
          <w:lang w:val="en-AU"/>
        </w:rPr>
        <w:t xml:space="preserve">Australia </w:t>
      </w:r>
      <w:r w:rsidR="02DC875F" w:rsidRPr="00E54D0D">
        <w:rPr>
          <w:rFonts w:eastAsia="Times New Roman" w:cs="Times New Roman"/>
          <w:sz w:val="24"/>
          <w:szCs w:val="24"/>
          <w:lang w:val="en-AU"/>
        </w:rPr>
        <w:t>deepen</w:t>
      </w:r>
      <w:r w:rsidR="00707584" w:rsidRPr="00E54D0D">
        <w:rPr>
          <w:rFonts w:eastAsia="Times New Roman" w:cs="Times New Roman"/>
          <w:sz w:val="24"/>
          <w:szCs w:val="24"/>
          <w:lang w:val="en-AU"/>
        </w:rPr>
        <w:t>s</w:t>
      </w:r>
      <w:r w:rsidR="02DC875F" w:rsidRPr="00E54D0D">
        <w:rPr>
          <w:rFonts w:eastAsia="Times New Roman" w:cs="Times New Roman"/>
          <w:sz w:val="24"/>
          <w:szCs w:val="24"/>
          <w:lang w:val="en-AU"/>
        </w:rPr>
        <w:t xml:space="preserve"> regional economic linkages through the </w:t>
      </w:r>
      <w:r w:rsidR="02DC875F" w:rsidRPr="00E54D0D">
        <w:rPr>
          <w:rFonts w:eastAsia="Times New Roman" w:cs="Times New Roman"/>
          <w:i/>
          <w:iCs/>
          <w:sz w:val="24"/>
          <w:szCs w:val="24"/>
          <w:lang w:val="en-AU"/>
        </w:rPr>
        <w:t xml:space="preserve">Southeast Asia </w:t>
      </w:r>
      <w:r w:rsidR="2FD57579" w:rsidRPr="00E54D0D">
        <w:rPr>
          <w:rFonts w:eastAsia="Times New Roman" w:cs="Times New Roman"/>
          <w:i/>
          <w:iCs/>
          <w:sz w:val="24"/>
          <w:szCs w:val="24"/>
          <w:lang w:val="en-AU"/>
        </w:rPr>
        <w:t>E</w:t>
      </w:r>
      <w:r w:rsidR="02DC875F" w:rsidRPr="00E54D0D">
        <w:rPr>
          <w:rFonts w:eastAsia="Times New Roman" w:cs="Times New Roman"/>
          <w:i/>
          <w:iCs/>
          <w:sz w:val="24"/>
          <w:szCs w:val="24"/>
          <w:lang w:val="en-AU"/>
        </w:rPr>
        <w:t xml:space="preserve">conomic </w:t>
      </w:r>
      <w:r w:rsidR="0ED83F0F" w:rsidRPr="00E54D0D">
        <w:rPr>
          <w:rFonts w:eastAsia="Times New Roman" w:cs="Times New Roman"/>
          <w:i/>
          <w:iCs/>
          <w:sz w:val="24"/>
          <w:szCs w:val="24"/>
          <w:lang w:val="en-AU"/>
        </w:rPr>
        <w:t>S</w:t>
      </w:r>
      <w:r w:rsidR="02DC875F" w:rsidRPr="00E54D0D">
        <w:rPr>
          <w:rFonts w:eastAsia="Times New Roman" w:cs="Times New Roman"/>
          <w:i/>
          <w:iCs/>
          <w:sz w:val="24"/>
          <w:szCs w:val="24"/>
          <w:lang w:val="en-AU"/>
        </w:rPr>
        <w:t>trategy</w:t>
      </w:r>
      <w:r w:rsidR="005C2F1A" w:rsidRPr="00E54D0D">
        <w:rPr>
          <w:rFonts w:eastAsia="Times New Roman" w:cs="Times New Roman"/>
          <w:i/>
          <w:iCs/>
          <w:sz w:val="24"/>
          <w:szCs w:val="24"/>
          <w:lang w:val="en-AU"/>
        </w:rPr>
        <w:t xml:space="preserve"> to 2040</w:t>
      </w:r>
      <w:r w:rsidR="02DC875F" w:rsidRPr="00E54D0D">
        <w:rPr>
          <w:rFonts w:eastAsia="Times New Roman" w:cs="Times New Roman"/>
          <w:sz w:val="24"/>
          <w:szCs w:val="24"/>
          <w:lang w:val="en-AU"/>
        </w:rPr>
        <w:t>, it</w:t>
      </w:r>
      <w:r w:rsidR="4E1BF3ED" w:rsidRPr="00E54D0D">
        <w:rPr>
          <w:rFonts w:eastAsia="Times New Roman" w:cs="Times New Roman"/>
          <w:sz w:val="24"/>
          <w:szCs w:val="24"/>
          <w:lang w:val="en-AU"/>
        </w:rPr>
        <w:t xml:space="preserve"> i</w:t>
      </w:r>
      <w:r w:rsidR="02DC875F" w:rsidRPr="00E54D0D">
        <w:rPr>
          <w:rFonts w:eastAsia="Times New Roman" w:cs="Times New Roman"/>
          <w:sz w:val="24"/>
          <w:szCs w:val="24"/>
          <w:lang w:val="en-AU"/>
        </w:rPr>
        <w:t xml:space="preserve">s critical </w:t>
      </w:r>
      <w:r w:rsidR="00707584" w:rsidRPr="00E54D0D">
        <w:rPr>
          <w:rFonts w:eastAsia="Times New Roman" w:cs="Times New Roman"/>
          <w:sz w:val="24"/>
          <w:szCs w:val="24"/>
          <w:lang w:val="en-AU"/>
        </w:rPr>
        <w:t xml:space="preserve">to </w:t>
      </w:r>
      <w:r w:rsidR="02DC875F" w:rsidRPr="00E54D0D">
        <w:rPr>
          <w:rFonts w:eastAsia="Times New Roman" w:cs="Times New Roman"/>
          <w:sz w:val="24"/>
          <w:szCs w:val="24"/>
          <w:lang w:val="en-AU"/>
        </w:rPr>
        <w:t xml:space="preserve">promote regional </w:t>
      </w:r>
      <w:r w:rsidR="00EE7EB6" w:rsidRPr="00E54D0D">
        <w:rPr>
          <w:rFonts w:eastAsia="Times New Roman" w:cs="Times New Roman"/>
          <w:sz w:val="24"/>
          <w:szCs w:val="24"/>
          <w:lang w:val="en-AU"/>
        </w:rPr>
        <w:t xml:space="preserve">cooperation in </w:t>
      </w:r>
      <w:r w:rsidR="1F46203A" w:rsidRPr="00E54D0D">
        <w:rPr>
          <w:rFonts w:eastAsia="Times New Roman" w:cs="Times New Roman"/>
          <w:sz w:val="24"/>
          <w:szCs w:val="24"/>
          <w:lang w:val="en-AU"/>
        </w:rPr>
        <w:t xml:space="preserve">managing </w:t>
      </w:r>
      <w:r w:rsidR="72F98C28" w:rsidRPr="00E54D0D">
        <w:rPr>
          <w:rFonts w:eastAsia="Times New Roman" w:cs="Times New Roman"/>
          <w:sz w:val="24"/>
          <w:szCs w:val="24"/>
          <w:lang w:val="en-AU"/>
        </w:rPr>
        <w:t>external pressures and shocks</w:t>
      </w:r>
      <w:r w:rsidR="4E7A285D" w:rsidRPr="00E54D0D">
        <w:rPr>
          <w:rFonts w:eastAsia="Times New Roman" w:cs="Times New Roman"/>
          <w:sz w:val="24"/>
          <w:szCs w:val="24"/>
          <w:lang w:val="en-AU"/>
        </w:rPr>
        <w:t xml:space="preserve"> </w:t>
      </w:r>
      <w:r w:rsidR="00EE7EB6" w:rsidRPr="00E54D0D">
        <w:rPr>
          <w:rFonts w:eastAsia="Times New Roman" w:cs="Times New Roman"/>
          <w:sz w:val="24"/>
          <w:szCs w:val="24"/>
          <w:lang w:val="en-AU"/>
        </w:rPr>
        <w:t xml:space="preserve">and </w:t>
      </w:r>
      <w:r w:rsidR="002247F1">
        <w:rPr>
          <w:rFonts w:eastAsia="Times New Roman" w:cs="Times New Roman"/>
          <w:sz w:val="24"/>
          <w:szCs w:val="24"/>
          <w:lang w:val="en-AU"/>
        </w:rPr>
        <w:t>support</w:t>
      </w:r>
      <w:r w:rsidR="002247F1" w:rsidRPr="00E54D0D">
        <w:rPr>
          <w:rFonts w:eastAsia="Times New Roman" w:cs="Times New Roman"/>
          <w:sz w:val="24"/>
          <w:szCs w:val="24"/>
          <w:lang w:val="en-AU"/>
        </w:rPr>
        <w:t xml:space="preserve"> </w:t>
      </w:r>
      <w:r w:rsidR="4E7A285D" w:rsidRPr="00E54D0D">
        <w:rPr>
          <w:rFonts w:eastAsia="Times New Roman" w:cs="Times New Roman"/>
          <w:sz w:val="24"/>
          <w:szCs w:val="24"/>
          <w:lang w:val="en-AU"/>
        </w:rPr>
        <w:t>stability</w:t>
      </w:r>
      <w:r w:rsidR="72F98C28" w:rsidRPr="00E54D0D">
        <w:rPr>
          <w:rFonts w:eastAsia="Times New Roman" w:cs="Times New Roman"/>
          <w:sz w:val="24"/>
          <w:szCs w:val="24"/>
          <w:lang w:val="en-AU"/>
        </w:rPr>
        <w:t xml:space="preserve">. </w:t>
      </w:r>
      <w:r w:rsidRPr="00E54D0D">
        <w:rPr>
          <w:rFonts w:eastAsia="Times New Roman" w:cs="Times New Roman"/>
          <w:sz w:val="24"/>
          <w:szCs w:val="24"/>
          <w:lang w:val="en-AU"/>
        </w:rPr>
        <w:t>The Mekong subregion is</w:t>
      </w:r>
      <w:r w:rsidR="70CC6276" w:rsidRPr="00E54D0D">
        <w:rPr>
          <w:rFonts w:eastAsia="Times New Roman" w:cs="Times New Roman"/>
          <w:sz w:val="24"/>
          <w:szCs w:val="24"/>
          <w:lang w:val="en-AU"/>
        </w:rPr>
        <w:t xml:space="preserve"> particularly</w:t>
      </w:r>
      <w:r w:rsidRPr="00E54D0D">
        <w:rPr>
          <w:rFonts w:eastAsia="Times New Roman" w:cs="Times New Roman"/>
          <w:sz w:val="24"/>
          <w:szCs w:val="24"/>
          <w:lang w:val="en-AU"/>
        </w:rPr>
        <w:t xml:space="preserve"> vulnerable to the effects of climate change given the significance of natural resources</w:t>
      </w:r>
      <w:r w:rsidR="006A0401" w:rsidRPr="00E54D0D">
        <w:rPr>
          <w:rFonts w:eastAsia="Times New Roman" w:cs="Times New Roman"/>
          <w:sz w:val="24"/>
          <w:szCs w:val="24"/>
          <w:lang w:val="en-AU"/>
        </w:rPr>
        <w:t>, especially water,</w:t>
      </w:r>
      <w:r w:rsidRPr="00E54D0D">
        <w:rPr>
          <w:rFonts w:eastAsia="Times New Roman" w:cs="Times New Roman"/>
          <w:sz w:val="24"/>
          <w:szCs w:val="24"/>
          <w:lang w:val="en-AU"/>
        </w:rPr>
        <w:t xml:space="preserve"> to economic growth</w:t>
      </w:r>
      <w:r w:rsidR="54A2F645" w:rsidRPr="00E54D0D">
        <w:rPr>
          <w:rFonts w:eastAsia="Times New Roman" w:cs="Times New Roman"/>
          <w:sz w:val="24"/>
          <w:szCs w:val="24"/>
          <w:lang w:val="en-AU"/>
        </w:rPr>
        <w:t>,</w:t>
      </w:r>
      <w:r w:rsidRPr="00E54D0D">
        <w:rPr>
          <w:rFonts w:eastAsia="Times New Roman" w:cs="Times New Roman"/>
          <w:sz w:val="24"/>
          <w:szCs w:val="24"/>
          <w:lang w:val="en-AU"/>
        </w:rPr>
        <w:t xml:space="preserve"> livelihoods and wellbeing. </w:t>
      </w:r>
      <w:r w:rsidR="2B423C68" w:rsidRPr="00E54D0D">
        <w:rPr>
          <w:rFonts w:eastAsia="Times New Roman" w:cs="Times New Roman"/>
          <w:sz w:val="24"/>
          <w:szCs w:val="24"/>
          <w:lang w:val="en-AU"/>
        </w:rPr>
        <w:t xml:space="preserve">Effects of </w:t>
      </w:r>
      <w:r w:rsidRPr="00E54D0D">
        <w:rPr>
          <w:rFonts w:eastAsia="Times New Roman" w:cs="Times New Roman"/>
          <w:sz w:val="24"/>
          <w:szCs w:val="24"/>
          <w:lang w:val="en-AU"/>
        </w:rPr>
        <w:t xml:space="preserve">economic development </w:t>
      </w:r>
      <w:r w:rsidR="59B9AF8B" w:rsidRPr="00E54D0D">
        <w:rPr>
          <w:rFonts w:eastAsia="Times New Roman" w:cs="Times New Roman"/>
          <w:sz w:val="24"/>
          <w:szCs w:val="24"/>
          <w:lang w:val="en-AU"/>
        </w:rPr>
        <w:t>and climate change are placing these resources under severe strain</w:t>
      </w:r>
      <w:r w:rsidRPr="00E54D0D">
        <w:rPr>
          <w:rFonts w:eastAsia="Times New Roman" w:cs="Times New Roman"/>
          <w:sz w:val="24"/>
          <w:szCs w:val="24"/>
          <w:lang w:val="en-AU"/>
        </w:rPr>
        <w:t>. Transnational organised crime pose</w:t>
      </w:r>
      <w:r w:rsidR="71321B68" w:rsidRPr="00E54D0D">
        <w:rPr>
          <w:rFonts w:eastAsia="Times New Roman" w:cs="Times New Roman"/>
          <w:sz w:val="24"/>
          <w:szCs w:val="24"/>
          <w:lang w:val="en-AU"/>
        </w:rPr>
        <w:t>s</w:t>
      </w:r>
      <w:r w:rsidRPr="00E54D0D">
        <w:rPr>
          <w:rFonts w:eastAsia="Times New Roman" w:cs="Times New Roman"/>
          <w:sz w:val="24"/>
          <w:szCs w:val="24"/>
          <w:lang w:val="en-AU"/>
        </w:rPr>
        <w:t xml:space="preserve"> a significant threat to development</w:t>
      </w:r>
      <w:r w:rsidR="366C1BA7" w:rsidRPr="00E54D0D">
        <w:rPr>
          <w:rFonts w:eastAsia="Times New Roman" w:cs="Times New Roman"/>
          <w:sz w:val="24"/>
          <w:szCs w:val="24"/>
          <w:lang w:val="en-AU"/>
        </w:rPr>
        <w:t>,</w:t>
      </w:r>
      <w:r w:rsidR="6E0294C0" w:rsidRPr="00E54D0D">
        <w:rPr>
          <w:rFonts w:eastAsia="Times New Roman" w:cs="Times New Roman"/>
          <w:sz w:val="24"/>
          <w:szCs w:val="24"/>
          <w:lang w:val="en-AU"/>
        </w:rPr>
        <w:t xml:space="preserve"> </w:t>
      </w:r>
      <w:r w:rsidRPr="00E54D0D">
        <w:rPr>
          <w:rFonts w:eastAsia="Times New Roman" w:cs="Times New Roman"/>
          <w:sz w:val="24"/>
          <w:szCs w:val="24"/>
          <w:lang w:val="en-AU"/>
        </w:rPr>
        <w:t>good governance</w:t>
      </w:r>
      <w:r w:rsidR="6423EE5F" w:rsidRPr="00E54D0D">
        <w:rPr>
          <w:rFonts w:eastAsia="Times New Roman" w:cs="Times New Roman"/>
          <w:sz w:val="24"/>
          <w:szCs w:val="24"/>
          <w:lang w:val="en-AU"/>
        </w:rPr>
        <w:t xml:space="preserve"> and security</w:t>
      </w:r>
      <w:r w:rsidRPr="00E54D0D">
        <w:rPr>
          <w:rFonts w:eastAsia="Times New Roman" w:cs="Times New Roman"/>
          <w:sz w:val="24"/>
          <w:szCs w:val="24"/>
          <w:lang w:val="en-AU"/>
        </w:rPr>
        <w:t>.</w:t>
      </w:r>
      <w:r w:rsidR="53D957DF" w:rsidRPr="00E54D0D">
        <w:rPr>
          <w:rFonts w:eastAsia="Times New Roman" w:cs="Times New Roman"/>
          <w:sz w:val="24"/>
          <w:szCs w:val="24"/>
          <w:lang w:val="en-AU"/>
        </w:rPr>
        <w:t xml:space="preserve"> While gender equality has been improving in Mekong countries (with some variation), the gender parity gap remains large especially in terms of political representation, leadership and labour force participation. Women</w:t>
      </w:r>
      <w:r w:rsidR="4EE0246A" w:rsidRPr="00E54D0D">
        <w:rPr>
          <w:rFonts w:eastAsia="Times New Roman" w:cs="Times New Roman"/>
          <w:sz w:val="24"/>
          <w:szCs w:val="24"/>
          <w:lang w:val="en-AU"/>
        </w:rPr>
        <w:t>, people</w:t>
      </w:r>
      <w:r w:rsidR="53D957DF" w:rsidRPr="00E54D0D">
        <w:rPr>
          <w:rFonts w:eastAsia="Times New Roman" w:cs="Times New Roman"/>
          <w:sz w:val="24"/>
          <w:szCs w:val="24"/>
          <w:lang w:val="en-AU"/>
        </w:rPr>
        <w:t xml:space="preserve"> with disabilities and </w:t>
      </w:r>
      <w:r w:rsidR="4EE0246A" w:rsidRPr="00E54D0D">
        <w:rPr>
          <w:rFonts w:eastAsia="Times New Roman" w:cs="Times New Roman"/>
          <w:sz w:val="24"/>
          <w:szCs w:val="24"/>
          <w:lang w:val="en-AU"/>
        </w:rPr>
        <w:t>other marginalised populations</w:t>
      </w:r>
      <w:r w:rsidR="53D957DF" w:rsidRPr="00E54D0D">
        <w:rPr>
          <w:rFonts w:eastAsia="Times New Roman" w:cs="Times New Roman"/>
          <w:sz w:val="24"/>
          <w:szCs w:val="24"/>
          <w:lang w:val="en-AU"/>
        </w:rPr>
        <w:t xml:space="preserve"> are especially disadvantaged by climate change</w:t>
      </w:r>
      <w:r w:rsidR="46767C85" w:rsidRPr="00E54D0D">
        <w:rPr>
          <w:rFonts w:eastAsia="Times New Roman" w:cs="Times New Roman"/>
          <w:sz w:val="24"/>
          <w:szCs w:val="24"/>
          <w:lang w:val="en-AU"/>
        </w:rPr>
        <w:t xml:space="preserve"> </w:t>
      </w:r>
      <w:r w:rsidR="2E6E7FCF" w:rsidRPr="00E54D0D">
        <w:rPr>
          <w:rFonts w:eastAsia="Times New Roman" w:cs="Times New Roman"/>
          <w:sz w:val="24"/>
          <w:szCs w:val="24"/>
          <w:lang w:val="en-AU"/>
        </w:rPr>
        <w:t>which</w:t>
      </w:r>
      <w:r w:rsidR="46767C85" w:rsidRPr="00E54D0D">
        <w:rPr>
          <w:rFonts w:eastAsia="Times New Roman" w:cs="Times New Roman"/>
          <w:sz w:val="24"/>
          <w:szCs w:val="24"/>
          <w:lang w:val="en-AU"/>
        </w:rPr>
        <w:t xml:space="preserve"> amplif</w:t>
      </w:r>
      <w:r w:rsidR="2E6E7FCF" w:rsidRPr="00E54D0D">
        <w:rPr>
          <w:rFonts w:eastAsia="Times New Roman" w:cs="Times New Roman"/>
          <w:sz w:val="24"/>
          <w:szCs w:val="24"/>
          <w:lang w:val="en-AU"/>
        </w:rPr>
        <w:t>ies</w:t>
      </w:r>
      <w:r w:rsidR="46767C85" w:rsidRPr="00E54D0D">
        <w:rPr>
          <w:rFonts w:eastAsia="Times New Roman" w:cs="Times New Roman"/>
          <w:sz w:val="24"/>
          <w:szCs w:val="24"/>
          <w:lang w:val="en-AU"/>
        </w:rPr>
        <w:t xml:space="preserve"> existing </w:t>
      </w:r>
      <w:r w:rsidR="34797A12" w:rsidRPr="00E54D0D">
        <w:rPr>
          <w:rFonts w:eastAsia="Times New Roman" w:cs="Times New Roman"/>
          <w:sz w:val="24"/>
          <w:szCs w:val="24"/>
          <w:lang w:val="en-AU"/>
        </w:rPr>
        <w:t>inequalities.</w:t>
      </w:r>
      <w:r w:rsidR="53D957DF" w:rsidRPr="00E54D0D">
        <w:rPr>
          <w:rFonts w:eastAsia="Times New Roman" w:cs="Times New Roman"/>
          <w:sz w:val="24"/>
          <w:szCs w:val="24"/>
          <w:lang w:val="en-AU"/>
        </w:rPr>
        <w:t xml:space="preserve"> </w:t>
      </w:r>
    </w:p>
    <w:p w14:paraId="1C06054D" w14:textId="2041FCC9" w:rsidR="00E70594" w:rsidRPr="00E54D0D" w:rsidRDefault="00E70594" w:rsidP="00E725A3">
      <w:pPr>
        <w:rPr>
          <w:rFonts w:eastAsia="Times New Roman" w:cs="Times New Roman"/>
          <w:sz w:val="24"/>
          <w:szCs w:val="24"/>
          <w:lang w:val="en-AU"/>
        </w:rPr>
      </w:pPr>
      <w:r w:rsidRPr="00E54D0D">
        <w:rPr>
          <w:rFonts w:eastAsia="Times New Roman" w:cs="Times New Roman"/>
          <w:sz w:val="24"/>
          <w:szCs w:val="24"/>
          <w:lang w:val="en-AU"/>
        </w:rPr>
        <w:t xml:space="preserve">Australia has long invested in the Mekong subregion’s development through decades of bilateral and </w:t>
      </w:r>
      <w:bookmarkStart w:id="6" w:name="_Int_1SCftWpP"/>
      <w:r w:rsidRPr="00E54D0D">
        <w:rPr>
          <w:rFonts w:eastAsia="Times New Roman" w:cs="Times New Roman"/>
          <w:sz w:val="24"/>
          <w:szCs w:val="24"/>
          <w:lang w:val="en-AU"/>
        </w:rPr>
        <w:t>ASEAN</w:t>
      </w:r>
      <w:bookmarkEnd w:id="6"/>
      <w:r w:rsidRPr="00E54D0D">
        <w:rPr>
          <w:rFonts w:eastAsia="Times New Roman" w:cs="Times New Roman"/>
          <w:sz w:val="24"/>
          <w:szCs w:val="24"/>
          <w:lang w:val="en-AU"/>
        </w:rPr>
        <w:t xml:space="preserve"> development programs and other support. Australia launched the Mekong-Australia Partnership (MAP) in 2020, a $232 million four-year (2020</w:t>
      </w:r>
      <w:r w:rsidR="009741CC" w:rsidRPr="00E54D0D">
        <w:rPr>
          <w:rFonts w:eastAsia="Times New Roman" w:cs="Times New Roman"/>
          <w:sz w:val="24"/>
          <w:szCs w:val="24"/>
          <w:lang w:val="en-AU"/>
        </w:rPr>
        <w:t>-21</w:t>
      </w:r>
      <w:r w:rsidRPr="00E54D0D">
        <w:rPr>
          <w:rFonts w:eastAsia="Times New Roman" w:cs="Times New Roman"/>
          <w:sz w:val="24"/>
          <w:szCs w:val="24"/>
          <w:lang w:val="en-AU"/>
        </w:rPr>
        <w:t xml:space="preserve"> to </w:t>
      </w:r>
      <w:r w:rsidR="009741CC" w:rsidRPr="00E54D0D">
        <w:rPr>
          <w:rFonts w:eastAsia="Times New Roman" w:cs="Times New Roman"/>
          <w:sz w:val="24"/>
          <w:szCs w:val="24"/>
          <w:lang w:val="en-AU"/>
        </w:rPr>
        <w:t>2023-</w:t>
      </w:r>
      <w:r w:rsidRPr="00E54D0D">
        <w:rPr>
          <w:rFonts w:eastAsia="Times New Roman" w:cs="Times New Roman"/>
          <w:sz w:val="24"/>
          <w:szCs w:val="24"/>
          <w:lang w:val="en-AU"/>
        </w:rPr>
        <w:t>24) initiative to elevate Australia’s engagement with the subregion. An Independent Strategic Review of MAP Phase 1</w:t>
      </w:r>
      <w:r w:rsidR="08552862" w:rsidRPr="00E54D0D">
        <w:rPr>
          <w:rFonts w:eastAsia="Times New Roman" w:cs="Times New Roman"/>
          <w:sz w:val="24"/>
          <w:szCs w:val="24"/>
          <w:lang w:val="en-AU"/>
        </w:rPr>
        <w:t xml:space="preserve">, completed in </w:t>
      </w:r>
      <w:r w:rsidR="00732443" w:rsidRPr="00E54D0D">
        <w:rPr>
          <w:rFonts w:eastAsia="Times New Roman" w:cs="Times New Roman"/>
          <w:sz w:val="24"/>
          <w:szCs w:val="24"/>
          <w:lang w:val="en-AU"/>
        </w:rPr>
        <w:t>May 2023</w:t>
      </w:r>
      <w:r w:rsidR="08552862" w:rsidRPr="00E54D0D">
        <w:rPr>
          <w:rFonts w:eastAsia="Times New Roman" w:cs="Times New Roman"/>
          <w:sz w:val="24"/>
          <w:szCs w:val="24"/>
          <w:lang w:val="en-AU"/>
        </w:rPr>
        <w:t>,</w:t>
      </w:r>
      <w:r w:rsidRPr="00E54D0D">
        <w:rPr>
          <w:rFonts w:eastAsia="Times New Roman" w:cs="Times New Roman"/>
          <w:sz w:val="24"/>
          <w:szCs w:val="24"/>
          <w:lang w:val="en-AU"/>
        </w:rPr>
        <w:t xml:space="preserve"> concluded that as a flexible and responsive funding mechanism, MAP Phase 1 </w:t>
      </w:r>
      <w:r w:rsidR="0021518F" w:rsidRPr="00E54D0D">
        <w:rPr>
          <w:rFonts w:eastAsia="Times New Roman" w:cs="Times New Roman"/>
          <w:sz w:val="24"/>
          <w:szCs w:val="24"/>
          <w:lang w:val="en-AU"/>
        </w:rPr>
        <w:t xml:space="preserve">had </w:t>
      </w:r>
      <w:r w:rsidRPr="00E54D0D">
        <w:rPr>
          <w:rFonts w:eastAsia="Times New Roman" w:cs="Times New Roman"/>
          <w:sz w:val="24"/>
          <w:szCs w:val="24"/>
          <w:lang w:val="en-AU"/>
        </w:rPr>
        <w:t>expanded and deepened Australia’s engagement in the Mekong subregion as a credible and responsive partner of choice on mutually important policy priorities.</w:t>
      </w:r>
    </w:p>
    <w:p w14:paraId="11E2ABF5" w14:textId="44838B3A" w:rsidR="00AF7337" w:rsidRPr="00E54D0D" w:rsidRDefault="3654AB39" w:rsidP="00E725A3">
      <w:pPr>
        <w:rPr>
          <w:rFonts w:eastAsia="Times New Roman" w:cs="Times New Roman"/>
          <w:sz w:val="24"/>
          <w:szCs w:val="24"/>
          <w:lang w:val="en-AU"/>
        </w:rPr>
      </w:pPr>
      <w:r w:rsidRPr="00E54D0D">
        <w:rPr>
          <w:rFonts w:eastAsia="Times New Roman" w:cs="Times New Roman"/>
          <w:sz w:val="24"/>
          <w:szCs w:val="24"/>
          <w:lang w:val="en-AU"/>
        </w:rPr>
        <w:t xml:space="preserve">MAP Phase 2 </w:t>
      </w:r>
      <w:r w:rsidR="00FB269D" w:rsidRPr="00E54D0D">
        <w:rPr>
          <w:rFonts w:eastAsia="Times New Roman" w:cs="Times New Roman"/>
          <w:sz w:val="24"/>
          <w:szCs w:val="24"/>
          <w:lang w:val="en-AU"/>
        </w:rPr>
        <w:t xml:space="preserve">($222.5 million </w:t>
      </w:r>
      <w:r w:rsidR="00C831B9" w:rsidRPr="00E54D0D">
        <w:rPr>
          <w:rFonts w:eastAsia="Times New Roman" w:cs="Times New Roman"/>
          <w:sz w:val="24"/>
          <w:szCs w:val="24"/>
          <w:lang w:val="en-AU"/>
        </w:rPr>
        <w:t xml:space="preserve">over five years, 2024-25 to </w:t>
      </w:r>
      <w:r w:rsidR="00B130B4" w:rsidRPr="00E54D0D">
        <w:rPr>
          <w:rFonts w:eastAsia="Times New Roman" w:cs="Times New Roman"/>
          <w:sz w:val="24"/>
          <w:szCs w:val="24"/>
          <w:lang w:val="en-AU"/>
        </w:rPr>
        <w:t xml:space="preserve">2028-29) </w:t>
      </w:r>
      <w:r w:rsidRPr="00E54D0D">
        <w:rPr>
          <w:rFonts w:eastAsia="Times New Roman" w:cs="Times New Roman"/>
          <w:sz w:val="24"/>
          <w:szCs w:val="24"/>
          <w:lang w:val="en-AU"/>
        </w:rPr>
        <w:t xml:space="preserve">will build on the achievements and lessons of MAP Phase 1 to progress the goal of a </w:t>
      </w:r>
      <w:r w:rsidRPr="00E54D0D">
        <w:rPr>
          <w:rFonts w:eastAsia="Times New Roman" w:cs="Times New Roman"/>
          <w:i/>
          <w:iCs/>
          <w:sz w:val="24"/>
          <w:szCs w:val="24"/>
          <w:lang w:val="en-AU"/>
        </w:rPr>
        <w:t xml:space="preserve">more </w:t>
      </w:r>
      <w:r w:rsidR="00D61D24" w:rsidRPr="00E54D0D">
        <w:rPr>
          <w:rFonts w:eastAsia="Times New Roman" w:cs="Times New Roman"/>
          <w:i/>
          <w:iCs/>
          <w:sz w:val="24"/>
          <w:szCs w:val="24"/>
          <w:lang w:val="en-AU"/>
        </w:rPr>
        <w:t>resilient and inclusive</w:t>
      </w:r>
      <w:r w:rsidRPr="00E54D0D">
        <w:rPr>
          <w:rFonts w:eastAsia="Times New Roman" w:cs="Times New Roman"/>
          <w:i/>
          <w:iCs/>
          <w:sz w:val="24"/>
          <w:szCs w:val="24"/>
          <w:lang w:val="en-AU"/>
        </w:rPr>
        <w:t xml:space="preserve"> Mekong subregion that pursues joint solutions to shared and transboundary challenges</w:t>
      </w:r>
      <w:r w:rsidRPr="00E54D0D">
        <w:rPr>
          <w:rFonts w:eastAsia="Times New Roman" w:cs="Times New Roman"/>
          <w:sz w:val="24"/>
          <w:szCs w:val="24"/>
          <w:lang w:val="en-AU"/>
        </w:rPr>
        <w:t xml:space="preserve">. The purpose of MAP Phase 2 is that </w:t>
      </w:r>
      <w:r w:rsidRPr="00E54D0D">
        <w:rPr>
          <w:rFonts w:eastAsia="Times New Roman" w:cs="Times New Roman"/>
          <w:i/>
          <w:iCs/>
          <w:sz w:val="24"/>
          <w:szCs w:val="24"/>
          <w:lang w:val="en-AU"/>
        </w:rPr>
        <w:t xml:space="preserve">Australia is a trusted and visible partner in </w:t>
      </w:r>
      <w:r w:rsidR="009D218D">
        <w:rPr>
          <w:rFonts w:eastAsia="Times New Roman" w:cs="Times New Roman"/>
          <w:i/>
          <w:iCs/>
          <w:sz w:val="24"/>
          <w:szCs w:val="24"/>
          <w:lang w:val="en-AU"/>
        </w:rPr>
        <w:t>supporting</w:t>
      </w:r>
      <w:r w:rsidRPr="00E54D0D">
        <w:rPr>
          <w:rFonts w:eastAsia="Times New Roman" w:cs="Times New Roman"/>
          <w:i/>
          <w:iCs/>
          <w:sz w:val="24"/>
          <w:szCs w:val="24"/>
          <w:lang w:val="en-AU"/>
        </w:rPr>
        <w:t xml:space="preserve"> a resilient, inclusive and sustainable Mekong subregion</w:t>
      </w:r>
      <w:r w:rsidRPr="00E54D0D">
        <w:rPr>
          <w:rFonts w:eastAsia="Times New Roman" w:cs="Times New Roman"/>
          <w:sz w:val="24"/>
          <w:szCs w:val="24"/>
          <w:lang w:val="en-AU"/>
        </w:rPr>
        <w:t>. MAP Phase 2 has five thematic areas</w:t>
      </w:r>
      <w:r w:rsidR="007348D7" w:rsidRPr="00E54D0D">
        <w:rPr>
          <w:rFonts w:eastAsia="Times New Roman" w:cs="Times New Roman"/>
          <w:sz w:val="24"/>
          <w:szCs w:val="24"/>
          <w:lang w:val="en-AU"/>
        </w:rPr>
        <w:t xml:space="preserve"> across its portfolio,</w:t>
      </w:r>
      <w:r w:rsidRPr="00E54D0D">
        <w:rPr>
          <w:rFonts w:eastAsia="Times New Roman" w:cs="Times New Roman"/>
          <w:sz w:val="24"/>
          <w:szCs w:val="24"/>
          <w:lang w:val="en-AU"/>
        </w:rPr>
        <w:t xml:space="preserve"> </w:t>
      </w:r>
      <w:r w:rsidRPr="002962AC">
        <w:rPr>
          <w:rFonts w:eastAsia="Times New Roman" w:cs="Times New Roman"/>
          <w:sz w:val="24"/>
          <w:szCs w:val="24"/>
          <w:lang w:val="en-AU"/>
        </w:rPr>
        <w:t xml:space="preserve">that align with DFAT’s </w:t>
      </w:r>
      <w:r w:rsidR="00F5193E" w:rsidRPr="0000253E">
        <w:rPr>
          <w:rFonts w:eastAsia="Times New Roman" w:cs="Times New Roman"/>
          <w:sz w:val="24"/>
          <w:szCs w:val="24"/>
          <w:lang w:val="en-AU"/>
        </w:rPr>
        <w:t xml:space="preserve">forthcoming </w:t>
      </w:r>
      <w:r w:rsidRPr="002962AC">
        <w:rPr>
          <w:rFonts w:eastAsia="Times New Roman" w:cs="Times New Roman"/>
          <w:sz w:val="24"/>
          <w:szCs w:val="24"/>
          <w:lang w:val="en-AU"/>
        </w:rPr>
        <w:t xml:space="preserve">Southeast Asia </w:t>
      </w:r>
      <w:r w:rsidR="00F414C2" w:rsidRPr="002962AC">
        <w:rPr>
          <w:rFonts w:eastAsia="Times New Roman" w:cs="Times New Roman"/>
          <w:sz w:val="24"/>
          <w:szCs w:val="24"/>
          <w:lang w:val="en-AU"/>
        </w:rPr>
        <w:t xml:space="preserve">Regional </w:t>
      </w:r>
      <w:r w:rsidRPr="002962AC">
        <w:rPr>
          <w:rFonts w:eastAsia="Times New Roman" w:cs="Times New Roman"/>
          <w:sz w:val="24"/>
          <w:szCs w:val="24"/>
          <w:lang w:val="en-AU"/>
        </w:rPr>
        <w:t>Development Partnership Plan</w:t>
      </w:r>
      <w:r w:rsidR="5FCE1C3E" w:rsidRPr="002962AC">
        <w:rPr>
          <w:rFonts w:eastAsia="Times New Roman" w:cs="Times New Roman"/>
          <w:sz w:val="24"/>
          <w:szCs w:val="24"/>
          <w:lang w:val="en-AU"/>
        </w:rPr>
        <w:t xml:space="preserve"> (DPP)</w:t>
      </w:r>
      <w:r w:rsidRPr="002962AC">
        <w:rPr>
          <w:rFonts w:eastAsia="Times New Roman" w:cs="Times New Roman"/>
          <w:sz w:val="24"/>
          <w:szCs w:val="24"/>
          <w:lang w:val="en-AU"/>
        </w:rPr>
        <w:t>.</w:t>
      </w:r>
      <w:r w:rsidRPr="00E54D0D">
        <w:rPr>
          <w:rFonts w:eastAsia="Times New Roman" w:cs="Times New Roman"/>
          <w:sz w:val="24"/>
          <w:szCs w:val="24"/>
          <w:lang w:val="en-AU"/>
        </w:rPr>
        <w:t xml:space="preserve"> The</w:t>
      </w:r>
      <w:r w:rsidR="5FCE1C3E" w:rsidRPr="00E54D0D">
        <w:rPr>
          <w:rFonts w:eastAsia="Times New Roman" w:cs="Times New Roman"/>
          <w:sz w:val="24"/>
          <w:szCs w:val="24"/>
          <w:lang w:val="en-AU"/>
        </w:rPr>
        <w:t xml:space="preserve"> following the</w:t>
      </w:r>
      <w:r w:rsidRPr="00E54D0D">
        <w:rPr>
          <w:rFonts w:eastAsia="Times New Roman" w:cs="Times New Roman"/>
          <w:sz w:val="24"/>
          <w:szCs w:val="24"/>
          <w:lang w:val="en-AU"/>
        </w:rPr>
        <w:t xml:space="preserve">matic areas frame the </w:t>
      </w:r>
      <w:r w:rsidR="745537D8" w:rsidRPr="00E54D0D">
        <w:rPr>
          <w:rFonts w:eastAsia="Times New Roman" w:cs="Times New Roman"/>
          <w:sz w:val="24"/>
          <w:szCs w:val="24"/>
          <w:lang w:val="en-AU"/>
        </w:rPr>
        <w:t xml:space="preserve">portfolio’s </w:t>
      </w:r>
      <w:r w:rsidRPr="00E54D0D">
        <w:rPr>
          <w:rFonts w:eastAsia="Times New Roman" w:cs="Times New Roman"/>
          <w:sz w:val="24"/>
          <w:szCs w:val="24"/>
          <w:lang w:val="en-AU"/>
        </w:rPr>
        <w:t xml:space="preserve">intent and will guide investment selection: climate resilience; water security; economic resilience and </w:t>
      </w:r>
      <w:r w:rsidR="05D92B4F" w:rsidRPr="00E54D0D">
        <w:rPr>
          <w:rFonts w:eastAsia="Times New Roman" w:cs="Times New Roman"/>
          <w:sz w:val="24"/>
          <w:szCs w:val="24"/>
          <w:lang w:val="en-AU"/>
        </w:rPr>
        <w:t>subregional</w:t>
      </w:r>
      <w:r w:rsidR="2046820B" w:rsidRPr="00E54D0D">
        <w:rPr>
          <w:rFonts w:eastAsia="Times New Roman" w:cs="Times New Roman"/>
          <w:sz w:val="24"/>
          <w:szCs w:val="24"/>
          <w:lang w:val="en-AU"/>
        </w:rPr>
        <w:t xml:space="preserve"> </w:t>
      </w:r>
      <w:r w:rsidRPr="00E54D0D">
        <w:rPr>
          <w:rFonts w:eastAsia="Times New Roman" w:cs="Times New Roman"/>
          <w:sz w:val="24"/>
          <w:szCs w:val="24"/>
          <w:lang w:val="en-AU"/>
        </w:rPr>
        <w:t>integration; gender equality, disability and social inclusion</w:t>
      </w:r>
      <w:r w:rsidR="248E6492" w:rsidRPr="00E54D0D">
        <w:rPr>
          <w:rFonts w:eastAsia="Times New Roman" w:cs="Times New Roman"/>
          <w:sz w:val="24"/>
          <w:szCs w:val="24"/>
          <w:lang w:val="en-AU"/>
        </w:rPr>
        <w:t xml:space="preserve"> (GEDSI)</w:t>
      </w:r>
      <w:r w:rsidR="00F414C2" w:rsidRPr="00E54D0D">
        <w:rPr>
          <w:rFonts w:eastAsia="Times New Roman" w:cs="Times New Roman"/>
          <w:sz w:val="24"/>
          <w:szCs w:val="24"/>
          <w:lang w:val="en-AU"/>
        </w:rPr>
        <w:t>;</w:t>
      </w:r>
      <w:r w:rsidRPr="00E54D0D">
        <w:rPr>
          <w:rFonts w:eastAsia="Times New Roman" w:cs="Times New Roman"/>
          <w:sz w:val="24"/>
          <w:szCs w:val="24"/>
          <w:lang w:val="en-AU"/>
        </w:rPr>
        <w:t xml:space="preserve"> and preventing and countering transnational crime</w:t>
      </w:r>
      <w:r w:rsidR="35D41CA7" w:rsidRPr="00E54D0D">
        <w:rPr>
          <w:rFonts w:eastAsia="Times New Roman" w:cs="Times New Roman"/>
          <w:sz w:val="24"/>
          <w:szCs w:val="24"/>
          <w:lang w:val="en-AU"/>
        </w:rPr>
        <w:t xml:space="preserve"> (TNC)</w:t>
      </w:r>
      <w:r w:rsidRPr="00E54D0D">
        <w:rPr>
          <w:rFonts w:eastAsia="Times New Roman" w:cs="Times New Roman"/>
          <w:sz w:val="24"/>
          <w:szCs w:val="24"/>
          <w:lang w:val="en-AU"/>
        </w:rPr>
        <w:t xml:space="preserve">. </w:t>
      </w:r>
    </w:p>
    <w:p w14:paraId="421BF237" w14:textId="77777777" w:rsidR="00BD3332" w:rsidRDefault="00BD3332" w:rsidP="00BD3332">
      <w:pPr>
        <w:rPr>
          <w:rFonts w:cstheme="minorHAnsi"/>
          <w:sz w:val="24"/>
          <w:szCs w:val="24"/>
          <w:lang w:val="en-AU"/>
        </w:rPr>
      </w:pPr>
      <w:r>
        <w:rPr>
          <w:rFonts w:cstheme="minorHAnsi"/>
          <w:sz w:val="24"/>
          <w:szCs w:val="24"/>
          <w:lang w:val="en-AU"/>
        </w:rPr>
        <w:t xml:space="preserve">MAP Phase 2 is a portfolio made up of several investments and activities. This design outlines a logic for the portfolio as a whole. Some investments that fall under MAP Phase 2 will be subject to their own design processes. Design and quality assurance requirements for these investments will be streamlined and proportionate, subject to their value and risk profile. </w:t>
      </w:r>
    </w:p>
    <w:p w14:paraId="3D72D4C3" w14:textId="28239D60" w:rsidR="00E70594" w:rsidRPr="00E54D0D" w:rsidRDefault="3654AB39" w:rsidP="00E70594">
      <w:pPr>
        <w:tabs>
          <w:tab w:val="left" w:pos="284"/>
        </w:tabs>
        <w:suppressAutoHyphens w:val="0"/>
        <w:spacing w:before="0" w:line="280" w:lineRule="exact"/>
        <w:rPr>
          <w:rFonts w:eastAsia="Times New Roman" w:cs="Times New Roman"/>
          <w:sz w:val="24"/>
          <w:szCs w:val="24"/>
          <w:lang w:val="en-AU"/>
        </w:rPr>
      </w:pPr>
      <w:r w:rsidRPr="00E54D0D">
        <w:rPr>
          <w:rFonts w:eastAsia="Times New Roman" w:cs="Times New Roman"/>
          <w:sz w:val="24"/>
          <w:szCs w:val="24"/>
          <w:lang w:val="en-AU"/>
        </w:rPr>
        <w:t xml:space="preserve">MAP Phase 2 has the following </w:t>
      </w:r>
      <w:r w:rsidR="398F3380" w:rsidRPr="00E54D0D">
        <w:rPr>
          <w:rFonts w:eastAsia="Times New Roman" w:cs="Times New Roman"/>
          <w:sz w:val="24"/>
          <w:szCs w:val="24"/>
          <w:lang w:val="en-AU"/>
        </w:rPr>
        <w:t>five</w:t>
      </w:r>
      <w:r w:rsidRPr="00E54D0D">
        <w:rPr>
          <w:rFonts w:eastAsia="Times New Roman" w:cs="Times New Roman"/>
          <w:sz w:val="24"/>
          <w:szCs w:val="24"/>
          <w:lang w:val="en-AU"/>
        </w:rPr>
        <w:t xml:space="preserve"> end-of-portfolio outcomes</w:t>
      </w:r>
      <w:r w:rsidR="16799904" w:rsidRPr="00E54D0D">
        <w:rPr>
          <w:rFonts w:eastAsia="Times New Roman" w:cs="Times New Roman"/>
          <w:sz w:val="24"/>
          <w:szCs w:val="24"/>
          <w:lang w:val="en-AU"/>
        </w:rPr>
        <w:t xml:space="preserve"> (EOPO)</w:t>
      </w:r>
      <w:r w:rsidRPr="00E54D0D">
        <w:rPr>
          <w:rFonts w:eastAsia="Times New Roman" w:cs="Times New Roman"/>
          <w:sz w:val="24"/>
          <w:szCs w:val="24"/>
          <w:lang w:val="en-AU"/>
        </w:rPr>
        <w:t>:</w:t>
      </w:r>
    </w:p>
    <w:p w14:paraId="1833BB71" w14:textId="7CBB4D22" w:rsidR="00F42C0A" w:rsidRPr="00E54D0D" w:rsidRDefault="398F3380" w:rsidP="00901406">
      <w:pPr>
        <w:pStyle w:val="Bullet1"/>
        <w:rPr>
          <w:sz w:val="24"/>
          <w:szCs w:val="24"/>
          <w:lang w:val="en-AU"/>
        </w:rPr>
      </w:pPr>
      <w:r w:rsidRPr="00E54D0D">
        <w:rPr>
          <w:sz w:val="24"/>
          <w:szCs w:val="24"/>
          <w:lang w:val="en-AU"/>
        </w:rPr>
        <w:t>Mekong subregion partners reduce vulnerability to impacts of climate change</w:t>
      </w:r>
    </w:p>
    <w:p w14:paraId="629AE5F9" w14:textId="1C250283" w:rsidR="00F42C0A" w:rsidRPr="00E54D0D" w:rsidRDefault="398F3380" w:rsidP="00901406">
      <w:pPr>
        <w:pStyle w:val="Bullet1"/>
        <w:rPr>
          <w:sz w:val="24"/>
          <w:szCs w:val="24"/>
          <w:lang w:val="en-AU"/>
        </w:rPr>
      </w:pPr>
      <w:r w:rsidRPr="00E54D0D">
        <w:rPr>
          <w:sz w:val="24"/>
          <w:szCs w:val="24"/>
          <w:lang w:val="en-AU"/>
        </w:rPr>
        <w:t>Mekong subregion partners manage water resources in a more</w:t>
      </w:r>
      <w:r w:rsidR="6B7BFA89" w:rsidRPr="00E54D0D">
        <w:rPr>
          <w:sz w:val="24"/>
          <w:szCs w:val="24"/>
          <w:lang w:val="en-AU"/>
        </w:rPr>
        <w:t xml:space="preserve"> coordinated and</w:t>
      </w:r>
      <w:r w:rsidRPr="00E54D0D">
        <w:rPr>
          <w:sz w:val="24"/>
          <w:szCs w:val="24"/>
          <w:lang w:val="en-AU"/>
        </w:rPr>
        <w:t xml:space="preserve"> sustainable way</w:t>
      </w:r>
    </w:p>
    <w:p w14:paraId="5E0DCAFC" w14:textId="0FC5E60E" w:rsidR="00F42C0A" w:rsidRPr="00E54D0D" w:rsidRDefault="042DCA07" w:rsidP="00901406">
      <w:pPr>
        <w:pStyle w:val="Bullet1"/>
        <w:rPr>
          <w:sz w:val="24"/>
          <w:szCs w:val="24"/>
          <w:lang w:val="en-AU"/>
        </w:rPr>
      </w:pPr>
      <w:r w:rsidRPr="00E54D0D">
        <w:rPr>
          <w:sz w:val="24"/>
          <w:szCs w:val="24"/>
          <w:lang w:val="en-AU"/>
        </w:rPr>
        <w:t>Mekong subregion partners increase leadership and economic opportunities for women, people with disabilities, and other marginalised groups</w:t>
      </w:r>
    </w:p>
    <w:p w14:paraId="5F9F2A3B" w14:textId="1BE698FA" w:rsidR="00F42C0A" w:rsidRPr="00E54D0D" w:rsidRDefault="398F3380" w:rsidP="00901406">
      <w:pPr>
        <w:pStyle w:val="Bullet1"/>
        <w:rPr>
          <w:sz w:val="24"/>
          <w:szCs w:val="24"/>
          <w:lang w:val="en-AU"/>
        </w:rPr>
      </w:pPr>
      <w:r w:rsidRPr="00E54D0D">
        <w:rPr>
          <w:sz w:val="24"/>
          <w:szCs w:val="24"/>
          <w:lang w:val="en-AU"/>
        </w:rPr>
        <w:lastRenderedPageBreak/>
        <w:t xml:space="preserve">Mekong subregion partners enable </w:t>
      </w:r>
      <w:r w:rsidR="34A0EE5D" w:rsidRPr="00E54D0D">
        <w:rPr>
          <w:sz w:val="24"/>
          <w:szCs w:val="24"/>
          <w:lang w:val="en-AU"/>
        </w:rPr>
        <w:t>strengthened economic resilience and subregional</w:t>
      </w:r>
      <w:r w:rsidRPr="00E54D0D">
        <w:rPr>
          <w:sz w:val="24"/>
          <w:szCs w:val="24"/>
          <w:lang w:val="en-AU"/>
        </w:rPr>
        <w:t xml:space="preserve"> integration</w:t>
      </w:r>
    </w:p>
    <w:p w14:paraId="4BC613DE" w14:textId="479FB869" w:rsidR="00E70594" w:rsidRPr="00E54D0D" w:rsidRDefault="00F42C0A" w:rsidP="000050FB">
      <w:pPr>
        <w:pStyle w:val="Bullet1"/>
        <w:rPr>
          <w:sz w:val="24"/>
          <w:szCs w:val="24"/>
          <w:lang w:val="en-AU"/>
        </w:rPr>
      </w:pPr>
      <w:r w:rsidRPr="00E54D0D">
        <w:rPr>
          <w:sz w:val="24"/>
          <w:szCs w:val="24"/>
          <w:lang w:val="en-AU"/>
        </w:rPr>
        <w:t>Mekong subregion partners better prevent and counter targeted transnational crime</w:t>
      </w:r>
      <w:r w:rsidR="03809286" w:rsidRPr="00E54D0D">
        <w:rPr>
          <w:sz w:val="24"/>
          <w:szCs w:val="24"/>
          <w:lang w:val="en-AU"/>
        </w:rPr>
        <w:t>.</w:t>
      </w:r>
    </w:p>
    <w:p w14:paraId="08F502A5" w14:textId="18017720" w:rsidR="00E70594" w:rsidRPr="00E54D0D" w:rsidRDefault="127AD5E1" w:rsidP="00E725A3">
      <w:pPr>
        <w:rPr>
          <w:sz w:val="24"/>
          <w:szCs w:val="24"/>
          <w:lang w:val="en-AU"/>
        </w:rPr>
      </w:pPr>
      <w:r w:rsidRPr="00E54D0D">
        <w:rPr>
          <w:sz w:val="24"/>
          <w:szCs w:val="24"/>
          <w:lang w:val="en-AU"/>
        </w:rPr>
        <w:t xml:space="preserve">MAP Phase 2 will </w:t>
      </w:r>
      <w:r w:rsidR="4E1BF3ED" w:rsidRPr="00E54D0D">
        <w:rPr>
          <w:sz w:val="24"/>
          <w:szCs w:val="24"/>
          <w:lang w:val="en-AU"/>
        </w:rPr>
        <w:t>be delivered</w:t>
      </w:r>
      <w:r w:rsidRPr="00E54D0D">
        <w:rPr>
          <w:sz w:val="24"/>
          <w:szCs w:val="24"/>
          <w:lang w:val="en-AU"/>
        </w:rPr>
        <w:t xml:space="preserve"> through long-term partnerships with </w:t>
      </w:r>
      <w:r w:rsidR="3352AFE5" w:rsidRPr="00E54D0D">
        <w:rPr>
          <w:sz w:val="24"/>
          <w:szCs w:val="24"/>
          <w:lang w:val="en-AU"/>
        </w:rPr>
        <w:t xml:space="preserve">a diverse range of partners, including </w:t>
      </w:r>
      <w:r w:rsidR="6C931169" w:rsidRPr="00E54D0D">
        <w:rPr>
          <w:sz w:val="24"/>
          <w:szCs w:val="24"/>
          <w:lang w:val="en-AU"/>
        </w:rPr>
        <w:t xml:space="preserve">with </w:t>
      </w:r>
      <w:r w:rsidRPr="00E54D0D">
        <w:rPr>
          <w:sz w:val="24"/>
          <w:szCs w:val="24"/>
          <w:lang w:val="en-AU"/>
        </w:rPr>
        <w:t>local counterparts and</w:t>
      </w:r>
      <w:r w:rsidR="004F79C4" w:rsidRPr="00E54D0D">
        <w:rPr>
          <w:sz w:val="24"/>
          <w:szCs w:val="24"/>
          <w:lang w:val="en-AU"/>
        </w:rPr>
        <w:t>, where possible,</w:t>
      </w:r>
      <w:r w:rsidRPr="00E54D0D">
        <w:rPr>
          <w:sz w:val="24"/>
          <w:szCs w:val="24"/>
          <w:lang w:val="en-AU"/>
        </w:rPr>
        <w:t xml:space="preserve"> </w:t>
      </w:r>
      <w:r w:rsidR="4487678D" w:rsidRPr="00E54D0D">
        <w:rPr>
          <w:sz w:val="24"/>
          <w:szCs w:val="24"/>
          <w:lang w:val="en-AU"/>
        </w:rPr>
        <w:t xml:space="preserve">through </w:t>
      </w:r>
      <w:r w:rsidRPr="00E54D0D">
        <w:rPr>
          <w:sz w:val="24"/>
          <w:szCs w:val="24"/>
          <w:lang w:val="en-AU"/>
        </w:rPr>
        <w:t xml:space="preserve">locally led architecture in the thematic priority areas. </w:t>
      </w:r>
      <w:r w:rsidR="7A4B6678" w:rsidRPr="00E54D0D">
        <w:rPr>
          <w:sz w:val="24"/>
          <w:szCs w:val="24"/>
          <w:lang w:val="en-AU"/>
        </w:rPr>
        <w:t xml:space="preserve">MAP Phase 2 will invest in trilateral, multi-country and </w:t>
      </w:r>
      <w:r w:rsidR="00125174">
        <w:rPr>
          <w:sz w:val="24"/>
          <w:szCs w:val="24"/>
          <w:lang w:val="en-AU"/>
        </w:rPr>
        <w:t>sub</w:t>
      </w:r>
      <w:r w:rsidR="7A4B6678" w:rsidRPr="00E54D0D">
        <w:rPr>
          <w:sz w:val="24"/>
          <w:szCs w:val="24"/>
          <w:lang w:val="en-AU"/>
        </w:rPr>
        <w:t>regional activities that respond to shared and transboundary challenges</w:t>
      </w:r>
      <w:r w:rsidR="005665AF" w:rsidRPr="00E54D0D">
        <w:rPr>
          <w:sz w:val="24"/>
          <w:szCs w:val="24"/>
          <w:lang w:val="en-AU"/>
        </w:rPr>
        <w:t xml:space="preserve"> and will </w:t>
      </w:r>
      <w:r w:rsidR="00593432" w:rsidRPr="00E54D0D">
        <w:rPr>
          <w:sz w:val="24"/>
          <w:szCs w:val="24"/>
          <w:lang w:val="en-AU"/>
        </w:rPr>
        <w:t>seek opportunities for</w:t>
      </w:r>
      <w:r w:rsidR="163093B2" w:rsidRPr="00E54D0D">
        <w:rPr>
          <w:sz w:val="24"/>
          <w:szCs w:val="24"/>
          <w:lang w:val="en-AU"/>
        </w:rPr>
        <w:t xml:space="preserve"> </w:t>
      </w:r>
      <w:r w:rsidR="7A4B6678" w:rsidRPr="00E54D0D">
        <w:rPr>
          <w:sz w:val="24"/>
          <w:szCs w:val="24"/>
          <w:lang w:val="en-AU"/>
        </w:rPr>
        <w:t xml:space="preserve">collaboration with likeminded partners. Additionally, </w:t>
      </w:r>
      <w:r w:rsidRPr="00E54D0D">
        <w:rPr>
          <w:sz w:val="24"/>
          <w:szCs w:val="24"/>
          <w:lang w:val="en-AU"/>
        </w:rPr>
        <w:t xml:space="preserve">MAP Phase 2 will fund bilateral </w:t>
      </w:r>
      <w:r w:rsidR="1F19E656" w:rsidRPr="00E54D0D">
        <w:rPr>
          <w:sz w:val="24"/>
          <w:szCs w:val="24"/>
          <w:lang w:val="en-AU"/>
        </w:rPr>
        <w:t xml:space="preserve">Mekong </w:t>
      </w:r>
      <w:r w:rsidRPr="00E54D0D">
        <w:rPr>
          <w:sz w:val="24"/>
          <w:szCs w:val="24"/>
          <w:lang w:val="en-AU"/>
        </w:rPr>
        <w:t>programs</w:t>
      </w:r>
      <w:r w:rsidR="32E2B8F0" w:rsidRPr="00E54D0D">
        <w:rPr>
          <w:sz w:val="24"/>
          <w:szCs w:val="24"/>
          <w:lang w:val="en-AU"/>
        </w:rPr>
        <w:t xml:space="preserve"> to deliver bilateral solutions to complex transboundary challenges </w:t>
      </w:r>
      <w:r w:rsidR="7BACD610" w:rsidRPr="00E54D0D">
        <w:rPr>
          <w:sz w:val="24"/>
          <w:szCs w:val="24"/>
          <w:lang w:val="en-AU"/>
        </w:rPr>
        <w:t xml:space="preserve">in line with </w:t>
      </w:r>
      <w:r w:rsidR="6B074691" w:rsidRPr="00E54D0D">
        <w:rPr>
          <w:sz w:val="24"/>
          <w:szCs w:val="24"/>
          <w:lang w:val="en-AU"/>
        </w:rPr>
        <w:t xml:space="preserve">MAP </w:t>
      </w:r>
      <w:r w:rsidR="7BACD610" w:rsidRPr="00E54D0D">
        <w:rPr>
          <w:sz w:val="24"/>
          <w:szCs w:val="24"/>
          <w:lang w:val="en-AU"/>
        </w:rPr>
        <w:t>thematic areas</w:t>
      </w:r>
      <w:r w:rsidR="00593432" w:rsidRPr="00E54D0D">
        <w:rPr>
          <w:sz w:val="24"/>
          <w:szCs w:val="24"/>
          <w:lang w:val="en-AU"/>
        </w:rPr>
        <w:t>. This is</w:t>
      </w:r>
      <w:r w:rsidR="5B8B4BC1" w:rsidRPr="00E54D0D">
        <w:rPr>
          <w:sz w:val="24"/>
          <w:szCs w:val="24"/>
          <w:lang w:val="en-AU"/>
        </w:rPr>
        <w:t xml:space="preserve"> </w:t>
      </w:r>
      <w:r w:rsidRPr="00E54D0D">
        <w:rPr>
          <w:sz w:val="24"/>
          <w:szCs w:val="24"/>
          <w:lang w:val="en-AU"/>
        </w:rPr>
        <w:t xml:space="preserve">in recognition of the importance of these programs </w:t>
      </w:r>
      <w:r w:rsidR="3613F1EE" w:rsidRPr="00E54D0D">
        <w:rPr>
          <w:sz w:val="24"/>
          <w:szCs w:val="24"/>
          <w:lang w:val="en-AU"/>
        </w:rPr>
        <w:t xml:space="preserve">in </w:t>
      </w:r>
      <w:r w:rsidR="6DE61CDA" w:rsidRPr="00E54D0D">
        <w:rPr>
          <w:sz w:val="24"/>
          <w:szCs w:val="24"/>
          <w:lang w:val="en-AU"/>
        </w:rPr>
        <w:t>strengthening Australia’s</w:t>
      </w:r>
      <w:r w:rsidR="0162F6FB" w:rsidRPr="00E54D0D">
        <w:rPr>
          <w:sz w:val="24"/>
          <w:szCs w:val="24"/>
          <w:lang w:val="en-AU"/>
        </w:rPr>
        <w:t xml:space="preserve"> reputation as a</w:t>
      </w:r>
      <w:r w:rsidR="094931D1" w:rsidRPr="00E54D0D">
        <w:rPr>
          <w:sz w:val="24"/>
          <w:szCs w:val="24"/>
          <w:lang w:val="en-AU"/>
        </w:rPr>
        <w:t xml:space="preserve"> </w:t>
      </w:r>
      <w:r w:rsidRPr="00E54D0D">
        <w:rPr>
          <w:sz w:val="24"/>
          <w:szCs w:val="24"/>
          <w:lang w:val="en-AU"/>
        </w:rPr>
        <w:t xml:space="preserve">trusted, </w:t>
      </w:r>
      <w:r w:rsidR="3061C9BC" w:rsidRPr="00E54D0D">
        <w:rPr>
          <w:sz w:val="24"/>
          <w:szCs w:val="24"/>
          <w:lang w:val="en-AU"/>
        </w:rPr>
        <w:t>pragmatic</w:t>
      </w:r>
      <w:r w:rsidRPr="00E54D0D">
        <w:rPr>
          <w:sz w:val="24"/>
          <w:szCs w:val="24"/>
          <w:lang w:val="en-AU"/>
        </w:rPr>
        <w:t xml:space="preserve"> and reliable partner that provides high quality offerings, delivers on commitments and </w:t>
      </w:r>
      <w:r w:rsidR="7978476E" w:rsidRPr="00E54D0D">
        <w:rPr>
          <w:rFonts w:eastAsia="Segoe UI"/>
          <w:sz w:val="24"/>
          <w:szCs w:val="24"/>
          <w:lang w:val="en-AU"/>
        </w:rPr>
        <w:t>uphold</w:t>
      </w:r>
      <w:r w:rsidR="00593432" w:rsidRPr="00E54D0D">
        <w:rPr>
          <w:rFonts w:eastAsia="Segoe UI"/>
          <w:sz w:val="24"/>
          <w:szCs w:val="24"/>
          <w:lang w:val="en-AU"/>
        </w:rPr>
        <w:t>s</w:t>
      </w:r>
      <w:r w:rsidR="7978476E" w:rsidRPr="00E54D0D">
        <w:rPr>
          <w:rFonts w:eastAsia="Segoe UI"/>
          <w:sz w:val="24"/>
          <w:szCs w:val="24"/>
          <w:lang w:val="en-AU"/>
        </w:rPr>
        <w:t xml:space="preserve"> rules and </w:t>
      </w:r>
      <w:r w:rsidR="6DE61CDA" w:rsidRPr="00E54D0D">
        <w:rPr>
          <w:rFonts w:eastAsia="Segoe UI"/>
          <w:sz w:val="24"/>
          <w:szCs w:val="24"/>
          <w:lang w:val="en-AU"/>
        </w:rPr>
        <w:t>norms</w:t>
      </w:r>
      <w:r w:rsidR="6DE61CDA" w:rsidRPr="00E54D0D">
        <w:rPr>
          <w:rFonts w:ascii="Calibri Light" w:eastAsia="Calibri Light" w:hAnsi="Calibri Light" w:cs="Calibri Light"/>
          <w:sz w:val="24"/>
          <w:szCs w:val="24"/>
          <w:lang w:val="en-AU"/>
        </w:rPr>
        <w:t>.</w:t>
      </w:r>
      <w:r w:rsidRPr="00E54D0D">
        <w:rPr>
          <w:sz w:val="24"/>
          <w:szCs w:val="24"/>
          <w:lang w:val="en-AU"/>
        </w:rPr>
        <w:t xml:space="preserve"> </w:t>
      </w:r>
    </w:p>
    <w:p w14:paraId="597E1BBD" w14:textId="398B1258" w:rsidR="0008373A" w:rsidRPr="00E54D0D" w:rsidRDefault="004134A7" w:rsidP="0008373A">
      <w:pPr>
        <w:pStyle w:val="Bullet1"/>
        <w:numPr>
          <w:ilvl w:val="0"/>
          <w:numId w:val="0"/>
        </w:numPr>
        <w:rPr>
          <w:rFonts w:cs="Calibri Light"/>
          <w:sz w:val="24"/>
          <w:szCs w:val="24"/>
          <w:lang w:val="en-AU"/>
        </w:rPr>
      </w:pPr>
      <w:r>
        <w:rPr>
          <w:sz w:val="24"/>
          <w:szCs w:val="24"/>
          <w:lang w:val="en-AU"/>
        </w:rPr>
        <w:t>Delivery</w:t>
      </w:r>
      <w:r w:rsidR="0008373A" w:rsidRPr="00E54D0D">
        <w:rPr>
          <w:sz w:val="24"/>
          <w:szCs w:val="24"/>
          <w:lang w:val="en-AU"/>
        </w:rPr>
        <w:t xml:space="preserve"> strategies on each of the </w:t>
      </w:r>
      <w:r w:rsidR="00941A74" w:rsidRPr="00E54D0D">
        <w:rPr>
          <w:sz w:val="24"/>
          <w:szCs w:val="24"/>
          <w:lang w:val="en-AU"/>
        </w:rPr>
        <w:t>thematic areas</w:t>
      </w:r>
      <w:r w:rsidR="0008373A" w:rsidRPr="00E54D0D">
        <w:rPr>
          <w:sz w:val="24"/>
          <w:szCs w:val="24"/>
          <w:lang w:val="en-AU"/>
        </w:rPr>
        <w:t xml:space="preserve"> will be developed to guide investment options and pipeline planning. These strategies will include detailed situational analysis</w:t>
      </w:r>
      <w:r w:rsidR="0008373A" w:rsidRPr="00E54D0D">
        <w:rPr>
          <w:rFonts w:cs="Calibri Light"/>
          <w:webHidden/>
          <w:sz w:val="24"/>
          <w:szCs w:val="24"/>
          <w:lang w:val="en-AU"/>
        </w:rPr>
        <w:t xml:space="preserve"> </w:t>
      </w:r>
      <w:r w:rsidR="0008373A" w:rsidRPr="00E54D0D">
        <w:rPr>
          <w:webHidden/>
          <w:sz w:val="24"/>
          <w:szCs w:val="24"/>
          <w:lang w:val="en-AU"/>
        </w:rPr>
        <w:t>of k</w:t>
      </w:r>
      <w:r w:rsidR="0008373A" w:rsidRPr="00E54D0D">
        <w:rPr>
          <w:sz w:val="24"/>
          <w:szCs w:val="24"/>
          <w:lang w:val="en-AU"/>
        </w:rPr>
        <w:t>ey shared and transboundary challenges in the Mekong</w:t>
      </w:r>
      <w:r w:rsidR="0008373A" w:rsidRPr="00E54D0D">
        <w:rPr>
          <w:webHidden/>
          <w:sz w:val="24"/>
          <w:szCs w:val="24"/>
          <w:lang w:val="en-AU"/>
        </w:rPr>
        <w:t xml:space="preserve"> </w:t>
      </w:r>
      <w:r w:rsidR="0008373A" w:rsidRPr="00E54D0D">
        <w:rPr>
          <w:rFonts w:cs="Calibri Light"/>
          <w:webHidden/>
          <w:sz w:val="24"/>
          <w:szCs w:val="24"/>
          <w:lang w:val="en-AU"/>
        </w:rPr>
        <w:t xml:space="preserve">subregion </w:t>
      </w:r>
      <w:r w:rsidR="0008373A" w:rsidRPr="00E54D0D">
        <w:rPr>
          <w:webHidden/>
          <w:sz w:val="24"/>
          <w:szCs w:val="24"/>
          <w:lang w:val="en-AU"/>
        </w:rPr>
        <w:t xml:space="preserve">in </w:t>
      </w:r>
      <w:r>
        <w:rPr>
          <w:webHidden/>
          <w:sz w:val="24"/>
          <w:szCs w:val="24"/>
          <w:lang w:val="en-AU"/>
        </w:rPr>
        <w:t>each</w:t>
      </w:r>
      <w:r w:rsidR="0008373A" w:rsidRPr="00E54D0D">
        <w:rPr>
          <w:webHidden/>
          <w:sz w:val="24"/>
          <w:szCs w:val="24"/>
          <w:lang w:val="en-AU"/>
        </w:rPr>
        <w:t xml:space="preserve"> thematic area, and </w:t>
      </w:r>
      <w:r w:rsidR="0008373A" w:rsidRPr="00E54D0D">
        <w:rPr>
          <w:sz w:val="24"/>
          <w:szCs w:val="24"/>
          <w:lang w:val="en-AU"/>
        </w:rPr>
        <w:t>Australia’s policy priorities and key investments</w:t>
      </w:r>
      <w:r w:rsidR="0008373A" w:rsidRPr="00E54D0D">
        <w:rPr>
          <w:webHidden/>
          <w:sz w:val="24"/>
          <w:szCs w:val="24"/>
          <w:lang w:val="en-AU"/>
        </w:rPr>
        <w:t xml:space="preserve"> in the sector. It will include a more detailed mapping of o</w:t>
      </w:r>
      <w:r w:rsidR="0008373A" w:rsidRPr="00E54D0D">
        <w:rPr>
          <w:sz w:val="24"/>
          <w:szCs w:val="24"/>
          <w:lang w:val="en-AU"/>
        </w:rPr>
        <w:t>ther development partners</w:t>
      </w:r>
      <w:r w:rsidR="00141698">
        <w:rPr>
          <w:sz w:val="24"/>
          <w:szCs w:val="24"/>
          <w:lang w:val="en-AU"/>
        </w:rPr>
        <w:t>’</w:t>
      </w:r>
      <w:r w:rsidR="0008373A" w:rsidRPr="00E54D0D">
        <w:rPr>
          <w:sz w:val="24"/>
          <w:szCs w:val="24"/>
          <w:lang w:val="en-AU"/>
        </w:rPr>
        <w:t xml:space="preserve"> invest</w:t>
      </w:r>
      <w:r w:rsidR="00141698">
        <w:rPr>
          <w:sz w:val="24"/>
          <w:szCs w:val="24"/>
          <w:lang w:val="en-AU"/>
        </w:rPr>
        <w:t>ments</w:t>
      </w:r>
      <w:r w:rsidR="0008373A" w:rsidRPr="00E54D0D">
        <w:rPr>
          <w:sz w:val="24"/>
          <w:szCs w:val="24"/>
          <w:lang w:val="en-AU"/>
        </w:rPr>
        <w:t xml:space="preserve"> in the sector, and lessons from DFAT and other</w:t>
      </w:r>
      <w:r w:rsidR="00141698">
        <w:rPr>
          <w:sz w:val="24"/>
          <w:szCs w:val="24"/>
          <w:lang w:val="en-AU"/>
        </w:rPr>
        <w:t>s</w:t>
      </w:r>
      <w:r w:rsidR="0008373A" w:rsidRPr="00E54D0D">
        <w:rPr>
          <w:sz w:val="24"/>
          <w:szCs w:val="24"/>
          <w:lang w:val="en-AU"/>
        </w:rPr>
        <w:t xml:space="preserve"> working in the sector. A more detailed exploration of proposed outcomes and approach</w:t>
      </w:r>
      <w:r w:rsidR="0008373A" w:rsidRPr="00E54D0D">
        <w:rPr>
          <w:webHidden/>
          <w:sz w:val="24"/>
          <w:szCs w:val="24"/>
          <w:lang w:val="en-AU"/>
        </w:rPr>
        <w:t xml:space="preserve"> will be included. </w:t>
      </w:r>
    </w:p>
    <w:p w14:paraId="5D02CD9A" w14:textId="549F5614" w:rsidR="00554E1B" w:rsidRPr="00E54D0D" w:rsidRDefault="5ABD8BFF" w:rsidP="00E725A3">
      <w:pPr>
        <w:rPr>
          <w:sz w:val="24"/>
          <w:szCs w:val="24"/>
          <w:lang w:val="en-AU"/>
        </w:rPr>
      </w:pPr>
      <w:r w:rsidRPr="00E54D0D">
        <w:rPr>
          <w:sz w:val="24"/>
          <w:szCs w:val="24"/>
          <w:lang w:val="en-AU"/>
        </w:rPr>
        <w:t>MAP Phase 2 will be delivered under the strategic and technical leadership of DFAT. The portfolio will be governed by a MAP Steering Committee, chaired by</w:t>
      </w:r>
      <w:r w:rsidR="00FB160F" w:rsidRPr="00E54D0D">
        <w:rPr>
          <w:sz w:val="24"/>
          <w:szCs w:val="24"/>
          <w:lang w:val="en-AU"/>
        </w:rPr>
        <w:t xml:space="preserve"> the</w:t>
      </w:r>
      <w:r w:rsidRPr="00E54D0D">
        <w:rPr>
          <w:sz w:val="24"/>
          <w:szCs w:val="24"/>
          <w:lang w:val="en-AU"/>
        </w:rPr>
        <w:t xml:space="preserve"> Assistant Secretary</w:t>
      </w:r>
      <w:r w:rsidR="1BE83214" w:rsidRPr="00E54D0D">
        <w:rPr>
          <w:sz w:val="24"/>
          <w:szCs w:val="24"/>
          <w:lang w:val="en-AU"/>
        </w:rPr>
        <w:t xml:space="preserve">, Vietnam and Mekong Strategy Branch (AS </w:t>
      </w:r>
      <w:bookmarkStart w:id="7" w:name="_Int_DedDGhR2"/>
      <w:r w:rsidR="1BE83214" w:rsidRPr="00E54D0D">
        <w:rPr>
          <w:sz w:val="24"/>
          <w:szCs w:val="24"/>
          <w:lang w:val="en-AU"/>
        </w:rPr>
        <w:t>VMB</w:t>
      </w:r>
      <w:bookmarkEnd w:id="7"/>
      <w:r w:rsidR="1BE83214" w:rsidRPr="00E54D0D">
        <w:rPr>
          <w:sz w:val="24"/>
          <w:szCs w:val="24"/>
          <w:lang w:val="en-AU"/>
        </w:rPr>
        <w:t xml:space="preserve">) </w:t>
      </w:r>
      <w:r w:rsidR="7CE6C7BE" w:rsidRPr="00E54D0D">
        <w:rPr>
          <w:sz w:val="24"/>
          <w:szCs w:val="24"/>
          <w:lang w:val="en-AU"/>
        </w:rPr>
        <w:t xml:space="preserve">in the </w:t>
      </w:r>
      <w:r w:rsidRPr="00E54D0D">
        <w:rPr>
          <w:sz w:val="24"/>
          <w:szCs w:val="24"/>
          <w:lang w:val="en-AU"/>
        </w:rPr>
        <w:t>Office of Southeast Asia</w:t>
      </w:r>
      <w:r w:rsidR="4DFE26AA" w:rsidRPr="00E54D0D">
        <w:rPr>
          <w:sz w:val="24"/>
          <w:szCs w:val="24"/>
          <w:lang w:val="en-AU"/>
        </w:rPr>
        <w:t xml:space="preserve"> with representation from Mekong Posts</w:t>
      </w:r>
      <w:r w:rsidR="7429F6C4" w:rsidRPr="00E54D0D">
        <w:rPr>
          <w:sz w:val="24"/>
          <w:szCs w:val="24"/>
          <w:lang w:val="en-AU"/>
        </w:rPr>
        <w:t xml:space="preserve"> and </w:t>
      </w:r>
      <w:r w:rsidR="34E4CE7E" w:rsidRPr="00E54D0D">
        <w:rPr>
          <w:sz w:val="24"/>
          <w:szCs w:val="24"/>
          <w:lang w:val="en-AU"/>
        </w:rPr>
        <w:t xml:space="preserve">DFAT </w:t>
      </w:r>
      <w:r w:rsidR="7429F6C4" w:rsidRPr="00E54D0D">
        <w:rPr>
          <w:sz w:val="24"/>
          <w:szCs w:val="24"/>
          <w:lang w:val="en-AU"/>
        </w:rPr>
        <w:t>thematic</w:t>
      </w:r>
      <w:r w:rsidR="15042AE1" w:rsidRPr="00E54D0D">
        <w:rPr>
          <w:sz w:val="24"/>
          <w:szCs w:val="24"/>
          <w:lang w:val="en-AU"/>
        </w:rPr>
        <w:t>, policy and operations sections</w:t>
      </w:r>
      <w:r w:rsidR="7429F6C4" w:rsidRPr="00E54D0D">
        <w:rPr>
          <w:sz w:val="24"/>
          <w:szCs w:val="24"/>
          <w:lang w:val="en-AU"/>
        </w:rPr>
        <w:t xml:space="preserve"> as required</w:t>
      </w:r>
      <w:r w:rsidRPr="00E54D0D">
        <w:rPr>
          <w:sz w:val="24"/>
          <w:szCs w:val="24"/>
          <w:lang w:val="en-AU"/>
        </w:rPr>
        <w:t xml:space="preserve">. </w:t>
      </w:r>
      <w:r w:rsidR="332CB8C1" w:rsidRPr="00E54D0D">
        <w:rPr>
          <w:sz w:val="24"/>
          <w:szCs w:val="24"/>
          <w:lang w:val="en-AU"/>
        </w:rPr>
        <w:t xml:space="preserve">The Mekong Strategy Section (MKS) </w:t>
      </w:r>
      <w:r w:rsidRPr="00E54D0D">
        <w:rPr>
          <w:sz w:val="24"/>
          <w:szCs w:val="24"/>
          <w:lang w:val="en-AU"/>
        </w:rPr>
        <w:t xml:space="preserve">will ensure MAP retains strategic relevance and coherence and will lead </w:t>
      </w:r>
      <w:r w:rsidR="00767FF1" w:rsidRPr="00E54D0D">
        <w:rPr>
          <w:sz w:val="24"/>
          <w:szCs w:val="24"/>
          <w:lang w:val="en-AU"/>
        </w:rPr>
        <w:t>collaborative planning of high-level</w:t>
      </w:r>
      <w:r w:rsidR="00817B67" w:rsidRPr="00E54D0D">
        <w:rPr>
          <w:sz w:val="24"/>
          <w:szCs w:val="24"/>
          <w:lang w:val="en-AU"/>
        </w:rPr>
        <w:t xml:space="preserve"> budget allocations</w:t>
      </w:r>
      <w:r w:rsidRPr="00E54D0D">
        <w:rPr>
          <w:sz w:val="24"/>
          <w:szCs w:val="24"/>
          <w:lang w:val="en-AU"/>
        </w:rPr>
        <w:t xml:space="preserve">. The </w:t>
      </w:r>
      <w:r w:rsidR="639FC48E" w:rsidRPr="00E54D0D">
        <w:rPr>
          <w:sz w:val="24"/>
          <w:szCs w:val="24"/>
          <w:lang w:val="en-AU"/>
        </w:rPr>
        <w:t xml:space="preserve">DFAT-led </w:t>
      </w:r>
      <w:r w:rsidRPr="00E54D0D">
        <w:rPr>
          <w:sz w:val="24"/>
          <w:szCs w:val="24"/>
          <w:lang w:val="en-AU"/>
        </w:rPr>
        <w:t>Mekong Hub (housed in the</w:t>
      </w:r>
      <w:r w:rsidR="54E6E378" w:rsidRPr="00E54D0D">
        <w:rPr>
          <w:sz w:val="24"/>
          <w:szCs w:val="24"/>
          <w:lang w:val="en-AU"/>
        </w:rPr>
        <w:t xml:space="preserve"> Australian</w:t>
      </w:r>
      <w:r w:rsidRPr="00E54D0D">
        <w:rPr>
          <w:sz w:val="24"/>
          <w:szCs w:val="24"/>
          <w:lang w:val="en-AU"/>
        </w:rPr>
        <w:t xml:space="preserve"> Embassy</w:t>
      </w:r>
      <w:r w:rsidR="7A91FBE4" w:rsidRPr="00E54D0D">
        <w:rPr>
          <w:sz w:val="24"/>
          <w:szCs w:val="24"/>
          <w:lang w:val="en-AU"/>
        </w:rPr>
        <w:t xml:space="preserve"> in</w:t>
      </w:r>
      <w:r w:rsidR="6E0294C0" w:rsidRPr="00E54D0D">
        <w:rPr>
          <w:sz w:val="24"/>
          <w:szCs w:val="24"/>
          <w:lang w:val="en-AU"/>
        </w:rPr>
        <w:t xml:space="preserve"> </w:t>
      </w:r>
      <w:r w:rsidRPr="00E54D0D">
        <w:rPr>
          <w:sz w:val="24"/>
          <w:szCs w:val="24"/>
          <w:lang w:val="en-AU"/>
        </w:rPr>
        <w:t>Bangkok) will</w:t>
      </w:r>
      <w:r w:rsidR="17408C5A" w:rsidRPr="00E54D0D">
        <w:rPr>
          <w:sz w:val="24"/>
          <w:szCs w:val="24"/>
          <w:lang w:val="en-AU"/>
        </w:rPr>
        <w:t xml:space="preserve"> manage regional </w:t>
      </w:r>
      <w:r w:rsidR="5D6C4EF6" w:rsidRPr="00E54D0D">
        <w:rPr>
          <w:sz w:val="24"/>
          <w:szCs w:val="24"/>
          <w:lang w:val="en-AU"/>
        </w:rPr>
        <w:t xml:space="preserve">and multi-country </w:t>
      </w:r>
      <w:r w:rsidR="17408C5A" w:rsidRPr="00E54D0D">
        <w:rPr>
          <w:sz w:val="24"/>
          <w:szCs w:val="24"/>
          <w:lang w:val="en-AU"/>
        </w:rPr>
        <w:t>program pipeline development</w:t>
      </w:r>
      <w:r w:rsidR="71F49008" w:rsidRPr="00E54D0D">
        <w:rPr>
          <w:sz w:val="24"/>
          <w:szCs w:val="24"/>
          <w:lang w:val="en-AU"/>
        </w:rPr>
        <w:t xml:space="preserve"> and associated budgets</w:t>
      </w:r>
      <w:r w:rsidR="17408C5A" w:rsidRPr="00E54D0D">
        <w:rPr>
          <w:sz w:val="24"/>
          <w:szCs w:val="24"/>
          <w:lang w:val="en-AU"/>
        </w:rPr>
        <w:t>, and</w:t>
      </w:r>
      <w:r w:rsidRPr="00E54D0D">
        <w:rPr>
          <w:sz w:val="24"/>
          <w:szCs w:val="24"/>
          <w:lang w:val="en-AU"/>
        </w:rPr>
        <w:t xml:space="preserve"> support implementation</w:t>
      </w:r>
      <w:r w:rsidR="4705AC67" w:rsidRPr="00E54D0D">
        <w:rPr>
          <w:sz w:val="24"/>
          <w:szCs w:val="24"/>
          <w:lang w:val="en-AU"/>
        </w:rPr>
        <w:t xml:space="preserve">, quality control </w:t>
      </w:r>
      <w:r w:rsidR="4D6E46F8" w:rsidRPr="00E54D0D">
        <w:rPr>
          <w:sz w:val="24"/>
          <w:szCs w:val="24"/>
          <w:lang w:val="en-AU"/>
        </w:rPr>
        <w:t xml:space="preserve">and </w:t>
      </w:r>
      <w:r w:rsidR="1595F1BF" w:rsidRPr="00E54D0D">
        <w:rPr>
          <w:sz w:val="24"/>
          <w:szCs w:val="24"/>
          <w:lang w:val="en-AU"/>
        </w:rPr>
        <w:t xml:space="preserve">regional </w:t>
      </w:r>
      <w:r w:rsidR="4705AC67" w:rsidRPr="00E54D0D">
        <w:rPr>
          <w:sz w:val="24"/>
          <w:szCs w:val="24"/>
          <w:lang w:val="en-AU"/>
        </w:rPr>
        <w:t>relationship management</w:t>
      </w:r>
      <w:r w:rsidRPr="00E54D0D">
        <w:rPr>
          <w:sz w:val="24"/>
          <w:szCs w:val="24"/>
          <w:lang w:val="en-AU"/>
        </w:rPr>
        <w:t xml:space="preserve"> </w:t>
      </w:r>
      <w:r w:rsidR="00767FF1" w:rsidRPr="00E54D0D">
        <w:rPr>
          <w:sz w:val="24"/>
          <w:szCs w:val="24"/>
          <w:lang w:val="en-AU"/>
        </w:rPr>
        <w:t xml:space="preserve">across </w:t>
      </w:r>
      <w:r w:rsidRPr="00E54D0D">
        <w:rPr>
          <w:sz w:val="24"/>
          <w:szCs w:val="24"/>
          <w:lang w:val="en-AU"/>
        </w:rPr>
        <w:t>the portfolio. Mekong Posts will contribute to pipeline planning</w:t>
      </w:r>
      <w:r w:rsidR="00B34FBA" w:rsidRPr="00E54D0D">
        <w:rPr>
          <w:sz w:val="24"/>
          <w:szCs w:val="24"/>
          <w:lang w:val="en-AU"/>
        </w:rPr>
        <w:t>,</w:t>
      </w:r>
      <w:r w:rsidRPr="00E54D0D">
        <w:rPr>
          <w:sz w:val="24"/>
          <w:szCs w:val="24"/>
          <w:lang w:val="en-AU"/>
        </w:rPr>
        <w:t xml:space="preserve"> manage bilateral allocations and</w:t>
      </w:r>
      <w:r w:rsidR="00B34FBA" w:rsidRPr="00E54D0D">
        <w:rPr>
          <w:sz w:val="24"/>
          <w:szCs w:val="24"/>
          <w:lang w:val="en-AU"/>
        </w:rPr>
        <w:t xml:space="preserve"> selected</w:t>
      </w:r>
      <w:r w:rsidRPr="00E54D0D">
        <w:rPr>
          <w:sz w:val="24"/>
          <w:szCs w:val="24"/>
          <w:lang w:val="en-AU"/>
        </w:rPr>
        <w:t xml:space="preserve"> multi-country investments</w:t>
      </w:r>
      <w:r w:rsidR="00B34FBA" w:rsidRPr="00E54D0D">
        <w:rPr>
          <w:sz w:val="24"/>
          <w:szCs w:val="24"/>
          <w:lang w:val="en-AU"/>
        </w:rPr>
        <w:t>, and will</w:t>
      </w:r>
      <w:r w:rsidRPr="00E54D0D">
        <w:rPr>
          <w:sz w:val="24"/>
          <w:szCs w:val="24"/>
          <w:lang w:val="en-AU"/>
        </w:rPr>
        <w:t xml:space="preserve"> lead engagement</w:t>
      </w:r>
      <w:r w:rsidR="2D3B5912" w:rsidRPr="00E54D0D">
        <w:rPr>
          <w:sz w:val="24"/>
          <w:szCs w:val="24"/>
          <w:lang w:val="en-AU"/>
        </w:rPr>
        <w:t xml:space="preserve"> with in-country stakeholders</w:t>
      </w:r>
      <w:r w:rsidRPr="00E54D0D">
        <w:rPr>
          <w:sz w:val="24"/>
          <w:szCs w:val="24"/>
          <w:lang w:val="en-AU"/>
        </w:rPr>
        <w:t>. DFAT departmental MAP capability will be augmented by a team of program funded</w:t>
      </w:r>
      <w:r w:rsidR="3DC46852" w:rsidRPr="00E54D0D">
        <w:rPr>
          <w:sz w:val="24"/>
          <w:szCs w:val="24"/>
          <w:lang w:val="en-AU"/>
        </w:rPr>
        <w:t xml:space="preserve"> locally</w:t>
      </w:r>
      <w:r w:rsidR="3D044F5F" w:rsidRPr="00E54D0D">
        <w:rPr>
          <w:sz w:val="24"/>
          <w:szCs w:val="24"/>
          <w:lang w:val="en-AU"/>
        </w:rPr>
        <w:t xml:space="preserve"> engaged staff</w:t>
      </w:r>
      <w:r w:rsidRPr="00E54D0D">
        <w:rPr>
          <w:sz w:val="24"/>
          <w:szCs w:val="24"/>
          <w:lang w:val="en-AU"/>
        </w:rPr>
        <w:t xml:space="preserve">, in-sourced </w:t>
      </w:r>
      <w:r w:rsidR="00BC3815" w:rsidRPr="00E54D0D">
        <w:rPr>
          <w:sz w:val="24"/>
          <w:szCs w:val="24"/>
          <w:lang w:val="en-AU"/>
        </w:rPr>
        <w:t xml:space="preserve">long-term </w:t>
      </w:r>
      <w:r w:rsidRPr="00E54D0D">
        <w:rPr>
          <w:sz w:val="24"/>
          <w:szCs w:val="24"/>
          <w:lang w:val="en-AU"/>
        </w:rPr>
        <w:t xml:space="preserve">advisers and </w:t>
      </w:r>
      <w:r w:rsidR="00BC3815" w:rsidRPr="00E54D0D">
        <w:rPr>
          <w:sz w:val="24"/>
          <w:szCs w:val="24"/>
          <w:lang w:val="en-AU"/>
        </w:rPr>
        <w:t>specialist</w:t>
      </w:r>
      <w:r w:rsidRPr="00E54D0D">
        <w:rPr>
          <w:sz w:val="24"/>
          <w:szCs w:val="24"/>
          <w:lang w:val="en-AU"/>
        </w:rPr>
        <w:t xml:space="preserve"> short-term advisers. A </w:t>
      </w:r>
      <w:r w:rsidR="7816626B" w:rsidRPr="00E54D0D">
        <w:rPr>
          <w:sz w:val="24"/>
          <w:szCs w:val="24"/>
          <w:lang w:val="en-AU"/>
        </w:rPr>
        <w:t xml:space="preserve">Support Services </w:t>
      </w:r>
      <w:r w:rsidRPr="00E54D0D">
        <w:rPr>
          <w:sz w:val="24"/>
          <w:szCs w:val="24"/>
          <w:lang w:val="en-AU"/>
        </w:rPr>
        <w:t xml:space="preserve">Contractor </w:t>
      </w:r>
      <w:r w:rsidR="00A059D4">
        <w:rPr>
          <w:sz w:val="24"/>
          <w:szCs w:val="24"/>
          <w:lang w:val="en-AU"/>
        </w:rPr>
        <w:t>will</w:t>
      </w:r>
      <w:r w:rsidR="00A059D4" w:rsidRPr="00E54D0D">
        <w:rPr>
          <w:sz w:val="24"/>
          <w:szCs w:val="24"/>
          <w:lang w:val="en-AU"/>
        </w:rPr>
        <w:t xml:space="preserve"> </w:t>
      </w:r>
      <w:r w:rsidRPr="00E54D0D">
        <w:rPr>
          <w:sz w:val="24"/>
          <w:szCs w:val="24"/>
          <w:lang w:val="en-AU"/>
        </w:rPr>
        <w:t>mobilise advisers and provide logistical, operational and administrative support</w:t>
      </w:r>
      <w:r w:rsidR="0008416C" w:rsidRPr="00E54D0D">
        <w:rPr>
          <w:sz w:val="24"/>
          <w:szCs w:val="24"/>
          <w:lang w:val="en-AU"/>
        </w:rPr>
        <w:t xml:space="preserve"> across the portfolio</w:t>
      </w:r>
      <w:r w:rsidR="1E83D2BF" w:rsidRPr="00E54D0D">
        <w:rPr>
          <w:sz w:val="24"/>
          <w:szCs w:val="24"/>
          <w:lang w:val="en-AU"/>
        </w:rPr>
        <w:t xml:space="preserve"> </w:t>
      </w:r>
      <w:r w:rsidR="00A059D4">
        <w:rPr>
          <w:sz w:val="24"/>
          <w:szCs w:val="24"/>
          <w:lang w:val="en-AU"/>
        </w:rPr>
        <w:t xml:space="preserve">and deliver selected activities </w:t>
      </w:r>
      <w:r w:rsidR="1E83D2BF" w:rsidRPr="00E54D0D">
        <w:rPr>
          <w:sz w:val="24"/>
          <w:szCs w:val="24"/>
          <w:lang w:val="en-AU"/>
        </w:rPr>
        <w:t>as required</w:t>
      </w:r>
      <w:r w:rsidRPr="00E54D0D">
        <w:rPr>
          <w:sz w:val="24"/>
          <w:szCs w:val="24"/>
          <w:lang w:val="en-AU"/>
        </w:rPr>
        <w:t>.</w:t>
      </w:r>
      <w:r w:rsidR="494D53DE" w:rsidRPr="00E54D0D">
        <w:rPr>
          <w:sz w:val="24"/>
          <w:szCs w:val="24"/>
          <w:lang w:val="en-AU"/>
        </w:rPr>
        <w:t xml:space="preserve"> See </w:t>
      </w:r>
      <w:r w:rsidR="12956348" w:rsidRPr="00E54D0D">
        <w:rPr>
          <w:sz w:val="24"/>
          <w:szCs w:val="24"/>
          <w:lang w:val="en-AU"/>
        </w:rPr>
        <w:t>F</w:t>
      </w:r>
      <w:r w:rsidR="494D53DE" w:rsidRPr="00E54D0D">
        <w:rPr>
          <w:sz w:val="24"/>
          <w:szCs w:val="24"/>
          <w:lang w:val="en-AU"/>
        </w:rPr>
        <w:t xml:space="preserve">igure </w:t>
      </w:r>
      <w:r w:rsidR="12956348" w:rsidRPr="00E54D0D">
        <w:rPr>
          <w:sz w:val="24"/>
          <w:szCs w:val="24"/>
          <w:lang w:val="en-AU"/>
        </w:rPr>
        <w:t>1</w:t>
      </w:r>
      <w:r w:rsidR="494D53DE" w:rsidRPr="00E54D0D">
        <w:rPr>
          <w:sz w:val="24"/>
          <w:szCs w:val="24"/>
          <w:lang w:val="en-AU"/>
        </w:rPr>
        <w:t xml:space="preserve"> below for a summary of DFAT </w:t>
      </w:r>
      <w:r w:rsidR="12956348" w:rsidRPr="00E54D0D">
        <w:rPr>
          <w:sz w:val="24"/>
          <w:szCs w:val="24"/>
          <w:lang w:val="en-AU"/>
        </w:rPr>
        <w:t xml:space="preserve">structure, </w:t>
      </w:r>
      <w:r w:rsidR="494D53DE" w:rsidRPr="00E54D0D">
        <w:rPr>
          <w:sz w:val="24"/>
          <w:szCs w:val="24"/>
          <w:lang w:val="en-AU"/>
        </w:rPr>
        <w:t>roles</w:t>
      </w:r>
      <w:r w:rsidR="12956348" w:rsidRPr="00E54D0D">
        <w:rPr>
          <w:sz w:val="24"/>
          <w:szCs w:val="24"/>
          <w:lang w:val="en-AU"/>
        </w:rPr>
        <w:t xml:space="preserve"> and responsibili</w:t>
      </w:r>
      <w:r w:rsidR="37F63B80" w:rsidRPr="00E54D0D">
        <w:rPr>
          <w:sz w:val="24"/>
          <w:szCs w:val="24"/>
          <w:lang w:val="en-AU"/>
        </w:rPr>
        <w:t>ti</w:t>
      </w:r>
      <w:r w:rsidR="12956348" w:rsidRPr="00E54D0D">
        <w:rPr>
          <w:sz w:val="24"/>
          <w:szCs w:val="24"/>
          <w:lang w:val="en-AU"/>
        </w:rPr>
        <w:t>es for MAP Ph</w:t>
      </w:r>
      <w:r w:rsidR="6F54691A" w:rsidRPr="00E54D0D">
        <w:rPr>
          <w:sz w:val="24"/>
          <w:szCs w:val="24"/>
          <w:lang w:val="en-AU"/>
        </w:rPr>
        <w:t>a</w:t>
      </w:r>
      <w:r w:rsidR="12956348" w:rsidRPr="00E54D0D">
        <w:rPr>
          <w:sz w:val="24"/>
          <w:szCs w:val="24"/>
          <w:lang w:val="en-AU"/>
        </w:rPr>
        <w:t>se 2</w:t>
      </w:r>
      <w:r w:rsidR="00517DA8">
        <w:rPr>
          <w:sz w:val="24"/>
          <w:szCs w:val="24"/>
          <w:lang w:val="en-AU"/>
        </w:rPr>
        <w:t>.</w:t>
      </w:r>
    </w:p>
    <w:p w14:paraId="71D8F3F2" w14:textId="34741CF1" w:rsidR="00AE0B16" w:rsidRDefault="00EF5117" w:rsidP="00AE0B16">
      <w:pPr>
        <w:pStyle w:val="Caption"/>
        <w:keepNext/>
        <w:spacing w:before="120" w:after="120"/>
        <w:rPr>
          <w:sz w:val="24"/>
          <w:szCs w:val="24"/>
          <w:lang w:val="en-AU"/>
        </w:rPr>
      </w:pPr>
      <w:r w:rsidRPr="00E54D0D">
        <w:rPr>
          <w:sz w:val="24"/>
          <w:szCs w:val="24"/>
          <w:lang w:val="en-AU"/>
        </w:rPr>
        <w:lastRenderedPageBreak/>
        <w:t xml:space="preserve">Figure </w:t>
      </w:r>
      <w:r w:rsidRPr="00E54D0D">
        <w:rPr>
          <w:sz w:val="24"/>
          <w:szCs w:val="24"/>
          <w:lang w:val="en-AU"/>
        </w:rPr>
        <w:fldChar w:fldCharType="begin"/>
      </w:r>
      <w:r w:rsidRPr="00E54D0D">
        <w:rPr>
          <w:sz w:val="24"/>
          <w:szCs w:val="24"/>
          <w:lang w:val="en-AU"/>
        </w:rPr>
        <w:instrText xml:space="preserve"> SEQ Figure \* ARABIC </w:instrText>
      </w:r>
      <w:r w:rsidRPr="00E54D0D">
        <w:rPr>
          <w:sz w:val="24"/>
          <w:szCs w:val="24"/>
          <w:lang w:val="en-AU"/>
        </w:rPr>
        <w:fldChar w:fldCharType="separate"/>
      </w:r>
      <w:r w:rsidR="003E1E3C" w:rsidRPr="00E54D0D">
        <w:rPr>
          <w:noProof/>
          <w:sz w:val="24"/>
          <w:szCs w:val="24"/>
          <w:lang w:val="en-AU"/>
        </w:rPr>
        <w:t>1</w:t>
      </w:r>
      <w:r w:rsidRPr="00E54D0D">
        <w:rPr>
          <w:sz w:val="24"/>
          <w:szCs w:val="24"/>
          <w:lang w:val="en-AU"/>
        </w:rPr>
        <w:fldChar w:fldCharType="end"/>
      </w:r>
      <w:r w:rsidRPr="00E54D0D">
        <w:rPr>
          <w:sz w:val="24"/>
          <w:szCs w:val="24"/>
          <w:lang w:val="en-AU"/>
        </w:rPr>
        <w:t xml:space="preserve">: DFAT Structure, roles and responsibilities on MAP Phase </w:t>
      </w:r>
      <w:r w:rsidR="00AE0B16" w:rsidRPr="00E54D0D">
        <w:rPr>
          <w:sz w:val="24"/>
          <w:szCs w:val="24"/>
          <w:lang w:val="en-AU"/>
        </w:rPr>
        <w:t>2</w:t>
      </w:r>
    </w:p>
    <w:p w14:paraId="098D2220" w14:textId="0A98E27D" w:rsidR="004F197E" w:rsidRPr="0000253E" w:rsidRDefault="00817078" w:rsidP="0000253E">
      <w:pPr>
        <w:rPr>
          <w:lang w:val="en-AU"/>
        </w:rPr>
      </w:pPr>
      <w:r>
        <w:rPr>
          <w:noProof/>
          <w:lang w:val="en-AU"/>
        </w:rPr>
        <w:drawing>
          <wp:inline distT="0" distB="0" distL="0" distR="0" wp14:anchorId="263585E4" wp14:editId="185EDC92">
            <wp:extent cx="6120130" cy="2818765"/>
            <wp:effectExtent l="0" t="0" r="0" b="635"/>
            <wp:docPr id="19" name="Picture 19" descr="Level 1 - MAP Steering Committee, Level 2 - Mekong Strategy Section, Mekong Hub (Bangkok Post) and Mekong posts, Level 3 - MAP Working Groups (operational and thematic), Level 4 - Long-term partnerships working on shared/transboundary issues, bilateral allocations and flexible funding, Level 5, MEL, GEDSI enabling, operation and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evel 1 - MAP Steering Committee, Level 2 - Mekong Strategy Section, Mekong Hub (Bangkok Post) and Mekong posts, Level 3 - MAP Working Groups (operational and thematic), Level 4 - Long-term partnerships working on shared/transboundary issues, bilateral allocations and flexible funding, Level 5, MEL, GEDSI enabling, operation and manag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2818765"/>
                    </a:xfrm>
                    <a:prstGeom prst="rect">
                      <a:avLst/>
                    </a:prstGeom>
                  </pic:spPr>
                </pic:pic>
              </a:graphicData>
            </a:graphic>
          </wp:inline>
        </w:drawing>
      </w:r>
    </w:p>
    <w:p w14:paraId="53F31756" w14:textId="4ED20168" w:rsidR="00E70594" w:rsidRPr="00E54D0D" w:rsidRDefault="35C33BFC" w:rsidP="00E725A3">
      <w:pPr>
        <w:rPr>
          <w:rFonts w:eastAsia="Times New Roman" w:cs="Times New Roman"/>
          <w:sz w:val="24"/>
          <w:szCs w:val="24"/>
          <w:lang w:val="en-AU"/>
        </w:rPr>
      </w:pPr>
      <w:r w:rsidRPr="00E54D0D">
        <w:rPr>
          <w:rFonts w:eastAsia="Times New Roman" w:cs="Times New Roman"/>
          <w:sz w:val="24"/>
          <w:szCs w:val="24"/>
          <w:lang w:val="en-AU"/>
        </w:rPr>
        <w:t>Policy dialogue and engagement with counterparts will happen on multiple levels. The Steering Committee will ensure alignment with policy priorities set out in the</w:t>
      </w:r>
      <w:r w:rsidR="573ED552" w:rsidRPr="00E54D0D">
        <w:rPr>
          <w:rFonts w:eastAsia="Times New Roman" w:cs="Times New Roman"/>
          <w:sz w:val="24"/>
          <w:szCs w:val="24"/>
          <w:lang w:val="en-AU"/>
        </w:rPr>
        <w:t xml:space="preserve"> </w:t>
      </w:r>
      <w:r w:rsidRPr="00E54D0D">
        <w:rPr>
          <w:rFonts w:eastAsia="Times New Roman" w:cs="Times New Roman"/>
          <w:sz w:val="24"/>
          <w:szCs w:val="24"/>
          <w:lang w:val="en-AU"/>
        </w:rPr>
        <w:t>Southeast Asia</w:t>
      </w:r>
      <w:r w:rsidR="4B9A0823" w:rsidRPr="00E54D0D">
        <w:rPr>
          <w:rFonts w:eastAsia="Times New Roman" w:cs="Times New Roman"/>
          <w:sz w:val="24"/>
          <w:szCs w:val="24"/>
          <w:lang w:val="en-AU"/>
        </w:rPr>
        <w:t xml:space="preserve"> regional</w:t>
      </w:r>
      <w:r w:rsidRPr="00E54D0D">
        <w:rPr>
          <w:rFonts w:eastAsia="Times New Roman" w:cs="Times New Roman"/>
          <w:sz w:val="24"/>
          <w:szCs w:val="24"/>
          <w:lang w:val="en-AU"/>
        </w:rPr>
        <w:t xml:space="preserve"> and bilateral DPPs. DFAT officers will </w:t>
      </w:r>
      <w:r w:rsidR="00FC3D37" w:rsidRPr="00E54D0D">
        <w:rPr>
          <w:rFonts w:eastAsia="Times New Roman" w:cs="Times New Roman"/>
          <w:sz w:val="24"/>
          <w:szCs w:val="24"/>
          <w:lang w:val="en-AU"/>
        </w:rPr>
        <w:t xml:space="preserve">lead policy </w:t>
      </w:r>
      <w:r w:rsidRPr="00E54D0D">
        <w:rPr>
          <w:rFonts w:eastAsia="Times New Roman" w:cs="Times New Roman"/>
          <w:sz w:val="24"/>
          <w:szCs w:val="24"/>
          <w:lang w:val="en-AU"/>
        </w:rPr>
        <w:t xml:space="preserve">dialogue with </w:t>
      </w:r>
      <w:r w:rsidR="00FC3D37" w:rsidRPr="00E54D0D">
        <w:rPr>
          <w:rFonts w:eastAsia="Times New Roman" w:cs="Times New Roman"/>
          <w:sz w:val="24"/>
          <w:szCs w:val="24"/>
          <w:lang w:val="en-AU"/>
        </w:rPr>
        <w:t xml:space="preserve">bilateral and subregional </w:t>
      </w:r>
      <w:r w:rsidRPr="00E54D0D">
        <w:rPr>
          <w:rFonts w:eastAsia="Times New Roman" w:cs="Times New Roman"/>
          <w:sz w:val="24"/>
          <w:szCs w:val="24"/>
          <w:lang w:val="en-AU"/>
        </w:rPr>
        <w:t xml:space="preserve">counterparts. Supporting access to Australian technical expertise will be </w:t>
      </w:r>
      <w:r w:rsidR="00FC3D37" w:rsidRPr="00E54D0D">
        <w:rPr>
          <w:rFonts w:eastAsia="Times New Roman" w:cs="Times New Roman"/>
          <w:sz w:val="24"/>
          <w:szCs w:val="24"/>
          <w:lang w:val="en-AU"/>
        </w:rPr>
        <w:t>central to</w:t>
      </w:r>
      <w:r w:rsidRPr="00E54D0D">
        <w:rPr>
          <w:rFonts w:eastAsia="Times New Roman" w:cs="Times New Roman"/>
          <w:sz w:val="24"/>
          <w:szCs w:val="24"/>
          <w:lang w:val="en-AU"/>
        </w:rPr>
        <w:t xml:space="preserve"> pursuing portfolio and investment level policy dialogue and engagement.</w:t>
      </w:r>
    </w:p>
    <w:p w14:paraId="2FD31CE1" w14:textId="3729377C" w:rsidR="00E70594" w:rsidRPr="00E54D0D" w:rsidRDefault="00E70594" w:rsidP="00E725A3">
      <w:pPr>
        <w:rPr>
          <w:rFonts w:eastAsia="Times New Roman" w:cs="Times New Roman"/>
          <w:sz w:val="24"/>
          <w:szCs w:val="24"/>
          <w:lang w:val="en-AU"/>
        </w:rPr>
      </w:pPr>
      <w:r w:rsidRPr="00E54D0D">
        <w:rPr>
          <w:rFonts w:eastAsia="Times New Roman" w:cs="Times New Roman"/>
          <w:sz w:val="24"/>
          <w:szCs w:val="24"/>
          <w:lang w:val="en-AU"/>
        </w:rPr>
        <w:t xml:space="preserve">MAP is a highly visible and substantial contribution to Australia’s engagement in the Mekong subregion. </w:t>
      </w:r>
      <w:r w:rsidR="0049082B" w:rsidRPr="00E54D0D">
        <w:rPr>
          <w:rFonts w:eastAsia="Times New Roman" w:cs="Times New Roman"/>
          <w:sz w:val="24"/>
          <w:szCs w:val="24"/>
          <w:lang w:val="en-AU"/>
        </w:rPr>
        <w:t xml:space="preserve">DFAT will develop and implement a </w:t>
      </w:r>
      <w:r w:rsidRPr="00E54D0D">
        <w:rPr>
          <w:rFonts w:eastAsia="Times New Roman" w:cs="Times New Roman"/>
          <w:sz w:val="24"/>
          <w:szCs w:val="24"/>
          <w:lang w:val="en-AU"/>
        </w:rPr>
        <w:t xml:space="preserve">nuanced and suitably resourced public diplomacy and communications approach </w:t>
      </w:r>
      <w:r w:rsidR="0049082B" w:rsidRPr="00E54D0D">
        <w:rPr>
          <w:rFonts w:eastAsia="Times New Roman" w:cs="Times New Roman"/>
          <w:sz w:val="24"/>
          <w:szCs w:val="24"/>
          <w:lang w:val="en-AU"/>
        </w:rPr>
        <w:t>to effectively convey</w:t>
      </w:r>
      <w:r w:rsidRPr="00E54D0D">
        <w:rPr>
          <w:rFonts w:eastAsia="Times New Roman" w:cs="Times New Roman"/>
          <w:sz w:val="24"/>
          <w:szCs w:val="24"/>
          <w:lang w:val="en-AU"/>
        </w:rPr>
        <w:t xml:space="preserve"> how MAP investments contribute to priority policy objectives in the Mekong subregion, making outcomes and achievements visible and tangible.</w:t>
      </w:r>
    </w:p>
    <w:p w14:paraId="1AC5F1A6" w14:textId="0368DD9D" w:rsidR="6A686038" w:rsidRPr="00E54D0D" w:rsidRDefault="65560795" w:rsidP="00E725A3">
      <w:pPr>
        <w:rPr>
          <w:rFonts w:eastAsia="Times New Roman" w:cs="Times New Roman"/>
          <w:sz w:val="24"/>
          <w:szCs w:val="24"/>
          <w:lang w:val="en-AU"/>
        </w:rPr>
      </w:pPr>
      <w:r w:rsidRPr="00E54D0D">
        <w:rPr>
          <w:rFonts w:eastAsia="Times New Roman" w:cs="Times New Roman"/>
          <w:sz w:val="24"/>
          <w:szCs w:val="24"/>
          <w:lang w:val="en-AU"/>
        </w:rPr>
        <w:t xml:space="preserve">MAP Phase 2 will take a twin-track approach to gender equality and intersectional disadvantage. </w:t>
      </w:r>
      <w:r w:rsidR="3A4F1776" w:rsidRPr="00E54D0D">
        <w:rPr>
          <w:rFonts w:eastAsia="Times New Roman" w:cs="Times New Roman"/>
          <w:sz w:val="24"/>
          <w:szCs w:val="24"/>
          <w:lang w:val="en-AU"/>
        </w:rPr>
        <w:t>GEDSI</w:t>
      </w:r>
      <w:r w:rsidRPr="00E54D0D">
        <w:rPr>
          <w:rFonts w:eastAsia="Times New Roman" w:cs="Times New Roman"/>
          <w:sz w:val="24"/>
          <w:szCs w:val="24"/>
          <w:lang w:val="en-AU"/>
        </w:rPr>
        <w:t xml:space="preserve"> is both a stand-alone thematic area of work and </w:t>
      </w:r>
      <w:r w:rsidR="0049265B" w:rsidRPr="00E54D0D">
        <w:rPr>
          <w:rFonts w:eastAsia="Times New Roman" w:cs="Times New Roman"/>
          <w:sz w:val="24"/>
          <w:szCs w:val="24"/>
          <w:lang w:val="en-AU"/>
        </w:rPr>
        <w:t xml:space="preserve">will be </w:t>
      </w:r>
      <w:r w:rsidRPr="00E54D0D">
        <w:rPr>
          <w:rFonts w:eastAsia="Times New Roman" w:cs="Times New Roman"/>
          <w:sz w:val="24"/>
          <w:szCs w:val="24"/>
          <w:lang w:val="en-AU"/>
        </w:rPr>
        <w:t xml:space="preserve">mainstreamed across </w:t>
      </w:r>
      <w:r w:rsidR="00800821">
        <w:rPr>
          <w:rFonts w:eastAsia="Times New Roman" w:cs="Times New Roman"/>
          <w:sz w:val="24"/>
          <w:szCs w:val="24"/>
          <w:lang w:val="en-AU"/>
        </w:rPr>
        <w:t xml:space="preserve">other </w:t>
      </w:r>
      <w:r w:rsidRPr="00E54D0D">
        <w:rPr>
          <w:rFonts w:eastAsia="Times New Roman" w:cs="Times New Roman"/>
          <w:sz w:val="24"/>
          <w:szCs w:val="24"/>
          <w:lang w:val="en-AU"/>
        </w:rPr>
        <w:t xml:space="preserve">thematic areas. The </w:t>
      </w:r>
      <w:r w:rsidR="37CFBE47" w:rsidRPr="00E54D0D">
        <w:rPr>
          <w:rFonts w:eastAsia="Times New Roman" w:cs="Times New Roman"/>
          <w:sz w:val="24"/>
          <w:szCs w:val="24"/>
          <w:lang w:val="en-AU"/>
        </w:rPr>
        <w:t>portfolio</w:t>
      </w:r>
      <w:r w:rsidRPr="00E54D0D">
        <w:rPr>
          <w:rFonts w:eastAsia="Times New Roman" w:cs="Times New Roman"/>
          <w:sz w:val="24"/>
          <w:szCs w:val="24"/>
          <w:lang w:val="en-AU"/>
        </w:rPr>
        <w:t xml:space="preserve"> includes a GEDSI specific</w:t>
      </w:r>
      <w:r w:rsidR="00535532" w:rsidRPr="00E54D0D">
        <w:rPr>
          <w:rFonts w:eastAsia="Times New Roman" w:cs="Times New Roman"/>
          <w:sz w:val="24"/>
          <w:szCs w:val="24"/>
          <w:lang w:val="en-AU"/>
        </w:rPr>
        <w:t xml:space="preserve"> </w:t>
      </w:r>
      <w:r w:rsidR="3A4F1776" w:rsidRPr="00E54D0D">
        <w:rPr>
          <w:rFonts w:eastAsia="Times New Roman" w:cs="Times New Roman"/>
          <w:sz w:val="24"/>
          <w:szCs w:val="24"/>
          <w:lang w:val="en-AU"/>
        </w:rPr>
        <w:t>EOPO</w:t>
      </w:r>
      <w:r w:rsidRPr="00E54D0D">
        <w:rPr>
          <w:rFonts w:eastAsia="Times New Roman" w:cs="Times New Roman"/>
          <w:sz w:val="24"/>
          <w:szCs w:val="24"/>
          <w:lang w:val="en-AU"/>
        </w:rPr>
        <w:t xml:space="preserve"> and immediate outcome. MAP funded activities will meet standards for being </w:t>
      </w:r>
      <w:r w:rsidRPr="00E54D0D">
        <w:rPr>
          <w:rFonts w:eastAsia="Times New Roman" w:cs="Times New Roman"/>
          <w:i/>
          <w:iCs/>
          <w:sz w:val="24"/>
          <w:szCs w:val="24"/>
          <w:lang w:val="en-AU"/>
        </w:rPr>
        <w:t>GEDSI responsive</w:t>
      </w:r>
      <w:r w:rsidRPr="00E54D0D">
        <w:rPr>
          <w:rFonts w:eastAsia="Times New Roman" w:cs="Times New Roman"/>
          <w:sz w:val="24"/>
          <w:szCs w:val="24"/>
          <w:lang w:val="en-AU"/>
        </w:rPr>
        <w:t xml:space="preserve"> or </w:t>
      </w:r>
      <w:r w:rsidR="2E6E7FCF" w:rsidRPr="00E54D0D">
        <w:rPr>
          <w:rFonts w:eastAsia="Times New Roman" w:cs="Times New Roman"/>
          <w:i/>
          <w:iCs/>
          <w:sz w:val="24"/>
          <w:szCs w:val="24"/>
          <w:lang w:val="en-AU"/>
        </w:rPr>
        <w:t xml:space="preserve">GEDSI </w:t>
      </w:r>
      <w:r w:rsidRPr="00E54D0D">
        <w:rPr>
          <w:rFonts w:eastAsia="Times New Roman" w:cs="Times New Roman"/>
          <w:i/>
          <w:iCs/>
          <w:sz w:val="24"/>
          <w:szCs w:val="24"/>
          <w:lang w:val="en-AU"/>
        </w:rPr>
        <w:t>transformative</w:t>
      </w:r>
      <w:r w:rsidR="0049265B" w:rsidRPr="00E54D0D">
        <w:rPr>
          <w:rFonts w:eastAsia="Times New Roman" w:cs="Times New Roman"/>
          <w:sz w:val="24"/>
          <w:szCs w:val="24"/>
          <w:lang w:val="en-AU"/>
        </w:rPr>
        <w:t xml:space="preserve">, with specific approaches to be detailed in </w:t>
      </w:r>
      <w:r w:rsidR="00DC3FE7">
        <w:rPr>
          <w:rFonts w:eastAsia="Times New Roman" w:cs="Times New Roman"/>
          <w:sz w:val="24"/>
          <w:szCs w:val="24"/>
          <w:lang w:val="en-AU"/>
        </w:rPr>
        <w:t>the</w:t>
      </w:r>
      <w:r w:rsidR="0049265B" w:rsidRPr="00E54D0D">
        <w:rPr>
          <w:rFonts w:eastAsia="Times New Roman" w:cs="Times New Roman"/>
          <w:sz w:val="24"/>
          <w:szCs w:val="24"/>
          <w:lang w:val="en-AU"/>
        </w:rPr>
        <w:t xml:space="preserve"> </w:t>
      </w:r>
      <w:r w:rsidRPr="00E54D0D">
        <w:rPr>
          <w:rFonts w:eastAsia="Times New Roman" w:cs="Times New Roman"/>
          <w:sz w:val="24"/>
          <w:szCs w:val="24"/>
          <w:lang w:val="en-AU"/>
        </w:rPr>
        <w:t xml:space="preserve">GEDSI </w:t>
      </w:r>
      <w:r w:rsidR="00DC3FE7">
        <w:rPr>
          <w:rFonts w:eastAsia="Times New Roman" w:cs="Times New Roman"/>
          <w:sz w:val="24"/>
          <w:szCs w:val="24"/>
          <w:lang w:val="en-AU"/>
        </w:rPr>
        <w:t>thematic s</w:t>
      </w:r>
      <w:r w:rsidRPr="00E54D0D">
        <w:rPr>
          <w:rFonts w:eastAsia="Times New Roman" w:cs="Times New Roman"/>
          <w:sz w:val="24"/>
          <w:szCs w:val="24"/>
          <w:lang w:val="en-AU"/>
        </w:rPr>
        <w:t>trategy</w:t>
      </w:r>
      <w:r w:rsidRPr="00E54D0D">
        <w:rPr>
          <w:sz w:val="24"/>
          <w:szCs w:val="24"/>
          <w:lang w:val="en-AU"/>
        </w:rPr>
        <w:t>.</w:t>
      </w:r>
      <w:r w:rsidR="408D611E" w:rsidRPr="00E54D0D">
        <w:rPr>
          <w:rFonts w:eastAsia="Times New Roman" w:cs="Times New Roman"/>
          <w:sz w:val="24"/>
          <w:szCs w:val="24"/>
          <w:lang w:val="en-AU"/>
        </w:rPr>
        <w:t xml:space="preserve"> </w:t>
      </w:r>
    </w:p>
    <w:p w14:paraId="6C105985" w14:textId="7A325BFA" w:rsidR="00E725A3" w:rsidRPr="00E54D0D" w:rsidRDefault="5DEC2816" w:rsidP="00E725A3">
      <w:pPr>
        <w:rPr>
          <w:rFonts w:eastAsia="Times New Roman" w:cs="Times New Roman"/>
          <w:sz w:val="24"/>
          <w:szCs w:val="24"/>
          <w:lang w:val="en-AU"/>
        </w:rPr>
      </w:pPr>
      <w:r w:rsidRPr="00E54D0D">
        <w:rPr>
          <w:rFonts w:eastAsia="Times New Roman" w:cs="Times New Roman"/>
          <w:sz w:val="24"/>
          <w:szCs w:val="24"/>
          <w:lang w:val="en-AU"/>
        </w:rPr>
        <w:t>MAP will establish a proportionate and robust Monitoring, Evaluation and Learning (MEL) approach to assess achievements, regularly review portfolio objectives, strategies and activities, learn lessons from ongoing implementation, and adjust and strengthen approaches for improved results. The MEL system will</w:t>
      </w:r>
      <w:r w:rsidR="0016667E" w:rsidRPr="00E54D0D">
        <w:rPr>
          <w:rFonts w:eastAsia="Times New Roman" w:cs="Times New Roman"/>
          <w:sz w:val="24"/>
          <w:szCs w:val="24"/>
          <w:lang w:val="en-AU"/>
        </w:rPr>
        <w:t>:</w:t>
      </w:r>
      <w:r w:rsidRPr="00E54D0D">
        <w:rPr>
          <w:rFonts w:eastAsia="Times New Roman" w:cs="Times New Roman"/>
          <w:sz w:val="24"/>
          <w:szCs w:val="24"/>
          <w:lang w:val="en-AU"/>
        </w:rPr>
        <w:t xml:space="preserve"> inform strategic decision-making</w:t>
      </w:r>
      <w:r w:rsidR="0016667E" w:rsidRPr="00E54D0D">
        <w:rPr>
          <w:rFonts w:eastAsia="Times New Roman" w:cs="Times New Roman"/>
          <w:sz w:val="24"/>
          <w:szCs w:val="24"/>
          <w:lang w:val="en-AU"/>
        </w:rPr>
        <w:t xml:space="preserve">; </w:t>
      </w:r>
      <w:r w:rsidRPr="00E54D0D">
        <w:rPr>
          <w:rFonts w:eastAsia="Times New Roman" w:cs="Times New Roman"/>
          <w:sz w:val="24"/>
          <w:szCs w:val="24"/>
          <w:lang w:val="en-AU"/>
        </w:rPr>
        <w:t>ensure DFAT understand</w:t>
      </w:r>
      <w:r w:rsidR="0016667E" w:rsidRPr="00E54D0D">
        <w:rPr>
          <w:rFonts w:eastAsia="Times New Roman" w:cs="Times New Roman"/>
          <w:sz w:val="24"/>
          <w:szCs w:val="24"/>
          <w:lang w:val="en-AU"/>
        </w:rPr>
        <w:t>s</w:t>
      </w:r>
      <w:r w:rsidRPr="00E54D0D">
        <w:rPr>
          <w:rFonts w:eastAsia="Times New Roman" w:cs="Times New Roman"/>
          <w:sz w:val="24"/>
          <w:szCs w:val="24"/>
          <w:lang w:val="en-AU"/>
        </w:rPr>
        <w:t xml:space="preserve"> and learns from results</w:t>
      </w:r>
      <w:r w:rsidR="0016667E" w:rsidRPr="00E54D0D">
        <w:rPr>
          <w:rFonts w:eastAsia="Times New Roman" w:cs="Times New Roman"/>
          <w:sz w:val="24"/>
          <w:szCs w:val="24"/>
          <w:lang w:val="en-AU"/>
        </w:rPr>
        <w:t>;</w:t>
      </w:r>
      <w:r w:rsidR="16F8DDC4" w:rsidRPr="00E54D0D">
        <w:rPr>
          <w:rFonts w:eastAsia="Times New Roman" w:cs="Times New Roman"/>
          <w:sz w:val="24"/>
          <w:szCs w:val="24"/>
          <w:lang w:val="en-AU"/>
        </w:rPr>
        <w:t xml:space="preserve"> </w:t>
      </w:r>
      <w:r w:rsidRPr="00E54D0D">
        <w:rPr>
          <w:rFonts w:eastAsia="Times New Roman" w:cs="Times New Roman"/>
          <w:sz w:val="24"/>
          <w:szCs w:val="24"/>
          <w:lang w:val="en-AU"/>
        </w:rPr>
        <w:t>and drive efficient management decisions. An independent Mid-Term Review of the portfolio will be undertaken</w:t>
      </w:r>
      <w:r w:rsidR="0623386A" w:rsidRPr="00E54D0D">
        <w:rPr>
          <w:rFonts w:eastAsia="Times New Roman" w:cs="Times New Roman"/>
          <w:sz w:val="24"/>
          <w:szCs w:val="24"/>
          <w:lang w:val="en-AU"/>
        </w:rPr>
        <w:t xml:space="preserve"> in </w:t>
      </w:r>
      <w:r w:rsidR="0016667E" w:rsidRPr="00E54D0D">
        <w:rPr>
          <w:rFonts w:eastAsia="Times New Roman" w:cs="Times New Roman"/>
          <w:sz w:val="24"/>
          <w:szCs w:val="24"/>
          <w:lang w:val="en-AU"/>
        </w:rPr>
        <w:t>2026-27</w:t>
      </w:r>
      <w:r w:rsidR="01AE0468" w:rsidRPr="00E54D0D">
        <w:rPr>
          <w:rFonts w:eastAsia="Times New Roman" w:cs="Times New Roman"/>
          <w:sz w:val="24"/>
          <w:szCs w:val="24"/>
          <w:lang w:val="en-AU"/>
        </w:rPr>
        <w:t>.</w:t>
      </w:r>
      <w:r w:rsidRPr="00E54D0D">
        <w:rPr>
          <w:rFonts w:eastAsia="Times New Roman" w:cs="Times New Roman"/>
          <w:sz w:val="24"/>
          <w:szCs w:val="24"/>
          <w:lang w:val="en-AU"/>
        </w:rPr>
        <w:t xml:space="preserve"> </w:t>
      </w:r>
    </w:p>
    <w:p w14:paraId="7546592D" w14:textId="730C6860" w:rsidR="00E725A3" w:rsidRPr="00E54D0D" w:rsidRDefault="35C33BFC" w:rsidP="00E725A3">
      <w:pPr>
        <w:rPr>
          <w:rFonts w:eastAsia="Times New Roman" w:cs="Times New Roman"/>
          <w:sz w:val="24"/>
          <w:szCs w:val="24"/>
          <w:lang w:val="en-AU"/>
        </w:rPr>
      </w:pPr>
      <w:r w:rsidRPr="00E54D0D">
        <w:rPr>
          <w:rFonts w:eastAsia="Times New Roman" w:cs="Times New Roman"/>
          <w:sz w:val="24"/>
          <w:szCs w:val="24"/>
          <w:lang w:val="en-AU"/>
        </w:rPr>
        <w:t xml:space="preserve">The </w:t>
      </w:r>
      <w:r w:rsidR="554EA44B" w:rsidRPr="00E54D0D">
        <w:rPr>
          <w:rFonts w:eastAsia="Times New Roman" w:cs="Times New Roman"/>
          <w:sz w:val="24"/>
          <w:szCs w:val="24"/>
          <w:lang w:val="en-AU"/>
        </w:rPr>
        <w:t xml:space="preserve">portfolio </w:t>
      </w:r>
      <w:r w:rsidRPr="00E54D0D">
        <w:rPr>
          <w:rFonts w:eastAsia="Times New Roman" w:cs="Times New Roman"/>
          <w:sz w:val="24"/>
          <w:szCs w:val="24"/>
          <w:lang w:val="en-AU"/>
        </w:rPr>
        <w:t xml:space="preserve">budget is </w:t>
      </w:r>
      <w:r w:rsidR="3F0DD88A" w:rsidRPr="00E54D0D">
        <w:rPr>
          <w:rFonts w:eastAsia="Times New Roman" w:cs="Times New Roman"/>
          <w:sz w:val="24"/>
          <w:szCs w:val="24"/>
          <w:lang w:val="en-AU"/>
        </w:rPr>
        <w:t>$</w:t>
      </w:r>
      <w:r w:rsidRPr="00E54D0D">
        <w:rPr>
          <w:rFonts w:eastAsia="Times New Roman" w:cs="Times New Roman"/>
          <w:sz w:val="24"/>
          <w:szCs w:val="24"/>
          <w:lang w:val="en-AU"/>
        </w:rPr>
        <w:t xml:space="preserve">222.5 million over five years. The budget </w:t>
      </w:r>
      <w:r w:rsidR="00C83275" w:rsidRPr="00E54D0D">
        <w:rPr>
          <w:rFonts w:eastAsia="Times New Roman" w:cs="Times New Roman"/>
          <w:sz w:val="24"/>
          <w:szCs w:val="24"/>
          <w:lang w:val="en-AU"/>
        </w:rPr>
        <w:t xml:space="preserve">will be </w:t>
      </w:r>
      <w:r w:rsidRPr="00E54D0D">
        <w:rPr>
          <w:rFonts w:eastAsia="Times New Roman" w:cs="Times New Roman"/>
          <w:sz w:val="24"/>
          <w:szCs w:val="24"/>
          <w:lang w:val="en-AU"/>
        </w:rPr>
        <w:t>managed directly by DFAT</w:t>
      </w:r>
      <w:r w:rsidR="503A85BD" w:rsidRPr="00E54D0D">
        <w:rPr>
          <w:rFonts w:eastAsia="Times New Roman" w:cs="Times New Roman"/>
          <w:sz w:val="24"/>
          <w:szCs w:val="24"/>
          <w:lang w:val="en-AU"/>
        </w:rPr>
        <w:t>.</w:t>
      </w:r>
      <w:r w:rsidR="73BA79F1" w:rsidRPr="00E54D0D">
        <w:rPr>
          <w:rFonts w:eastAsia="Times New Roman" w:cs="Times New Roman"/>
          <w:sz w:val="24"/>
          <w:szCs w:val="24"/>
          <w:lang w:val="en-AU"/>
        </w:rPr>
        <w:t xml:space="preserve"> </w:t>
      </w:r>
      <w:r w:rsidR="00314C8C">
        <w:rPr>
          <w:rFonts w:eastAsia="Times New Roman" w:cs="Times New Roman"/>
          <w:sz w:val="24"/>
          <w:szCs w:val="24"/>
          <w:lang w:val="en-AU"/>
        </w:rPr>
        <w:t>Most</w:t>
      </w:r>
      <w:r w:rsidR="73BA79F1" w:rsidRPr="00E54D0D">
        <w:rPr>
          <w:rFonts w:eastAsia="Times New Roman" w:cs="Times New Roman"/>
          <w:sz w:val="24"/>
          <w:szCs w:val="24"/>
          <w:lang w:val="en-AU"/>
        </w:rPr>
        <w:t xml:space="preserve"> of the budget will be invested in long term partnerships working on shared and transboundary issues, including a standalone allocation for GEDSI. </w:t>
      </w:r>
      <w:r w:rsidR="00314C8C">
        <w:rPr>
          <w:rFonts w:eastAsia="Times New Roman" w:cs="Times New Roman"/>
          <w:sz w:val="24"/>
          <w:szCs w:val="24"/>
          <w:lang w:val="en-AU"/>
        </w:rPr>
        <w:t>A proportion of the budget will</w:t>
      </w:r>
      <w:r w:rsidR="73BA79F1" w:rsidRPr="00E54D0D">
        <w:rPr>
          <w:rFonts w:eastAsia="Times New Roman" w:cs="Times New Roman"/>
          <w:sz w:val="24"/>
          <w:szCs w:val="24"/>
          <w:lang w:val="en-AU"/>
        </w:rPr>
        <w:t xml:space="preserve"> be allocated</w:t>
      </w:r>
      <w:r w:rsidR="006C0D7E" w:rsidRPr="00E54D0D">
        <w:rPr>
          <w:rFonts w:eastAsia="Times New Roman" w:cs="Times New Roman"/>
          <w:sz w:val="24"/>
          <w:szCs w:val="24"/>
          <w:lang w:val="en-AU"/>
        </w:rPr>
        <w:t xml:space="preserve"> for bilateral investments</w:t>
      </w:r>
      <w:r w:rsidR="00314C8C">
        <w:rPr>
          <w:rFonts w:eastAsia="Times New Roman" w:cs="Times New Roman"/>
          <w:sz w:val="24"/>
          <w:szCs w:val="24"/>
          <w:lang w:val="en-AU"/>
        </w:rPr>
        <w:t xml:space="preserve"> and for</w:t>
      </w:r>
      <w:r w:rsidR="73BA79F1" w:rsidRPr="00E54D0D">
        <w:rPr>
          <w:rFonts w:eastAsia="Times New Roman" w:cs="Times New Roman"/>
          <w:sz w:val="24"/>
          <w:szCs w:val="24"/>
          <w:lang w:val="en-AU"/>
        </w:rPr>
        <w:t xml:space="preserve"> a flexible funding arrangement to support emerging priorities and partnerships. </w:t>
      </w:r>
      <w:r w:rsidR="00314C8C">
        <w:rPr>
          <w:rFonts w:eastAsia="Times New Roman" w:cs="Times New Roman"/>
          <w:sz w:val="24"/>
          <w:szCs w:val="24"/>
          <w:lang w:val="en-AU"/>
        </w:rPr>
        <w:t>Funding will also support</w:t>
      </w:r>
      <w:r w:rsidR="73BA79F1" w:rsidRPr="00E54D0D">
        <w:rPr>
          <w:rFonts w:eastAsia="Times New Roman" w:cs="Times New Roman"/>
          <w:sz w:val="24"/>
          <w:szCs w:val="24"/>
          <w:lang w:val="en-AU"/>
        </w:rPr>
        <w:t xml:space="preserve"> MEL, GEDSI, management and operations</w:t>
      </w:r>
      <w:r w:rsidR="007E0407" w:rsidRPr="00E54D0D">
        <w:rPr>
          <w:rFonts w:eastAsia="Times New Roman" w:cs="Times New Roman"/>
          <w:sz w:val="24"/>
          <w:szCs w:val="24"/>
          <w:lang w:val="en-AU"/>
        </w:rPr>
        <w:t>,</w:t>
      </w:r>
      <w:r w:rsidR="73BA79F1" w:rsidRPr="00E54D0D">
        <w:rPr>
          <w:rFonts w:eastAsia="Times New Roman" w:cs="Times New Roman"/>
          <w:sz w:val="24"/>
          <w:szCs w:val="24"/>
          <w:lang w:val="en-AU"/>
        </w:rPr>
        <w:t xml:space="preserve"> including staff and in-sourced specialist advisers. </w:t>
      </w:r>
    </w:p>
    <w:p w14:paraId="0CCE3126" w14:textId="0A4FBBC3" w:rsidR="00554E1B" w:rsidRPr="00E54D0D" w:rsidRDefault="127AD5E1" w:rsidP="00554E1B">
      <w:pPr>
        <w:rPr>
          <w:sz w:val="24"/>
          <w:szCs w:val="24"/>
          <w:lang w:val="en-AU"/>
        </w:rPr>
      </w:pPr>
      <w:r w:rsidRPr="00E54D0D">
        <w:rPr>
          <w:sz w:val="24"/>
          <w:szCs w:val="24"/>
          <w:lang w:val="en-AU"/>
        </w:rPr>
        <w:lastRenderedPageBreak/>
        <w:t>Long</w:t>
      </w:r>
      <w:r w:rsidR="005B555E" w:rsidRPr="00E54D0D">
        <w:rPr>
          <w:sz w:val="24"/>
          <w:szCs w:val="24"/>
          <w:lang w:val="en-AU"/>
        </w:rPr>
        <w:t>-</w:t>
      </w:r>
      <w:r w:rsidRPr="00E54D0D">
        <w:rPr>
          <w:sz w:val="24"/>
          <w:szCs w:val="24"/>
          <w:lang w:val="en-AU"/>
        </w:rPr>
        <w:t>term partnerships are a key delivery approach, and the choice of contracting modalit</w:t>
      </w:r>
      <w:r w:rsidR="236532F9" w:rsidRPr="00E54D0D">
        <w:rPr>
          <w:sz w:val="24"/>
          <w:szCs w:val="24"/>
          <w:lang w:val="en-AU"/>
        </w:rPr>
        <w:t>ies</w:t>
      </w:r>
      <w:r w:rsidRPr="00E54D0D">
        <w:rPr>
          <w:sz w:val="24"/>
          <w:szCs w:val="24"/>
          <w:lang w:val="en-AU"/>
        </w:rPr>
        <w:t xml:space="preserve"> (grant agreement or contract) will depend on the nature of the investment and the lead implementing partner. DFAT will extend and amend </w:t>
      </w:r>
      <w:r w:rsidR="000A4E1A">
        <w:rPr>
          <w:sz w:val="24"/>
          <w:szCs w:val="24"/>
          <w:lang w:val="en-AU"/>
        </w:rPr>
        <w:t xml:space="preserve">selected </w:t>
      </w:r>
      <w:r w:rsidRPr="00E54D0D">
        <w:rPr>
          <w:sz w:val="24"/>
          <w:szCs w:val="24"/>
          <w:lang w:val="en-AU"/>
        </w:rPr>
        <w:t>funding agreements with current</w:t>
      </w:r>
      <w:r w:rsidR="427BA831" w:rsidRPr="00E54D0D">
        <w:rPr>
          <w:sz w:val="24"/>
          <w:szCs w:val="24"/>
          <w:lang w:val="en-AU"/>
        </w:rPr>
        <w:t xml:space="preserve"> effective</w:t>
      </w:r>
      <w:r w:rsidRPr="00E54D0D">
        <w:rPr>
          <w:sz w:val="24"/>
          <w:szCs w:val="24"/>
          <w:lang w:val="en-AU"/>
        </w:rPr>
        <w:t xml:space="preserve"> implementing </w:t>
      </w:r>
      <w:r w:rsidR="427BA831" w:rsidRPr="00E54D0D">
        <w:rPr>
          <w:sz w:val="24"/>
          <w:szCs w:val="24"/>
          <w:lang w:val="en-AU"/>
        </w:rPr>
        <w:t>partners</w:t>
      </w:r>
      <w:r w:rsidR="000A4E1A">
        <w:rPr>
          <w:sz w:val="24"/>
          <w:szCs w:val="24"/>
          <w:lang w:val="en-AU"/>
        </w:rPr>
        <w:t xml:space="preserve"> for continuity, while</w:t>
      </w:r>
      <w:r w:rsidR="0089201A">
        <w:rPr>
          <w:sz w:val="24"/>
          <w:szCs w:val="24"/>
          <w:lang w:val="en-AU"/>
        </w:rPr>
        <w:t xml:space="preserve"> </w:t>
      </w:r>
      <w:r w:rsidR="00B4223C">
        <w:rPr>
          <w:sz w:val="24"/>
          <w:szCs w:val="24"/>
          <w:lang w:val="en-AU"/>
        </w:rPr>
        <w:t xml:space="preserve">also </w:t>
      </w:r>
      <w:r w:rsidR="0089201A">
        <w:rPr>
          <w:sz w:val="24"/>
          <w:szCs w:val="24"/>
          <w:lang w:val="en-AU"/>
        </w:rPr>
        <w:t>initiating new open calls for proposals and open tender processes</w:t>
      </w:r>
      <w:r w:rsidRPr="00E54D0D">
        <w:rPr>
          <w:sz w:val="24"/>
          <w:szCs w:val="24"/>
          <w:lang w:val="en-AU"/>
        </w:rPr>
        <w:t>.</w:t>
      </w:r>
      <w:r w:rsidR="005B555E" w:rsidRPr="00E54D0D">
        <w:rPr>
          <w:sz w:val="24"/>
          <w:szCs w:val="24"/>
          <w:lang w:val="en-AU"/>
        </w:rPr>
        <w:t xml:space="preserve"> A Support Services Contractor will be procured through a competitive DFAT-managed open tender process and engaged through an initial five-year </w:t>
      </w:r>
      <w:r w:rsidR="00F53479" w:rsidRPr="00E54D0D">
        <w:rPr>
          <w:sz w:val="24"/>
          <w:szCs w:val="24"/>
          <w:lang w:val="en-AU"/>
        </w:rPr>
        <w:t>contract to</w:t>
      </w:r>
      <w:r w:rsidR="785C82E0" w:rsidRPr="00E54D0D">
        <w:rPr>
          <w:sz w:val="24"/>
          <w:szCs w:val="24"/>
          <w:lang w:val="en-AU"/>
        </w:rPr>
        <w:t xml:space="preserve"> support </w:t>
      </w:r>
      <w:r w:rsidR="00923C81" w:rsidRPr="00E54D0D">
        <w:rPr>
          <w:sz w:val="24"/>
          <w:szCs w:val="24"/>
          <w:lang w:val="en-AU"/>
        </w:rPr>
        <w:t>operations and logistics</w:t>
      </w:r>
      <w:r w:rsidR="785C82E0" w:rsidRPr="00E54D0D">
        <w:rPr>
          <w:sz w:val="24"/>
          <w:szCs w:val="24"/>
          <w:lang w:val="en-AU"/>
        </w:rPr>
        <w:t xml:space="preserve"> </w:t>
      </w:r>
      <w:r w:rsidR="00923C81" w:rsidRPr="00E54D0D">
        <w:rPr>
          <w:sz w:val="24"/>
          <w:szCs w:val="24"/>
          <w:lang w:val="en-AU"/>
        </w:rPr>
        <w:t>across the portfolio</w:t>
      </w:r>
      <w:r w:rsidR="00F53479" w:rsidRPr="00E54D0D">
        <w:rPr>
          <w:sz w:val="24"/>
          <w:szCs w:val="24"/>
          <w:lang w:val="en-AU"/>
        </w:rPr>
        <w:t>.</w:t>
      </w:r>
    </w:p>
    <w:p w14:paraId="692E8288" w14:textId="545EEE0B" w:rsidR="6241EEE2" w:rsidRPr="00E54D0D" w:rsidRDefault="127AD5E1" w:rsidP="00554E1B">
      <w:pPr>
        <w:rPr>
          <w:sz w:val="24"/>
          <w:szCs w:val="24"/>
          <w:lang w:val="en-AU"/>
        </w:rPr>
      </w:pPr>
      <w:r w:rsidRPr="00E54D0D">
        <w:rPr>
          <w:sz w:val="24"/>
          <w:szCs w:val="24"/>
          <w:lang w:val="en-AU"/>
        </w:rPr>
        <w:t xml:space="preserve">Based on the Risk and Safeguard Assessment tool, MAP Phase 2 </w:t>
      </w:r>
      <w:r w:rsidRPr="00E54D0D">
        <w:rPr>
          <w:color w:val="auto"/>
          <w:sz w:val="24"/>
          <w:szCs w:val="24"/>
          <w:lang w:val="en-AU"/>
        </w:rPr>
        <w:t xml:space="preserve">has an overall residual risk rating of </w:t>
      </w:r>
      <w:r w:rsidRPr="00E54D0D">
        <w:rPr>
          <w:b/>
          <w:bCs/>
          <w:color w:val="auto"/>
          <w:sz w:val="24"/>
          <w:szCs w:val="24"/>
          <w:lang w:val="en-AU"/>
        </w:rPr>
        <w:t>medium</w:t>
      </w:r>
      <w:r w:rsidRPr="00E54D0D">
        <w:rPr>
          <w:color w:val="auto"/>
          <w:sz w:val="24"/>
          <w:szCs w:val="24"/>
          <w:lang w:val="en-AU"/>
        </w:rPr>
        <w:t>.</w:t>
      </w:r>
      <w:r w:rsidR="00E16409" w:rsidRPr="00E54D0D">
        <w:rPr>
          <w:color w:val="auto"/>
          <w:sz w:val="24"/>
          <w:szCs w:val="24"/>
          <w:lang w:val="en-AU"/>
        </w:rPr>
        <w:t xml:space="preserve"> Key risks relate to</w:t>
      </w:r>
      <w:r w:rsidRPr="00E54D0D">
        <w:rPr>
          <w:color w:val="auto"/>
          <w:sz w:val="24"/>
          <w:szCs w:val="24"/>
          <w:lang w:val="en-AU"/>
        </w:rPr>
        <w:t xml:space="preserve"> DFAT leadership and management of a large portfolio delivered </w:t>
      </w:r>
      <w:r w:rsidRPr="00E54D0D">
        <w:rPr>
          <w:sz w:val="24"/>
          <w:szCs w:val="24"/>
          <w:lang w:val="en-AU"/>
        </w:rPr>
        <w:t xml:space="preserve">through a range of modalities in a variety of </w:t>
      </w:r>
      <w:r w:rsidR="710BC7B1" w:rsidRPr="00E54D0D">
        <w:rPr>
          <w:sz w:val="24"/>
          <w:szCs w:val="24"/>
          <w:lang w:val="en-AU"/>
        </w:rPr>
        <w:t>complex political and security environments across the Mekong</w:t>
      </w:r>
      <w:r w:rsidR="00E16409" w:rsidRPr="00E54D0D">
        <w:rPr>
          <w:sz w:val="24"/>
          <w:szCs w:val="24"/>
          <w:lang w:val="en-AU"/>
        </w:rPr>
        <w:t xml:space="preserve"> subregion. Other risks relate </w:t>
      </w:r>
      <w:bookmarkStart w:id="8" w:name="_Int_Gm9WLdYK"/>
      <w:r w:rsidR="00E16409" w:rsidRPr="00E54D0D">
        <w:rPr>
          <w:sz w:val="24"/>
          <w:szCs w:val="24"/>
          <w:lang w:val="en-AU"/>
        </w:rPr>
        <w:t>to:</w:t>
      </w:r>
      <w:bookmarkEnd w:id="8"/>
      <w:r w:rsidRPr="00E54D0D">
        <w:rPr>
          <w:sz w:val="24"/>
          <w:szCs w:val="24"/>
          <w:lang w:val="en-AU"/>
        </w:rPr>
        <w:t xml:space="preserve"> vulnerability to natural disasters, which are becoming increasingly frequent and severe due to climate change; engagement with vulnerable groups such as survivors of </w:t>
      </w:r>
      <w:r w:rsidR="4055B5A3" w:rsidRPr="00E54D0D">
        <w:rPr>
          <w:sz w:val="24"/>
          <w:szCs w:val="24"/>
          <w:lang w:val="en-AU"/>
        </w:rPr>
        <w:t>transnational crime</w:t>
      </w:r>
      <w:r w:rsidRPr="00E54D0D">
        <w:rPr>
          <w:sz w:val="24"/>
          <w:szCs w:val="24"/>
          <w:lang w:val="en-AU"/>
        </w:rPr>
        <w:t xml:space="preserve">, children, people living with disabilities, </w:t>
      </w:r>
      <w:r w:rsidR="4055B5A3" w:rsidRPr="00E54D0D">
        <w:rPr>
          <w:sz w:val="24"/>
          <w:szCs w:val="24"/>
          <w:lang w:val="en-AU"/>
        </w:rPr>
        <w:t>ethnic minorities</w:t>
      </w:r>
      <w:r w:rsidRPr="00E54D0D">
        <w:rPr>
          <w:sz w:val="24"/>
          <w:szCs w:val="24"/>
          <w:lang w:val="en-AU"/>
        </w:rPr>
        <w:t xml:space="preserve"> and </w:t>
      </w:r>
      <w:r w:rsidR="2E6E7FCF" w:rsidRPr="00E54D0D">
        <w:rPr>
          <w:sz w:val="24"/>
          <w:szCs w:val="24"/>
          <w:lang w:val="en-AU"/>
        </w:rPr>
        <w:t xml:space="preserve">other </w:t>
      </w:r>
      <w:r w:rsidR="53C7A052" w:rsidRPr="00E54D0D">
        <w:rPr>
          <w:sz w:val="24"/>
          <w:szCs w:val="24"/>
          <w:lang w:val="en-AU"/>
        </w:rPr>
        <w:t>marginalised groups</w:t>
      </w:r>
      <w:r w:rsidRPr="00E54D0D">
        <w:rPr>
          <w:sz w:val="24"/>
          <w:szCs w:val="24"/>
          <w:lang w:val="en-AU"/>
        </w:rPr>
        <w:t xml:space="preserve">; and investment in activities that </w:t>
      </w:r>
      <w:r w:rsidR="48613EF3" w:rsidRPr="00E54D0D">
        <w:rPr>
          <w:sz w:val="24"/>
          <w:szCs w:val="24"/>
          <w:lang w:val="en-AU"/>
        </w:rPr>
        <w:t xml:space="preserve">affect </w:t>
      </w:r>
      <w:r w:rsidRPr="00E54D0D">
        <w:rPr>
          <w:sz w:val="24"/>
          <w:szCs w:val="24"/>
          <w:lang w:val="en-AU"/>
        </w:rPr>
        <w:t>the natural environment.</w:t>
      </w:r>
      <w:r w:rsidR="0AAA7508" w:rsidRPr="00E54D0D">
        <w:rPr>
          <w:sz w:val="24"/>
          <w:szCs w:val="24"/>
          <w:lang w:val="en-AU"/>
        </w:rPr>
        <w:t xml:space="preserve"> </w:t>
      </w:r>
      <w:r w:rsidR="001C1AC3" w:rsidRPr="00E54D0D">
        <w:rPr>
          <w:sz w:val="24"/>
          <w:szCs w:val="24"/>
          <w:lang w:val="en-AU"/>
        </w:rPr>
        <w:t>T</w:t>
      </w:r>
      <w:r w:rsidRPr="00E54D0D">
        <w:rPr>
          <w:sz w:val="24"/>
          <w:szCs w:val="24"/>
          <w:lang w:val="en-AU"/>
        </w:rPr>
        <w:t xml:space="preserve">he MAP Steering Committee </w:t>
      </w:r>
      <w:r w:rsidR="001C1AC3" w:rsidRPr="00E54D0D">
        <w:rPr>
          <w:sz w:val="24"/>
          <w:szCs w:val="24"/>
          <w:lang w:val="en-AU"/>
        </w:rPr>
        <w:t xml:space="preserve">will </w:t>
      </w:r>
      <w:r w:rsidRPr="00E54D0D">
        <w:rPr>
          <w:sz w:val="24"/>
          <w:szCs w:val="24"/>
          <w:lang w:val="en-AU"/>
        </w:rPr>
        <w:t>review key strategic and portfolio management</w:t>
      </w:r>
      <w:r w:rsidR="00764506">
        <w:rPr>
          <w:sz w:val="24"/>
          <w:szCs w:val="24"/>
          <w:lang w:val="en-AU"/>
        </w:rPr>
        <w:t xml:space="preserve"> and the whole-of-portfolio risk register</w:t>
      </w:r>
      <w:r w:rsidR="197B0590" w:rsidRPr="00E54D0D">
        <w:rPr>
          <w:sz w:val="24"/>
          <w:szCs w:val="24"/>
          <w:lang w:val="en-AU"/>
        </w:rPr>
        <w:t xml:space="preserve">. </w:t>
      </w:r>
      <w:r w:rsidRPr="00E54D0D">
        <w:rPr>
          <w:sz w:val="24"/>
          <w:szCs w:val="24"/>
          <w:lang w:val="en-AU"/>
        </w:rPr>
        <w:t>The Mekong Hub will establish, maintain and regularly review a</w:t>
      </w:r>
      <w:r w:rsidR="0BB29D95" w:rsidRPr="00E54D0D">
        <w:rPr>
          <w:sz w:val="24"/>
          <w:szCs w:val="24"/>
          <w:lang w:val="en-AU"/>
        </w:rPr>
        <w:t xml:space="preserve"> portfolio</w:t>
      </w:r>
      <w:r w:rsidRPr="00E54D0D">
        <w:rPr>
          <w:sz w:val="24"/>
          <w:szCs w:val="24"/>
          <w:lang w:val="en-AU"/>
        </w:rPr>
        <w:t xml:space="preserve"> risk register</w:t>
      </w:r>
      <w:r w:rsidR="001823D6">
        <w:rPr>
          <w:sz w:val="24"/>
          <w:szCs w:val="24"/>
          <w:lang w:val="en-AU"/>
        </w:rPr>
        <w:t>,</w:t>
      </w:r>
      <w:r w:rsidR="3FA6DC43" w:rsidRPr="00E54D0D">
        <w:rPr>
          <w:sz w:val="24"/>
          <w:szCs w:val="24"/>
          <w:lang w:val="en-AU"/>
        </w:rPr>
        <w:t xml:space="preserve"> capturing DFAT’s assessment of strategic and operational risks including the performance and capability of </w:t>
      </w:r>
      <w:r w:rsidR="00784C2A" w:rsidRPr="00E54D0D">
        <w:rPr>
          <w:sz w:val="24"/>
          <w:szCs w:val="24"/>
          <w:lang w:val="en-AU"/>
        </w:rPr>
        <w:t>implementing p</w:t>
      </w:r>
      <w:r w:rsidR="3FA6DC43" w:rsidRPr="00E54D0D">
        <w:rPr>
          <w:sz w:val="24"/>
          <w:szCs w:val="24"/>
          <w:lang w:val="en-AU"/>
        </w:rPr>
        <w:t>artners and the Support Services Contractor</w:t>
      </w:r>
      <w:r w:rsidR="61E716F3" w:rsidRPr="00E54D0D">
        <w:rPr>
          <w:sz w:val="24"/>
          <w:szCs w:val="24"/>
          <w:lang w:val="en-AU"/>
        </w:rPr>
        <w:t xml:space="preserve">. </w:t>
      </w:r>
      <w:r w:rsidRPr="00E54D0D">
        <w:rPr>
          <w:sz w:val="24"/>
          <w:szCs w:val="24"/>
          <w:lang w:val="en-AU"/>
        </w:rPr>
        <w:t xml:space="preserve">Implementing </w:t>
      </w:r>
      <w:r w:rsidR="00784C2A" w:rsidRPr="00E54D0D">
        <w:rPr>
          <w:sz w:val="24"/>
          <w:szCs w:val="24"/>
          <w:lang w:val="en-AU"/>
        </w:rPr>
        <w:t>p</w:t>
      </w:r>
      <w:r w:rsidRPr="00E54D0D">
        <w:rPr>
          <w:sz w:val="24"/>
          <w:szCs w:val="24"/>
          <w:lang w:val="en-AU"/>
        </w:rPr>
        <w:t xml:space="preserve">artners and the </w:t>
      </w:r>
      <w:r w:rsidR="2C44FAE9" w:rsidRPr="00E54D0D">
        <w:rPr>
          <w:sz w:val="24"/>
          <w:szCs w:val="24"/>
          <w:lang w:val="en-AU"/>
        </w:rPr>
        <w:t xml:space="preserve">Support Services </w:t>
      </w:r>
      <w:r w:rsidRPr="00E54D0D">
        <w:rPr>
          <w:sz w:val="24"/>
          <w:szCs w:val="24"/>
          <w:lang w:val="en-AU"/>
        </w:rPr>
        <w:t>Contractor will establish and maintain risk register</w:t>
      </w:r>
      <w:r w:rsidR="00D7369E" w:rsidRPr="00E54D0D">
        <w:rPr>
          <w:sz w:val="24"/>
          <w:szCs w:val="24"/>
          <w:lang w:val="en-AU"/>
        </w:rPr>
        <w:t>s</w:t>
      </w:r>
      <w:r w:rsidR="00555FE3" w:rsidRPr="00E54D0D">
        <w:rPr>
          <w:sz w:val="24"/>
          <w:szCs w:val="24"/>
          <w:lang w:val="en-AU"/>
        </w:rPr>
        <w:t xml:space="preserve"> corresponding to </w:t>
      </w:r>
      <w:r w:rsidRPr="00E54D0D">
        <w:rPr>
          <w:sz w:val="24"/>
          <w:szCs w:val="24"/>
          <w:lang w:val="en-AU"/>
        </w:rPr>
        <w:t>DFAT’s risk assessment</w:t>
      </w:r>
      <w:r w:rsidR="00555FE3" w:rsidRPr="00E54D0D">
        <w:rPr>
          <w:sz w:val="24"/>
          <w:szCs w:val="24"/>
          <w:lang w:val="en-AU"/>
        </w:rPr>
        <w:t>s and will liaise with DFAT officers regularly on risk</w:t>
      </w:r>
      <w:r w:rsidRPr="00E54D0D">
        <w:rPr>
          <w:sz w:val="24"/>
          <w:szCs w:val="24"/>
          <w:lang w:val="en-AU"/>
        </w:rPr>
        <w:t>.</w:t>
      </w:r>
    </w:p>
    <w:p w14:paraId="20097EE3" w14:textId="01CE722F" w:rsidR="00AF2057" w:rsidRPr="00E54D0D" w:rsidDel="00C41C8E" w:rsidRDefault="4F9E2AA6" w:rsidP="00554E1B">
      <w:pPr>
        <w:rPr>
          <w:sz w:val="24"/>
          <w:szCs w:val="24"/>
          <w:lang w:val="en-AU"/>
        </w:rPr>
      </w:pPr>
      <w:r w:rsidRPr="00E54D0D">
        <w:rPr>
          <w:sz w:val="24"/>
          <w:szCs w:val="24"/>
          <w:lang w:val="en-AU"/>
        </w:rPr>
        <w:t>MAP Phase 2 will be implemented in two sub-phases. It will start with a 12-month inception period (1 July 2024 to 30 June 2025) to allow time to adapt from MAP Phase 1</w:t>
      </w:r>
      <w:r w:rsidR="49DB7BF7" w:rsidRPr="00E54D0D">
        <w:rPr>
          <w:sz w:val="24"/>
          <w:szCs w:val="24"/>
          <w:lang w:val="en-AU"/>
        </w:rPr>
        <w:t>,</w:t>
      </w:r>
      <w:r w:rsidRPr="00E54D0D">
        <w:rPr>
          <w:sz w:val="24"/>
          <w:szCs w:val="24"/>
          <w:lang w:val="en-AU"/>
        </w:rPr>
        <w:t xml:space="preserve"> including </w:t>
      </w:r>
      <w:r w:rsidR="001949A2" w:rsidRPr="00E54D0D">
        <w:rPr>
          <w:sz w:val="24"/>
          <w:szCs w:val="24"/>
          <w:lang w:val="en-AU"/>
        </w:rPr>
        <w:t xml:space="preserve">changes to </w:t>
      </w:r>
      <w:r w:rsidRPr="00E54D0D">
        <w:rPr>
          <w:sz w:val="24"/>
          <w:szCs w:val="24"/>
          <w:lang w:val="en-AU"/>
        </w:rPr>
        <w:t>thematic areas (including the absorption of MAP-TNC</w:t>
      </w:r>
      <w:r w:rsidR="006B5631" w:rsidRPr="00E54D0D">
        <w:rPr>
          <w:sz w:val="24"/>
          <w:szCs w:val="24"/>
          <w:lang w:val="en-AU"/>
        </w:rPr>
        <w:t xml:space="preserve"> into MAP Phase 2</w:t>
      </w:r>
      <w:r w:rsidRPr="00E54D0D">
        <w:rPr>
          <w:sz w:val="24"/>
          <w:szCs w:val="24"/>
          <w:lang w:val="en-AU"/>
        </w:rPr>
        <w:t>), systematic GEDSI mainstreaming and a revised ratio between single country to multi-country activities. Inception phase activities will include</w:t>
      </w:r>
      <w:r w:rsidR="7979DA3F" w:rsidRPr="00E54D0D">
        <w:rPr>
          <w:sz w:val="24"/>
          <w:szCs w:val="24"/>
          <w:lang w:val="en-AU"/>
        </w:rPr>
        <w:t>:</w:t>
      </w:r>
    </w:p>
    <w:p w14:paraId="27558BCE" w14:textId="4573CD38" w:rsidR="00AF2057" w:rsidRPr="00E54D0D" w:rsidDel="00C41C8E" w:rsidRDefault="001949A2" w:rsidP="00AA7404">
      <w:pPr>
        <w:numPr>
          <w:ilvl w:val="0"/>
          <w:numId w:val="49"/>
        </w:numPr>
        <w:spacing w:before="0" w:after="0"/>
        <w:ind w:left="714" w:hanging="357"/>
        <w:rPr>
          <w:sz w:val="24"/>
          <w:szCs w:val="24"/>
          <w:lang w:val="en-AU"/>
        </w:rPr>
      </w:pPr>
      <w:r w:rsidRPr="00E54D0D">
        <w:rPr>
          <w:sz w:val="24"/>
          <w:szCs w:val="24"/>
          <w:lang w:val="en-AU"/>
        </w:rPr>
        <w:t>p</w:t>
      </w:r>
      <w:r w:rsidR="4F9E2AA6" w:rsidRPr="00E54D0D">
        <w:rPr>
          <w:sz w:val="24"/>
          <w:szCs w:val="24"/>
          <w:lang w:val="en-AU"/>
        </w:rPr>
        <w:t>ipeline planning</w:t>
      </w:r>
      <w:r w:rsidR="73BA79F1" w:rsidRPr="00E54D0D">
        <w:rPr>
          <w:sz w:val="24"/>
          <w:szCs w:val="24"/>
          <w:lang w:val="en-AU"/>
        </w:rPr>
        <w:t>, development of thematic delivery strategies, GEDSI principles and mainstreaming</w:t>
      </w:r>
    </w:p>
    <w:p w14:paraId="17E1204D" w14:textId="730CC4FA" w:rsidR="00AF2057" w:rsidRPr="00E54D0D" w:rsidDel="00C41C8E" w:rsidRDefault="001949A2" w:rsidP="00AA7404">
      <w:pPr>
        <w:numPr>
          <w:ilvl w:val="0"/>
          <w:numId w:val="49"/>
        </w:numPr>
        <w:spacing w:before="0" w:after="0"/>
        <w:ind w:left="714" w:hanging="357"/>
        <w:rPr>
          <w:sz w:val="24"/>
          <w:szCs w:val="24"/>
          <w:lang w:val="en-AU"/>
        </w:rPr>
      </w:pPr>
      <w:r w:rsidRPr="00E54D0D">
        <w:rPr>
          <w:sz w:val="24"/>
          <w:szCs w:val="24"/>
          <w:lang w:val="en-AU"/>
        </w:rPr>
        <w:t>e</w:t>
      </w:r>
      <w:r w:rsidR="00AF2057" w:rsidRPr="00E54D0D" w:rsidDel="00C41C8E">
        <w:rPr>
          <w:sz w:val="24"/>
          <w:szCs w:val="24"/>
          <w:lang w:val="en-AU"/>
        </w:rPr>
        <w:t>stablishment of the Mekong Hub, including recruitment and mobilisation of staff</w:t>
      </w:r>
    </w:p>
    <w:p w14:paraId="3BA7BAB7" w14:textId="467A0F6A" w:rsidR="00AF2057" w:rsidRPr="00E54D0D" w:rsidDel="00C41C8E" w:rsidRDefault="001949A2" w:rsidP="00AA7404">
      <w:pPr>
        <w:numPr>
          <w:ilvl w:val="0"/>
          <w:numId w:val="49"/>
        </w:numPr>
        <w:spacing w:before="0" w:after="0"/>
        <w:ind w:left="714" w:hanging="357"/>
        <w:rPr>
          <w:sz w:val="24"/>
          <w:szCs w:val="24"/>
          <w:lang w:val="en-AU"/>
        </w:rPr>
      </w:pPr>
      <w:r w:rsidRPr="00E54D0D">
        <w:rPr>
          <w:sz w:val="24"/>
          <w:szCs w:val="24"/>
          <w:lang w:val="en-AU"/>
        </w:rPr>
        <w:t>c</w:t>
      </w:r>
      <w:r w:rsidRPr="00E54D0D" w:rsidDel="00C41C8E">
        <w:rPr>
          <w:sz w:val="24"/>
          <w:szCs w:val="24"/>
          <w:lang w:val="en-AU"/>
        </w:rPr>
        <w:t>ontract</w:t>
      </w:r>
      <w:r w:rsidR="00AF2057" w:rsidRPr="00E54D0D" w:rsidDel="00C41C8E">
        <w:rPr>
          <w:sz w:val="24"/>
          <w:szCs w:val="24"/>
          <w:lang w:val="en-AU"/>
        </w:rPr>
        <w:t>/grant amendments for continuing MAP Phase 1 investments</w:t>
      </w:r>
      <w:r w:rsidR="00000347" w:rsidRPr="00E54D0D">
        <w:rPr>
          <w:sz w:val="24"/>
          <w:szCs w:val="24"/>
          <w:lang w:val="en-AU"/>
        </w:rPr>
        <w:t>,</w:t>
      </w:r>
    </w:p>
    <w:p w14:paraId="2CB2E2D0" w14:textId="41030466" w:rsidR="00AF2057" w:rsidRPr="00E54D0D" w:rsidRDefault="001949A2" w:rsidP="00AA7404">
      <w:pPr>
        <w:numPr>
          <w:ilvl w:val="0"/>
          <w:numId w:val="49"/>
        </w:numPr>
        <w:spacing w:before="0" w:after="0"/>
        <w:ind w:left="714" w:hanging="357"/>
        <w:rPr>
          <w:sz w:val="24"/>
          <w:szCs w:val="24"/>
          <w:lang w:val="en-AU"/>
        </w:rPr>
      </w:pPr>
      <w:r w:rsidRPr="00E54D0D">
        <w:rPr>
          <w:sz w:val="24"/>
          <w:szCs w:val="24"/>
          <w:lang w:val="en-AU"/>
        </w:rPr>
        <w:t>s</w:t>
      </w:r>
      <w:r w:rsidRPr="00E54D0D" w:rsidDel="00C41C8E">
        <w:rPr>
          <w:sz w:val="24"/>
          <w:szCs w:val="24"/>
          <w:lang w:val="en-AU"/>
        </w:rPr>
        <w:t xml:space="preserve">coping </w:t>
      </w:r>
      <w:r w:rsidR="00AF2057" w:rsidRPr="00E54D0D" w:rsidDel="00C41C8E">
        <w:rPr>
          <w:sz w:val="24"/>
          <w:szCs w:val="24"/>
          <w:lang w:val="en-AU"/>
        </w:rPr>
        <w:t>and design of priority new investments/updating and adapting existing investments</w:t>
      </w:r>
    </w:p>
    <w:p w14:paraId="2A293C1F" w14:textId="6008406B" w:rsidR="00BE1590" w:rsidRPr="00E54D0D" w:rsidDel="00C41C8E" w:rsidRDefault="001949A2" w:rsidP="00AA7404">
      <w:pPr>
        <w:numPr>
          <w:ilvl w:val="0"/>
          <w:numId w:val="49"/>
        </w:numPr>
        <w:spacing w:before="0" w:after="0"/>
        <w:ind w:left="714" w:hanging="357"/>
        <w:rPr>
          <w:sz w:val="24"/>
          <w:szCs w:val="24"/>
          <w:lang w:val="en-AU"/>
        </w:rPr>
      </w:pPr>
      <w:r w:rsidRPr="00E54D0D">
        <w:rPr>
          <w:sz w:val="24"/>
          <w:szCs w:val="24"/>
          <w:lang w:val="en-AU"/>
        </w:rPr>
        <w:t>d</w:t>
      </w:r>
      <w:r w:rsidRPr="00E54D0D" w:rsidDel="00C41C8E">
        <w:rPr>
          <w:sz w:val="24"/>
          <w:szCs w:val="24"/>
          <w:lang w:val="en-AU"/>
        </w:rPr>
        <w:t xml:space="preserve">evelopment </w:t>
      </w:r>
      <w:r w:rsidR="00BE1590" w:rsidRPr="00E54D0D" w:rsidDel="00C41C8E">
        <w:rPr>
          <w:sz w:val="24"/>
          <w:szCs w:val="24"/>
          <w:lang w:val="en-AU"/>
        </w:rPr>
        <w:t xml:space="preserve">of </w:t>
      </w:r>
      <w:r w:rsidR="00B6320A" w:rsidRPr="00E54D0D">
        <w:rPr>
          <w:sz w:val="24"/>
          <w:szCs w:val="24"/>
          <w:lang w:val="en-AU"/>
        </w:rPr>
        <w:t>detailed</w:t>
      </w:r>
      <w:r w:rsidR="00BE1590" w:rsidRPr="00E54D0D" w:rsidDel="00C41C8E">
        <w:rPr>
          <w:sz w:val="24"/>
          <w:szCs w:val="24"/>
          <w:lang w:val="en-AU"/>
        </w:rPr>
        <w:t xml:space="preserve"> policy dialogue </w:t>
      </w:r>
      <w:r w:rsidR="00B6320A" w:rsidRPr="00E54D0D" w:rsidDel="00C41C8E">
        <w:rPr>
          <w:sz w:val="24"/>
          <w:szCs w:val="24"/>
          <w:lang w:val="en-AU"/>
        </w:rPr>
        <w:t>matri</w:t>
      </w:r>
      <w:r w:rsidR="00B6320A" w:rsidRPr="00E54D0D">
        <w:rPr>
          <w:sz w:val="24"/>
          <w:szCs w:val="24"/>
          <w:lang w:val="en-AU"/>
        </w:rPr>
        <w:t>ces as part of thematic delivery strategies</w:t>
      </w:r>
    </w:p>
    <w:p w14:paraId="65B4015A" w14:textId="336DFD59" w:rsidR="00AF2057" w:rsidRPr="00E54D0D" w:rsidDel="00C41C8E" w:rsidRDefault="00963C04" w:rsidP="00AA7404">
      <w:pPr>
        <w:numPr>
          <w:ilvl w:val="0"/>
          <w:numId w:val="49"/>
        </w:numPr>
        <w:spacing w:before="0" w:after="0"/>
        <w:ind w:left="714" w:hanging="357"/>
        <w:rPr>
          <w:sz w:val="24"/>
          <w:szCs w:val="24"/>
          <w:lang w:val="en-AU"/>
        </w:rPr>
      </w:pPr>
      <w:r w:rsidRPr="00E54D0D">
        <w:rPr>
          <w:sz w:val="24"/>
          <w:szCs w:val="24"/>
          <w:lang w:val="en-AU"/>
        </w:rPr>
        <w:t>e</w:t>
      </w:r>
      <w:r w:rsidR="00AF2057" w:rsidRPr="00E54D0D" w:rsidDel="00C41C8E">
        <w:rPr>
          <w:sz w:val="24"/>
          <w:szCs w:val="24"/>
          <w:lang w:val="en-AU"/>
        </w:rPr>
        <w:t>stablishment of MEL and reporting system and processes</w:t>
      </w:r>
    </w:p>
    <w:p w14:paraId="60605BAD" w14:textId="448BA8AD" w:rsidR="00AF2057" w:rsidRPr="00E54D0D" w:rsidRDefault="00963C04" w:rsidP="00AA7404">
      <w:pPr>
        <w:numPr>
          <w:ilvl w:val="0"/>
          <w:numId w:val="49"/>
        </w:numPr>
        <w:spacing w:before="0" w:after="0"/>
        <w:ind w:left="714" w:hanging="357"/>
        <w:rPr>
          <w:sz w:val="24"/>
          <w:szCs w:val="24"/>
          <w:lang w:val="en-AU"/>
        </w:rPr>
      </w:pPr>
      <w:r w:rsidRPr="00E54D0D">
        <w:rPr>
          <w:sz w:val="24"/>
          <w:szCs w:val="24"/>
          <w:lang w:val="en-AU"/>
        </w:rPr>
        <w:t>e</w:t>
      </w:r>
      <w:r w:rsidR="4C722473" w:rsidRPr="00E54D0D">
        <w:rPr>
          <w:sz w:val="24"/>
          <w:szCs w:val="24"/>
          <w:lang w:val="en-AU"/>
        </w:rPr>
        <w:t>stablishment of a Communications Strategy and systems for capturing and storing stories</w:t>
      </w:r>
      <w:r w:rsidR="39955DB7" w:rsidRPr="00E54D0D">
        <w:rPr>
          <w:sz w:val="24"/>
          <w:szCs w:val="24"/>
          <w:lang w:val="en-AU"/>
        </w:rPr>
        <w:t xml:space="preserve"> of change</w:t>
      </w:r>
    </w:p>
    <w:p w14:paraId="23A15FD8" w14:textId="27C0206A" w:rsidR="00043CC8" w:rsidRPr="00E54D0D" w:rsidRDefault="00963C04" w:rsidP="00AA7404">
      <w:pPr>
        <w:numPr>
          <w:ilvl w:val="0"/>
          <w:numId w:val="49"/>
        </w:numPr>
        <w:spacing w:before="0" w:after="0"/>
        <w:ind w:left="714" w:hanging="357"/>
        <w:rPr>
          <w:sz w:val="24"/>
          <w:szCs w:val="24"/>
          <w:lang w:val="en-AU"/>
        </w:rPr>
        <w:sectPr w:rsidR="00043CC8" w:rsidRPr="00E54D0D" w:rsidSect="00CC6E0F">
          <w:pgSz w:w="11906" w:h="16838" w:code="9"/>
          <w:pgMar w:top="1701" w:right="1134" w:bottom="1418" w:left="1134" w:header="425" w:footer="493" w:gutter="0"/>
          <w:cols w:space="397"/>
          <w:docGrid w:linePitch="360"/>
        </w:sectPr>
      </w:pPr>
      <w:r w:rsidRPr="00E54D0D">
        <w:rPr>
          <w:sz w:val="24"/>
          <w:szCs w:val="24"/>
          <w:lang w:val="en-AU"/>
        </w:rPr>
        <w:t>p</w:t>
      </w:r>
      <w:r w:rsidR="00AF2057" w:rsidRPr="00E54D0D">
        <w:rPr>
          <w:sz w:val="24"/>
          <w:szCs w:val="24"/>
          <w:lang w:val="en-AU"/>
        </w:rPr>
        <w:t xml:space="preserve">rocurement </w:t>
      </w:r>
      <w:r w:rsidR="006E4FC1" w:rsidRPr="00E54D0D">
        <w:rPr>
          <w:sz w:val="24"/>
          <w:szCs w:val="24"/>
          <w:lang w:val="en-AU"/>
        </w:rPr>
        <w:t xml:space="preserve">and mobilisation </w:t>
      </w:r>
      <w:r w:rsidR="00AF2057" w:rsidRPr="00E54D0D">
        <w:rPr>
          <w:sz w:val="24"/>
          <w:szCs w:val="24"/>
          <w:lang w:val="en-AU"/>
        </w:rPr>
        <w:t>of a Support Services Contractor</w:t>
      </w:r>
      <w:r w:rsidR="00554E1B" w:rsidRPr="00E54D0D">
        <w:rPr>
          <w:sz w:val="24"/>
          <w:szCs w:val="24"/>
          <w:lang w:val="en-AU"/>
        </w:rPr>
        <w:t>.</w:t>
      </w:r>
    </w:p>
    <w:sdt>
      <w:sdtPr>
        <w:rPr>
          <w:rFonts w:asciiTheme="minorHAnsi" w:eastAsiaTheme="minorEastAsia" w:hAnsiTheme="minorHAnsi" w:cstheme="minorBidi"/>
          <w:b w:val="0"/>
          <w:caps w:val="0"/>
          <w:color w:val="2B579A"/>
          <w:sz w:val="22"/>
          <w:szCs w:val="22"/>
          <w:shd w:val="clear" w:color="auto" w:fill="E6E6E6"/>
          <w:lang w:val="en-AU"/>
        </w:rPr>
        <w:id w:val="-1558623749"/>
        <w:docPartObj>
          <w:docPartGallery w:val="Table of Contents"/>
          <w:docPartUnique/>
        </w:docPartObj>
      </w:sdtPr>
      <w:sdtEndPr/>
      <w:sdtContent>
        <w:sdt>
          <w:sdtPr>
            <w:rPr>
              <w:rFonts w:asciiTheme="minorHAnsi" w:eastAsiaTheme="minorEastAsia" w:hAnsiTheme="minorHAnsi" w:cstheme="minorBidi"/>
              <w:b w:val="0"/>
              <w:caps w:val="0"/>
              <w:color w:val="2B579A"/>
              <w:sz w:val="22"/>
              <w:szCs w:val="22"/>
              <w:shd w:val="clear" w:color="auto" w:fill="E6E6E6"/>
              <w:lang w:val="en-AU"/>
            </w:rPr>
            <w:id w:val="-202713049"/>
            <w:docPartObj>
              <w:docPartGallery w:val="Table of Contents"/>
              <w:docPartUnique/>
            </w:docPartObj>
          </w:sdtPr>
          <w:sdtEndPr>
            <w:rPr>
              <w:rFonts w:asciiTheme="majorHAnsi" w:eastAsiaTheme="majorEastAsia" w:hAnsiTheme="majorHAnsi" w:cstheme="majorBidi"/>
              <w:b/>
              <w:bCs/>
              <w:caps/>
              <w:sz w:val="36"/>
              <w:szCs w:val="36"/>
            </w:rPr>
          </w:sdtEndPr>
          <w:sdtContent>
            <w:p w14:paraId="365B3200" w14:textId="1996B13F" w:rsidR="00FE270F" w:rsidRPr="001F14E7" w:rsidRDefault="00872C0D" w:rsidP="0032140E">
              <w:pPr>
                <w:pStyle w:val="TOCHeading"/>
                <w:rPr>
                  <w:lang w:val="en-AU"/>
                </w:rPr>
              </w:pPr>
              <w:r w:rsidRPr="001F14E7">
                <w:rPr>
                  <w:lang w:val="en-AU"/>
                </w:rPr>
                <w:t>Table of Contents</w:t>
              </w:r>
            </w:p>
          </w:sdtContent>
        </w:sdt>
        <w:p w14:paraId="2F73F962" w14:textId="3C345B71" w:rsidR="00CC58B2" w:rsidRDefault="00FE270F">
          <w:pPr>
            <w:pStyle w:val="TOC1"/>
            <w:rPr>
              <w:rFonts w:eastAsiaTheme="minorEastAsia" w:cstheme="minorBidi"/>
              <w:b w:val="0"/>
              <w:bCs w:val="0"/>
              <w:caps w:val="0"/>
              <w:noProof/>
              <w:color w:val="auto"/>
              <w:kern w:val="2"/>
              <w:sz w:val="22"/>
              <w:szCs w:val="22"/>
              <w:lang w:val="en-AU" w:eastAsia="en-AU"/>
              <w14:ligatures w14:val="standardContextual"/>
            </w:rPr>
          </w:pPr>
          <w:r w:rsidRPr="001F14E7">
            <w:rPr>
              <w:color w:val="2B579A"/>
              <w:shd w:val="clear" w:color="auto" w:fill="E6E6E6"/>
              <w:lang w:val="en-AU"/>
            </w:rPr>
            <w:fldChar w:fldCharType="begin"/>
          </w:r>
          <w:r w:rsidRPr="001F14E7">
            <w:rPr>
              <w:lang w:val="en-AU"/>
            </w:rPr>
            <w:instrText xml:space="preserve"> TOC \o "2-2" \h \z \t "Heading 1,1,Subtitle,1,Heading 1 Numbered,1,Heading 1 small space after,1" </w:instrText>
          </w:r>
          <w:r w:rsidRPr="001F14E7">
            <w:rPr>
              <w:color w:val="2B579A"/>
              <w:shd w:val="clear" w:color="auto" w:fill="E6E6E6"/>
              <w:lang w:val="en-AU"/>
            </w:rPr>
            <w:fldChar w:fldCharType="separate"/>
          </w:r>
          <w:hyperlink w:anchor="_Toc174029020" w:history="1">
            <w:r w:rsidR="00CC58B2" w:rsidRPr="00B96367">
              <w:rPr>
                <w:rStyle w:val="Hyperlink"/>
                <w:noProof/>
                <w:lang w:val="en-AU"/>
              </w:rPr>
              <w:t>Executive Summary</w:t>
            </w:r>
            <w:r w:rsidR="00CC58B2">
              <w:rPr>
                <w:noProof/>
                <w:webHidden/>
              </w:rPr>
              <w:tab/>
            </w:r>
            <w:r w:rsidR="00CC58B2">
              <w:rPr>
                <w:noProof/>
                <w:webHidden/>
              </w:rPr>
              <w:fldChar w:fldCharType="begin"/>
            </w:r>
            <w:r w:rsidR="00CC58B2">
              <w:rPr>
                <w:noProof/>
                <w:webHidden/>
              </w:rPr>
              <w:instrText xml:space="preserve"> PAGEREF _Toc174029020 \h </w:instrText>
            </w:r>
            <w:r w:rsidR="00CC58B2">
              <w:rPr>
                <w:noProof/>
                <w:webHidden/>
              </w:rPr>
            </w:r>
            <w:r w:rsidR="00CC58B2">
              <w:rPr>
                <w:noProof/>
                <w:webHidden/>
              </w:rPr>
              <w:fldChar w:fldCharType="separate"/>
            </w:r>
            <w:r w:rsidR="00CC58B2">
              <w:rPr>
                <w:noProof/>
                <w:webHidden/>
              </w:rPr>
              <w:t>2</w:t>
            </w:r>
            <w:r w:rsidR="00CC58B2">
              <w:rPr>
                <w:noProof/>
                <w:webHidden/>
              </w:rPr>
              <w:fldChar w:fldCharType="end"/>
            </w:r>
          </w:hyperlink>
        </w:p>
        <w:p w14:paraId="0F32F1C8" w14:textId="3896D059" w:rsidR="00CC58B2" w:rsidRDefault="004947C2">
          <w:pPr>
            <w:pStyle w:val="TOC1"/>
            <w:rPr>
              <w:rFonts w:eastAsiaTheme="minorEastAsia" w:cstheme="minorBidi"/>
              <w:b w:val="0"/>
              <w:bCs w:val="0"/>
              <w:caps w:val="0"/>
              <w:noProof/>
              <w:color w:val="auto"/>
              <w:kern w:val="2"/>
              <w:sz w:val="22"/>
              <w:szCs w:val="22"/>
              <w:lang w:val="en-AU" w:eastAsia="en-AU"/>
              <w14:ligatures w14:val="standardContextual"/>
            </w:rPr>
          </w:pPr>
          <w:hyperlink w:anchor="_Toc174029021" w:history="1">
            <w:r w:rsidR="00CC58B2" w:rsidRPr="00B96367">
              <w:rPr>
                <w:rStyle w:val="Hyperlink"/>
                <w:noProof/>
                <w:lang w:val="en-AU"/>
              </w:rPr>
              <w:t>Acronyms and Abbreviations</w:t>
            </w:r>
            <w:r w:rsidR="00CC58B2">
              <w:rPr>
                <w:noProof/>
                <w:webHidden/>
              </w:rPr>
              <w:tab/>
            </w:r>
            <w:r w:rsidR="00CC58B2">
              <w:rPr>
                <w:noProof/>
                <w:webHidden/>
              </w:rPr>
              <w:fldChar w:fldCharType="begin"/>
            </w:r>
            <w:r w:rsidR="00CC58B2">
              <w:rPr>
                <w:noProof/>
                <w:webHidden/>
              </w:rPr>
              <w:instrText xml:space="preserve"> PAGEREF _Toc174029021 \h </w:instrText>
            </w:r>
            <w:r w:rsidR="00CC58B2">
              <w:rPr>
                <w:noProof/>
                <w:webHidden/>
              </w:rPr>
            </w:r>
            <w:r w:rsidR="00CC58B2">
              <w:rPr>
                <w:noProof/>
                <w:webHidden/>
              </w:rPr>
              <w:fldChar w:fldCharType="separate"/>
            </w:r>
            <w:r w:rsidR="00CC58B2">
              <w:rPr>
                <w:noProof/>
                <w:webHidden/>
              </w:rPr>
              <w:t>8</w:t>
            </w:r>
            <w:r w:rsidR="00CC58B2">
              <w:rPr>
                <w:noProof/>
                <w:webHidden/>
              </w:rPr>
              <w:fldChar w:fldCharType="end"/>
            </w:r>
          </w:hyperlink>
        </w:p>
        <w:p w14:paraId="30723C94" w14:textId="6E3F49B6" w:rsidR="00CC58B2" w:rsidRDefault="004947C2">
          <w:pPr>
            <w:pStyle w:val="TOC1"/>
            <w:rPr>
              <w:rFonts w:eastAsiaTheme="minorEastAsia" w:cstheme="minorBidi"/>
              <w:b w:val="0"/>
              <w:bCs w:val="0"/>
              <w:caps w:val="0"/>
              <w:noProof/>
              <w:color w:val="auto"/>
              <w:kern w:val="2"/>
              <w:sz w:val="22"/>
              <w:szCs w:val="22"/>
              <w:lang w:val="en-AU" w:eastAsia="en-AU"/>
              <w14:ligatures w14:val="standardContextual"/>
            </w:rPr>
          </w:pPr>
          <w:hyperlink w:anchor="_Toc174029022" w:history="1">
            <w:r w:rsidR="00CC58B2" w:rsidRPr="00B96367">
              <w:rPr>
                <w:rStyle w:val="Hyperlink"/>
                <w:noProof/>
                <w:lang w:val="en-AU"/>
              </w:rPr>
              <w:t>1.</w:t>
            </w:r>
            <w:r w:rsidR="00CC58B2">
              <w:rPr>
                <w:rFonts w:eastAsiaTheme="minorEastAsia" w:cstheme="minorBidi"/>
                <w:b w:val="0"/>
                <w:bCs w:val="0"/>
                <w:caps w:val="0"/>
                <w:noProof/>
                <w:color w:val="auto"/>
                <w:kern w:val="2"/>
                <w:sz w:val="22"/>
                <w:szCs w:val="22"/>
                <w:lang w:val="en-AU" w:eastAsia="en-AU"/>
                <w14:ligatures w14:val="standardContextual"/>
              </w:rPr>
              <w:tab/>
            </w:r>
            <w:r w:rsidR="00CC58B2" w:rsidRPr="00B96367">
              <w:rPr>
                <w:rStyle w:val="Hyperlink"/>
                <w:noProof/>
                <w:lang w:val="en-AU"/>
              </w:rPr>
              <w:t>Development Context and Situational Analysis</w:t>
            </w:r>
            <w:r w:rsidR="00CC58B2">
              <w:rPr>
                <w:noProof/>
                <w:webHidden/>
              </w:rPr>
              <w:tab/>
            </w:r>
            <w:r w:rsidR="00CC58B2">
              <w:rPr>
                <w:noProof/>
                <w:webHidden/>
              </w:rPr>
              <w:fldChar w:fldCharType="begin"/>
            </w:r>
            <w:r w:rsidR="00CC58B2">
              <w:rPr>
                <w:noProof/>
                <w:webHidden/>
              </w:rPr>
              <w:instrText xml:space="preserve"> PAGEREF _Toc174029022 \h </w:instrText>
            </w:r>
            <w:r w:rsidR="00CC58B2">
              <w:rPr>
                <w:noProof/>
                <w:webHidden/>
              </w:rPr>
            </w:r>
            <w:r w:rsidR="00CC58B2">
              <w:rPr>
                <w:noProof/>
                <w:webHidden/>
              </w:rPr>
              <w:fldChar w:fldCharType="separate"/>
            </w:r>
            <w:r w:rsidR="00CC58B2">
              <w:rPr>
                <w:noProof/>
                <w:webHidden/>
              </w:rPr>
              <w:t>9</w:t>
            </w:r>
            <w:r w:rsidR="00CC58B2">
              <w:rPr>
                <w:noProof/>
                <w:webHidden/>
              </w:rPr>
              <w:fldChar w:fldCharType="end"/>
            </w:r>
          </w:hyperlink>
        </w:p>
        <w:p w14:paraId="298AD913" w14:textId="161B1C8E"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23" w:history="1">
            <w:r w:rsidR="00CC58B2" w:rsidRPr="00B96367">
              <w:rPr>
                <w:rStyle w:val="Hyperlink"/>
                <w:noProof/>
                <w:lang w:val="en-AU"/>
              </w:rPr>
              <w:t>1.1</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The Mekong as a subregion</w:t>
            </w:r>
            <w:r w:rsidR="00CC58B2">
              <w:rPr>
                <w:noProof/>
                <w:webHidden/>
              </w:rPr>
              <w:tab/>
            </w:r>
            <w:r w:rsidR="00CC58B2">
              <w:rPr>
                <w:noProof/>
                <w:webHidden/>
              </w:rPr>
              <w:fldChar w:fldCharType="begin"/>
            </w:r>
            <w:r w:rsidR="00CC58B2">
              <w:rPr>
                <w:noProof/>
                <w:webHidden/>
              </w:rPr>
              <w:instrText xml:space="preserve"> PAGEREF _Toc174029023 \h </w:instrText>
            </w:r>
            <w:r w:rsidR="00CC58B2">
              <w:rPr>
                <w:noProof/>
                <w:webHidden/>
              </w:rPr>
            </w:r>
            <w:r w:rsidR="00CC58B2">
              <w:rPr>
                <w:noProof/>
                <w:webHidden/>
              </w:rPr>
              <w:fldChar w:fldCharType="separate"/>
            </w:r>
            <w:r w:rsidR="00CC58B2">
              <w:rPr>
                <w:noProof/>
                <w:webHidden/>
              </w:rPr>
              <w:t>9</w:t>
            </w:r>
            <w:r w:rsidR="00CC58B2">
              <w:rPr>
                <w:noProof/>
                <w:webHidden/>
              </w:rPr>
              <w:fldChar w:fldCharType="end"/>
            </w:r>
          </w:hyperlink>
        </w:p>
        <w:p w14:paraId="4EB6898A" w14:textId="1B26D797"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24" w:history="1">
            <w:r w:rsidR="00CC58B2" w:rsidRPr="00B96367">
              <w:rPr>
                <w:rStyle w:val="Hyperlink"/>
                <w:noProof/>
                <w:lang w:val="en-AU"/>
              </w:rPr>
              <w:t>1.2</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Development context – Mekong countries</w:t>
            </w:r>
            <w:r w:rsidR="00CC58B2">
              <w:rPr>
                <w:noProof/>
                <w:webHidden/>
              </w:rPr>
              <w:tab/>
            </w:r>
            <w:r w:rsidR="00CC58B2">
              <w:rPr>
                <w:noProof/>
                <w:webHidden/>
              </w:rPr>
              <w:fldChar w:fldCharType="begin"/>
            </w:r>
            <w:r w:rsidR="00CC58B2">
              <w:rPr>
                <w:noProof/>
                <w:webHidden/>
              </w:rPr>
              <w:instrText xml:space="preserve"> PAGEREF _Toc174029024 \h </w:instrText>
            </w:r>
            <w:r w:rsidR="00CC58B2">
              <w:rPr>
                <w:noProof/>
                <w:webHidden/>
              </w:rPr>
            </w:r>
            <w:r w:rsidR="00CC58B2">
              <w:rPr>
                <w:noProof/>
                <w:webHidden/>
              </w:rPr>
              <w:fldChar w:fldCharType="separate"/>
            </w:r>
            <w:r w:rsidR="00CC58B2">
              <w:rPr>
                <w:noProof/>
                <w:webHidden/>
              </w:rPr>
              <w:t>11</w:t>
            </w:r>
            <w:r w:rsidR="00CC58B2">
              <w:rPr>
                <w:noProof/>
                <w:webHidden/>
              </w:rPr>
              <w:fldChar w:fldCharType="end"/>
            </w:r>
          </w:hyperlink>
        </w:p>
        <w:p w14:paraId="4BC75297" w14:textId="07B8365D"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25" w:history="1">
            <w:r w:rsidR="00CC58B2" w:rsidRPr="00B96367">
              <w:rPr>
                <w:rStyle w:val="Hyperlink"/>
                <w:noProof/>
                <w:lang w:val="en-AU"/>
              </w:rPr>
              <w:t>1.3</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Other Development Partners</w:t>
            </w:r>
            <w:r w:rsidR="00CC58B2">
              <w:rPr>
                <w:noProof/>
                <w:webHidden/>
              </w:rPr>
              <w:tab/>
            </w:r>
            <w:r w:rsidR="00CC58B2">
              <w:rPr>
                <w:noProof/>
                <w:webHidden/>
              </w:rPr>
              <w:fldChar w:fldCharType="begin"/>
            </w:r>
            <w:r w:rsidR="00CC58B2">
              <w:rPr>
                <w:noProof/>
                <w:webHidden/>
              </w:rPr>
              <w:instrText xml:space="preserve"> PAGEREF _Toc174029025 \h </w:instrText>
            </w:r>
            <w:r w:rsidR="00CC58B2">
              <w:rPr>
                <w:noProof/>
                <w:webHidden/>
              </w:rPr>
            </w:r>
            <w:r w:rsidR="00CC58B2">
              <w:rPr>
                <w:noProof/>
                <w:webHidden/>
              </w:rPr>
              <w:fldChar w:fldCharType="separate"/>
            </w:r>
            <w:r w:rsidR="00CC58B2">
              <w:rPr>
                <w:noProof/>
                <w:webHidden/>
              </w:rPr>
              <w:t>12</w:t>
            </w:r>
            <w:r w:rsidR="00CC58B2">
              <w:rPr>
                <w:noProof/>
                <w:webHidden/>
              </w:rPr>
              <w:fldChar w:fldCharType="end"/>
            </w:r>
          </w:hyperlink>
        </w:p>
        <w:p w14:paraId="38B8546E" w14:textId="45A8461C"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26" w:history="1">
            <w:r w:rsidR="00CC58B2" w:rsidRPr="00B96367">
              <w:rPr>
                <w:rStyle w:val="Hyperlink"/>
                <w:noProof/>
                <w:lang w:val="en-AU"/>
              </w:rPr>
              <w:t>1.4</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Evidence and lessons</w:t>
            </w:r>
            <w:r w:rsidR="00CC58B2">
              <w:rPr>
                <w:noProof/>
                <w:webHidden/>
              </w:rPr>
              <w:tab/>
            </w:r>
            <w:r w:rsidR="00CC58B2">
              <w:rPr>
                <w:noProof/>
                <w:webHidden/>
              </w:rPr>
              <w:fldChar w:fldCharType="begin"/>
            </w:r>
            <w:r w:rsidR="00CC58B2">
              <w:rPr>
                <w:noProof/>
                <w:webHidden/>
              </w:rPr>
              <w:instrText xml:space="preserve"> PAGEREF _Toc174029026 \h </w:instrText>
            </w:r>
            <w:r w:rsidR="00CC58B2">
              <w:rPr>
                <w:noProof/>
                <w:webHidden/>
              </w:rPr>
            </w:r>
            <w:r w:rsidR="00CC58B2">
              <w:rPr>
                <w:noProof/>
                <w:webHidden/>
              </w:rPr>
              <w:fldChar w:fldCharType="separate"/>
            </w:r>
            <w:r w:rsidR="00CC58B2">
              <w:rPr>
                <w:noProof/>
                <w:webHidden/>
              </w:rPr>
              <w:t>13</w:t>
            </w:r>
            <w:r w:rsidR="00CC58B2">
              <w:rPr>
                <w:noProof/>
                <w:webHidden/>
              </w:rPr>
              <w:fldChar w:fldCharType="end"/>
            </w:r>
          </w:hyperlink>
        </w:p>
        <w:p w14:paraId="128BD72E" w14:textId="63DCC24D"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27" w:history="1">
            <w:r w:rsidR="00CC58B2" w:rsidRPr="00B96367">
              <w:rPr>
                <w:rStyle w:val="Hyperlink"/>
                <w:noProof/>
                <w:lang w:val="en-AU"/>
              </w:rPr>
              <w:t>1.5</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The Mekong-Australia Partnership for Transnational Crime</w:t>
            </w:r>
            <w:r w:rsidR="00CC58B2">
              <w:rPr>
                <w:noProof/>
                <w:webHidden/>
              </w:rPr>
              <w:tab/>
            </w:r>
            <w:r w:rsidR="00CC58B2">
              <w:rPr>
                <w:noProof/>
                <w:webHidden/>
              </w:rPr>
              <w:fldChar w:fldCharType="begin"/>
            </w:r>
            <w:r w:rsidR="00CC58B2">
              <w:rPr>
                <w:noProof/>
                <w:webHidden/>
              </w:rPr>
              <w:instrText xml:space="preserve"> PAGEREF _Toc174029027 \h </w:instrText>
            </w:r>
            <w:r w:rsidR="00CC58B2">
              <w:rPr>
                <w:noProof/>
                <w:webHidden/>
              </w:rPr>
            </w:r>
            <w:r w:rsidR="00CC58B2">
              <w:rPr>
                <w:noProof/>
                <w:webHidden/>
              </w:rPr>
              <w:fldChar w:fldCharType="separate"/>
            </w:r>
            <w:r w:rsidR="00CC58B2">
              <w:rPr>
                <w:noProof/>
                <w:webHidden/>
              </w:rPr>
              <w:t>13</w:t>
            </w:r>
            <w:r w:rsidR="00CC58B2">
              <w:rPr>
                <w:noProof/>
                <w:webHidden/>
              </w:rPr>
              <w:fldChar w:fldCharType="end"/>
            </w:r>
          </w:hyperlink>
        </w:p>
        <w:p w14:paraId="19CAC3AC" w14:textId="2F96B289" w:rsidR="00CC58B2" w:rsidRDefault="004947C2">
          <w:pPr>
            <w:pStyle w:val="TOC1"/>
            <w:rPr>
              <w:rFonts w:eastAsiaTheme="minorEastAsia" w:cstheme="minorBidi"/>
              <w:b w:val="0"/>
              <w:bCs w:val="0"/>
              <w:caps w:val="0"/>
              <w:noProof/>
              <w:color w:val="auto"/>
              <w:kern w:val="2"/>
              <w:sz w:val="22"/>
              <w:szCs w:val="22"/>
              <w:lang w:val="en-AU" w:eastAsia="en-AU"/>
              <w14:ligatures w14:val="standardContextual"/>
            </w:rPr>
          </w:pPr>
          <w:hyperlink w:anchor="_Toc174029028" w:history="1">
            <w:r w:rsidR="00CC58B2" w:rsidRPr="00B96367">
              <w:rPr>
                <w:rStyle w:val="Hyperlink"/>
                <w:noProof/>
                <w:lang w:val="en-AU"/>
              </w:rPr>
              <w:t>2.</w:t>
            </w:r>
            <w:r w:rsidR="00CC58B2">
              <w:rPr>
                <w:rFonts w:eastAsiaTheme="minorEastAsia" w:cstheme="minorBidi"/>
                <w:b w:val="0"/>
                <w:bCs w:val="0"/>
                <w:caps w:val="0"/>
                <w:noProof/>
                <w:color w:val="auto"/>
                <w:kern w:val="2"/>
                <w:sz w:val="22"/>
                <w:szCs w:val="22"/>
                <w:lang w:val="en-AU" w:eastAsia="en-AU"/>
                <w14:ligatures w14:val="standardContextual"/>
              </w:rPr>
              <w:tab/>
            </w:r>
            <w:r w:rsidR="00CC58B2" w:rsidRPr="00B96367">
              <w:rPr>
                <w:rStyle w:val="Hyperlink"/>
                <w:noProof/>
                <w:lang w:val="en-AU"/>
              </w:rPr>
              <w:t>Strategic Intent and Rationale</w:t>
            </w:r>
            <w:r w:rsidR="00CC58B2">
              <w:rPr>
                <w:noProof/>
                <w:webHidden/>
              </w:rPr>
              <w:tab/>
            </w:r>
            <w:r w:rsidR="00CC58B2">
              <w:rPr>
                <w:noProof/>
                <w:webHidden/>
              </w:rPr>
              <w:fldChar w:fldCharType="begin"/>
            </w:r>
            <w:r w:rsidR="00CC58B2">
              <w:rPr>
                <w:noProof/>
                <w:webHidden/>
              </w:rPr>
              <w:instrText xml:space="preserve"> PAGEREF _Toc174029028 \h </w:instrText>
            </w:r>
            <w:r w:rsidR="00CC58B2">
              <w:rPr>
                <w:noProof/>
                <w:webHidden/>
              </w:rPr>
            </w:r>
            <w:r w:rsidR="00CC58B2">
              <w:rPr>
                <w:noProof/>
                <w:webHidden/>
              </w:rPr>
              <w:fldChar w:fldCharType="separate"/>
            </w:r>
            <w:r w:rsidR="00CC58B2">
              <w:rPr>
                <w:noProof/>
                <w:webHidden/>
              </w:rPr>
              <w:t>14</w:t>
            </w:r>
            <w:r w:rsidR="00CC58B2">
              <w:rPr>
                <w:noProof/>
                <w:webHidden/>
              </w:rPr>
              <w:fldChar w:fldCharType="end"/>
            </w:r>
          </w:hyperlink>
        </w:p>
        <w:p w14:paraId="12C16DA9" w14:textId="51531408"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29" w:history="1">
            <w:r w:rsidR="00CC58B2" w:rsidRPr="00B96367">
              <w:rPr>
                <w:rStyle w:val="Hyperlink"/>
                <w:noProof/>
                <w:lang w:val="en-AU"/>
              </w:rPr>
              <w:t>2.1</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Alignment with Australia’s interests</w:t>
            </w:r>
            <w:r w:rsidR="00CC58B2">
              <w:rPr>
                <w:noProof/>
                <w:webHidden/>
              </w:rPr>
              <w:tab/>
            </w:r>
            <w:r w:rsidR="00CC58B2">
              <w:rPr>
                <w:noProof/>
                <w:webHidden/>
              </w:rPr>
              <w:fldChar w:fldCharType="begin"/>
            </w:r>
            <w:r w:rsidR="00CC58B2">
              <w:rPr>
                <w:noProof/>
                <w:webHidden/>
              </w:rPr>
              <w:instrText xml:space="preserve"> PAGEREF _Toc174029029 \h </w:instrText>
            </w:r>
            <w:r w:rsidR="00CC58B2">
              <w:rPr>
                <w:noProof/>
                <w:webHidden/>
              </w:rPr>
            </w:r>
            <w:r w:rsidR="00CC58B2">
              <w:rPr>
                <w:noProof/>
                <w:webHidden/>
              </w:rPr>
              <w:fldChar w:fldCharType="separate"/>
            </w:r>
            <w:r w:rsidR="00CC58B2">
              <w:rPr>
                <w:noProof/>
                <w:webHidden/>
              </w:rPr>
              <w:t>14</w:t>
            </w:r>
            <w:r w:rsidR="00CC58B2">
              <w:rPr>
                <w:noProof/>
                <w:webHidden/>
              </w:rPr>
              <w:fldChar w:fldCharType="end"/>
            </w:r>
          </w:hyperlink>
        </w:p>
        <w:p w14:paraId="2198AD82" w14:textId="5C840D4B"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30" w:history="1">
            <w:r w:rsidR="00CC58B2" w:rsidRPr="00B96367">
              <w:rPr>
                <w:rStyle w:val="Hyperlink"/>
                <w:noProof/>
                <w:lang w:val="en-AU"/>
              </w:rPr>
              <w:t>2.2</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Australia’s value add</w:t>
            </w:r>
            <w:r w:rsidR="00CC58B2">
              <w:rPr>
                <w:noProof/>
                <w:webHidden/>
              </w:rPr>
              <w:tab/>
            </w:r>
            <w:r w:rsidR="00CC58B2">
              <w:rPr>
                <w:noProof/>
                <w:webHidden/>
              </w:rPr>
              <w:fldChar w:fldCharType="begin"/>
            </w:r>
            <w:r w:rsidR="00CC58B2">
              <w:rPr>
                <w:noProof/>
                <w:webHidden/>
              </w:rPr>
              <w:instrText xml:space="preserve"> PAGEREF _Toc174029030 \h </w:instrText>
            </w:r>
            <w:r w:rsidR="00CC58B2">
              <w:rPr>
                <w:noProof/>
                <w:webHidden/>
              </w:rPr>
            </w:r>
            <w:r w:rsidR="00CC58B2">
              <w:rPr>
                <w:noProof/>
                <w:webHidden/>
              </w:rPr>
              <w:fldChar w:fldCharType="separate"/>
            </w:r>
            <w:r w:rsidR="00CC58B2">
              <w:rPr>
                <w:noProof/>
                <w:webHidden/>
              </w:rPr>
              <w:t>14</w:t>
            </w:r>
            <w:r w:rsidR="00CC58B2">
              <w:rPr>
                <w:noProof/>
                <w:webHidden/>
              </w:rPr>
              <w:fldChar w:fldCharType="end"/>
            </w:r>
          </w:hyperlink>
        </w:p>
        <w:p w14:paraId="79452825" w14:textId="27950356"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31" w:history="1">
            <w:r w:rsidR="00CC58B2" w:rsidRPr="00B96367">
              <w:rPr>
                <w:rStyle w:val="Hyperlink"/>
                <w:noProof/>
                <w:lang w:val="en-AU"/>
              </w:rPr>
              <w:t>2.3</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What is changing from MAP Phase 1?</w:t>
            </w:r>
            <w:r w:rsidR="00CC58B2">
              <w:rPr>
                <w:noProof/>
                <w:webHidden/>
              </w:rPr>
              <w:tab/>
            </w:r>
            <w:r w:rsidR="00CC58B2">
              <w:rPr>
                <w:noProof/>
                <w:webHidden/>
              </w:rPr>
              <w:fldChar w:fldCharType="begin"/>
            </w:r>
            <w:r w:rsidR="00CC58B2">
              <w:rPr>
                <w:noProof/>
                <w:webHidden/>
              </w:rPr>
              <w:instrText xml:space="preserve"> PAGEREF _Toc174029031 \h </w:instrText>
            </w:r>
            <w:r w:rsidR="00CC58B2">
              <w:rPr>
                <w:noProof/>
                <w:webHidden/>
              </w:rPr>
            </w:r>
            <w:r w:rsidR="00CC58B2">
              <w:rPr>
                <w:noProof/>
                <w:webHidden/>
              </w:rPr>
              <w:fldChar w:fldCharType="separate"/>
            </w:r>
            <w:r w:rsidR="00CC58B2">
              <w:rPr>
                <w:noProof/>
                <w:webHidden/>
              </w:rPr>
              <w:t>16</w:t>
            </w:r>
            <w:r w:rsidR="00CC58B2">
              <w:rPr>
                <w:noProof/>
                <w:webHidden/>
              </w:rPr>
              <w:fldChar w:fldCharType="end"/>
            </w:r>
          </w:hyperlink>
        </w:p>
        <w:p w14:paraId="6D21FE10" w14:textId="64D58928" w:rsidR="00CC58B2" w:rsidRDefault="004947C2">
          <w:pPr>
            <w:pStyle w:val="TOC1"/>
            <w:rPr>
              <w:rFonts w:eastAsiaTheme="minorEastAsia" w:cstheme="minorBidi"/>
              <w:b w:val="0"/>
              <w:bCs w:val="0"/>
              <w:caps w:val="0"/>
              <w:noProof/>
              <w:color w:val="auto"/>
              <w:kern w:val="2"/>
              <w:sz w:val="22"/>
              <w:szCs w:val="22"/>
              <w:lang w:val="en-AU" w:eastAsia="en-AU"/>
              <w14:ligatures w14:val="standardContextual"/>
            </w:rPr>
          </w:pPr>
          <w:hyperlink w:anchor="_Toc174029032" w:history="1">
            <w:r w:rsidR="00CC58B2" w:rsidRPr="00B96367">
              <w:rPr>
                <w:rStyle w:val="Hyperlink"/>
                <w:noProof/>
                <w:lang w:val="en-AU"/>
              </w:rPr>
              <w:t>3.</w:t>
            </w:r>
            <w:r w:rsidR="00CC58B2">
              <w:rPr>
                <w:rFonts w:eastAsiaTheme="minorEastAsia" w:cstheme="minorBidi"/>
                <w:b w:val="0"/>
                <w:bCs w:val="0"/>
                <w:caps w:val="0"/>
                <w:noProof/>
                <w:color w:val="auto"/>
                <w:kern w:val="2"/>
                <w:sz w:val="22"/>
                <w:szCs w:val="22"/>
                <w:lang w:val="en-AU" w:eastAsia="en-AU"/>
                <w14:ligatures w14:val="standardContextual"/>
              </w:rPr>
              <w:tab/>
            </w:r>
            <w:r w:rsidR="00CC58B2" w:rsidRPr="00B96367">
              <w:rPr>
                <w:rStyle w:val="Hyperlink"/>
                <w:noProof/>
                <w:lang w:val="en-AU"/>
              </w:rPr>
              <w:t>Proposed Outcomes and Investment Options</w:t>
            </w:r>
            <w:r w:rsidR="00CC58B2">
              <w:rPr>
                <w:noProof/>
                <w:webHidden/>
              </w:rPr>
              <w:tab/>
            </w:r>
            <w:r w:rsidR="00CC58B2">
              <w:rPr>
                <w:noProof/>
                <w:webHidden/>
              </w:rPr>
              <w:fldChar w:fldCharType="begin"/>
            </w:r>
            <w:r w:rsidR="00CC58B2">
              <w:rPr>
                <w:noProof/>
                <w:webHidden/>
              </w:rPr>
              <w:instrText xml:space="preserve"> PAGEREF _Toc174029032 \h </w:instrText>
            </w:r>
            <w:r w:rsidR="00CC58B2">
              <w:rPr>
                <w:noProof/>
                <w:webHidden/>
              </w:rPr>
            </w:r>
            <w:r w:rsidR="00CC58B2">
              <w:rPr>
                <w:noProof/>
                <w:webHidden/>
              </w:rPr>
              <w:fldChar w:fldCharType="separate"/>
            </w:r>
            <w:r w:rsidR="00CC58B2">
              <w:rPr>
                <w:noProof/>
                <w:webHidden/>
              </w:rPr>
              <w:t>17</w:t>
            </w:r>
            <w:r w:rsidR="00CC58B2">
              <w:rPr>
                <w:noProof/>
                <w:webHidden/>
              </w:rPr>
              <w:fldChar w:fldCharType="end"/>
            </w:r>
          </w:hyperlink>
        </w:p>
        <w:p w14:paraId="4C1C97EF" w14:textId="2856DC91"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33" w:history="1">
            <w:r w:rsidR="00CC58B2" w:rsidRPr="00B96367">
              <w:rPr>
                <w:rStyle w:val="Hyperlink"/>
                <w:noProof/>
                <w:lang w:val="en-AU"/>
              </w:rPr>
              <w:t>3.1</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Portfolio Logic</w:t>
            </w:r>
            <w:r w:rsidR="00CC58B2">
              <w:rPr>
                <w:noProof/>
                <w:webHidden/>
              </w:rPr>
              <w:tab/>
            </w:r>
            <w:r w:rsidR="00CC58B2">
              <w:rPr>
                <w:noProof/>
                <w:webHidden/>
              </w:rPr>
              <w:fldChar w:fldCharType="begin"/>
            </w:r>
            <w:r w:rsidR="00CC58B2">
              <w:rPr>
                <w:noProof/>
                <w:webHidden/>
              </w:rPr>
              <w:instrText xml:space="preserve"> PAGEREF _Toc174029033 \h </w:instrText>
            </w:r>
            <w:r w:rsidR="00CC58B2">
              <w:rPr>
                <w:noProof/>
                <w:webHidden/>
              </w:rPr>
            </w:r>
            <w:r w:rsidR="00CC58B2">
              <w:rPr>
                <w:noProof/>
                <w:webHidden/>
              </w:rPr>
              <w:fldChar w:fldCharType="separate"/>
            </w:r>
            <w:r w:rsidR="00CC58B2">
              <w:rPr>
                <w:noProof/>
                <w:webHidden/>
              </w:rPr>
              <w:t>17</w:t>
            </w:r>
            <w:r w:rsidR="00CC58B2">
              <w:rPr>
                <w:noProof/>
                <w:webHidden/>
              </w:rPr>
              <w:fldChar w:fldCharType="end"/>
            </w:r>
          </w:hyperlink>
        </w:p>
        <w:p w14:paraId="7FFD89DB" w14:textId="6E97FC5C"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34" w:history="1">
            <w:r w:rsidR="00CC58B2" w:rsidRPr="00B96367">
              <w:rPr>
                <w:rStyle w:val="Hyperlink"/>
                <w:noProof/>
                <w:lang w:val="en-AU"/>
              </w:rPr>
              <w:t>3.2</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Delivery Approach</w:t>
            </w:r>
            <w:r w:rsidR="00CC58B2">
              <w:rPr>
                <w:noProof/>
                <w:webHidden/>
              </w:rPr>
              <w:tab/>
            </w:r>
            <w:r w:rsidR="00CC58B2">
              <w:rPr>
                <w:noProof/>
                <w:webHidden/>
              </w:rPr>
              <w:fldChar w:fldCharType="begin"/>
            </w:r>
            <w:r w:rsidR="00CC58B2">
              <w:rPr>
                <w:noProof/>
                <w:webHidden/>
              </w:rPr>
              <w:instrText xml:space="preserve"> PAGEREF _Toc174029034 \h </w:instrText>
            </w:r>
            <w:r w:rsidR="00CC58B2">
              <w:rPr>
                <w:noProof/>
                <w:webHidden/>
              </w:rPr>
            </w:r>
            <w:r w:rsidR="00CC58B2">
              <w:rPr>
                <w:noProof/>
                <w:webHidden/>
              </w:rPr>
              <w:fldChar w:fldCharType="separate"/>
            </w:r>
            <w:r w:rsidR="00CC58B2">
              <w:rPr>
                <w:noProof/>
                <w:webHidden/>
              </w:rPr>
              <w:t>25</w:t>
            </w:r>
            <w:r w:rsidR="00CC58B2">
              <w:rPr>
                <w:noProof/>
                <w:webHidden/>
              </w:rPr>
              <w:fldChar w:fldCharType="end"/>
            </w:r>
          </w:hyperlink>
        </w:p>
        <w:p w14:paraId="3C9E9530" w14:textId="7159659E" w:rsidR="00CC58B2" w:rsidRDefault="004947C2">
          <w:pPr>
            <w:pStyle w:val="TOC1"/>
            <w:rPr>
              <w:rFonts w:eastAsiaTheme="minorEastAsia" w:cstheme="minorBidi"/>
              <w:b w:val="0"/>
              <w:bCs w:val="0"/>
              <w:caps w:val="0"/>
              <w:noProof/>
              <w:color w:val="auto"/>
              <w:kern w:val="2"/>
              <w:sz w:val="22"/>
              <w:szCs w:val="22"/>
              <w:lang w:val="en-AU" w:eastAsia="en-AU"/>
              <w14:ligatures w14:val="standardContextual"/>
            </w:rPr>
          </w:pPr>
          <w:hyperlink w:anchor="_Toc174029035" w:history="1">
            <w:r w:rsidR="00CC58B2" w:rsidRPr="00B96367">
              <w:rPr>
                <w:rStyle w:val="Hyperlink"/>
                <w:noProof/>
                <w:lang w:val="en-AU"/>
              </w:rPr>
              <w:t>4.</w:t>
            </w:r>
            <w:r w:rsidR="00CC58B2">
              <w:rPr>
                <w:rFonts w:eastAsiaTheme="minorEastAsia" w:cstheme="minorBidi"/>
                <w:b w:val="0"/>
                <w:bCs w:val="0"/>
                <w:caps w:val="0"/>
                <w:noProof/>
                <w:color w:val="auto"/>
                <w:kern w:val="2"/>
                <w:sz w:val="22"/>
                <w:szCs w:val="22"/>
                <w:lang w:val="en-AU" w:eastAsia="en-AU"/>
                <w14:ligatures w14:val="standardContextual"/>
              </w:rPr>
              <w:tab/>
            </w:r>
            <w:r w:rsidR="00CC58B2" w:rsidRPr="00B96367">
              <w:rPr>
                <w:rStyle w:val="Hyperlink"/>
                <w:noProof/>
                <w:lang w:val="en-AU"/>
              </w:rPr>
              <w:t>Implementation Arrangements</w:t>
            </w:r>
            <w:r w:rsidR="00CC58B2">
              <w:rPr>
                <w:noProof/>
                <w:webHidden/>
              </w:rPr>
              <w:tab/>
            </w:r>
            <w:r w:rsidR="00CC58B2">
              <w:rPr>
                <w:noProof/>
                <w:webHidden/>
              </w:rPr>
              <w:fldChar w:fldCharType="begin"/>
            </w:r>
            <w:r w:rsidR="00CC58B2">
              <w:rPr>
                <w:noProof/>
                <w:webHidden/>
              </w:rPr>
              <w:instrText xml:space="preserve"> PAGEREF _Toc174029035 \h </w:instrText>
            </w:r>
            <w:r w:rsidR="00CC58B2">
              <w:rPr>
                <w:noProof/>
                <w:webHidden/>
              </w:rPr>
            </w:r>
            <w:r w:rsidR="00CC58B2">
              <w:rPr>
                <w:noProof/>
                <w:webHidden/>
              </w:rPr>
              <w:fldChar w:fldCharType="separate"/>
            </w:r>
            <w:r w:rsidR="00CC58B2">
              <w:rPr>
                <w:noProof/>
                <w:webHidden/>
              </w:rPr>
              <w:t>29</w:t>
            </w:r>
            <w:r w:rsidR="00CC58B2">
              <w:rPr>
                <w:noProof/>
                <w:webHidden/>
              </w:rPr>
              <w:fldChar w:fldCharType="end"/>
            </w:r>
          </w:hyperlink>
        </w:p>
        <w:p w14:paraId="2ACE2B61" w14:textId="6B2673A7"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36" w:history="1">
            <w:r w:rsidR="00CC58B2" w:rsidRPr="00B96367">
              <w:rPr>
                <w:rStyle w:val="Hyperlink"/>
                <w:noProof/>
                <w:lang w:val="en-AU"/>
              </w:rPr>
              <w:t>4.1</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DFAT Governance arrangements</w:t>
            </w:r>
            <w:r w:rsidR="00CC58B2">
              <w:rPr>
                <w:noProof/>
                <w:webHidden/>
              </w:rPr>
              <w:tab/>
            </w:r>
            <w:r w:rsidR="00CC58B2">
              <w:rPr>
                <w:noProof/>
                <w:webHidden/>
              </w:rPr>
              <w:fldChar w:fldCharType="begin"/>
            </w:r>
            <w:r w:rsidR="00CC58B2">
              <w:rPr>
                <w:noProof/>
                <w:webHidden/>
              </w:rPr>
              <w:instrText xml:space="preserve"> PAGEREF _Toc174029036 \h </w:instrText>
            </w:r>
            <w:r w:rsidR="00CC58B2">
              <w:rPr>
                <w:noProof/>
                <w:webHidden/>
              </w:rPr>
            </w:r>
            <w:r w:rsidR="00CC58B2">
              <w:rPr>
                <w:noProof/>
                <w:webHidden/>
              </w:rPr>
              <w:fldChar w:fldCharType="separate"/>
            </w:r>
            <w:r w:rsidR="00CC58B2">
              <w:rPr>
                <w:noProof/>
                <w:webHidden/>
              </w:rPr>
              <w:t>29</w:t>
            </w:r>
            <w:r w:rsidR="00CC58B2">
              <w:rPr>
                <w:noProof/>
                <w:webHidden/>
              </w:rPr>
              <w:fldChar w:fldCharType="end"/>
            </w:r>
          </w:hyperlink>
        </w:p>
        <w:p w14:paraId="4262F304" w14:textId="06C6E4CB"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37" w:history="1">
            <w:r w:rsidR="00CC58B2" w:rsidRPr="00B96367">
              <w:rPr>
                <w:rStyle w:val="Hyperlink"/>
                <w:noProof/>
                <w:lang w:val="en-AU"/>
              </w:rPr>
              <w:t>4.2</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Engagement with counterparts and policy dialogue</w:t>
            </w:r>
            <w:r w:rsidR="00CC58B2">
              <w:rPr>
                <w:noProof/>
                <w:webHidden/>
              </w:rPr>
              <w:tab/>
            </w:r>
            <w:r w:rsidR="00CC58B2">
              <w:rPr>
                <w:noProof/>
                <w:webHidden/>
              </w:rPr>
              <w:fldChar w:fldCharType="begin"/>
            </w:r>
            <w:r w:rsidR="00CC58B2">
              <w:rPr>
                <w:noProof/>
                <w:webHidden/>
              </w:rPr>
              <w:instrText xml:space="preserve"> PAGEREF _Toc174029037 \h </w:instrText>
            </w:r>
            <w:r w:rsidR="00CC58B2">
              <w:rPr>
                <w:noProof/>
                <w:webHidden/>
              </w:rPr>
            </w:r>
            <w:r w:rsidR="00CC58B2">
              <w:rPr>
                <w:noProof/>
                <w:webHidden/>
              </w:rPr>
              <w:fldChar w:fldCharType="separate"/>
            </w:r>
            <w:r w:rsidR="00CC58B2">
              <w:rPr>
                <w:noProof/>
                <w:webHidden/>
              </w:rPr>
              <w:t>30</w:t>
            </w:r>
            <w:r w:rsidR="00CC58B2">
              <w:rPr>
                <w:noProof/>
                <w:webHidden/>
              </w:rPr>
              <w:fldChar w:fldCharType="end"/>
            </w:r>
          </w:hyperlink>
        </w:p>
        <w:p w14:paraId="6911C4EE" w14:textId="19FBD173"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38" w:history="1">
            <w:r w:rsidR="00CC58B2" w:rsidRPr="00B96367">
              <w:rPr>
                <w:rStyle w:val="Hyperlink"/>
                <w:noProof/>
                <w:lang w:val="en-AU"/>
              </w:rPr>
              <w:t>4.3</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Investment Selection</w:t>
            </w:r>
            <w:r w:rsidR="00CC58B2">
              <w:rPr>
                <w:noProof/>
                <w:webHidden/>
              </w:rPr>
              <w:tab/>
            </w:r>
            <w:r w:rsidR="00CC58B2">
              <w:rPr>
                <w:noProof/>
                <w:webHidden/>
              </w:rPr>
              <w:fldChar w:fldCharType="begin"/>
            </w:r>
            <w:r w:rsidR="00CC58B2">
              <w:rPr>
                <w:noProof/>
                <w:webHidden/>
              </w:rPr>
              <w:instrText xml:space="preserve"> PAGEREF _Toc174029038 \h </w:instrText>
            </w:r>
            <w:r w:rsidR="00CC58B2">
              <w:rPr>
                <w:noProof/>
                <w:webHidden/>
              </w:rPr>
            </w:r>
            <w:r w:rsidR="00CC58B2">
              <w:rPr>
                <w:noProof/>
                <w:webHidden/>
              </w:rPr>
              <w:fldChar w:fldCharType="separate"/>
            </w:r>
            <w:r w:rsidR="00CC58B2">
              <w:rPr>
                <w:noProof/>
                <w:webHidden/>
              </w:rPr>
              <w:t>30</w:t>
            </w:r>
            <w:r w:rsidR="00CC58B2">
              <w:rPr>
                <w:noProof/>
                <w:webHidden/>
              </w:rPr>
              <w:fldChar w:fldCharType="end"/>
            </w:r>
          </w:hyperlink>
        </w:p>
        <w:p w14:paraId="69BCCE8D" w14:textId="72BEAB00"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39" w:history="1">
            <w:r w:rsidR="00CC58B2" w:rsidRPr="00B96367">
              <w:rPr>
                <w:rStyle w:val="Hyperlink"/>
                <w:noProof/>
                <w:lang w:val="en-AU"/>
              </w:rPr>
              <w:t>4.4</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Pipeline planning</w:t>
            </w:r>
            <w:r w:rsidR="00CC58B2">
              <w:rPr>
                <w:noProof/>
                <w:webHidden/>
              </w:rPr>
              <w:tab/>
            </w:r>
            <w:r w:rsidR="00CC58B2">
              <w:rPr>
                <w:noProof/>
                <w:webHidden/>
              </w:rPr>
              <w:fldChar w:fldCharType="begin"/>
            </w:r>
            <w:r w:rsidR="00CC58B2">
              <w:rPr>
                <w:noProof/>
                <w:webHidden/>
              </w:rPr>
              <w:instrText xml:space="preserve"> PAGEREF _Toc174029039 \h </w:instrText>
            </w:r>
            <w:r w:rsidR="00CC58B2">
              <w:rPr>
                <w:noProof/>
                <w:webHidden/>
              </w:rPr>
            </w:r>
            <w:r w:rsidR="00CC58B2">
              <w:rPr>
                <w:noProof/>
                <w:webHidden/>
              </w:rPr>
              <w:fldChar w:fldCharType="separate"/>
            </w:r>
            <w:r w:rsidR="00CC58B2">
              <w:rPr>
                <w:noProof/>
                <w:webHidden/>
              </w:rPr>
              <w:t>31</w:t>
            </w:r>
            <w:r w:rsidR="00CC58B2">
              <w:rPr>
                <w:noProof/>
                <w:webHidden/>
              </w:rPr>
              <w:fldChar w:fldCharType="end"/>
            </w:r>
          </w:hyperlink>
        </w:p>
        <w:p w14:paraId="0B4CED3D" w14:textId="73D6BD4B"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40" w:history="1">
            <w:r w:rsidR="00CC58B2" w:rsidRPr="00B96367">
              <w:rPr>
                <w:rStyle w:val="Hyperlink"/>
                <w:noProof/>
                <w:lang w:val="en-AU"/>
              </w:rPr>
              <w:t>4.5</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Early activities and Interim Pipeline process</w:t>
            </w:r>
            <w:r w:rsidR="00CC58B2">
              <w:rPr>
                <w:noProof/>
                <w:webHidden/>
              </w:rPr>
              <w:tab/>
            </w:r>
            <w:r w:rsidR="00CC58B2">
              <w:rPr>
                <w:noProof/>
                <w:webHidden/>
              </w:rPr>
              <w:fldChar w:fldCharType="begin"/>
            </w:r>
            <w:r w:rsidR="00CC58B2">
              <w:rPr>
                <w:noProof/>
                <w:webHidden/>
              </w:rPr>
              <w:instrText xml:space="preserve"> PAGEREF _Toc174029040 \h </w:instrText>
            </w:r>
            <w:r w:rsidR="00CC58B2">
              <w:rPr>
                <w:noProof/>
                <w:webHidden/>
              </w:rPr>
            </w:r>
            <w:r w:rsidR="00CC58B2">
              <w:rPr>
                <w:noProof/>
                <w:webHidden/>
              </w:rPr>
              <w:fldChar w:fldCharType="separate"/>
            </w:r>
            <w:r w:rsidR="00CC58B2">
              <w:rPr>
                <w:noProof/>
                <w:webHidden/>
              </w:rPr>
              <w:t>32</w:t>
            </w:r>
            <w:r w:rsidR="00CC58B2">
              <w:rPr>
                <w:noProof/>
                <w:webHidden/>
              </w:rPr>
              <w:fldChar w:fldCharType="end"/>
            </w:r>
          </w:hyperlink>
        </w:p>
        <w:p w14:paraId="2135F3DC" w14:textId="3439F74F"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41" w:history="1">
            <w:r w:rsidR="00CC58B2" w:rsidRPr="00B96367">
              <w:rPr>
                <w:rStyle w:val="Hyperlink"/>
                <w:noProof/>
                <w:lang w:val="en-AU"/>
              </w:rPr>
              <w:t>4.6</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Thematic Delivery Strategies</w:t>
            </w:r>
            <w:r w:rsidR="00CC58B2">
              <w:rPr>
                <w:noProof/>
                <w:webHidden/>
              </w:rPr>
              <w:tab/>
            </w:r>
            <w:r w:rsidR="00CC58B2">
              <w:rPr>
                <w:noProof/>
                <w:webHidden/>
              </w:rPr>
              <w:fldChar w:fldCharType="begin"/>
            </w:r>
            <w:r w:rsidR="00CC58B2">
              <w:rPr>
                <w:noProof/>
                <w:webHidden/>
              </w:rPr>
              <w:instrText xml:space="preserve"> PAGEREF _Toc174029041 \h </w:instrText>
            </w:r>
            <w:r w:rsidR="00CC58B2">
              <w:rPr>
                <w:noProof/>
                <w:webHidden/>
              </w:rPr>
            </w:r>
            <w:r w:rsidR="00CC58B2">
              <w:rPr>
                <w:noProof/>
                <w:webHidden/>
              </w:rPr>
              <w:fldChar w:fldCharType="separate"/>
            </w:r>
            <w:r w:rsidR="00CC58B2">
              <w:rPr>
                <w:noProof/>
                <w:webHidden/>
              </w:rPr>
              <w:t>32</w:t>
            </w:r>
            <w:r w:rsidR="00CC58B2">
              <w:rPr>
                <w:noProof/>
                <w:webHidden/>
              </w:rPr>
              <w:fldChar w:fldCharType="end"/>
            </w:r>
          </w:hyperlink>
        </w:p>
        <w:p w14:paraId="2DD90954" w14:textId="5601D998"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42" w:history="1">
            <w:r w:rsidR="00CC58B2" w:rsidRPr="00B96367">
              <w:rPr>
                <w:rStyle w:val="Hyperlink"/>
                <w:noProof/>
                <w:lang w:val="en-AU"/>
              </w:rPr>
              <w:t>4.7</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Country plans</w:t>
            </w:r>
            <w:r w:rsidR="00CC58B2">
              <w:rPr>
                <w:noProof/>
                <w:webHidden/>
              </w:rPr>
              <w:tab/>
            </w:r>
            <w:r w:rsidR="00CC58B2">
              <w:rPr>
                <w:noProof/>
                <w:webHidden/>
              </w:rPr>
              <w:fldChar w:fldCharType="begin"/>
            </w:r>
            <w:r w:rsidR="00CC58B2">
              <w:rPr>
                <w:noProof/>
                <w:webHidden/>
              </w:rPr>
              <w:instrText xml:space="preserve"> PAGEREF _Toc174029042 \h </w:instrText>
            </w:r>
            <w:r w:rsidR="00CC58B2">
              <w:rPr>
                <w:noProof/>
                <w:webHidden/>
              </w:rPr>
            </w:r>
            <w:r w:rsidR="00CC58B2">
              <w:rPr>
                <w:noProof/>
                <w:webHidden/>
              </w:rPr>
              <w:fldChar w:fldCharType="separate"/>
            </w:r>
            <w:r w:rsidR="00CC58B2">
              <w:rPr>
                <w:noProof/>
                <w:webHidden/>
              </w:rPr>
              <w:t>33</w:t>
            </w:r>
            <w:r w:rsidR="00CC58B2">
              <w:rPr>
                <w:noProof/>
                <w:webHidden/>
              </w:rPr>
              <w:fldChar w:fldCharType="end"/>
            </w:r>
          </w:hyperlink>
        </w:p>
        <w:p w14:paraId="7A479D26" w14:textId="3876AD7E"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43" w:history="1">
            <w:r w:rsidR="00CC58B2" w:rsidRPr="00B96367">
              <w:rPr>
                <w:rStyle w:val="Hyperlink"/>
                <w:noProof/>
                <w:lang w:val="en-AU"/>
              </w:rPr>
              <w:t>4.8</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DFAT Roles and responsibilities</w:t>
            </w:r>
            <w:r w:rsidR="00CC58B2">
              <w:rPr>
                <w:noProof/>
                <w:webHidden/>
              </w:rPr>
              <w:tab/>
            </w:r>
            <w:r w:rsidR="00CC58B2">
              <w:rPr>
                <w:noProof/>
                <w:webHidden/>
              </w:rPr>
              <w:fldChar w:fldCharType="begin"/>
            </w:r>
            <w:r w:rsidR="00CC58B2">
              <w:rPr>
                <w:noProof/>
                <w:webHidden/>
              </w:rPr>
              <w:instrText xml:space="preserve"> PAGEREF _Toc174029043 \h </w:instrText>
            </w:r>
            <w:r w:rsidR="00CC58B2">
              <w:rPr>
                <w:noProof/>
                <w:webHidden/>
              </w:rPr>
            </w:r>
            <w:r w:rsidR="00CC58B2">
              <w:rPr>
                <w:noProof/>
                <w:webHidden/>
              </w:rPr>
              <w:fldChar w:fldCharType="separate"/>
            </w:r>
            <w:r w:rsidR="00CC58B2">
              <w:rPr>
                <w:noProof/>
                <w:webHidden/>
              </w:rPr>
              <w:t>33</w:t>
            </w:r>
            <w:r w:rsidR="00CC58B2">
              <w:rPr>
                <w:noProof/>
                <w:webHidden/>
              </w:rPr>
              <w:fldChar w:fldCharType="end"/>
            </w:r>
          </w:hyperlink>
        </w:p>
        <w:p w14:paraId="2864BF81" w14:textId="45B87B3D"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44" w:history="1">
            <w:r w:rsidR="00CC58B2" w:rsidRPr="00B96367">
              <w:rPr>
                <w:rStyle w:val="Hyperlink"/>
                <w:noProof/>
                <w:lang w:val="en-AU"/>
              </w:rPr>
              <w:t>4.9</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Support Services contractor</w:t>
            </w:r>
            <w:r w:rsidR="00CC58B2">
              <w:rPr>
                <w:noProof/>
                <w:webHidden/>
              </w:rPr>
              <w:tab/>
            </w:r>
            <w:r w:rsidR="00CC58B2">
              <w:rPr>
                <w:noProof/>
                <w:webHidden/>
              </w:rPr>
              <w:fldChar w:fldCharType="begin"/>
            </w:r>
            <w:r w:rsidR="00CC58B2">
              <w:rPr>
                <w:noProof/>
                <w:webHidden/>
              </w:rPr>
              <w:instrText xml:space="preserve"> PAGEREF _Toc174029044 \h </w:instrText>
            </w:r>
            <w:r w:rsidR="00CC58B2">
              <w:rPr>
                <w:noProof/>
                <w:webHidden/>
              </w:rPr>
            </w:r>
            <w:r w:rsidR="00CC58B2">
              <w:rPr>
                <w:noProof/>
                <w:webHidden/>
              </w:rPr>
              <w:fldChar w:fldCharType="separate"/>
            </w:r>
            <w:r w:rsidR="00CC58B2">
              <w:rPr>
                <w:noProof/>
                <w:webHidden/>
              </w:rPr>
              <w:t>34</w:t>
            </w:r>
            <w:r w:rsidR="00CC58B2">
              <w:rPr>
                <w:noProof/>
                <w:webHidden/>
              </w:rPr>
              <w:fldChar w:fldCharType="end"/>
            </w:r>
          </w:hyperlink>
        </w:p>
        <w:p w14:paraId="3C1385B7" w14:textId="3FF2F34D"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45" w:history="1">
            <w:r w:rsidR="00CC58B2" w:rsidRPr="00B96367">
              <w:rPr>
                <w:rStyle w:val="Hyperlink"/>
                <w:noProof/>
                <w:lang w:val="en-AU"/>
              </w:rPr>
              <w:t>4.10</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Public diplomacy, profile and strategic Communication</w:t>
            </w:r>
            <w:r w:rsidR="00CC58B2">
              <w:rPr>
                <w:noProof/>
                <w:webHidden/>
              </w:rPr>
              <w:tab/>
            </w:r>
            <w:r w:rsidR="00CC58B2">
              <w:rPr>
                <w:noProof/>
                <w:webHidden/>
              </w:rPr>
              <w:fldChar w:fldCharType="begin"/>
            </w:r>
            <w:r w:rsidR="00CC58B2">
              <w:rPr>
                <w:noProof/>
                <w:webHidden/>
              </w:rPr>
              <w:instrText xml:space="preserve"> PAGEREF _Toc174029045 \h </w:instrText>
            </w:r>
            <w:r w:rsidR="00CC58B2">
              <w:rPr>
                <w:noProof/>
                <w:webHidden/>
              </w:rPr>
            </w:r>
            <w:r w:rsidR="00CC58B2">
              <w:rPr>
                <w:noProof/>
                <w:webHidden/>
              </w:rPr>
              <w:fldChar w:fldCharType="separate"/>
            </w:r>
            <w:r w:rsidR="00CC58B2">
              <w:rPr>
                <w:noProof/>
                <w:webHidden/>
              </w:rPr>
              <w:t>35</w:t>
            </w:r>
            <w:r w:rsidR="00CC58B2">
              <w:rPr>
                <w:noProof/>
                <w:webHidden/>
              </w:rPr>
              <w:fldChar w:fldCharType="end"/>
            </w:r>
          </w:hyperlink>
        </w:p>
        <w:p w14:paraId="53FD8CC1" w14:textId="5B242C3E"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46" w:history="1">
            <w:r w:rsidR="00CC58B2" w:rsidRPr="00B96367">
              <w:rPr>
                <w:rStyle w:val="Hyperlink"/>
                <w:noProof/>
                <w:lang w:val="en-AU"/>
              </w:rPr>
              <w:t>4.11</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Sustainability</w:t>
            </w:r>
            <w:r w:rsidR="00CC58B2">
              <w:rPr>
                <w:noProof/>
                <w:webHidden/>
              </w:rPr>
              <w:tab/>
            </w:r>
            <w:r w:rsidR="00CC58B2">
              <w:rPr>
                <w:noProof/>
                <w:webHidden/>
              </w:rPr>
              <w:fldChar w:fldCharType="begin"/>
            </w:r>
            <w:r w:rsidR="00CC58B2">
              <w:rPr>
                <w:noProof/>
                <w:webHidden/>
              </w:rPr>
              <w:instrText xml:space="preserve"> PAGEREF _Toc174029046 \h </w:instrText>
            </w:r>
            <w:r w:rsidR="00CC58B2">
              <w:rPr>
                <w:noProof/>
                <w:webHidden/>
              </w:rPr>
            </w:r>
            <w:r w:rsidR="00CC58B2">
              <w:rPr>
                <w:noProof/>
                <w:webHidden/>
              </w:rPr>
              <w:fldChar w:fldCharType="separate"/>
            </w:r>
            <w:r w:rsidR="00CC58B2">
              <w:rPr>
                <w:noProof/>
                <w:webHidden/>
              </w:rPr>
              <w:t>36</w:t>
            </w:r>
            <w:r w:rsidR="00CC58B2">
              <w:rPr>
                <w:noProof/>
                <w:webHidden/>
              </w:rPr>
              <w:fldChar w:fldCharType="end"/>
            </w:r>
          </w:hyperlink>
        </w:p>
        <w:p w14:paraId="410DA8B2" w14:textId="504D3611" w:rsidR="00CC58B2" w:rsidRDefault="004947C2">
          <w:pPr>
            <w:pStyle w:val="TOC1"/>
            <w:rPr>
              <w:rFonts w:eastAsiaTheme="minorEastAsia" w:cstheme="minorBidi"/>
              <w:b w:val="0"/>
              <w:bCs w:val="0"/>
              <w:caps w:val="0"/>
              <w:noProof/>
              <w:color w:val="auto"/>
              <w:kern w:val="2"/>
              <w:sz w:val="22"/>
              <w:szCs w:val="22"/>
              <w:lang w:val="en-AU" w:eastAsia="en-AU"/>
              <w14:ligatures w14:val="standardContextual"/>
            </w:rPr>
          </w:pPr>
          <w:hyperlink w:anchor="_Toc174029047" w:history="1">
            <w:r w:rsidR="00CC58B2" w:rsidRPr="00B96367">
              <w:rPr>
                <w:rStyle w:val="Hyperlink"/>
                <w:noProof/>
                <w:lang w:val="en-AU"/>
              </w:rPr>
              <w:t>5.</w:t>
            </w:r>
            <w:r w:rsidR="00CC58B2">
              <w:rPr>
                <w:rFonts w:eastAsiaTheme="minorEastAsia" w:cstheme="minorBidi"/>
                <w:b w:val="0"/>
                <w:bCs w:val="0"/>
                <w:caps w:val="0"/>
                <w:noProof/>
                <w:color w:val="auto"/>
                <w:kern w:val="2"/>
                <w:sz w:val="22"/>
                <w:szCs w:val="22"/>
                <w:lang w:val="en-AU" w:eastAsia="en-AU"/>
                <w14:ligatures w14:val="standardContextual"/>
              </w:rPr>
              <w:tab/>
            </w:r>
            <w:r w:rsidR="00CC58B2" w:rsidRPr="00B96367">
              <w:rPr>
                <w:rStyle w:val="Hyperlink"/>
                <w:noProof/>
                <w:lang w:val="en-AU"/>
              </w:rPr>
              <w:t>Gender Equality, Disability and Social Inclusion, CLIMATE Change, locally led development</w:t>
            </w:r>
            <w:r w:rsidR="00CC58B2">
              <w:rPr>
                <w:noProof/>
                <w:webHidden/>
              </w:rPr>
              <w:tab/>
            </w:r>
            <w:r w:rsidR="00CC58B2">
              <w:rPr>
                <w:noProof/>
                <w:webHidden/>
              </w:rPr>
              <w:fldChar w:fldCharType="begin"/>
            </w:r>
            <w:r w:rsidR="00CC58B2">
              <w:rPr>
                <w:noProof/>
                <w:webHidden/>
              </w:rPr>
              <w:instrText xml:space="preserve"> PAGEREF _Toc174029047 \h </w:instrText>
            </w:r>
            <w:r w:rsidR="00CC58B2">
              <w:rPr>
                <w:noProof/>
                <w:webHidden/>
              </w:rPr>
            </w:r>
            <w:r w:rsidR="00CC58B2">
              <w:rPr>
                <w:noProof/>
                <w:webHidden/>
              </w:rPr>
              <w:fldChar w:fldCharType="separate"/>
            </w:r>
            <w:r w:rsidR="00CC58B2">
              <w:rPr>
                <w:noProof/>
                <w:webHidden/>
              </w:rPr>
              <w:t>36</w:t>
            </w:r>
            <w:r w:rsidR="00CC58B2">
              <w:rPr>
                <w:noProof/>
                <w:webHidden/>
              </w:rPr>
              <w:fldChar w:fldCharType="end"/>
            </w:r>
          </w:hyperlink>
        </w:p>
        <w:p w14:paraId="440D93AC" w14:textId="21D55EBF"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48" w:history="1">
            <w:r w:rsidR="00CC58B2" w:rsidRPr="00B96367">
              <w:rPr>
                <w:rStyle w:val="Hyperlink"/>
                <w:noProof/>
                <w:lang w:val="en-AU"/>
              </w:rPr>
              <w:t>5.1</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Gender Equality</w:t>
            </w:r>
            <w:r w:rsidR="00CC58B2">
              <w:rPr>
                <w:noProof/>
                <w:webHidden/>
              </w:rPr>
              <w:tab/>
            </w:r>
            <w:r w:rsidR="00CC58B2">
              <w:rPr>
                <w:noProof/>
                <w:webHidden/>
              </w:rPr>
              <w:fldChar w:fldCharType="begin"/>
            </w:r>
            <w:r w:rsidR="00CC58B2">
              <w:rPr>
                <w:noProof/>
                <w:webHidden/>
              </w:rPr>
              <w:instrText xml:space="preserve"> PAGEREF _Toc174029048 \h </w:instrText>
            </w:r>
            <w:r w:rsidR="00CC58B2">
              <w:rPr>
                <w:noProof/>
                <w:webHidden/>
              </w:rPr>
            </w:r>
            <w:r w:rsidR="00CC58B2">
              <w:rPr>
                <w:noProof/>
                <w:webHidden/>
              </w:rPr>
              <w:fldChar w:fldCharType="separate"/>
            </w:r>
            <w:r w:rsidR="00CC58B2">
              <w:rPr>
                <w:noProof/>
                <w:webHidden/>
              </w:rPr>
              <w:t>39</w:t>
            </w:r>
            <w:r w:rsidR="00CC58B2">
              <w:rPr>
                <w:noProof/>
                <w:webHidden/>
              </w:rPr>
              <w:fldChar w:fldCharType="end"/>
            </w:r>
          </w:hyperlink>
        </w:p>
        <w:p w14:paraId="57E7139C" w14:textId="708CA005"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49" w:history="1">
            <w:r w:rsidR="00CC58B2" w:rsidRPr="00B96367">
              <w:rPr>
                <w:rStyle w:val="Hyperlink"/>
                <w:noProof/>
                <w:lang w:val="en-AU"/>
              </w:rPr>
              <w:t>5.2</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Disability Inclusiveness</w:t>
            </w:r>
            <w:r w:rsidR="00CC58B2">
              <w:rPr>
                <w:noProof/>
                <w:webHidden/>
              </w:rPr>
              <w:tab/>
            </w:r>
            <w:r w:rsidR="00CC58B2">
              <w:rPr>
                <w:noProof/>
                <w:webHidden/>
              </w:rPr>
              <w:fldChar w:fldCharType="begin"/>
            </w:r>
            <w:r w:rsidR="00CC58B2">
              <w:rPr>
                <w:noProof/>
                <w:webHidden/>
              </w:rPr>
              <w:instrText xml:space="preserve"> PAGEREF _Toc174029049 \h </w:instrText>
            </w:r>
            <w:r w:rsidR="00CC58B2">
              <w:rPr>
                <w:noProof/>
                <w:webHidden/>
              </w:rPr>
            </w:r>
            <w:r w:rsidR="00CC58B2">
              <w:rPr>
                <w:noProof/>
                <w:webHidden/>
              </w:rPr>
              <w:fldChar w:fldCharType="separate"/>
            </w:r>
            <w:r w:rsidR="00CC58B2">
              <w:rPr>
                <w:noProof/>
                <w:webHidden/>
              </w:rPr>
              <w:t>40</w:t>
            </w:r>
            <w:r w:rsidR="00CC58B2">
              <w:rPr>
                <w:noProof/>
                <w:webHidden/>
              </w:rPr>
              <w:fldChar w:fldCharType="end"/>
            </w:r>
          </w:hyperlink>
        </w:p>
        <w:p w14:paraId="56E8379D" w14:textId="346F53E0"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50" w:history="1">
            <w:r w:rsidR="00CC58B2" w:rsidRPr="00B96367">
              <w:rPr>
                <w:rStyle w:val="Hyperlink"/>
                <w:noProof/>
                <w:lang w:val="en-AU"/>
              </w:rPr>
              <w:t>5.3</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Indigenous peoples, ethnic minorities and other margInalised people</w:t>
            </w:r>
            <w:r w:rsidR="00CC58B2">
              <w:rPr>
                <w:noProof/>
                <w:webHidden/>
              </w:rPr>
              <w:tab/>
            </w:r>
            <w:r w:rsidR="00CC58B2">
              <w:rPr>
                <w:noProof/>
                <w:webHidden/>
              </w:rPr>
              <w:fldChar w:fldCharType="begin"/>
            </w:r>
            <w:r w:rsidR="00CC58B2">
              <w:rPr>
                <w:noProof/>
                <w:webHidden/>
              </w:rPr>
              <w:instrText xml:space="preserve"> PAGEREF _Toc174029050 \h </w:instrText>
            </w:r>
            <w:r w:rsidR="00CC58B2">
              <w:rPr>
                <w:noProof/>
                <w:webHidden/>
              </w:rPr>
            </w:r>
            <w:r w:rsidR="00CC58B2">
              <w:rPr>
                <w:noProof/>
                <w:webHidden/>
              </w:rPr>
              <w:fldChar w:fldCharType="separate"/>
            </w:r>
            <w:r w:rsidR="00CC58B2">
              <w:rPr>
                <w:noProof/>
                <w:webHidden/>
              </w:rPr>
              <w:t>41</w:t>
            </w:r>
            <w:r w:rsidR="00CC58B2">
              <w:rPr>
                <w:noProof/>
                <w:webHidden/>
              </w:rPr>
              <w:fldChar w:fldCharType="end"/>
            </w:r>
          </w:hyperlink>
        </w:p>
        <w:p w14:paraId="25AA6A1D" w14:textId="17839A64"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51" w:history="1">
            <w:r w:rsidR="00CC58B2" w:rsidRPr="00B96367">
              <w:rPr>
                <w:rStyle w:val="Hyperlink"/>
                <w:noProof/>
                <w:lang w:val="en-AU"/>
              </w:rPr>
              <w:t>5.4</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Climate Change</w:t>
            </w:r>
            <w:r w:rsidR="00CC58B2">
              <w:rPr>
                <w:noProof/>
                <w:webHidden/>
              </w:rPr>
              <w:tab/>
            </w:r>
            <w:r w:rsidR="00CC58B2">
              <w:rPr>
                <w:noProof/>
                <w:webHidden/>
              </w:rPr>
              <w:fldChar w:fldCharType="begin"/>
            </w:r>
            <w:r w:rsidR="00CC58B2">
              <w:rPr>
                <w:noProof/>
                <w:webHidden/>
              </w:rPr>
              <w:instrText xml:space="preserve"> PAGEREF _Toc174029051 \h </w:instrText>
            </w:r>
            <w:r w:rsidR="00CC58B2">
              <w:rPr>
                <w:noProof/>
                <w:webHidden/>
              </w:rPr>
            </w:r>
            <w:r w:rsidR="00CC58B2">
              <w:rPr>
                <w:noProof/>
                <w:webHidden/>
              </w:rPr>
              <w:fldChar w:fldCharType="separate"/>
            </w:r>
            <w:r w:rsidR="00CC58B2">
              <w:rPr>
                <w:noProof/>
                <w:webHidden/>
              </w:rPr>
              <w:t>41</w:t>
            </w:r>
            <w:r w:rsidR="00CC58B2">
              <w:rPr>
                <w:noProof/>
                <w:webHidden/>
              </w:rPr>
              <w:fldChar w:fldCharType="end"/>
            </w:r>
          </w:hyperlink>
        </w:p>
        <w:p w14:paraId="15B5997A" w14:textId="3EC3EB4A"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52" w:history="1">
            <w:r w:rsidR="00CC58B2" w:rsidRPr="00B96367">
              <w:rPr>
                <w:rStyle w:val="Hyperlink"/>
                <w:noProof/>
                <w:lang w:val="en-AU"/>
              </w:rPr>
              <w:t>5.5</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Locally led development and localisation</w:t>
            </w:r>
            <w:r w:rsidR="00CC58B2">
              <w:rPr>
                <w:noProof/>
                <w:webHidden/>
              </w:rPr>
              <w:tab/>
            </w:r>
            <w:r w:rsidR="00CC58B2">
              <w:rPr>
                <w:noProof/>
                <w:webHidden/>
              </w:rPr>
              <w:fldChar w:fldCharType="begin"/>
            </w:r>
            <w:r w:rsidR="00CC58B2">
              <w:rPr>
                <w:noProof/>
                <w:webHidden/>
              </w:rPr>
              <w:instrText xml:space="preserve"> PAGEREF _Toc174029052 \h </w:instrText>
            </w:r>
            <w:r w:rsidR="00CC58B2">
              <w:rPr>
                <w:noProof/>
                <w:webHidden/>
              </w:rPr>
            </w:r>
            <w:r w:rsidR="00CC58B2">
              <w:rPr>
                <w:noProof/>
                <w:webHidden/>
              </w:rPr>
              <w:fldChar w:fldCharType="separate"/>
            </w:r>
            <w:r w:rsidR="00CC58B2">
              <w:rPr>
                <w:noProof/>
                <w:webHidden/>
              </w:rPr>
              <w:t>42</w:t>
            </w:r>
            <w:r w:rsidR="00CC58B2">
              <w:rPr>
                <w:noProof/>
                <w:webHidden/>
              </w:rPr>
              <w:fldChar w:fldCharType="end"/>
            </w:r>
          </w:hyperlink>
        </w:p>
        <w:p w14:paraId="72CDA6F9" w14:textId="2B49D196" w:rsidR="00CC58B2" w:rsidRDefault="004947C2">
          <w:pPr>
            <w:pStyle w:val="TOC1"/>
            <w:rPr>
              <w:rFonts w:eastAsiaTheme="minorEastAsia" w:cstheme="minorBidi"/>
              <w:b w:val="0"/>
              <w:bCs w:val="0"/>
              <w:caps w:val="0"/>
              <w:noProof/>
              <w:color w:val="auto"/>
              <w:kern w:val="2"/>
              <w:sz w:val="22"/>
              <w:szCs w:val="22"/>
              <w:lang w:val="en-AU" w:eastAsia="en-AU"/>
              <w14:ligatures w14:val="standardContextual"/>
            </w:rPr>
          </w:pPr>
          <w:hyperlink w:anchor="_Toc174029053" w:history="1">
            <w:r w:rsidR="00CC58B2" w:rsidRPr="00B96367">
              <w:rPr>
                <w:rStyle w:val="Hyperlink"/>
                <w:noProof/>
                <w:lang w:val="en-AU"/>
              </w:rPr>
              <w:t>6.</w:t>
            </w:r>
            <w:r w:rsidR="00CC58B2">
              <w:rPr>
                <w:rFonts w:eastAsiaTheme="minorEastAsia" w:cstheme="minorBidi"/>
                <w:b w:val="0"/>
                <w:bCs w:val="0"/>
                <w:caps w:val="0"/>
                <w:noProof/>
                <w:color w:val="auto"/>
                <w:kern w:val="2"/>
                <w:sz w:val="22"/>
                <w:szCs w:val="22"/>
                <w:lang w:val="en-AU" w:eastAsia="en-AU"/>
                <w14:ligatures w14:val="standardContextual"/>
              </w:rPr>
              <w:tab/>
            </w:r>
            <w:r w:rsidR="00CC58B2" w:rsidRPr="00B96367">
              <w:rPr>
                <w:rStyle w:val="Hyperlink"/>
                <w:noProof/>
                <w:lang w:val="en-AU"/>
              </w:rPr>
              <w:t>Monitoring, Evaluation and Learning</w:t>
            </w:r>
            <w:r w:rsidR="00CC58B2">
              <w:rPr>
                <w:noProof/>
                <w:webHidden/>
              </w:rPr>
              <w:tab/>
            </w:r>
            <w:r w:rsidR="00CC58B2">
              <w:rPr>
                <w:noProof/>
                <w:webHidden/>
              </w:rPr>
              <w:fldChar w:fldCharType="begin"/>
            </w:r>
            <w:r w:rsidR="00CC58B2">
              <w:rPr>
                <w:noProof/>
                <w:webHidden/>
              </w:rPr>
              <w:instrText xml:space="preserve"> PAGEREF _Toc174029053 \h </w:instrText>
            </w:r>
            <w:r w:rsidR="00CC58B2">
              <w:rPr>
                <w:noProof/>
                <w:webHidden/>
              </w:rPr>
            </w:r>
            <w:r w:rsidR="00CC58B2">
              <w:rPr>
                <w:noProof/>
                <w:webHidden/>
              </w:rPr>
              <w:fldChar w:fldCharType="separate"/>
            </w:r>
            <w:r w:rsidR="00CC58B2">
              <w:rPr>
                <w:noProof/>
                <w:webHidden/>
              </w:rPr>
              <w:t>42</w:t>
            </w:r>
            <w:r w:rsidR="00CC58B2">
              <w:rPr>
                <w:noProof/>
                <w:webHidden/>
              </w:rPr>
              <w:fldChar w:fldCharType="end"/>
            </w:r>
          </w:hyperlink>
        </w:p>
        <w:p w14:paraId="568B8D80" w14:textId="73C9A8C6"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54" w:history="1">
            <w:r w:rsidR="00CC58B2" w:rsidRPr="00B96367">
              <w:rPr>
                <w:rStyle w:val="Hyperlink"/>
                <w:noProof/>
                <w:lang w:val="en-AU"/>
              </w:rPr>
              <w:t>6.1</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Portfolio MEL</w:t>
            </w:r>
            <w:r w:rsidR="00CC58B2">
              <w:rPr>
                <w:noProof/>
                <w:webHidden/>
              </w:rPr>
              <w:tab/>
            </w:r>
            <w:r w:rsidR="00CC58B2">
              <w:rPr>
                <w:noProof/>
                <w:webHidden/>
              </w:rPr>
              <w:fldChar w:fldCharType="begin"/>
            </w:r>
            <w:r w:rsidR="00CC58B2">
              <w:rPr>
                <w:noProof/>
                <w:webHidden/>
              </w:rPr>
              <w:instrText xml:space="preserve"> PAGEREF _Toc174029054 \h </w:instrText>
            </w:r>
            <w:r w:rsidR="00CC58B2">
              <w:rPr>
                <w:noProof/>
                <w:webHidden/>
              </w:rPr>
            </w:r>
            <w:r w:rsidR="00CC58B2">
              <w:rPr>
                <w:noProof/>
                <w:webHidden/>
              </w:rPr>
              <w:fldChar w:fldCharType="separate"/>
            </w:r>
            <w:r w:rsidR="00CC58B2">
              <w:rPr>
                <w:noProof/>
                <w:webHidden/>
              </w:rPr>
              <w:t>43</w:t>
            </w:r>
            <w:r w:rsidR="00CC58B2">
              <w:rPr>
                <w:noProof/>
                <w:webHidden/>
              </w:rPr>
              <w:fldChar w:fldCharType="end"/>
            </w:r>
          </w:hyperlink>
        </w:p>
        <w:p w14:paraId="42C048D5" w14:textId="3816B442"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55" w:history="1">
            <w:r w:rsidR="00CC58B2" w:rsidRPr="00B96367">
              <w:rPr>
                <w:rStyle w:val="Hyperlink"/>
                <w:noProof/>
                <w:lang w:val="en-AU"/>
              </w:rPr>
              <w:t>6.2</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Investment MEL</w:t>
            </w:r>
            <w:r w:rsidR="00CC58B2">
              <w:rPr>
                <w:noProof/>
                <w:webHidden/>
              </w:rPr>
              <w:tab/>
            </w:r>
            <w:r w:rsidR="00CC58B2">
              <w:rPr>
                <w:noProof/>
                <w:webHidden/>
              </w:rPr>
              <w:fldChar w:fldCharType="begin"/>
            </w:r>
            <w:r w:rsidR="00CC58B2">
              <w:rPr>
                <w:noProof/>
                <w:webHidden/>
              </w:rPr>
              <w:instrText xml:space="preserve"> PAGEREF _Toc174029055 \h </w:instrText>
            </w:r>
            <w:r w:rsidR="00CC58B2">
              <w:rPr>
                <w:noProof/>
                <w:webHidden/>
              </w:rPr>
            </w:r>
            <w:r w:rsidR="00CC58B2">
              <w:rPr>
                <w:noProof/>
                <w:webHidden/>
              </w:rPr>
              <w:fldChar w:fldCharType="separate"/>
            </w:r>
            <w:r w:rsidR="00CC58B2">
              <w:rPr>
                <w:noProof/>
                <w:webHidden/>
              </w:rPr>
              <w:t>45</w:t>
            </w:r>
            <w:r w:rsidR="00CC58B2">
              <w:rPr>
                <w:noProof/>
                <w:webHidden/>
              </w:rPr>
              <w:fldChar w:fldCharType="end"/>
            </w:r>
          </w:hyperlink>
        </w:p>
        <w:p w14:paraId="65B6EB58" w14:textId="0F4F4FC7"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56" w:history="1">
            <w:r w:rsidR="00CC58B2" w:rsidRPr="00B96367">
              <w:rPr>
                <w:rStyle w:val="Hyperlink"/>
                <w:noProof/>
                <w:lang w:val="en-AU"/>
              </w:rPr>
              <w:t>6.3</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Independent Quality Assurance and Review</w:t>
            </w:r>
            <w:r w:rsidR="00CC58B2">
              <w:rPr>
                <w:noProof/>
                <w:webHidden/>
              </w:rPr>
              <w:tab/>
            </w:r>
            <w:r w:rsidR="00CC58B2">
              <w:rPr>
                <w:noProof/>
                <w:webHidden/>
              </w:rPr>
              <w:fldChar w:fldCharType="begin"/>
            </w:r>
            <w:r w:rsidR="00CC58B2">
              <w:rPr>
                <w:noProof/>
                <w:webHidden/>
              </w:rPr>
              <w:instrText xml:space="preserve"> PAGEREF _Toc174029056 \h </w:instrText>
            </w:r>
            <w:r w:rsidR="00CC58B2">
              <w:rPr>
                <w:noProof/>
                <w:webHidden/>
              </w:rPr>
            </w:r>
            <w:r w:rsidR="00CC58B2">
              <w:rPr>
                <w:noProof/>
                <w:webHidden/>
              </w:rPr>
              <w:fldChar w:fldCharType="separate"/>
            </w:r>
            <w:r w:rsidR="00CC58B2">
              <w:rPr>
                <w:noProof/>
                <w:webHidden/>
              </w:rPr>
              <w:t>46</w:t>
            </w:r>
            <w:r w:rsidR="00CC58B2">
              <w:rPr>
                <w:noProof/>
                <w:webHidden/>
              </w:rPr>
              <w:fldChar w:fldCharType="end"/>
            </w:r>
          </w:hyperlink>
        </w:p>
        <w:p w14:paraId="356F7240" w14:textId="527E57A3"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57" w:history="1">
            <w:r w:rsidR="00CC58B2" w:rsidRPr="00B96367">
              <w:rPr>
                <w:rStyle w:val="Hyperlink"/>
                <w:noProof/>
                <w:lang w:val="en-AU"/>
              </w:rPr>
              <w:t>6.4</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MEL Resourcing</w:t>
            </w:r>
            <w:r w:rsidR="00CC58B2">
              <w:rPr>
                <w:noProof/>
                <w:webHidden/>
              </w:rPr>
              <w:tab/>
            </w:r>
            <w:r w:rsidR="00CC58B2">
              <w:rPr>
                <w:noProof/>
                <w:webHidden/>
              </w:rPr>
              <w:fldChar w:fldCharType="begin"/>
            </w:r>
            <w:r w:rsidR="00CC58B2">
              <w:rPr>
                <w:noProof/>
                <w:webHidden/>
              </w:rPr>
              <w:instrText xml:space="preserve"> PAGEREF _Toc174029057 \h </w:instrText>
            </w:r>
            <w:r w:rsidR="00CC58B2">
              <w:rPr>
                <w:noProof/>
                <w:webHidden/>
              </w:rPr>
            </w:r>
            <w:r w:rsidR="00CC58B2">
              <w:rPr>
                <w:noProof/>
                <w:webHidden/>
              </w:rPr>
              <w:fldChar w:fldCharType="separate"/>
            </w:r>
            <w:r w:rsidR="00CC58B2">
              <w:rPr>
                <w:noProof/>
                <w:webHidden/>
              </w:rPr>
              <w:t>46</w:t>
            </w:r>
            <w:r w:rsidR="00CC58B2">
              <w:rPr>
                <w:noProof/>
                <w:webHidden/>
              </w:rPr>
              <w:fldChar w:fldCharType="end"/>
            </w:r>
          </w:hyperlink>
        </w:p>
        <w:p w14:paraId="0F7ECE94" w14:textId="048E65B9"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58" w:history="1">
            <w:r w:rsidR="00CC58B2" w:rsidRPr="00B96367">
              <w:rPr>
                <w:rStyle w:val="Hyperlink"/>
                <w:noProof/>
                <w:lang w:val="en-AU"/>
              </w:rPr>
              <w:t>6.5</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MEL Risks</w:t>
            </w:r>
            <w:r w:rsidR="00CC58B2">
              <w:rPr>
                <w:noProof/>
                <w:webHidden/>
              </w:rPr>
              <w:tab/>
            </w:r>
            <w:r w:rsidR="00CC58B2">
              <w:rPr>
                <w:noProof/>
                <w:webHidden/>
              </w:rPr>
              <w:fldChar w:fldCharType="begin"/>
            </w:r>
            <w:r w:rsidR="00CC58B2">
              <w:rPr>
                <w:noProof/>
                <w:webHidden/>
              </w:rPr>
              <w:instrText xml:space="preserve"> PAGEREF _Toc174029058 \h </w:instrText>
            </w:r>
            <w:r w:rsidR="00CC58B2">
              <w:rPr>
                <w:noProof/>
                <w:webHidden/>
              </w:rPr>
            </w:r>
            <w:r w:rsidR="00CC58B2">
              <w:rPr>
                <w:noProof/>
                <w:webHidden/>
              </w:rPr>
              <w:fldChar w:fldCharType="separate"/>
            </w:r>
            <w:r w:rsidR="00CC58B2">
              <w:rPr>
                <w:noProof/>
                <w:webHidden/>
              </w:rPr>
              <w:t>47</w:t>
            </w:r>
            <w:r w:rsidR="00CC58B2">
              <w:rPr>
                <w:noProof/>
                <w:webHidden/>
              </w:rPr>
              <w:fldChar w:fldCharType="end"/>
            </w:r>
          </w:hyperlink>
        </w:p>
        <w:p w14:paraId="0EC7C8A1" w14:textId="1EAB9E89" w:rsidR="00CC58B2" w:rsidRDefault="004947C2">
          <w:pPr>
            <w:pStyle w:val="TOC1"/>
            <w:rPr>
              <w:rFonts w:eastAsiaTheme="minorEastAsia" w:cstheme="minorBidi"/>
              <w:b w:val="0"/>
              <w:bCs w:val="0"/>
              <w:caps w:val="0"/>
              <w:noProof/>
              <w:color w:val="auto"/>
              <w:kern w:val="2"/>
              <w:sz w:val="22"/>
              <w:szCs w:val="22"/>
              <w:lang w:val="en-AU" w:eastAsia="en-AU"/>
              <w14:ligatures w14:val="standardContextual"/>
            </w:rPr>
          </w:pPr>
          <w:hyperlink w:anchor="_Toc174029059" w:history="1">
            <w:r w:rsidR="00CC58B2" w:rsidRPr="00B96367">
              <w:rPr>
                <w:rStyle w:val="Hyperlink"/>
                <w:noProof/>
                <w:lang w:val="en-AU"/>
              </w:rPr>
              <w:t>7.</w:t>
            </w:r>
            <w:r w:rsidR="00CC58B2">
              <w:rPr>
                <w:rFonts w:eastAsiaTheme="minorEastAsia" w:cstheme="minorBidi"/>
                <w:b w:val="0"/>
                <w:bCs w:val="0"/>
                <w:caps w:val="0"/>
                <w:noProof/>
                <w:color w:val="auto"/>
                <w:kern w:val="2"/>
                <w:sz w:val="22"/>
                <w:szCs w:val="22"/>
                <w:lang w:val="en-AU" w:eastAsia="en-AU"/>
                <w14:ligatures w14:val="standardContextual"/>
              </w:rPr>
              <w:tab/>
            </w:r>
            <w:r w:rsidR="00CC58B2" w:rsidRPr="00B96367">
              <w:rPr>
                <w:rStyle w:val="Hyperlink"/>
                <w:noProof/>
                <w:lang w:val="en-AU"/>
              </w:rPr>
              <w:t>Budget and Resources</w:t>
            </w:r>
            <w:r w:rsidR="00CC58B2">
              <w:rPr>
                <w:noProof/>
                <w:webHidden/>
              </w:rPr>
              <w:tab/>
            </w:r>
            <w:r w:rsidR="00CC58B2">
              <w:rPr>
                <w:noProof/>
                <w:webHidden/>
              </w:rPr>
              <w:fldChar w:fldCharType="begin"/>
            </w:r>
            <w:r w:rsidR="00CC58B2">
              <w:rPr>
                <w:noProof/>
                <w:webHidden/>
              </w:rPr>
              <w:instrText xml:space="preserve"> PAGEREF _Toc174029059 \h </w:instrText>
            </w:r>
            <w:r w:rsidR="00CC58B2">
              <w:rPr>
                <w:noProof/>
                <w:webHidden/>
              </w:rPr>
            </w:r>
            <w:r w:rsidR="00CC58B2">
              <w:rPr>
                <w:noProof/>
                <w:webHidden/>
              </w:rPr>
              <w:fldChar w:fldCharType="separate"/>
            </w:r>
            <w:r w:rsidR="00CC58B2">
              <w:rPr>
                <w:noProof/>
                <w:webHidden/>
              </w:rPr>
              <w:t>47</w:t>
            </w:r>
            <w:r w:rsidR="00CC58B2">
              <w:rPr>
                <w:noProof/>
                <w:webHidden/>
              </w:rPr>
              <w:fldChar w:fldCharType="end"/>
            </w:r>
          </w:hyperlink>
        </w:p>
        <w:p w14:paraId="21687932" w14:textId="5608968B" w:rsidR="00CC58B2" w:rsidRDefault="004947C2">
          <w:pPr>
            <w:pStyle w:val="TOC2"/>
            <w:rPr>
              <w:rFonts w:eastAsiaTheme="minorEastAsia" w:cstheme="minorBidi"/>
              <w:smallCaps w:val="0"/>
              <w:noProof/>
              <w:color w:val="auto"/>
              <w:kern w:val="2"/>
              <w:sz w:val="22"/>
              <w:szCs w:val="22"/>
              <w:lang w:val="en-AU" w:eastAsia="en-AU"/>
              <w14:ligatures w14:val="standardContextual"/>
            </w:rPr>
          </w:pPr>
          <w:hyperlink w:anchor="_Toc174029060" w:history="1">
            <w:r w:rsidR="00CC58B2" w:rsidRPr="00B96367">
              <w:rPr>
                <w:rStyle w:val="Hyperlink"/>
                <w:noProof/>
                <w:lang w:val="en-AU"/>
              </w:rPr>
              <w:t>7.1</w:t>
            </w:r>
            <w:r w:rsidR="00CC58B2">
              <w:rPr>
                <w:rFonts w:eastAsiaTheme="minorEastAsia" w:cstheme="minorBidi"/>
                <w:smallCaps w:val="0"/>
                <w:noProof/>
                <w:color w:val="auto"/>
                <w:kern w:val="2"/>
                <w:sz w:val="22"/>
                <w:szCs w:val="22"/>
                <w:lang w:val="en-AU" w:eastAsia="en-AU"/>
                <w14:ligatures w14:val="standardContextual"/>
              </w:rPr>
              <w:tab/>
            </w:r>
            <w:r w:rsidR="00CC58B2" w:rsidRPr="00B96367">
              <w:rPr>
                <w:rStyle w:val="Hyperlink"/>
                <w:noProof/>
                <w:lang w:val="en-AU"/>
              </w:rPr>
              <w:t>Budget</w:t>
            </w:r>
            <w:r w:rsidR="00CC58B2">
              <w:rPr>
                <w:noProof/>
                <w:webHidden/>
              </w:rPr>
              <w:tab/>
            </w:r>
            <w:r w:rsidR="00CC58B2">
              <w:rPr>
                <w:noProof/>
                <w:webHidden/>
              </w:rPr>
              <w:fldChar w:fldCharType="begin"/>
            </w:r>
            <w:r w:rsidR="00CC58B2">
              <w:rPr>
                <w:noProof/>
                <w:webHidden/>
              </w:rPr>
              <w:instrText xml:space="preserve"> PAGEREF _Toc174029060 \h </w:instrText>
            </w:r>
            <w:r w:rsidR="00CC58B2">
              <w:rPr>
                <w:noProof/>
                <w:webHidden/>
              </w:rPr>
            </w:r>
            <w:r w:rsidR="00CC58B2">
              <w:rPr>
                <w:noProof/>
                <w:webHidden/>
              </w:rPr>
              <w:fldChar w:fldCharType="separate"/>
            </w:r>
            <w:r w:rsidR="00CC58B2">
              <w:rPr>
                <w:noProof/>
                <w:webHidden/>
              </w:rPr>
              <w:t>47</w:t>
            </w:r>
            <w:r w:rsidR="00CC58B2">
              <w:rPr>
                <w:noProof/>
                <w:webHidden/>
              </w:rPr>
              <w:fldChar w:fldCharType="end"/>
            </w:r>
          </w:hyperlink>
        </w:p>
        <w:p w14:paraId="3FFE2930" w14:textId="28C25A5F" w:rsidR="00CC58B2" w:rsidRDefault="004947C2">
          <w:pPr>
            <w:pStyle w:val="TOC1"/>
            <w:rPr>
              <w:rFonts w:eastAsiaTheme="minorEastAsia" w:cstheme="minorBidi"/>
              <w:b w:val="0"/>
              <w:bCs w:val="0"/>
              <w:caps w:val="0"/>
              <w:noProof/>
              <w:color w:val="auto"/>
              <w:kern w:val="2"/>
              <w:sz w:val="22"/>
              <w:szCs w:val="22"/>
              <w:lang w:val="en-AU" w:eastAsia="en-AU"/>
              <w14:ligatures w14:val="standardContextual"/>
            </w:rPr>
          </w:pPr>
          <w:hyperlink w:anchor="_Toc174029061" w:history="1">
            <w:r w:rsidR="00CC58B2" w:rsidRPr="00B96367">
              <w:rPr>
                <w:rStyle w:val="Hyperlink"/>
                <w:noProof/>
                <w:lang w:val="en-AU"/>
              </w:rPr>
              <w:t>8.</w:t>
            </w:r>
            <w:r w:rsidR="00CC58B2">
              <w:rPr>
                <w:rFonts w:eastAsiaTheme="minorEastAsia" w:cstheme="minorBidi"/>
                <w:b w:val="0"/>
                <w:bCs w:val="0"/>
                <w:caps w:val="0"/>
                <w:noProof/>
                <w:color w:val="auto"/>
                <w:kern w:val="2"/>
                <w:sz w:val="22"/>
                <w:szCs w:val="22"/>
                <w:lang w:val="en-AU" w:eastAsia="en-AU"/>
                <w14:ligatures w14:val="standardContextual"/>
              </w:rPr>
              <w:tab/>
            </w:r>
            <w:r w:rsidR="00CC58B2" w:rsidRPr="00B96367">
              <w:rPr>
                <w:rStyle w:val="Hyperlink"/>
                <w:noProof/>
                <w:lang w:val="en-AU"/>
              </w:rPr>
              <w:t>Procurement and Partnering</w:t>
            </w:r>
            <w:r w:rsidR="00CC58B2">
              <w:rPr>
                <w:noProof/>
                <w:webHidden/>
              </w:rPr>
              <w:tab/>
            </w:r>
            <w:r w:rsidR="00CC58B2">
              <w:rPr>
                <w:noProof/>
                <w:webHidden/>
              </w:rPr>
              <w:fldChar w:fldCharType="begin"/>
            </w:r>
            <w:r w:rsidR="00CC58B2">
              <w:rPr>
                <w:noProof/>
                <w:webHidden/>
              </w:rPr>
              <w:instrText xml:space="preserve"> PAGEREF _Toc174029061 \h </w:instrText>
            </w:r>
            <w:r w:rsidR="00CC58B2">
              <w:rPr>
                <w:noProof/>
                <w:webHidden/>
              </w:rPr>
            </w:r>
            <w:r w:rsidR="00CC58B2">
              <w:rPr>
                <w:noProof/>
                <w:webHidden/>
              </w:rPr>
              <w:fldChar w:fldCharType="separate"/>
            </w:r>
            <w:r w:rsidR="00CC58B2">
              <w:rPr>
                <w:noProof/>
                <w:webHidden/>
              </w:rPr>
              <w:t>47</w:t>
            </w:r>
            <w:r w:rsidR="00CC58B2">
              <w:rPr>
                <w:noProof/>
                <w:webHidden/>
              </w:rPr>
              <w:fldChar w:fldCharType="end"/>
            </w:r>
          </w:hyperlink>
        </w:p>
        <w:p w14:paraId="147EEEDB" w14:textId="76ACE854" w:rsidR="00CC58B2" w:rsidRDefault="004947C2">
          <w:pPr>
            <w:pStyle w:val="TOC1"/>
            <w:rPr>
              <w:rFonts w:eastAsiaTheme="minorEastAsia" w:cstheme="minorBidi"/>
              <w:b w:val="0"/>
              <w:bCs w:val="0"/>
              <w:caps w:val="0"/>
              <w:noProof/>
              <w:color w:val="auto"/>
              <w:kern w:val="2"/>
              <w:sz w:val="22"/>
              <w:szCs w:val="22"/>
              <w:lang w:val="en-AU" w:eastAsia="en-AU"/>
              <w14:ligatures w14:val="standardContextual"/>
            </w:rPr>
          </w:pPr>
          <w:hyperlink w:anchor="_Toc174029062" w:history="1">
            <w:r w:rsidR="00CC58B2" w:rsidRPr="00B96367">
              <w:rPr>
                <w:rStyle w:val="Hyperlink"/>
                <w:noProof/>
                <w:lang w:val="en-AU"/>
              </w:rPr>
              <w:t>9.</w:t>
            </w:r>
            <w:r w:rsidR="00CC58B2">
              <w:rPr>
                <w:rFonts w:eastAsiaTheme="minorEastAsia" w:cstheme="minorBidi"/>
                <w:b w:val="0"/>
                <w:bCs w:val="0"/>
                <w:caps w:val="0"/>
                <w:noProof/>
                <w:color w:val="auto"/>
                <w:kern w:val="2"/>
                <w:sz w:val="22"/>
                <w:szCs w:val="22"/>
                <w:lang w:val="en-AU" w:eastAsia="en-AU"/>
                <w14:ligatures w14:val="standardContextual"/>
              </w:rPr>
              <w:tab/>
            </w:r>
            <w:r w:rsidR="00CC58B2" w:rsidRPr="00B96367">
              <w:rPr>
                <w:rStyle w:val="Hyperlink"/>
                <w:noProof/>
                <w:lang w:val="en-AU"/>
              </w:rPr>
              <w:t>Risk Management and Safeguards</w:t>
            </w:r>
            <w:r w:rsidR="00CC58B2">
              <w:rPr>
                <w:noProof/>
                <w:webHidden/>
              </w:rPr>
              <w:tab/>
            </w:r>
            <w:r w:rsidR="00CC58B2">
              <w:rPr>
                <w:noProof/>
                <w:webHidden/>
              </w:rPr>
              <w:fldChar w:fldCharType="begin"/>
            </w:r>
            <w:r w:rsidR="00CC58B2">
              <w:rPr>
                <w:noProof/>
                <w:webHidden/>
              </w:rPr>
              <w:instrText xml:space="preserve"> PAGEREF _Toc174029062 \h </w:instrText>
            </w:r>
            <w:r w:rsidR="00CC58B2">
              <w:rPr>
                <w:noProof/>
                <w:webHidden/>
              </w:rPr>
            </w:r>
            <w:r w:rsidR="00CC58B2">
              <w:rPr>
                <w:noProof/>
                <w:webHidden/>
              </w:rPr>
              <w:fldChar w:fldCharType="separate"/>
            </w:r>
            <w:r w:rsidR="00CC58B2">
              <w:rPr>
                <w:noProof/>
                <w:webHidden/>
              </w:rPr>
              <w:t>48</w:t>
            </w:r>
            <w:r w:rsidR="00CC58B2">
              <w:rPr>
                <w:noProof/>
                <w:webHidden/>
              </w:rPr>
              <w:fldChar w:fldCharType="end"/>
            </w:r>
          </w:hyperlink>
        </w:p>
        <w:p w14:paraId="1C09F908" w14:textId="649E07EC" w:rsidR="0090360D" w:rsidRPr="001F14E7" w:rsidRDefault="00FE270F" w:rsidP="00602265">
          <w:pPr>
            <w:rPr>
              <w:lang w:val="en-AU"/>
            </w:rPr>
          </w:pPr>
          <w:r w:rsidRPr="001F14E7">
            <w:rPr>
              <w:rFonts w:cstheme="minorHAnsi"/>
              <w:caps/>
              <w:color w:val="2B579A"/>
              <w:sz w:val="20"/>
              <w:szCs w:val="20"/>
              <w:u w:val="single"/>
              <w:shd w:val="clear" w:color="auto" w:fill="E6E6E6"/>
              <w:lang w:val="en-AU"/>
            </w:rPr>
            <w:fldChar w:fldCharType="end"/>
          </w:r>
        </w:p>
      </w:sdtContent>
    </w:sdt>
    <w:p w14:paraId="06E6BA17" w14:textId="77777777" w:rsidR="00CC58B2" w:rsidRDefault="00CC58B2">
      <w:pPr>
        <w:suppressAutoHyphens w:val="0"/>
        <w:spacing w:before="0" w:after="120" w:line="440" w:lineRule="atLeast"/>
        <w:rPr>
          <w:rFonts w:asciiTheme="majorHAnsi" w:eastAsiaTheme="majorEastAsia" w:hAnsiTheme="majorHAnsi" w:cstheme="majorBidi"/>
          <w:b/>
          <w:bCs/>
          <w:caps/>
          <w:sz w:val="36"/>
          <w:szCs w:val="28"/>
          <w:lang w:val="en-AU"/>
        </w:rPr>
      </w:pPr>
      <w:bookmarkStart w:id="9" w:name="_Toc161214745"/>
      <w:bookmarkStart w:id="10" w:name="_Toc161215089"/>
      <w:bookmarkStart w:id="11" w:name="_Toc162287850"/>
      <w:bookmarkStart w:id="12" w:name="_Toc163539137"/>
      <w:r>
        <w:rPr>
          <w:lang w:val="en-AU"/>
        </w:rPr>
        <w:br w:type="page"/>
      </w:r>
    </w:p>
    <w:p w14:paraId="09A83F9E" w14:textId="6E7E85FA" w:rsidR="005530BF" w:rsidRPr="001F14E7" w:rsidRDefault="005530BF" w:rsidP="00606A91">
      <w:pPr>
        <w:pStyle w:val="Heading1"/>
        <w:spacing w:before="0"/>
        <w:rPr>
          <w:lang w:val="en-AU"/>
        </w:rPr>
      </w:pPr>
      <w:bookmarkStart w:id="13" w:name="_Toc174029021"/>
      <w:r w:rsidRPr="001F14E7">
        <w:rPr>
          <w:lang w:val="en-AU"/>
        </w:rPr>
        <w:lastRenderedPageBreak/>
        <w:t>Acronyms and Abbreviations</w:t>
      </w:r>
      <w:bookmarkEnd w:id="9"/>
      <w:bookmarkEnd w:id="10"/>
      <w:bookmarkEnd w:id="11"/>
      <w:bookmarkEnd w:id="12"/>
      <w:bookmarkEnd w:id="13"/>
    </w:p>
    <w:tbl>
      <w:tblPr>
        <w:tblStyle w:val="TableGrid"/>
        <w:tblW w:w="0" w:type="auto"/>
        <w:tblLook w:val="04A0" w:firstRow="1" w:lastRow="0" w:firstColumn="1" w:lastColumn="0" w:noHBand="0" w:noVBand="1"/>
      </w:tblPr>
      <w:tblGrid>
        <w:gridCol w:w="1805"/>
        <w:gridCol w:w="7823"/>
      </w:tblGrid>
      <w:tr w:rsidR="005530BF" w:rsidRPr="00C7406F" w14:paraId="4445DD73" w14:textId="77777777" w:rsidTr="00F42C0A">
        <w:tc>
          <w:tcPr>
            <w:tcW w:w="1805" w:type="dxa"/>
            <w:shd w:val="clear" w:color="auto" w:fill="65C5B4" w:themeFill="accent1"/>
          </w:tcPr>
          <w:p w14:paraId="3F0AA984" w14:textId="5D2BA3EB" w:rsidR="005530BF" w:rsidRPr="00E54D0D" w:rsidRDefault="00AC37B8" w:rsidP="00407F50">
            <w:pPr>
              <w:spacing w:before="0" w:after="0" w:line="240" w:lineRule="auto"/>
              <w:rPr>
                <w:rFonts w:cstheme="minorHAnsi"/>
                <w:b/>
                <w:bCs/>
                <w:sz w:val="24"/>
                <w:szCs w:val="24"/>
                <w:lang w:val="en-AU"/>
              </w:rPr>
            </w:pPr>
            <w:r w:rsidRPr="00E54D0D">
              <w:rPr>
                <w:rFonts w:cstheme="minorHAnsi"/>
                <w:b/>
                <w:bCs/>
                <w:sz w:val="24"/>
                <w:szCs w:val="24"/>
                <w:lang w:val="en-AU"/>
              </w:rPr>
              <w:t>Term</w:t>
            </w:r>
          </w:p>
        </w:tc>
        <w:tc>
          <w:tcPr>
            <w:tcW w:w="7823" w:type="dxa"/>
            <w:shd w:val="clear" w:color="auto" w:fill="65C5B4" w:themeFill="accent1"/>
          </w:tcPr>
          <w:p w14:paraId="17160EE3" w14:textId="78D172BA" w:rsidR="005530BF" w:rsidRPr="00E54D0D" w:rsidRDefault="00AC37B8" w:rsidP="00407F50">
            <w:pPr>
              <w:spacing w:before="0" w:after="0" w:line="240" w:lineRule="auto"/>
              <w:rPr>
                <w:rFonts w:cstheme="minorHAnsi"/>
                <w:b/>
                <w:bCs/>
                <w:sz w:val="24"/>
                <w:szCs w:val="24"/>
                <w:lang w:val="en-AU"/>
              </w:rPr>
            </w:pPr>
            <w:r w:rsidRPr="00E54D0D">
              <w:rPr>
                <w:rFonts w:cstheme="minorHAnsi"/>
                <w:b/>
                <w:bCs/>
                <w:sz w:val="24"/>
                <w:szCs w:val="24"/>
                <w:lang w:val="en-AU"/>
              </w:rPr>
              <w:t>Definition</w:t>
            </w:r>
          </w:p>
        </w:tc>
      </w:tr>
      <w:tr w:rsidR="00F42C0A" w:rsidRPr="00C7406F" w14:paraId="44B22883" w14:textId="77777777" w:rsidTr="00F42C0A">
        <w:tc>
          <w:tcPr>
            <w:tcW w:w="1805" w:type="dxa"/>
          </w:tcPr>
          <w:p w14:paraId="1DE316AE" w14:textId="4A89711A" w:rsidR="00F42C0A" w:rsidRPr="00E54D0D" w:rsidRDefault="00F42C0A" w:rsidP="00100D58">
            <w:pPr>
              <w:spacing w:before="0" w:after="0" w:line="240" w:lineRule="auto"/>
              <w:rPr>
                <w:rFonts w:cstheme="minorHAnsi"/>
                <w:sz w:val="24"/>
                <w:szCs w:val="24"/>
                <w:lang w:val="en-AU"/>
              </w:rPr>
            </w:pPr>
            <w:r w:rsidRPr="00E54D0D">
              <w:rPr>
                <w:rFonts w:cstheme="minorHAnsi"/>
                <w:sz w:val="24"/>
                <w:szCs w:val="24"/>
                <w:lang w:val="en-AU"/>
              </w:rPr>
              <w:t>A-based</w:t>
            </w:r>
          </w:p>
        </w:tc>
        <w:tc>
          <w:tcPr>
            <w:tcW w:w="7823" w:type="dxa"/>
          </w:tcPr>
          <w:p w14:paraId="2BE9D58C" w14:textId="4CD0B543" w:rsidR="00F42C0A" w:rsidRPr="00E54D0D" w:rsidRDefault="00F42C0A" w:rsidP="00100D58">
            <w:pPr>
              <w:spacing w:before="0" w:after="0" w:line="240" w:lineRule="auto"/>
              <w:rPr>
                <w:rFonts w:cstheme="minorHAnsi"/>
                <w:sz w:val="24"/>
                <w:szCs w:val="24"/>
                <w:lang w:val="en-AU"/>
              </w:rPr>
            </w:pPr>
            <w:r w:rsidRPr="00E54D0D">
              <w:rPr>
                <w:rFonts w:cstheme="minorHAnsi"/>
                <w:sz w:val="24"/>
                <w:szCs w:val="24"/>
                <w:lang w:val="en-AU"/>
              </w:rPr>
              <w:t>Australian-based overseas DFAT staff</w:t>
            </w:r>
          </w:p>
        </w:tc>
      </w:tr>
      <w:tr w:rsidR="00427FF0" w:rsidRPr="00C7406F" w14:paraId="1B767654" w14:textId="77777777" w:rsidTr="00F42C0A">
        <w:tc>
          <w:tcPr>
            <w:tcW w:w="1805" w:type="dxa"/>
          </w:tcPr>
          <w:p w14:paraId="2A4E66CC" w14:textId="7DF8B51E"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ACMECS</w:t>
            </w:r>
          </w:p>
        </w:tc>
        <w:tc>
          <w:tcPr>
            <w:tcW w:w="7823" w:type="dxa"/>
          </w:tcPr>
          <w:p w14:paraId="1CCA644C" w14:textId="197ABF37"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Ayeyawady-Chao Phraya-Mekong Economic Cooperation Strategy</w:t>
            </w:r>
          </w:p>
        </w:tc>
      </w:tr>
      <w:tr w:rsidR="009E569F" w:rsidRPr="00C7406F" w14:paraId="4B2B045D" w14:textId="77777777" w:rsidTr="00F42C0A">
        <w:tc>
          <w:tcPr>
            <w:tcW w:w="1805" w:type="dxa"/>
          </w:tcPr>
          <w:p w14:paraId="0D8C7726" w14:textId="0D0F9B21" w:rsidR="009E569F"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ADB</w:t>
            </w:r>
          </w:p>
        </w:tc>
        <w:tc>
          <w:tcPr>
            <w:tcW w:w="7823" w:type="dxa"/>
          </w:tcPr>
          <w:p w14:paraId="60C39B55" w14:textId="77777777" w:rsidR="009E569F" w:rsidRPr="00E54D0D" w:rsidRDefault="00D71E38" w:rsidP="00100D58">
            <w:pPr>
              <w:spacing w:before="0" w:after="0" w:line="240" w:lineRule="auto"/>
              <w:rPr>
                <w:rFonts w:cstheme="minorHAnsi"/>
                <w:sz w:val="24"/>
                <w:szCs w:val="24"/>
                <w:lang w:val="en-AU"/>
              </w:rPr>
            </w:pPr>
            <w:r w:rsidRPr="00E54D0D">
              <w:rPr>
                <w:rFonts w:cstheme="minorHAnsi"/>
                <w:sz w:val="24"/>
                <w:szCs w:val="24"/>
                <w:lang w:val="en-AU"/>
              </w:rPr>
              <w:t>Asian Development Bank</w:t>
            </w:r>
          </w:p>
        </w:tc>
      </w:tr>
      <w:tr w:rsidR="00AF7337" w:rsidRPr="00C7406F" w14:paraId="78DBA355" w14:textId="77777777" w:rsidTr="00F42C0A">
        <w:tc>
          <w:tcPr>
            <w:tcW w:w="1805" w:type="dxa"/>
          </w:tcPr>
          <w:p w14:paraId="05603F6A" w14:textId="0C672FD3" w:rsidR="00AF7337" w:rsidRPr="00E54D0D" w:rsidRDefault="00AF7337" w:rsidP="00100D58">
            <w:pPr>
              <w:spacing w:before="0" w:after="0" w:line="240" w:lineRule="auto"/>
              <w:rPr>
                <w:rFonts w:cstheme="minorHAnsi"/>
                <w:sz w:val="24"/>
                <w:szCs w:val="24"/>
                <w:lang w:val="en-AU"/>
              </w:rPr>
            </w:pPr>
            <w:r w:rsidRPr="00E54D0D">
              <w:rPr>
                <w:rFonts w:cstheme="minorHAnsi"/>
                <w:sz w:val="24"/>
                <w:szCs w:val="24"/>
                <w:lang w:val="en-AU"/>
              </w:rPr>
              <w:t>AS VMB</w:t>
            </w:r>
          </w:p>
        </w:tc>
        <w:tc>
          <w:tcPr>
            <w:tcW w:w="7823" w:type="dxa"/>
          </w:tcPr>
          <w:p w14:paraId="586D6C2B" w14:textId="03F60905" w:rsidR="00AF7337" w:rsidRPr="00E54D0D" w:rsidRDefault="00AF7337" w:rsidP="00100D58">
            <w:pPr>
              <w:spacing w:before="0" w:after="0" w:line="240" w:lineRule="auto"/>
              <w:rPr>
                <w:rFonts w:cstheme="minorHAnsi"/>
                <w:sz w:val="24"/>
                <w:szCs w:val="24"/>
                <w:lang w:val="en-AU"/>
              </w:rPr>
            </w:pPr>
            <w:r w:rsidRPr="00E54D0D">
              <w:rPr>
                <w:rFonts w:cstheme="minorHAnsi"/>
                <w:sz w:val="24"/>
                <w:szCs w:val="24"/>
                <w:lang w:val="en-AU"/>
              </w:rPr>
              <w:t>Assistant Secretary, Vietnam and Mekong Strategy Branch</w:t>
            </w:r>
          </w:p>
        </w:tc>
      </w:tr>
      <w:tr w:rsidR="005530BF" w:rsidRPr="00C7406F" w14:paraId="68C66347" w14:textId="77777777" w:rsidTr="00F42C0A">
        <w:tc>
          <w:tcPr>
            <w:tcW w:w="1805" w:type="dxa"/>
          </w:tcPr>
          <w:p w14:paraId="474D6D74" w14:textId="4E2B81B0" w:rsidR="005530BF"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ASEAN</w:t>
            </w:r>
          </w:p>
        </w:tc>
        <w:tc>
          <w:tcPr>
            <w:tcW w:w="7823" w:type="dxa"/>
          </w:tcPr>
          <w:p w14:paraId="006CCB78" w14:textId="450439F3" w:rsidR="005530BF"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Association of Southeast Asian Nations</w:t>
            </w:r>
          </w:p>
        </w:tc>
      </w:tr>
      <w:tr w:rsidR="00427FF0" w:rsidRPr="00C7406F" w14:paraId="7D59F6D1" w14:textId="77777777" w:rsidTr="00F42C0A">
        <w:tc>
          <w:tcPr>
            <w:tcW w:w="1805" w:type="dxa"/>
          </w:tcPr>
          <w:p w14:paraId="7A24B5A0" w14:textId="5B3F16E7" w:rsidR="00427FF0"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AWP</w:t>
            </w:r>
          </w:p>
        </w:tc>
        <w:tc>
          <w:tcPr>
            <w:tcW w:w="7823" w:type="dxa"/>
          </w:tcPr>
          <w:p w14:paraId="6D58A90B" w14:textId="02BCA051" w:rsidR="00427FF0"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Australia</w:t>
            </w:r>
            <w:r w:rsidR="0030641F" w:rsidRPr="00E54D0D">
              <w:rPr>
                <w:rFonts w:cstheme="minorHAnsi"/>
                <w:sz w:val="24"/>
                <w:szCs w:val="24"/>
                <w:lang w:val="en-AU"/>
              </w:rPr>
              <w:t>n</w:t>
            </w:r>
            <w:r w:rsidRPr="00E54D0D">
              <w:rPr>
                <w:rFonts w:cstheme="minorHAnsi"/>
                <w:sz w:val="24"/>
                <w:szCs w:val="24"/>
                <w:lang w:val="en-AU"/>
              </w:rPr>
              <w:t xml:space="preserve"> Water Partnership </w:t>
            </w:r>
          </w:p>
        </w:tc>
      </w:tr>
      <w:tr w:rsidR="00CE32F5" w:rsidRPr="00C7406F" w14:paraId="13902AC8" w14:textId="77777777" w:rsidTr="00F42C0A">
        <w:tc>
          <w:tcPr>
            <w:tcW w:w="1805" w:type="dxa"/>
          </w:tcPr>
          <w:p w14:paraId="5D7B35ED" w14:textId="43E35896"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CRC</w:t>
            </w:r>
          </w:p>
        </w:tc>
        <w:tc>
          <w:tcPr>
            <w:tcW w:w="7823" w:type="dxa"/>
          </w:tcPr>
          <w:p w14:paraId="5AD0B3D7" w14:textId="4FFAD1D1"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 xml:space="preserve">Climate Resilient Communities </w:t>
            </w:r>
          </w:p>
        </w:tc>
      </w:tr>
      <w:tr w:rsidR="00427FF0" w:rsidRPr="00C7406F" w14:paraId="5F864094" w14:textId="77777777" w:rsidTr="00F42C0A">
        <w:tc>
          <w:tcPr>
            <w:tcW w:w="1805" w:type="dxa"/>
          </w:tcPr>
          <w:p w14:paraId="480AB12D" w14:textId="58A02B8A"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DFAT</w:t>
            </w:r>
          </w:p>
        </w:tc>
        <w:tc>
          <w:tcPr>
            <w:tcW w:w="7823" w:type="dxa"/>
          </w:tcPr>
          <w:p w14:paraId="5D3BF080" w14:textId="4BD95C39" w:rsidR="00427FF0"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Department of Foreign Affairs and Trade (Australia)</w:t>
            </w:r>
          </w:p>
        </w:tc>
      </w:tr>
      <w:tr w:rsidR="00427FF0" w:rsidRPr="00C7406F" w14:paraId="5C10C154" w14:textId="77777777" w:rsidTr="00F42C0A">
        <w:tc>
          <w:tcPr>
            <w:tcW w:w="1805" w:type="dxa"/>
          </w:tcPr>
          <w:p w14:paraId="7E4FC39A" w14:textId="1C0E787E" w:rsidR="00427FF0"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DPP</w:t>
            </w:r>
          </w:p>
        </w:tc>
        <w:tc>
          <w:tcPr>
            <w:tcW w:w="7823" w:type="dxa"/>
          </w:tcPr>
          <w:p w14:paraId="550FD950" w14:textId="490ADC42" w:rsidR="00427FF0"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Development Partnership Plan</w:t>
            </w:r>
          </w:p>
        </w:tc>
      </w:tr>
      <w:tr w:rsidR="009E569F" w:rsidRPr="00C7406F" w14:paraId="6D2F22D3" w14:textId="77777777" w:rsidTr="00F42C0A">
        <w:tc>
          <w:tcPr>
            <w:tcW w:w="1805" w:type="dxa"/>
          </w:tcPr>
          <w:p w14:paraId="303934BB" w14:textId="6B4845A4" w:rsidR="009E569F"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EOPO</w:t>
            </w:r>
          </w:p>
        </w:tc>
        <w:tc>
          <w:tcPr>
            <w:tcW w:w="7823" w:type="dxa"/>
          </w:tcPr>
          <w:p w14:paraId="1DA8BB88" w14:textId="3CB0EAFD" w:rsidR="009E569F"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End-of-portfolio Outcome</w:t>
            </w:r>
          </w:p>
        </w:tc>
      </w:tr>
      <w:tr w:rsidR="002D3580" w:rsidRPr="00C7406F" w14:paraId="5E75F03B" w14:textId="77777777" w:rsidTr="00F42C0A">
        <w:tc>
          <w:tcPr>
            <w:tcW w:w="1805" w:type="dxa"/>
          </w:tcPr>
          <w:p w14:paraId="3347554B" w14:textId="1754436A" w:rsidR="002D3580" w:rsidRPr="00E54D0D" w:rsidRDefault="002D3580" w:rsidP="00100D58">
            <w:pPr>
              <w:spacing w:before="0" w:after="0" w:line="240" w:lineRule="auto"/>
              <w:rPr>
                <w:rFonts w:cstheme="minorHAnsi"/>
                <w:sz w:val="24"/>
                <w:szCs w:val="24"/>
                <w:lang w:val="en-AU"/>
              </w:rPr>
            </w:pPr>
            <w:r w:rsidRPr="00E54D0D">
              <w:rPr>
                <w:rFonts w:cstheme="minorHAnsi"/>
                <w:sz w:val="24"/>
                <w:szCs w:val="24"/>
                <w:lang w:val="en-AU"/>
              </w:rPr>
              <w:t>G2G</w:t>
            </w:r>
          </w:p>
        </w:tc>
        <w:tc>
          <w:tcPr>
            <w:tcW w:w="7823" w:type="dxa"/>
          </w:tcPr>
          <w:p w14:paraId="529FFB3B" w14:textId="11D515DB" w:rsidR="002D3580" w:rsidRPr="00E54D0D" w:rsidRDefault="002D3580" w:rsidP="00100D58">
            <w:pPr>
              <w:spacing w:before="0" w:after="0" w:line="240" w:lineRule="auto"/>
              <w:rPr>
                <w:rFonts w:cstheme="minorHAnsi"/>
                <w:sz w:val="24"/>
                <w:szCs w:val="24"/>
                <w:lang w:val="en-AU"/>
              </w:rPr>
            </w:pPr>
            <w:r w:rsidRPr="00E54D0D">
              <w:rPr>
                <w:rFonts w:cstheme="minorHAnsi"/>
                <w:sz w:val="24"/>
                <w:szCs w:val="24"/>
                <w:lang w:val="en-AU"/>
              </w:rPr>
              <w:t>Government to government</w:t>
            </w:r>
          </w:p>
        </w:tc>
      </w:tr>
      <w:tr w:rsidR="00427FF0" w:rsidRPr="00C7406F" w14:paraId="37497D1A" w14:textId="77777777" w:rsidTr="00F42C0A">
        <w:tc>
          <w:tcPr>
            <w:tcW w:w="1805" w:type="dxa"/>
          </w:tcPr>
          <w:p w14:paraId="5B73A91A" w14:textId="42F59443"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GEDSI</w:t>
            </w:r>
          </w:p>
        </w:tc>
        <w:tc>
          <w:tcPr>
            <w:tcW w:w="7823" w:type="dxa"/>
          </w:tcPr>
          <w:p w14:paraId="7F2B32D1" w14:textId="1C4CE3BF" w:rsidR="00427FF0"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 xml:space="preserve">Gender equality, disability and social inclusion </w:t>
            </w:r>
          </w:p>
        </w:tc>
      </w:tr>
      <w:tr w:rsidR="00427FF0" w:rsidRPr="00C7406F" w14:paraId="702B8156" w14:textId="77777777" w:rsidTr="00F42C0A">
        <w:tc>
          <w:tcPr>
            <w:tcW w:w="1805" w:type="dxa"/>
          </w:tcPr>
          <w:p w14:paraId="59A982E1" w14:textId="427FD441"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GNI</w:t>
            </w:r>
          </w:p>
        </w:tc>
        <w:tc>
          <w:tcPr>
            <w:tcW w:w="7823" w:type="dxa"/>
          </w:tcPr>
          <w:p w14:paraId="570EDC6F" w14:textId="21B2E473" w:rsidR="00427FF0"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Gross National Income</w:t>
            </w:r>
          </w:p>
        </w:tc>
      </w:tr>
      <w:tr w:rsidR="009E569F" w:rsidRPr="00C7406F" w14:paraId="2D301777" w14:textId="77777777" w:rsidTr="00F42C0A">
        <w:tc>
          <w:tcPr>
            <w:tcW w:w="1805" w:type="dxa"/>
          </w:tcPr>
          <w:p w14:paraId="39EC3D56" w14:textId="18459D54" w:rsidR="009E569F" w:rsidRPr="00E54D0D" w:rsidRDefault="009E569F" w:rsidP="00100D58">
            <w:pPr>
              <w:spacing w:before="0" w:after="0" w:line="240" w:lineRule="auto"/>
              <w:rPr>
                <w:sz w:val="24"/>
                <w:szCs w:val="24"/>
                <w:lang w:val="en-AU"/>
              </w:rPr>
            </w:pPr>
            <w:bookmarkStart w:id="14" w:name="_Int_A3wQOBbq"/>
            <w:r w:rsidRPr="00E54D0D">
              <w:rPr>
                <w:sz w:val="24"/>
                <w:szCs w:val="24"/>
                <w:lang w:val="en-AU"/>
              </w:rPr>
              <w:t>HOM</w:t>
            </w:r>
            <w:bookmarkEnd w:id="14"/>
          </w:p>
        </w:tc>
        <w:tc>
          <w:tcPr>
            <w:tcW w:w="7823" w:type="dxa"/>
          </w:tcPr>
          <w:p w14:paraId="36F9EE19" w14:textId="6C4805F9" w:rsidR="009E569F"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Head of Mission</w:t>
            </w:r>
          </w:p>
        </w:tc>
      </w:tr>
      <w:tr w:rsidR="009E569F" w:rsidRPr="00C7406F" w14:paraId="0AA51D84" w14:textId="77777777" w:rsidTr="00F42C0A">
        <w:tc>
          <w:tcPr>
            <w:tcW w:w="1805" w:type="dxa"/>
          </w:tcPr>
          <w:p w14:paraId="5B4CD93D" w14:textId="518AD9A6" w:rsidR="009E569F"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IMR</w:t>
            </w:r>
          </w:p>
        </w:tc>
        <w:tc>
          <w:tcPr>
            <w:tcW w:w="7823" w:type="dxa"/>
          </w:tcPr>
          <w:p w14:paraId="2E36E2BC" w14:textId="45995C44" w:rsidR="009E569F"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 xml:space="preserve">Investment Monitoring Report </w:t>
            </w:r>
          </w:p>
        </w:tc>
      </w:tr>
      <w:tr w:rsidR="00CE32F5" w:rsidRPr="00C7406F" w14:paraId="6E95E353" w14:textId="77777777" w:rsidTr="00F42C0A">
        <w:tc>
          <w:tcPr>
            <w:tcW w:w="1805" w:type="dxa"/>
          </w:tcPr>
          <w:p w14:paraId="6740FE86" w14:textId="1DB75FAF"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ImO</w:t>
            </w:r>
          </w:p>
        </w:tc>
        <w:tc>
          <w:tcPr>
            <w:tcW w:w="7823" w:type="dxa"/>
          </w:tcPr>
          <w:p w14:paraId="437159FC" w14:textId="59666512"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 xml:space="preserve">Immediate Outcome </w:t>
            </w:r>
          </w:p>
        </w:tc>
      </w:tr>
      <w:tr w:rsidR="00CE32F5" w:rsidRPr="00C7406F" w14:paraId="61C35295" w14:textId="77777777" w:rsidTr="00F42C0A">
        <w:tc>
          <w:tcPr>
            <w:tcW w:w="1805" w:type="dxa"/>
          </w:tcPr>
          <w:p w14:paraId="7C54F9C4" w14:textId="2C63CE5F"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IAI</w:t>
            </w:r>
          </w:p>
        </w:tc>
        <w:tc>
          <w:tcPr>
            <w:tcW w:w="7823" w:type="dxa"/>
          </w:tcPr>
          <w:p w14:paraId="62FEBDC6" w14:textId="633C57AF"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Initiative for ASEAN Integration</w:t>
            </w:r>
          </w:p>
        </w:tc>
      </w:tr>
      <w:tr w:rsidR="00CE32F5" w:rsidRPr="00C7406F" w14:paraId="6979D6BD" w14:textId="77777777" w:rsidTr="00F42C0A">
        <w:tc>
          <w:tcPr>
            <w:tcW w:w="1805" w:type="dxa"/>
          </w:tcPr>
          <w:p w14:paraId="792936A5" w14:textId="59E4113C"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IO</w:t>
            </w:r>
          </w:p>
        </w:tc>
        <w:tc>
          <w:tcPr>
            <w:tcW w:w="7823" w:type="dxa"/>
          </w:tcPr>
          <w:p w14:paraId="3D22573F" w14:textId="0DFAE145"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Intermediate Outcomes</w:t>
            </w:r>
          </w:p>
        </w:tc>
      </w:tr>
      <w:tr w:rsidR="000A0047" w:rsidRPr="00C7406F" w14:paraId="3AAE5CEC" w14:textId="77777777" w:rsidTr="00F42C0A">
        <w:tc>
          <w:tcPr>
            <w:tcW w:w="1805" w:type="dxa"/>
          </w:tcPr>
          <w:p w14:paraId="46CBF408" w14:textId="3B695F71" w:rsidR="000A0047" w:rsidRPr="00E54D0D" w:rsidRDefault="000A0047" w:rsidP="00100D58">
            <w:pPr>
              <w:spacing w:before="0" w:after="0" w:line="240" w:lineRule="auto"/>
              <w:rPr>
                <w:rFonts w:cstheme="minorHAnsi"/>
                <w:sz w:val="24"/>
                <w:szCs w:val="24"/>
                <w:lang w:val="en-AU"/>
              </w:rPr>
            </w:pPr>
            <w:r w:rsidRPr="00E54D0D">
              <w:rPr>
                <w:rFonts w:cstheme="minorHAnsi"/>
                <w:sz w:val="24"/>
                <w:szCs w:val="24"/>
                <w:lang w:val="en-AU"/>
              </w:rPr>
              <w:t>LES</w:t>
            </w:r>
          </w:p>
        </w:tc>
        <w:tc>
          <w:tcPr>
            <w:tcW w:w="7823" w:type="dxa"/>
          </w:tcPr>
          <w:p w14:paraId="195DB325" w14:textId="299D8E41" w:rsidR="000A0047" w:rsidRPr="00E54D0D" w:rsidRDefault="000A0047" w:rsidP="00100D58">
            <w:pPr>
              <w:spacing w:before="0" w:after="0" w:line="240" w:lineRule="auto"/>
              <w:rPr>
                <w:rFonts w:cstheme="minorHAnsi"/>
                <w:sz w:val="24"/>
                <w:szCs w:val="24"/>
                <w:lang w:val="en-AU"/>
              </w:rPr>
            </w:pPr>
            <w:r w:rsidRPr="00E54D0D">
              <w:rPr>
                <w:rFonts w:cstheme="minorHAnsi"/>
                <w:sz w:val="24"/>
                <w:szCs w:val="24"/>
                <w:lang w:val="en-AU"/>
              </w:rPr>
              <w:t>Locally Engaged Staff</w:t>
            </w:r>
          </w:p>
        </w:tc>
      </w:tr>
      <w:tr w:rsidR="00427FF0" w:rsidRPr="00C7406F" w14:paraId="3BB5A10A" w14:textId="77777777" w:rsidTr="00F42C0A">
        <w:tc>
          <w:tcPr>
            <w:tcW w:w="1805" w:type="dxa"/>
          </w:tcPr>
          <w:p w14:paraId="463D247A" w14:textId="7A67F662" w:rsidR="00427FF0" w:rsidRPr="00E54D0D" w:rsidRDefault="009E569F" w:rsidP="00100D58">
            <w:pPr>
              <w:spacing w:before="0" w:after="0" w:line="240" w:lineRule="auto"/>
              <w:rPr>
                <w:rFonts w:cstheme="minorHAnsi"/>
                <w:sz w:val="24"/>
                <w:szCs w:val="24"/>
                <w:lang w:val="en-AU"/>
              </w:rPr>
            </w:pPr>
            <w:r w:rsidRPr="00E54D0D">
              <w:rPr>
                <w:rFonts w:cstheme="minorHAnsi"/>
                <w:sz w:val="24"/>
                <w:szCs w:val="24"/>
                <w:lang w:val="en-AU"/>
              </w:rPr>
              <w:t>MAP</w:t>
            </w:r>
          </w:p>
        </w:tc>
        <w:tc>
          <w:tcPr>
            <w:tcW w:w="7823" w:type="dxa"/>
          </w:tcPr>
          <w:p w14:paraId="32AD417A" w14:textId="67423011" w:rsidR="00427FF0" w:rsidRPr="00E54D0D" w:rsidRDefault="00495359" w:rsidP="00100D58">
            <w:pPr>
              <w:spacing w:before="0" w:after="0" w:line="240" w:lineRule="auto"/>
              <w:rPr>
                <w:rFonts w:cstheme="minorHAnsi"/>
                <w:sz w:val="24"/>
                <w:szCs w:val="24"/>
                <w:lang w:val="en-AU"/>
              </w:rPr>
            </w:pPr>
            <w:r w:rsidRPr="00E54D0D">
              <w:rPr>
                <w:rFonts w:cstheme="minorHAnsi"/>
                <w:sz w:val="24"/>
                <w:szCs w:val="24"/>
                <w:lang w:val="en-AU"/>
              </w:rPr>
              <w:t>Mekong-</w:t>
            </w:r>
            <w:r w:rsidR="009E569F" w:rsidRPr="00E54D0D">
              <w:rPr>
                <w:rFonts w:cstheme="minorHAnsi"/>
                <w:sz w:val="24"/>
                <w:szCs w:val="24"/>
                <w:lang w:val="en-AU"/>
              </w:rPr>
              <w:t xml:space="preserve">Australia Partnership </w:t>
            </w:r>
          </w:p>
        </w:tc>
      </w:tr>
      <w:tr w:rsidR="00427FF0" w:rsidRPr="00C7406F" w14:paraId="716FEA1A" w14:textId="77777777" w:rsidTr="00F42C0A">
        <w:tc>
          <w:tcPr>
            <w:tcW w:w="1805" w:type="dxa"/>
          </w:tcPr>
          <w:p w14:paraId="7026C68E" w14:textId="29033E91"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MEF</w:t>
            </w:r>
          </w:p>
        </w:tc>
        <w:tc>
          <w:tcPr>
            <w:tcW w:w="7823" w:type="dxa"/>
          </w:tcPr>
          <w:p w14:paraId="1A9C18CB" w14:textId="6A98E965"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 xml:space="preserve">Monitoring and Evaluation Framework </w:t>
            </w:r>
          </w:p>
        </w:tc>
      </w:tr>
      <w:tr w:rsidR="00427FF0" w:rsidRPr="00C7406F" w14:paraId="7F3AF77D" w14:textId="77777777" w:rsidTr="00F42C0A">
        <w:tc>
          <w:tcPr>
            <w:tcW w:w="1805" w:type="dxa"/>
          </w:tcPr>
          <w:p w14:paraId="3CA0AAA1" w14:textId="0515794E"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MEL</w:t>
            </w:r>
          </w:p>
        </w:tc>
        <w:tc>
          <w:tcPr>
            <w:tcW w:w="7823" w:type="dxa"/>
          </w:tcPr>
          <w:p w14:paraId="7ABEA7DE" w14:textId="4E356420"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Monitoring, Evaluation, Learning</w:t>
            </w:r>
          </w:p>
        </w:tc>
      </w:tr>
      <w:tr w:rsidR="00427FF0" w:rsidRPr="00C7406F" w14:paraId="1966ACDC" w14:textId="77777777" w:rsidTr="00F42C0A">
        <w:tc>
          <w:tcPr>
            <w:tcW w:w="1805" w:type="dxa"/>
          </w:tcPr>
          <w:p w14:paraId="1734184B" w14:textId="0BB3B2FA"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MKS</w:t>
            </w:r>
          </w:p>
        </w:tc>
        <w:tc>
          <w:tcPr>
            <w:tcW w:w="7823" w:type="dxa"/>
          </w:tcPr>
          <w:p w14:paraId="4494BEC0" w14:textId="7A743BE5"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Mekong Strategy Section</w:t>
            </w:r>
          </w:p>
        </w:tc>
      </w:tr>
      <w:tr w:rsidR="00427FF0" w:rsidRPr="00C7406F" w14:paraId="252B2201" w14:textId="77777777" w:rsidTr="00F42C0A">
        <w:tc>
          <w:tcPr>
            <w:tcW w:w="1805" w:type="dxa"/>
          </w:tcPr>
          <w:p w14:paraId="2DEC5E48" w14:textId="619B4528"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MRC</w:t>
            </w:r>
          </w:p>
        </w:tc>
        <w:tc>
          <w:tcPr>
            <w:tcW w:w="7823" w:type="dxa"/>
          </w:tcPr>
          <w:p w14:paraId="5FE9BE01" w14:textId="5363DF6F" w:rsidR="00427FF0" w:rsidRPr="00E54D0D" w:rsidRDefault="00427FF0" w:rsidP="00100D58">
            <w:pPr>
              <w:spacing w:before="0" w:after="0" w:line="240" w:lineRule="auto"/>
              <w:rPr>
                <w:rFonts w:cstheme="minorHAnsi"/>
                <w:sz w:val="24"/>
                <w:szCs w:val="24"/>
                <w:lang w:val="en-AU"/>
              </w:rPr>
            </w:pPr>
            <w:r w:rsidRPr="00E54D0D">
              <w:rPr>
                <w:rFonts w:cstheme="minorHAnsi"/>
                <w:sz w:val="24"/>
                <w:szCs w:val="24"/>
                <w:lang w:val="en-AU"/>
              </w:rPr>
              <w:t xml:space="preserve">Mekong River Commission </w:t>
            </w:r>
          </w:p>
        </w:tc>
      </w:tr>
      <w:tr w:rsidR="00CE32F5" w:rsidRPr="00C7406F" w14:paraId="3693B4BE" w14:textId="77777777" w:rsidTr="00F42C0A">
        <w:tc>
          <w:tcPr>
            <w:tcW w:w="1805" w:type="dxa"/>
          </w:tcPr>
          <w:p w14:paraId="4F09E455" w14:textId="0D57EC55"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MTR</w:t>
            </w:r>
          </w:p>
        </w:tc>
        <w:tc>
          <w:tcPr>
            <w:tcW w:w="7823" w:type="dxa"/>
          </w:tcPr>
          <w:p w14:paraId="4989627A" w14:textId="633943AE"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 xml:space="preserve">Mid Term Review </w:t>
            </w:r>
          </w:p>
        </w:tc>
      </w:tr>
      <w:tr w:rsidR="00CE32F5" w:rsidRPr="00C7406F" w14:paraId="39BC51BC" w14:textId="77777777" w:rsidTr="00F42C0A">
        <w:tc>
          <w:tcPr>
            <w:tcW w:w="1805" w:type="dxa"/>
          </w:tcPr>
          <w:p w14:paraId="015135D9" w14:textId="4DCB1043"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ODA</w:t>
            </w:r>
          </w:p>
        </w:tc>
        <w:tc>
          <w:tcPr>
            <w:tcW w:w="7823" w:type="dxa"/>
          </w:tcPr>
          <w:p w14:paraId="238B800E" w14:textId="023BC93D"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 xml:space="preserve">Official Development Assistance </w:t>
            </w:r>
          </w:p>
        </w:tc>
      </w:tr>
      <w:tr w:rsidR="00CE32F5" w:rsidRPr="00C7406F" w14:paraId="1FAC20F8" w14:textId="77777777" w:rsidTr="00F42C0A">
        <w:tc>
          <w:tcPr>
            <w:tcW w:w="1805" w:type="dxa"/>
          </w:tcPr>
          <w:p w14:paraId="1DDB8CD6" w14:textId="4EC9D07A"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OPD</w:t>
            </w:r>
          </w:p>
        </w:tc>
        <w:tc>
          <w:tcPr>
            <w:tcW w:w="7823" w:type="dxa"/>
          </w:tcPr>
          <w:p w14:paraId="0AB6BE38" w14:textId="279FDE21"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Organisations of People with Disabilities</w:t>
            </w:r>
          </w:p>
        </w:tc>
      </w:tr>
      <w:tr w:rsidR="00CE32F5" w:rsidRPr="00C7406F" w14:paraId="62710937" w14:textId="77777777" w:rsidTr="00F42C0A">
        <w:tc>
          <w:tcPr>
            <w:tcW w:w="1805" w:type="dxa"/>
          </w:tcPr>
          <w:p w14:paraId="29798D88" w14:textId="0349CC5D"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P4I</w:t>
            </w:r>
          </w:p>
        </w:tc>
        <w:tc>
          <w:tcPr>
            <w:tcW w:w="7823" w:type="dxa"/>
          </w:tcPr>
          <w:p w14:paraId="3737602A" w14:textId="04A0DDEF"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 xml:space="preserve">Partnership for Infrastructure </w:t>
            </w:r>
          </w:p>
        </w:tc>
      </w:tr>
      <w:tr w:rsidR="00CE32F5" w:rsidRPr="00C7406F" w14:paraId="1E2698AB" w14:textId="77777777" w:rsidTr="00F42C0A">
        <w:tc>
          <w:tcPr>
            <w:tcW w:w="1805" w:type="dxa"/>
          </w:tcPr>
          <w:p w14:paraId="051B2DFC" w14:textId="6C0CF82B"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PSEAH</w:t>
            </w:r>
          </w:p>
        </w:tc>
        <w:tc>
          <w:tcPr>
            <w:tcW w:w="7823" w:type="dxa"/>
          </w:tcPr>
          <w:p w14:paraId="7EBFC647" w14:textId="3ECF8322"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 xml:space="preserve">Preventing Sexual Exploitation, Abuse and Harassment </w:t>
            </w:r>
          </w:p>
        </w:tc>
      </w:tr>
      <w:tr w:rsidR="00294DCC" w:rsidRPr="00C7406F" w14:paraId="35FAFC48" w14:textId="77777777" w:rsidTr="00F42C0A">
        <w:tc>
          <w:tcPr>
            <w:tcW w:w="1805" w:type="dxa"/>
          </w:tcPr>
          <w:p w14:paraId="536E3609" w14:textId="7D920E4D" w:rsidR="00294DCC" w:rsidRPr="00E54D0D" w:rsidRDefault="00294DCC" w:rsidP="00100D58">
            <w:pPr>
              <w:spacing w:before="0" w:after="0" w:line="240" w:lineRule="auto"/>
              <w:rPr>
                <w:sz w:val="24"/>
                <w:szCs w:val="24"/>
                <w:lang w:val="en-AU"/>
              </w:rPr>
            </w:pPr>
            <w:bookmarkStart w:id="15" w:name="_Int_BMU8RC0t"/>
            <w:r w:rsidRPr="00E54D0D">
              <w:rPr>
                <w:sz w:val="24"/>
                <w:szCs w:val="24"/>
                <w:lang w:val="en-AU"/>
              </w:rPr>
              <w:t>SDG</w:t>
            </w:r>
            <w:bookmarkEnd w:id="15"/>
          </w:p>
        </w:tc>
        <w:tc>
          <w:tcPr>
            <w:tcW w:w="7823" w:type="dxa"/>
          </w:tcPr>
          <w:p w14:paraId="461BDD06" w14:textId="5ABA46F2" w:rsidR="00294DCC" w:rsidRPr="00E54D0D" w:rsidRDefault="00294DCC" w:rsidP="00100D58">
            <w:pPr>
              <w:spacing w:before="0" w:after="0" w:line="240" w:lineRule="auto"/>
              <w:rPr>
                <w:rFonts w:cstheme="minorHAnsi"/>
                <w:sz w:val="24"/>
                <w:szCs w:val="24"/>
                <w:lang w:val="en-AU"/>
              </w:rPr>
            </w:pPr>
            <w:r w:rsidRPr="00E54D0D">
              <w:rPr>
                <w:rFonts w:cstheme="minorHAnsi"/>
                <w:sz w:val="24"/>
                <w:szCs w:val="24"/>
                <w:lang w:val="en-AU"/>
              </w:rPr>
              <w:t>Sustainable Development Goals</w:t>
            </w:r>
          </w:p>
        </w:tc>
      </w:tr>
      <w:tr w:rsidR="00CE32F5" w:rsidRPr="00C7406F" w14:paraId="7142B054" w14:textId="77777777" w:rsidTr="00F42C0A">
        <w:tc>
          <w:tcPr>
            <w:tcW w:w="1805" w:type="dxa"/>
          </w:tcPr>
          <w:p w14:paraId="5D58F3AB" w14:textId="3E6C6379"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TNC</w:t>
            </w:r>
          </w:p>
        </w:tc>
        <w:tc>
          <w:tcPr>
            <w:tcW w:w="7823" w:type="dxa"/>
          </w:tcPr>
          <w:p w14:paraId="3888C036" w14:textId="5F30FA5D" w:rsidR="00CE32F5" w:rsidRPr="00E54D0D" w:rsidRDefault="00CE32F5" w:rsidP="00100D58">
            <w:pPr>
              <w:spacing w:before="0" w:after="0" w:line="240" w:lineRule="auto"/>
              <w:rPr>
                <w:rFonts w:cstheme="minorHAnsi"/>
                <w:sz w:val="24"/>
                <w:szCs w:val="24"/>
                <w:lang w:val="en-AU"/>
              </w:rPr>
            </w:pPr>
            <w:r w:rsidRPr="00E54D0D">
              <w:rPr>
                <w:rFonts w:cstheme="minorHAnsi"/>
                <w:sz w:val="24"/>
                <w:szCs w:val="24"/>
                <w:lang w:val="en-AU"/>
              </w:rPr>
              <w:t>Transnational Crime</w:t>
            </w:r>
          </w:p>
        </w:tc>
      </w:tr>
    </w:tbl>
    <w:p w14:paraId="4CA0D145" w14:textId="7034BAD6" w:rsidR="005530BF" w:rsidRPr="001F14E7" w:rsidRDefault="005530BF" w:rsidP="00F87102">
      <w:pPr>
        <w:rPr>
          <w:lang w:val="en-AU"/>
        </w:rPr>
        <w:sectPr w:rsidR="005530BF" w:rsidRPr="001F14E7" w:rsidSect="003E52D8">
          <w:pgSz w:w="11906" w:h="16838" w:code="9"/>
          <w:pgMar w:top="1440" w:right="1080" w:bottom="1440" w:left="1080" w:header="425" w:footer="493" w:gutter="0"/>
          <w:cols w:space="397"/>
          <w:titlePg/>
          <w:docGrid w:linePitch="360"/>
        </w:sectPr>
      </w:pPr>
    </w:p>
    <w:p w14:paraId="77B5CC29" w14:textId="10925F49" w:rsidR="00A32858" w:rsidRPr="001F14E7" w:rsidRDefault="00A32858" w:rsidP="005E3A40">
      <w:pPr>
        <w:pStyle w:val="Heading1Numbered"/>
        <w:rPr>
          <w:lang w:val="en-AU"/>
        </w:rPr>
      </w:pPr>
      <w:bookmarkStart w:id="16" w:name="_Toc162287851"/>
      <w:bookmarkStart w:id="17" w:name="_Toc163539138"/>
      <w:bookmarkStart w:id="18" w:name="_Toc174029022"/>
      <w:r w:rsidRPr="001F14E7">
        <w:rPr>
          <w:lang w:val="en-AU"/>
        </w:rPr>
        <w:lastRenderedPageBreak/>
        <w:t>Development Context and Situational Analysis</w:t>
      </w:r>
      <w:bookmarkEnd w:id="16"/>
      <w:bookmarkEnd w:id="17"/>
      <w:bookmarkEnd w:id="18"/>
    </w:p>
    <w:p w14:paraId="3B616238" w14:textId="6EBB2BE1" w:rsidR="008839EB" w:rsidRPr="00E54D0D" w:rsidRDefault="7FE201AA" w:rsidP="00BE1590">
      <w:pPr>
        <w:rPr>
          <w:sz w:val="24"/>
          <w:szCs w:val="24"/>
          <w:lang w:val="en-AU"/>
        </w:rPr>
      </w:pPr>
      <w:r w:rsidRPr="00E54D0D">
        <w:rPr>
          <w:sz w:val="24"/>
          <w:szCs w:val="24"/>
          <w:lang w:val="en-AU"/>
        </w:rPr>
        <w:t xml:space="preserve">The Mekong subregion (Cambodia, Laos, Myanmar, Thailand, Vietnam) is a key focus for Australia’s national interests. </w:t>
      </w:r>
      <w:r w:rsidR="66A5153F" w:rsidRPr="00E54D0D">
        <w:rPr>
          <w:sz w:val="24"/>
          <w:szCs w:val="24"/>
          <w:lang w:val="en-AU"/>
        </w:rPr>
        <w:t>The subregion is economically, strategically and environmentally important and its trajectory has a direct bearing on sustainable development and regional stability and cohesion.</w:t>
      </w:r>
      <w:r w:rsidR="429534AA" w:rsidRPr="00E54D0D">
        <w:rPr>
          <w:sz w:val="24"/>
          <w:szCs w:val="24"/>
          <w:lang w:val="en-AU"/>
        </w:rPr>
        <w:t xml:space="preserve"> </w:t>
      </w:r>
      <w:r w:rsidR="5B0187B6" w:rsidRPr="00E54D0D">
        <w:rPr>
          <w:sz w:val="24"/>
          <w:szCs w:val="24"/>
          <w:lang w:val="en-AU"/>
        </w:rPr>
        <w:t xml:space="preserve">Many of the challenges </w:t>
      </w:r>
      <w:r w:rsidR="5F1007ED" w:rsidRPr="00E54D0D">
        <w:rPr>
          <w:sz w:val="24"/>
          <w:szCs w:val="24"/>
          <w:lang w:val="en-AU"/>
        </w:rPr>
        <w:t>in</w:t>
      </w:r>
      <w:r w:rsidR="4EE8AE6A" w:rsidRPr="00E54D0D">
        <w:rPr>
          <w:sz w:val="24"/>
          <w:szCs w:val="24"/>
          <w:lang w:val="en-AU"/>
        </w:rPr>
        <w:t xml:space="preserve"> </w:t>
      </w:r>
      <w:r w:rsidR="5B0187B6" w:rsidRPr="00E54D0D">
        <w:rPr>
          <w:sz w:val="24"/>
          <w:szCs w:val="24"/>
          <w:lang w:val="en-AU"/>
        </w:rPr>
        <w:t xml:space="preserve">the Mekong subregion are transboundary in nature and reflect the complex and intertwined opportunities and challenges for the region. </w:t>
      </w:r>
      <w:r w:rsidR="3141356F" w:rsidRPr="0000253E">
        <w:rPr>
          <w:sz w:val="24"/>
          <w:szCs w:val="24"/>
          <w:lang w:val="en-AU"/>
        </w:rPr>
        <w:t>T</w:t>
      </w:r>
      <w:r w:rsidR="582C81CE" w:rsidRPr="0000253E">
        <w:rPr>
          <w:sz w:val="24"/>
          <w:szCs w:val="24"/>
          <w:lang w:val="en-AU"/>
        </w:rPr>
        <w:t xml:space="preserve">he Mekong subregion warrants a special focus for Australia owing to its </w:t>
      </w:r>
      <w:r w:rsidR="006009FF">
        <w:rPr>
          <w:sz w:val="24"/>
          <w:szCs w:val="24"/>
          <w:lang w:val="en-AU"/>
        </w:rPr>
        <w:t>geography</w:t>
      </w:r>
      <w:r w:rsidR="582C81CE" w:rsidRPr="0000253E">
        <w:rPr>
          <w:sz w:val="24"/>
          <w:szCs w:val="24"/>
          <w:lang w:val="en-AU"/>
        </w:rPr>
        <w:t xml:space="preserve"> and the shared and cross-border nature of many of its most pressing challenges</w:t>
      </w:r>
      <w:r w:rsidR="582C81CE" w:rsidRPr="00E54D0D">
        <w:rPr>
          <w:sz w:val="24"/>
          <w:szCs w:val="24"/>
          <w:lang w:val="en-AU"/>
        </w:rPr>
        <w:t xml:space="preserve">. </w:t>
      </w:r>
      <w:r w:rsidR="5B0187B6" w:rsidRPr="00E54D0D">
        <w:rPr>
          <w:sz w:val="24"/>
          <w:szCs w:val="24"/>
          <w:lang w:val="en-AU"/>
        </w:rPr>
        <w:t>A</w:t>
      </w:r>
      <w:r w:rsidR="63D8DDD8" w:rsidRPr="00E54D0D">
        <w:rPr>
          <w:sz w:val="24"/>
          <w:szCs w:val="24"/>
          <w:lang w:val="en-AU"/>
        </w:rPr>
        <w:t xml:space="preserve"> regional</w:t>
      </w:r>
      <w:r w:rsidR="6AEB30C3" w:rsidRPr="00E54D0D">
        <w:rPr>
          <w:sz w:val="24"/>
          <w:szCs w:val="24"/>
          <w:lang w:val="en-AU"/>
        </w:rPr>
        <w:t xml:space="preserve"> portfolio of investments</w:t>
      </w:r>
      <w:r w:rsidR="63D8DDD8" w:rsidRPr="00E54D0D">
        <w:rPr>
          <w:sz w:val="24"/>
          <w:szCs w:val="24"/>
          <w:lang w:val="en-AU"/>
        </w:rPr>
        <w:t xml:space="preserve"> is </w:t>
      </w:r>
      <w:r w:rsidR="785A8DE0" w:rsidRPr="00E54D0D">
        <w:rPr>
          <w:sz w:val="24"/>
          <w:szCs w:val="24"/>
          <w:lang w:val="en-AU"/>
        </w:rPr>
        <w:t>a</w:t>
      </w:r>
      <w:r w:rsidR="63D8DDD8" w:rsidRPr="00E54D0D">
        <w:rPr>
          <w:sz w:val="24"/>
          <w:szCs w:val="24"/>
          <w:lang w:val="en-AU"/>
        </w:rPr>
        <w:t xml:space="preserve"> </w:t>
      </w:r>
      <w:r w:rsidR="0038679E" w:rsidRPr="00E54D0D">
        <w:rPr>
          <w:sz w:val="24"/>
          <w:szCs w:val="24"/>
          <w:lang w:val="en-AU"/>
        </w:rPr>
        <w:t>sound pathway to support</w:t>
      </w:r>
      <w:r w:rsidR="63D8DDD8" w:rsidRPr="00E54D0D">
        <w:rPr>
          <w:sz w:val="24"/>
          <w:szCs w:val="24"/>
          <w:lang w:val="en-AU"/>
        </w:rPr>
        <w:t xml:space="preserve"> Mekong countries to </w:t>
      </w:r>
      <w:r w:rsidR="5B0187B6" w:rsidRPr="00E54D0D">
        <w:rPr>
          <w:sz w:val="24"/>
          <w:szCs w:val="24"/>
          <w:lang w:val="en-AU"/>
        </w:rPr>
        <w:t>address transboundary issues.</w:t>
      </w:r>
    </w:p>
    <w:p w14:paraId="09DCBEF1" w14:textId="1180917C" w:rsidR="00BD5F49" w:rsidRPr="00E54D0D" w:rsidRDefault="4E0E461D" w:rsidP="00BE1590">
      <w:pPr>
        <w:rPr>
          <w:sz w:val="24"/>
          <w:szCs w:val="24"/>
          <w:lang w:val="en-AU"/>
        </w:rPr>
      </w:pPr>
      <w:r w:rsidRPr="00E54D0D">
        <w:rPr>
          <w:sz w:val="24"/>
          <w:szCs w:val="24"/>
          <w:lang w:val="en-AU"/>
        </w:rPr>
        <w:t>This section draws on additional political economy analysis undertaken by DFAT</w:t>
      </w:r>
      <w:r w:rsidR="00E46440" w:rsidRPr="00E54D0D">
        <w:rPr>
          <w:sz w:val="24"/>
          <w:szCs w:val="24"/>
          <w:lang w:val="en-AU"/>
        </w:rPr>
        <w:t xml:space="preserve"> </w:t>
      </w:r>
      <w:r w:rsidRPr="00E54D0D">
        <w:rPr>
          <w:sz w:val="24"/>
          <w:szCs w:val="24"/>
          <w:lang w:val="en-AU"/>
        </w:rPr>
        <w:t xml:space="preserve">and </w:t>
      </w:r>
      <w:r w:rsidR="00DF66AF" w:rsidRPr="00E54D0D">
        <w:rPr>
          <w:sz w:val="24"/>
          <w:szCs w:val="24"/>
          <w:lang w:val="en-AU"/>
        </w:rPr>
        <w:t>implementing partners. Further analysis will be commissioned as needed in implementation</w:t>
      </w:r>
      <w:r w:rsidR="6FF20051" w:rsidRPr="00E54D0D">
        <w:rPr>
          <w:sz w:val="24"/>
          <w:szCs w:val="24"/>
          <w:lang w:val="en-AU"/>
        </w:rPr>
        <w:t>,</w:t>
      </w:r>
      <w:r w:rsidR="5A009554" w:rsidRPr="00E54D0D">
        <w:rPr>
          <w:sz w:val="24"/>
          <w:szCs w:val="24"/>
          <w:lang w:val="en-AU"/>
        </w:rPr>
        <w:t xml:space="preserve"> including as part of thematic strategies. Analysis will draw </w:t>
      </w:r>
      <w:r w:rsidR="65AE40B6" w:rsidRPr="00E54D0D">
        <w:rPr>
          <w:sz w:val="24"/>
          <w:szCs w:val="24"/>
          <w:lang w:val="en-AU"/>
        </w:rPr>
        <w:t>upon</w:t>
      </w:r>
      <w:r w:rsidR="00100D58" w:rsidRPr="00E54D0D">
        <w:rPr>
          <w:sz w:val="24"/>
          <w:szCs w:val="24"/>
          <w:lang w:val="en-AU"/>
        </w:rPr>
        <w:t xml:space="preserve"> </w:t>
      </w:r>
      <w:r w:rsidR="6FF20051" w:rsidRPr="00E54D0D">
        <w:rPr>
          <w:sz w:val="24"/>
          <w:szCs w:val="24"/>
          <w:lang w:val="en-AU"/>
        </w:rPr>
        <w:t xml:space="preserve">existing </w:t>
      </w:r>
      <w:r w:rsidR="42497D99" w:rsidRPr="00E54D0D">
        <w:rPr>
          <w:sz w:val="24"/>
          <w:szCs w:val="24"/>
          <w:lang w:val="en-AU"/>
        </w:rPr>
        <w:t xml:space="preserve">research </w:t>
      </w:r>
      <w:r w:rsidR="0F557542" w:rsidRPr="00E54D0D">
        <w:rPr>
          <w:sz w:val="24"/>
          <w:szCs w:val="24"/>
          <w:lang w:val="en-AU"/>
        </w:rPr>
        <w:t>and lessons learned</w:t>
      </w:r>
      <w:r w:rsidR="00F53B4B" w:rsidRPr="00E54D0D">
        <w:rPr>
          <w:sz w:val="24"/>
          <w:szCs w:val="24"/>
          <w:lang w:val="en-AU"/>
        </w:rPr>
        <w:t xml:space="preserve"> across all themes</w:t>
      </w:r>
      <w:r w:rsidR="0F557542" w:rsidRPr="00E54D0D">
        <w:rPr>
          <w:sz w:val="24"/>
          <w:szCs w:val="24"/>
          <w:lang w:val="en-AU"/>
        </w:rPr>
        <w:t xml:space="preserve"> from MAP Phase</w:t>
      </w:r>
      <w:r w:rsidR="008422ED" w:rsidRPr="00E54D0D">
        <w:rPr>
          <w:sz w:val="24"/>
          <w:szCs w:val="24"/>
          <w:lang w:val="en-AU"/>
        </w:rPr>
        <w:t xml:space="preserve"> 1</w:t>
      </w:r>
      <w:r w:rsidR="0F557542" w:rsidRPr="00E54D0D">
        <w:rPr>
          <w:sz w:val="24"/>
          <w:szCs w:val="24"/>
          <w:lang w:val="en-AU"/>
        </w:rPr>
        <w:t xml:space="preserve"> implementation</w:t>
      </w:r>
      <w:r w:rsidR="00100D58" w:rsidRPr="00E54D0D">
        <w:rPr>
          <w:sz w:val="24"/>
          <w:szCs w:val="24"/>
          <w:lang w:val="en-AU"/>
        </w:rPr>
        <w:t>.</w:t>
      </w:r>
      <w:r w:rsidR="7FC1A561" w:rsidRPr="00E54D0D">
        <w:rPr>
          <w:sz w:val="24"/>
          <w:szCs w:val="24"/>
          <w:lang w:val="en-AU"/>
        </w:rPr>
        <w:t xml:space="preserve"> </w:t>
      </w:r>
    </w:p>
    <w:p w14:paraId="2E7C6A04" w14:textId="7EE9D3AE" w:rsidR="00107D34" w:rsidRPr="001F14E7" w:rsidRDefault="00107D34" w:rsidP="00FB0C28">
      <w:pPr>
        <w:pStyle w:val="Heading2Numbered"/>
        <w:rPr>
          <w:lang w:val="en-AU"/>
        </w:rPr>
      </w:pPr>
      <w:bookmarkStart w:id="19" w:name="_Toc162287853"/>
      <w:bookmarkStart w:id="20" w:name="_Toc163539139"/>
      <w:bookmarkStart w:id="21" w:name="_Toc174029023"/>
      <w:r w:rsidRPr="218F81E5">
        <w:rPr>
          <w:lang w:val="en-AU"/>
        </w:rPr>
        <w:t>The Mekong as a subregion</w:t>
      </w:r>
      <w:bookmarkEnd w:id="19"/>
      <w:bookmarkEnd w:id="20"/>
      <w:bookmarkEnd w:id="21"/>
    </w:p>
    <w:p w14:paraId="6439242C" w14:textId="57753EC8" w:rsidR="004A0551" w:rsidRPr="00E54D0D" w:rsidRDefault="009131AB" w:rsidP="00BE1590">
      <w:pPr>
        <w:rPr>
          <w:sz w:val="24"/>
          <w:szCs w:val="24"/>
          <w:lang w:val="en-AU"/>
        </w:rPr>
      </w:pPr>
      <w:r w:rsidRPr="0000253E">
        <w:rPr>
          <w:rFonts w:eastAsia="Times New Roman" w:cs="Times New Roman"/>
          <w:b/>
          <w:bCs/>
          <w:sz w:val="24"/>
          <w:szCs w:val="24"/>
          <w:lang w:val="en-AU"/>
        </w:rPr>
        <w:t>The Mekong subregion is important as an engine of economic growth integral to international supply chains.</w:t>
      </w:r>
      <w:r w:rsidRPr="00E54D0D">
        <w:rPr>
          <w:rFonts w:eastAsia="Times New Roman" w:cs="Times New Roman"/>
          <w:sz w:val="24"/>
          <w:szCs w:val="24"/>
          <w:lang w:val="en-AU"/>
        </w:rPr>
        <w:t xml:space="preserve"> </w:t>
      </w:r>
    </w:p>
    <w:p w14:paraId="1F5F90E8" w14:textId="14A7561C" w:rsidR="00606A91" w:rsidRPr="00E54D0D" w:rsidRDefault="00606A91" w:rsidP="00BE1590">
      <w:pPr>
        <w:rPr>
          <w:rFonts w:eastAsia="Times New Roman" w:cs="Times New Roman"/>
          <w:sz w:val="24"/>
          <w:szCs w:val="24"/>
          <w:lang w:val="en-AU"/>
        </w:rPr>
      </w:pPr>
      <w:r w:rsidRPr="00E54D0D">
        <w:rPr>
          <w:rFonts w:eastAsia="Times New Roman" w:cs="Times New Roman"/>
          <w:b/>
          <w:bCs/>
          <w:sz w:val="24"/>
          <w:szCs w:val="24"/>
          <w:lang w:val="en-AU"/>
        </w:rPr>
        <w:t>Mekong-led subregional architecture is a complex environment</w:t>
      </w:r>
      <w:r w:rsidRPr="00E54D0D">
        <w:rPr>
          <w:rFonts w:eastAsia="Times New Roman" w:cs="Times New Roman"/>
          <w:sz w:val="24"/>
          <w:szCs w:val="24"/>
          <w:lang w:val="en-AU"/>
        </w:rPr>
        <w:t xml:space="preserve"> with varying </w:t>
      </w:r>
      <w:r w:rsidR="002D604C" w:rsidRPr="00E54D0D">
        <w:rPr>
          <w:rFonts w:eastAsia="Times New Roman" w:cs="Times New Roman"/>
          <w:sz w:val="24"/>
          <w:szCs w:val="24"/>
          <w:lang w:val="en-AU"/>
        </w:rPr>
        <w:t xml:space="preserve">levels </w:t>
      </w:r>
      <w:r w:rsidRPr="00E54D0D">
        <w:rPr>
          <w:rFonts w:eastAsia="Times New Roman" w:cs="Times New Roman"/>
          <w:sz w:val="24"/>
          <w:szCs w:val="24"/>
          <w:lang w:val="en-AU"/>
        </w:rPr>
        <w:t xml:space="preserve">of influence, effectiveness and efficiencies. </w:t>
      </w:r>
      <w:r w:rsidR="00BC4D51">
        <w:rPr>
          <w:rFonts w:eastAsia="Times New Roman" w:cs="Times New Roman"/>
          <w:sz w:val="24"/>
          <w:szCs w:val="24"/>
          <w:lang w:val="en-AU"/>
        </w:rPr>
        <w:t xml:space="preserve">The </w:t>
      </w:r>
      <w:r w:rsidRPr="00E54D0D">
        <w:rPr>
          <w:rFonts w:eastAsia="Times New Roman" w:cs="Times New Roman"/>
          <w:sz w:val="24"/>
          <w:szCs w:val="24"/>
          <w:lang w:val="en-AU"/>
        </w:rPr>
        <w:t xml:space="preserve">Ayeyawady-Chao Phraya-Mekong Economic Cooperation Strategy (ACMECS) </w:t>
      </w:r>
      <w:r w:rsidR="00BC4D51">
        <w:rPr>
          <w:rFonts w:eastAsia="Times New Roman" w:cs="Times New Roman"/>
          <w:sz w:val="24"/>
          <w:szCs w:val="24"/>
          <w:lang w:val="en-AU"/>
        </w:rPr>
        <w:t xml:space="preserve">aims </w:t>
      </w:r>
      <w:r w:rsidRPr="00E54D0D">
        <w:rPr>
          <w:rFonts w:eastAsia="Times New Roman" w:cs="Times New Roman"/>
          <w:sz w:val="24"/>
          <w:szCs w:val="24"/>
          <w:lang w:val="en-AU"/>
        </w:rPr>
        <w:t>to facilitate shared development and cooperation, and bridge economic gaps between Mekong countries through close cooperation in priority areas. ACMECS has potential to foster sustained dialogue and solidarity on shared challenges among Mekong countries</w:t>
      </w:r>
      <w:r w:rsidR="001F7E9E">
        <w:rPr>
          <w:rFonts w:eastAsia="Times New Roman" w:cs="Times New Roman"/>
          <w:sz w:val="24"/>
          <w:szCs w:val="24"/>
          <w:lang w:val="en-AU"/>
        </w:rPr>
        <w:t xml:space="preserve"> as it includes all five Mekong subregion countries.</w:t>
      </w:r>
      <w:r w:rsidRPr="00E54D0D">
        <w:rPr>
          <w:rFonts w:eastAsia="Times New Roman" w:cs="Times New Roman"/>
          <w:sz w:val="24"/>
          <w:szCs w:val="24"/>
          <w:lang w:val="en-AU"/>
        </w:rPr>
        <w:t xml:space="preserve"> The Mekong River Commission (</w:t>
      </w:r>
      <w:hyperlink r:id="rId13" w:history="1">
        <w:r w:rsidRPr="00E54D0D">
          <w:rPr>
            <w:rStyle w:val="Hyperlink"/>
            <w:rFonts w:eastAsia="Times New Roman" w:cs="Times New Roman"/>
            <w:sz w:val="24"/>
            <w:szCs w:val="24"/>
            <w:u w:val="none"/>
            <w:lang w:val="en-AU"/>
          </w:rPr>
          <w:t>MRC</w:t>
        </w:r>
      </w:hyperlink>
      <w:r w:rsidRPr="00E54D0D">
        <w:rPr>
          <w:rFonts w:eastAsia="Times New Roman" w:cs="Times New Roman"/>
          <w:sz w:val="24"/>
          <w:szCs w:val="24"/>
          <w:lang w:val="en-AU"/>
        </w:rPr>
        <w:t xml:space="preserve">) is the subregion’s only treaty-based institution and has a unique focus on environmental sustainability, water diplomacy and technical exchange between its four downstream member states (Vietnam, Cambodia, Laos, Thailand). </w:t>
      </w:r>
      <w:r w:rsidR="0003328A" w:rsidRPr="00E54D0D">
        <w:rPr>
          <w:rFonts w:eastAsia="Times New Roman" w:cs="Times New Roman"/>
          <w:sz w:val="24"/>
          <w:szCs w:val="24"/>
          <w:lang w:val="en-AU"/>
        </w:rPr>
        <w:t xml:space="preserve">The </w:t>
      </w:r>
      <w:r w:rsidRPr="00E54D0D">
        <w:rPr>
          <w:rFonts w:eastAsia="Times New Roman" w:cs="Times New Roman"/>
          <w:sz w:val="24"/>
          <w:szCs w:val="24"/>
          <w:lang w:val="en-AU"/>
        </w:rPr>
        <w:t>MRC prioritises proactive planning for sustainable and equitable development</w:t>
      </w:r>
      <w:r w:rsidR="00BC1792" w:rsidRPr="00E54D0D">
        <w:rPr>
          <w:rFonts w:eastAsia="Times New Roman" w:cs="Times New Roman"/>
          <w:sz w:val="24"/>
          <w:szCs w:val="24"/>
          <w:lang w:val="en-AU"/>
        </w:rPr>
        <w:t xml:space="preserve"> and </w:t>
      </w:r>
      <w:r w:rsidR="00E32002" w:rsidRPr="00E54D0D">
        <w:rPr>
          <w:rFonts w:eastAsia="Times New Roman" w:cs="Times New Roman"/>
          <w:sz w:val="24"/>
          <w:szCs w:val="24"/>
          <w:lang w:val="en-AU"/>
        </w:rPr>
        <w:t xml:space="preserve">engages with its members on </w:t>
      </w:r>
      <w:r w:rsidR="00BC1792" w:rsidRPr="00E54D0D">
        <w:rPr>
          <w:rFonts w:eastAsia="Times New Roman" w:cs="Times New Roman"/>
          <w:sz w:val="24"/>
          <w:szCs w:val="24"/>
          <w:lang w:val="en-AU"/>
        </w:rPr>
        <w:t>disputes requiring trade-offs</w:t>
      </w:r>
      <w:r w:rsidRPr="00E54D0D">
        <w:rPr>
          <w:rFonts w:eastAsia="Times New Roman" w:cs="Times New Roman"/>
          <w:sz w:val="24"/>
          <w:szCs w:val="24"/>
          <w:lang w:val="en-AU"/>
        </w:rPr>
        <w:t>.</w:t>
      </w:r>
    </w:p>
    <w:p w14:paraId="3BD5E178" w14:textId="3F66D100" w:rsidR="004A0551" w:rsidRPr="00E54D0D" w:rsidRDefault="004A0551" w:rsidP="00BE1590">
      <w:pPr>
        <w:rPr>
          <w:sz w:val="24"/>
          <w:szCs w:val="24"/>
          <w:lang w:val="en-AU"/>
        </w:rPr>
      </w:pPr>
      <w:r w:rsidRPr="00E54D0D">
        <w:rPr>
          <w:sz w:val="24"/>
          <w:szCs w:val="24"/>
          <w:lang w:val="en-AU"/>
        </w:rPr>
        <w:t>International engagement in the subregion plays out through numerous subregional and wider regional groupings and cooperation frameworks. The Initiative for ASEAN Integration assists ASEAN’s least developed members (Cambodia, Laos, Myanmar and Vietnam) to leverage the potential benefits of regional integration, while also helping them cope with challenges and economic risks.</w:t>
      </w:r>
      <w:r w:rsidR="00606A91" w:rsidRPr="00E54D0D">
        <w:rPr>
          <w:sz w:val="24"/>
          <w:szCs w:val="24"/>
          <w:lang w:val="en-AU"/>
        </w:rPr>
        <w:t xml:space="preserve"> External (donor) support is welcomed and sought after. </w:t>
      </w:r>
    </w:p>
    <w:p w14:paraId="084DE981" w14:textId="486AEC0A" w:rsidR="00B931BE" w:rsidRPr="00E54D0D" w:rsidRDefault="46935D37" w:rsidP="00BE1590">
      <w:pPr>
        <w:rPr>
          <w:sz w:val="24"/>
          <w:szCs w:val="24"/>
          <w:lang w:val="en-AU"/>
        </w:rPr>
      </w:pPr>
      <w:r w:rsidRPr="00E54D0D">
        <w:rPr>
          <w:sz w:val="24"/>
          <w:szCs w:val="24"/>
          <w:lang w:val="en-AU"/>
        </w:rPr>
        <w:t xml:space="preserve">The lack of a single agreed Mekong institution means that </w:t>
      </w:r>
      <w:r w:rsidR="382C3C85" w:rsidRPr="00E54D0D">
        <w:rPr>
          <w:sz w:val="24"/>
          <w:szCs w:val="24"/>
          <w:lang w:val="en-AU"/>
        </w:rPr>
        <w:t xml:space="preserve">there is no agreed whole of subregion development strategy or plan. While </w:t>
      </w:r>
      <w:r w:rsidR="52C4A355" w:rsidRPr="00E54D0D">
        <w:rPr>
          <w:sz w:val="24"/>
          <w:szCs w:val="24"/>
          <w:lang w:val="en-AU"/>
        </w:rPr>
        <w:t>various</w:t>
      </w:r>
      <w:r w:rsidR="382C3C85" w:rsidRPr="00E54D0D">
        <w:rPr>
          <w:sz w:val="24"/>
          <w:szCs w:val="24"/>
          <w:lang w:val="en-AU"/>
        </w:rPr>
        <w:t xml:space="preserve"> subregional institutions have high-level strategies, </w:t>
      </w:r>
      <w:r w:rsidR="52C4A355" w:rsidRPr="00E54D0D">
        <w:rPr>
          <w:sz w:val="24"/>
          <w:szCs w:val="24"/>
          <w:lang w:val="en-AU"/>
        </w:rPr>
        <w:t xml:space="preserve">some of these are either narrow in </w:t>
      </w:r>
      <w:r w:rsidR="00A642B1" w:rsidRPr="00E54D0D">
        <w:rPr>
          <w:sz w:val="24"/>
          <w:szCs w:val="24"/>
          <w:lang w:val="en-AU"/>
        </w:rPr>
        <w:t>scope or</w:t>
      </w:r>
      <w:r w:rsidR="3B28A6EE" w:rsidRPr="00E54D0D">
        <w:rPr>
          <w:sz w:val="24"/>
          <w:szCs w:val="24"/>
          <w:lang w:val="en-AU"/>
        </w:rPr>
        <w:t xml:space="preserve"> do not have universal buy-in across the subregion.</w:t>
      </w:r>
      <w:r w:rsidR="6E296588" w:rsidRPr="00E54D0D">
        <w:rPr>
          <w:sz w:val="24"/>
          <w:szCs w:val="24"/>
          <w:lang w:val="en-AU"/>
        </w:rPr>
        <w:t xml:space="preserve"> This has implications for consultation, planning and governance approaches for any Mekong subregion program.</w:t>
      </w:r>
    </w:p>
    <w:p w14:paraId="589AEC40" w14:textId="12A56E14" w:rsidR="004A0551" w:rsidRPr="00E54D0D" w:rsidRDefault="5B0187B6">
      <w:pPr>
        <w:rPr>
          <w:sz w:val="24"/>
          <w:szCs w:val="24"/>
          <w:lang w:val="en-AU"/>
        </w:rPr>
      </w:pPr>
      <w:r w:rsidRPr="00E54D0D">
        <w:rPr>
          <w:b/>
          <w:bCs/>
          <w:sz w:val="24"/>
          <w:szCs w:val="24"/>
          <w:lang w:val="en-AU"/>
        </w:rPr>
        <w:t xml:space="preserve">Climate change threatens sustainable growth, livelihoods and water and food security for millions of people, thus </w:t>
      </w:r>
      <w:r w:rsidR="00535B62">
        <w:rPr>
          <w:b/>
          <w:bCs/>
          <w:sz w:val="24"/>
          <w:szCs w:val="24"/>
          <w:lang w:val="en-AU"/>
        </w:rPr>
        <w:t xml:space="preserve">potentially </w:t>
      </w:r>
      <w:r w:rsidRPr="00E54D0D">
        <w:rPr>
          <w:b/>
          <w:bCs/>
          <w:sz w:val="24"/>
          <w:szCs w:val="24"/>
          <w:lang w:val="en-AU"/>
        </w:rPr>
        <w:t>reversing gains in agriculture and impeding attainment of the Sustainable Development Goals (SDGs)</w:t>
      </w:r>
      <w:r w:rsidRPr="00E54D0D">
        <w:rPr>
          <w:sz w:val="24"/>
          <w:szCs w:val="24"/>
          <w:lang w:val="en-AU"/>
        </w:rPr>
        <w:t>. The Mekong subregion is particularly vulnerable to the effects of climate change given the significance of natural resources to economic growth and populations’ livelihoods and wellbeing.</w:t>
      </w:r>
      <w:r w:rsidR="004A0551" w:rsidRPr="00E54D0D">
        <w:rPr>
          <w:sz w:val="24"/>
          <w:szCs w:val="24"/>
          <w:vertAlign w:val="superscript"/>
          <w:lang w:val="en-AU"/>
        </w:rPr>
        <w:footnoteReference w:id="2"/>
      </w:r>
      <w:r w:rsidRPr="00E54D0D">
        <w:rPr>
          <w:sz w:val="24"/>
          <w:szCs w:val="24"/>
          <w:lang w:val="en-AU"/>
        </w:rPr>
        <w:t xml:space="preserve"> Water, food, agriculture and energy systems are </w:t>
      </w:r>
      <w:r w:rsidR="24BA7D1A" w:rsidRPr="00E54D0D">
        <w:rPr>
          <w:sz w:val="24"/>
          <w:szCs w:val="24"/>
          <w:lang w:val="en-AU"/>
        </w:rPr>
        <w:t xml:space="preserve">sectors particularly sensitive to the </w:t>
      </w:r>
      <w:r w:rsidR="31D7B9EB" w:rsidRPr="00E54D0D">
        <w:rPr>
          <w:sz w:val="24"/>
          <w:szCs w:val="24"/>
          <w:lang w:val="en-AU"/>
        </w:rPr>
        <w:t xml:space="preserve">effects </w:t>
      </w:r>
      <w:r w:rsidR="24BA7D1A" w:rsidRPr="00E54D0D">
        <w:rPr>
          <w:sz w:val="24"/>
          <w:szCs w:val="24"/>
          <w:lang w:val="en-AU"/>
        </w:rPr>
        <w:t xml:space="preserve">of </w:t>
      </w:r>
      <w:r w:rsidRPr="00E54D0D">
        <w:rPr>
          <w:sz w:val="24"/>
          <w:szCs w:val="24"/>
          <w:lang w:val="en-AU"/>
        </w:rPr>
        <w:t xml:space="preserve">climate </w:t>
      </w:r>
      <w:r w:rsidR="02E67091" w:rsidRPr="00E54D0D">
        <w:rPr>
          <w:sz w:val="24"/>
          <w:szCs w:val="24"/>
          <w:lang w:val="en-AU"/>
        </w:rPr>
        <w:t xml:space="preserve">change </w:t>
      </w:r>
      <w:r w:rsidRPr="00E54D0D">
        <w:rPr>
          <w:sz w:val="24"/>
          <w:szCs w:val="24"/>
          <w:lang w:val="en-AU"/>
        </w:rPr>
        <w:t xml:space="preserve">and are also key to climate adaptation and </w:t>
      </w:r>
      <w:r w:rsidRPr="00E54D0D">
        <w:rPr>
          <w:sz w:val="24"/>
          <w:szCs w:val="24"/>
          <w:lang w:val="en-AU"/>
        </w:rPr>
        <w:lastRenderedPageBreak/>
        <w:t xml:space="preserve">resilience. The subregion increasingly suffers from erratic weather patterns and associated droughts, floods, landslides, heat waves and storms, which are often transboundary in nature. Rainfall patterns are becoming difficult to predict, and changes in monsoon-related rainfall increase the risk of floods and drought. </w:t>
      </w:r>
      <w:r w:rsidRPr="00E54D0D">
        <w:rPr>
          <w:rFonts w:eastAsia="Times New Roman" w:cs="Times New Roman"/>
          <w:sz w:val="24"/>
          <w:szCs w:val="24"/>
          <w:lang w:val="en-AU"/>
        </w:rPr>
        <w:t>Low-lying coastal and river delta regions are highly vulnerable to rising sea levels.</w:t>
      </w:r>
      <w:r w:rsidR="004A0551" w:rsidRPr="00E54D0D">
        <w:rPr>
          <w:rStyle w:val="FootnoteReference"/>
          <w:rFonts w:eastAsia="Times New Roman" w:cs="Times New Roman"/>
          <w:sz w:val="24"/>
          <w:szCs w:val="24"/>
          <w:lang w:val="en-AU"/>
        </w:rPr>
        <w:footnoteReference w:id="3"/>
      </w:r>
    </w:p>
    <w:p w14:paraId="4A663F72" w14:textId="49981961" w:rsidR="004A0551" w:rsidRPr="00E54D0D" w:rsidRDefault="71DCC031" w:rsidP="06744E17">
      <w:pPr>
        <w:rPr>
          <w:rFonts w:eastAsia="Times New Roman" w:cs="Times New Roman"/>
          <w:sz w:val="24"/>
          <w:szCs w:val="24"/>
        </w:rPr>
      </w:pPr>
      <w:r w:rsidRPr="00E54D0D">
        <w:rPr>
          <w:b/>
          <w:bCs/>
          <w:sz w:val="24"/>
          <w:szCs w:val="24"/>
        </w:rPr>
        <w:t xml:space="preserve">Not everyone is </w:t>
      </w:r>
      <w:r w:rsidR="101301A1" w:rsidRPr="00E54D0D">
        <w:rPr>
          <w:b/>
          <w:bCs/>
          <w:sz w:val="24"/>
          <w:szCs w:val="24"/>
        </w:rPr>
        <w:t xml:space="preserve">affected </w:t>
      </w:r>
      <w:r w:rsidRPr="00E54D0D">
        <w:rPr>
          <w:b/>
          <w:bCs/>
          <w:sz w:val="24"/>
          <w:szCs w:val="24"/>
        </w:rPr>
        <w:t>equally by climate change, and w</w:t>
      </w:r>
      <w:r w:rsidRPr="00E54D0D">
        <w:rPr>
          <w:rFonts w:eastAsia="Times New Roman" w:cs="Times New Roman"/>
          <w:b/>
          <w:bCs/>
          <w:sz w:val="24"/>
          <w:szCs w:val="24"/>
        </w:rPr>
        <w:t>omen and intersecting marginalised populations are disproportionately affected</w:t>
      </w:r>
      <w:r w:rsidRPr="00E54D0D">
        <w:rPr>
          <w:rFonts w:eastAsia="Times New Roman" w:cs="Times New Roman"/>
          <w:sz w:val="24"/>
          <w:szCs w:val="24"/>
        </w:rPr>
        <w:t>. Women’s greater reliance on,</w:t>
      </w:r>
      <w:r w:rsidR="018C67C1" w:rsidRPr="00E54D0D">
        <w:rPr>
          <w:rFonts w:eastAsia="Times New Roman" w:cs="Times New Roman"/>
          <w:sz w:val="24"/>
          <w:szCs w:val="24"/>
        </w:rPr>
        <w:t xml:space="preserve"> and</w:t>
      </w:r>
      <w:r w:rsidRPr="00E54D0D">
        <w:rPr>
          <w:rFonts w:eastAsia="Times New Roman" w:cs="Times New Roman"/>
          <w:sz w:val="24"/>
          <w:szCs w:val="24"/>
        </w:rPr>
        <w:t xml:space="preserve"> unequal and lack of access to</w:t>
      </w:r>
      <w:r w:rsidR="018C67C1" w:rsidRPr="00E54D0D">
        <w:rPr>
          <w:rFonts w:eastAsia="Times New Roman" w:cs="Times New Roman"/>
          <w:sz w:val="24"/>
          <w:szCs w:val="24"/>
        </w:rPr>
        <w:t>,</w:t>
      </w:r>
      <w:r w:rsidRPr="00E54D0D">
        <w:rPr>
          <w:rFonts w:eastAsia="Times New Roman" w:cs="Times New Roman"/>
          <w:sz w:val="24"/>
          <w:szCs w:val="24"/>
        </w:rPr>
        <w:t xml:space="preserve"> land, water and other natural resources reduces their capacity to adapt to climate change. Despite the deep knowledge and skills of women and </w:t>
      </w:r>
      <w:r w:rsidR="472CE147" w:rsidRPr="00E54D0D">
        <w:rPr>
          <w:rFonts w:eastAsia="Times New Roman" w:cs="Times New Roman"/>
          <w:sz w:val="24"/>
          <w:szCs w:val="24"/>
        </w:rPr>
        <w:t>i</w:t>
      </w:r>
      <w:r w:rsidRPr="00E54D0D">
        <w:rPr>
          <w:rFonts w:eastAsia="Times New Roman" w:cs="Times New Roman"/>
          <w:sz w:val="24"/>
          <w:szCs w:val="24"/>
        </w:rPr>
        <w:t>ndigenous communities in managing the land, the voice and participation of diverse women in environment and climate related decision-making bodies is often absent or marginal.</w:t>
      </w:r>
      <w:r w:rsidR="004A0551" w:rsidRPr="00E54D0D">
        <w:rPr>
          <w:rFonts w:eastAsia="Times New Roman" w:cs="Times New Roman"/>
          <w:sz w:val="24"/>
          <w:szCs w:val="24"/>
          <w:vertAlign w:val="superscript"/>
        </w:rPr>
        <w:footnoteReference w:id="4"/>
      </w:r>
      <w:r w:rsidRPr="00E54D0D">
        <w:rPr>
          <w:rFonts w:eastAsia="Times New Roman" w:cs="Times New Roman"/>
          <w:sz w:val="24"/>
          <w:szCs w:val="24"/>
        </w:rPr>
        <w:t xml:space="preserve"> </w:t>
      </w:r>
      <w:r w:rsidRPr="00E54D0D">
        <w:rPr>
          <w:sz w:val="24"/>
          <w:szCs w:val="24"/>
        </w:rPr>
        <w:t xml:space="preserve">Rural, forest and riverine communities who depend on ecosystems for their survival are highly vulnerable to climate change, as are the poor, remote, and often ethnic and </w:t>
      </w:r>
      <w:r w:rsidR="472CE147" w:rsidRPr="00E54D0D">
        <w:rPr>
          <w:sz w:val="24"/>
          <w:szCs w:val="24"/>
        </w:rPr>
        <w:t>i</w:t>
      </w:r>
      <w:r w:rsidRPr="00E54D0D">
        <w:rPr>
          <w:sz w:val="24"/>
          <w:szCs w:val="24"/>
        </w:rPr>
        <w:t xml:space="preserve">ndigenous minority communities. </w:t>
      </w:r>
    </w:p>
    <w:p w14:paraId="3486CBBE" w14:textId="731D87F0" w:rsidR="004A0551" w:rsidRPr="00E54D0D" w:rsidRDefault="5B0187B6" w:rsidP="00BE1590">
      <w:pPr>
        <w:rPr>
          <w:rFonts w:eastAsia="Times New Roman" w:cs="Times New Roman"/>
          <w:sz w:val="24"/>
          <w:szCs w:val="24"/>
          <w:lang w:val="en-AU"/>
        </w:rPr>
      </w:pPr>
      <w:r w:rsidRPr="00E54D0D">
        <w:rPr>
          <w:rFonts w:eastAsia="Times New Roman" w:cs="Times New Roman"/>
          <w:sz w:val="24"/>
          <w:szCs w:val="24"/>
          <w:lang w:val="en-AU"/>
        </w:rPr>
        <w:t xml:space="preserve">Water resources are critically important as sources of food, energy, health and hygiene. </w:t>
      </w:r>
      <w:r w:rsidRPr="00E54D0D">
        <w:rPr>
          <w:rFonts w:eastAsia="Times New Roman" w:cs="Times New Roman"/>
          <w:b/>
          <w:bCs/>
          <w:sz w:val="24"/>
          <w:szCs w:val="24"/>
          <w:lang w:val="en-AU"/>
        </w:rPr>
        <w:t xml:space="preserve">Previously bountiful, these resources are diminishing as economic development </w:t>
      </w:r>
      <w:r w:rsidR="00DE1BAD">
        <w:rPr>
          <w:rFonts w:eastAsia="Times New Roman" w:cs="Times New Roman"/>
          <w:b/>
          <w:bCs/>
          <w:sz w:val="24"/>
          <w:szCs w:val="24"/>
          <w:lang w:val="en-AU"/>
        </w:rPr>
        <w:t>impacts</w:t>
      </w:r>
      <w:r w:rsidRPr="00E54D0D">
        <w:rPr>
          <w:rFonts w:eastAsia="Times New Roman" w:cs="Times New Roman"/>
          <w:b/>
          <w:bCs/>
          <w:sz w:val="24"/>
          <w:szCs w:val="24"/>
          <w:lang w:val="en-AU"/>
        </w:rPr>
        <w:t xml:space="preserve"> sustainable management of resources across the major river basins of the subregion</w:t>
      </w:r>
      <w:r w:rsidRPr="00E54D0D">
        <w:rPr>
          <w:rFonts w:eastAsia="Times New Roman" w:cs="Times New Roman"/>
          <w:sz w:val="24"/>
          <w:szCs w:val="24"/>
          <w:lang w:val="en-AU"/>
        </w:rPr>
        <w:t xml:space="preserve"> (Ayeyarwady, Salween, Chao Phraya, Mekong and Red). In addition to changing rainfall patterns</w:t>
      </w:r>
      <w:r w:rsidR="1C59D221" w:rsidRPr="00E54D0D">
        <w:rPr>
          <w:rFonts w:eastAsia="Times New Roman" w:cs="Times New Roman"/>
          <w:sz w:val="24"/>
          <w:szCs w:val="24"/>
          <w:lang w:val="en-AU"/>
        </w:rPr>
        <w:t xml:space="preserve"> </w:t>
      </w:r>
      <w:r w:rsidR="17F6B35E" w:rsidRPr="00E54D0D">
        <w:rPr>
          <w:rFonts w:eastAsia="Times New Roman" w:cs="Times New Roman"/>
          <w:sz w:val="24"/>
          <w:szCs w:val="24"/>
          <w:lang w:val="en-AU"/>
        </w:rPr>
        <w:t>because</w:t>
      </w:r>
      <w:r w:rsidR="1C59D221" w:rsidRPr="00E54D0D">
        <w:rPr>
          <w:rFonts w:eastAsia="Times New Roman" w:cs="Times New Roman"/>
          <w:sz w:val="24"/>
          <w:szCs w:val="24"/>
          <w:lang w:val="en-AU"/>
        </w:rPr>
        <w:t xml:space="preserve"> of climate change</w:t>
      </w:r>
      <w:r w:rsidRPr="00E54D0D">
        <w:rPr>
          <w:rFonts w:eastAsia="Times New Roman" w:cs="Times New Roman"/>
          <w:sz w:val="24"/>
          <w:szCs w:val="24"/>
          <w:lang w:val="en-AU"/>
        </w:rPr>
        <w:t xml:space="preserve">, human-induced activities </w:t>
      </w:r>
      <w:r w:rsidR="00D46317" w:rsidRPr="00E54D0D">
        <w:rPr>
          <w:rFonts w:eastAsia="Times New Roman" w:cs="Times New Roman"/>
          <w:sz w:val="24"/>
          <w:szCs w:val="24"/>
          <w:lang w:val="en-AU"/>
        </w:rPr>
        <w:t>driving increased water scarcity, erosion</w:t>
      </w:r>
      <w:r w:rsidR="6624628F" w:rsidRPr="00E54D0D">
        <w:rPr>
          <w:rFonts w:eastAsia="Times New Roman" w:cs="Times New Roman"/>
          <w:sz w:val="24"/>
          <w:szCs w:val="24"/>
          <w:lang w:val="en-AU"/>
        </w:rPr>
        <w:t>,</w:t>
      </w:r>
      <w:r w:rsidR="00D46317" w:rsidRPr="00E54D0D">
        <w:rPr>
          <w:rFonts w:eastAsia="Times New Roman" w:cs="Times New Roman"/>
          <w:sz w:val="24"/>
          <w:szCs w:val="24"/>
          <w:lang w:val="en-AU"/>
        </w:rPr>
        <w:t xml:space="preserve"> salinity and insecurity</w:t>
      </w:r>
      <w:r w:rsidR="00D46317" w:rsidRPr="00E54D0D">
        <w:rPr>
          <w:rStyle w:val="FootnoteReference"/>
          <w:rFonts w:eastAsia="Times New Roman" w:cs="Times New Roman"/>
          <w:sz w:val="24"/>
          <w:szCs w:val="24"/>
          <w:lang w:val="en-AU"/>
        </w:rPr>
        <w:footnoteReference w:id="5"/>
      </w:r>
      <w:r w:rsidR="00D46317" w:rsidRPr="00E54D0D">
        <w:rPr>
          <w:rFonts w:eastAsia="Times New Roman" w:cs="Times New Roman"/>
          <w:sz w:val="24"/>
          <w:szCs w:val="24"/>
          <w:lang w:val="en-AU"/>
        </w:rPr>
        <w:t>. These include</w:t>
      </w:r>
      <w:r w:rsidRPr="00E54D0D">
        <w:rPr>
          <w:rFonts w:eastAsia="Times New Roman" w:cs="Times New Roman"/>
          <w:sz w:val="24"/>
          <w:szCs w:val="24"/>
          <w:lang w:val="en-AU"/>
        </w:rPr>
        <w:t xml:space="preserve"> controlled water flows for hydropower generation, over-harvesting and habitat destruction of fisheries, destruction of wetlands and ecosystem services for land reclamation and urbanisation, chemical pollution by plastics, pesticides and industrial waste, riverbed alterations in the construction of dams</w:t>
      </w:r>
      <w:r w:rsidR="00D46317" w:rsidRPr="00E54D0D">
        <w:rPr>
          <w:rFonts w:eastAsia="Times New Roman" w:cs="Times New Roman"/>
          <w:sz w:val="24"/>
          <w:szCs w:val="24"/>
          <w:lang w:val="en-AU"/>
        </w:rPr>
        <w:t xml:space="preserve"> and</w:t>
      </w:r>
      <w:r w:rsidRPr="00E54D0D">
        <w:rPr>
          <w:rFonts w:eastAsia="Times New Roman" w:cs="Times New Roman"/>
          <w:sz w:val="24"/>
          <w:szCs w:val="24"/>
          <w:lang w:val="en-AU"/>
        </w:rPr>
        <w:t xml:space="preserve"> excessive groundwater extraction and sand mining</w:t>
      </w:r>
      <w:r w:rsidR="00D46317" w:rsidRPr="00E54D0D">
        <w:rPr>
          <w:rFonts w:eastAsia="Times New Roman" w:cs="Times New Roman"/>
          <w:sz w:val="24"/>
          <w:szCs w:val="24"/>
          <w:lang w:val="en-AU"/>
        </w:rPr>
        <w:t>.</w:t>
      </w:r>
      <w:r w:rsidR="7AC1DEC5" w:rsidRPr="00E54D0D">
        <w:rPr>
          <w:rFonts w:eastAsia="Times New Roman" w:cs="Times New Roman"/>
          <w:sz w:val="24"/>
          <w:szCs w:val="24"/>
          <w:lang w:val="en-AU"/>
        </w:rPr>
        <w:t xml:space="preserve"> </w:t>
      </w:r>
    </w:p>
    <w:p w14:paraId="1FE6F494" w14:textId="7DFC808A" w:rsidR="004A0551" w:rsidRPr="00E54D0D" w:rsidRDefault="004A0551" w:rsidP="00BE1590">
      <w:pPr>
        <w:rPr>
          <w:rFonts w:eastAsia="Times New Roman" w:cs="Times New Roman"/>
          <w:sz w:val="24"/>
          <w:szCs w:val="24"/>
          <w:lang w:val="en-AU"/>
        </w:rPr>
      </w:pPr>
      <w:r w:rsidRPr="00E54D0D">
        <w:rPr>
          <w:rFonts w:eastAsia="Times New Roman" w:cs="Times New Roman"/>
          <w:b/>
          <w:bCs/>
          <w:sz w:val="24"/>
          <w:szCs w:val="24"/>
          <w:lang w:val="en-AU"/>
        </w:rPr>
        <w:t>The Mekong River</w:t>
      </w:r>
      <w:r w:rsidR="44DE0BF5" w:rsidRPr="00E54D0D">
        <w:rPr>
          <w:rFonts w:eastAsia="Times New Roman" w:cs="Times New Roman"/>
          <w:b/>
          <w:bCs/>
          <w:sz w:val="24"/>
          <w:szCs w:val="24"/>
          <w:lang w:val="en-AU"/>
        </w:rPr>
        <w:t xml:space="preserve"> and its tributaries</w:t>
      </w:r>
      <w:r w:rsidRPr="00E54D0D">
        <w:rPr>
          <w:rFonts w:eastAsia="Times New Roman" w:cs="Times New Roman"/>
          <w:b/>
          <w:bCs/>
          <w:sz w:val="24"/>
          <w:szCs w:val="24"/>
          <w:lang w:val="en-AU"/>
        </w:rPr>
        <w:t xml:space="preserve"> </w:t>
      </w:r>
      <w:r w:rsidR="00606A91" w:rsidRPr="00E54D0D">
        <w:rPr>
          <w:rFonts w:eastAsia="Times New Roman" w:cs="Times New Roman"/>
          <w:b/>
          <w:bCs/>
          <w:sz w:val="24"/>
          <w:szCs w:val="24"/>
          <w:lang w:val="en-AU"/>
        </w:rPr>
        <w:t xml:space="preserve">are </w:t>
      </w:r>
      <w:bookmarkStart w:id="22" w:name="_Int_r0MXTraB"/>
      <w:r w:rsidR="00D37D55" w:rsidRPr="00E54D0D">
        <w:rPr>
          <w:rFonts w:eastAsia="Times New Roman" w:cs="Times New Roman"/>
          <w:b/>
          <w:bCs/>
          <w:sz w:val="24"/>
          <w:szCs w:val="24"/>
          <w:lang w:val="en-AU"/>
        </w:rPr>
        <w:t>very</w:t>
      </w:r>
      <w:r w:rsidR="00606A91" w:rsidRPr="00E54D0D">
        <w:rPr>
          <w:rFonts w:eastAsia="Times New Roman" w:cs="Times New Roman"/>
          <w:b/>
          <w:bCs/>
          <w:sz w:val="24"/>
          <w:szCs w:val="24"/>
          <w:lang w:val="en-AU"/>
        </w:rPr>
        <w:t xml:space="preserve"> important</w:t>
      </w:r>
      <w:bookmarkEnd w:id="22"/>
      <w:r w:rsidR="00606A91" w:rsidRPr="00E54D0D">
        <w:rPr>
          <w:rFonts w:eastAsia="Times New Roman" w:cs="Times New Roman"/>
          <w:b/>
          <w:bCs/>
          <w:sz w:val="24"/>
          <w:szCs w:val="24"/>
          <w:lang w:val="en-AU"/>
        </w:rPr>
        <w:t xml:space="preserve"> for economic, livelihoods, social and environmental reasons and as a means of</w:t>
      </w:r>
      <w:r w:rsidR="00606A91" w:rsidRPr="00E54D0D">
        <w:rPr>
          <w:rFonts w:eastAsia="Times New Roman" w:cs="Times New Roman"/>
          <w:b/>
          <w:bCs/>
          <w:i/>
          <w:iCs/>
          <w:sz w:val="24"/>
          <w:szCs w:val="24"/>
          <w:lang w:val="en-AU"/>
        </w:rPr>
        <w:t xml:space="preserve"> </w:t>
      </w:r>
      <w:r w:rsidR="31BCE05D" w:rsidRPr="00E54D0D">
        <w:rPr>
          <w:rFonts w:eastAsia="Times New Roman" w:cs="Times New Roman"/>
          <w:b/>
          <w:bCs/>
          <w:sz w:val="24"/>
          <w:szCs w:val="24"/>
          <w:lang w:val="en-AU"/>
        </w:rPr>
        <w:t>connect</w:t>
      </w:r>
      <w:r w:rsidR="00606A91" w:rsidRPr="00E54D0D">
        <w:rPr>
          <w:rFonts w:eastAsia="Times New Roman" w:cs="Times New Roman"/>
          <w:b/>
          <w:bCs/>
          <w:sz w:val="24"/>
          <w:szCs w:val="24"/>
          <w:lang w:val="en-AU"/>
        </w:rPr>
        <w:t>ing</w:t>
      </w:r>
      <w:r w:rsidRPr="00E54D0D">
        <w:rPr>
          <w:rFonts w:eastAsia="Times New Roman" w:cs="Times New Roman"/>
          <w:b/>
          <w:bCs/>
          <w:sz w:val="24"/>
          <w:szCs w:val="24"/>
          <w:lang w:val="en-AU"/>
        </w:rPr>
        <w:t xml:space="preserve"> the Mekong subregion</w:t>
      </w:r>
      <w:r w:rsidR="00606A91" w:rsidRPr="00E54D0D">
        <w:rPr>
          <w:rFonts w:eastAsia="Times New Roman" w:cs="Times New Roman"/>
          <w:sz w:val="24"/>
          <w:szCs w:val="24"/>
          <w:lang w:val="en-AU"/>
        </w:rPr>
        <w:t>, symbolising</w:t>
      </w:r>
      <w:r w:rsidR="41618ADD" w:rsidRPr="00E54D0D">
        <w:rPr>
          <w:rFonts w:eastAsia="Times New Roman" w:cs="Times New Roman"/>
          <w:sz w:val="24"/>
          <w:szCs w:val="24"/>
          <w:lang w:val="en-AU"/>
        </w:rPr>
        <w:t xml:space="preserve"> </w:t>
      </w:r>
      <w:r w:rsidRPr="00E54D0D">
        <w:rPr>
          <w:rFonts w:eastAsia="Times New Roman" w:cs="Times New Roman"/>
          <w:sz w:val="24"/>
          <w:szCs w:val="24"/>
          <w:lang w:val="en-AU"/>
        </w:rPr>
        <w:t xml:space="preserve">the interdependence of the subregion’s countries. </w:t>
      </w:r>
    </w:p>
    <w:p w14:paraId="029CCE9F" w14:textId="5006B7CE" w:rsidR="645E3755" w:rsidRPr="00E54D0D" w:rsidRDefault="324E6016" w:rsidP="00BE1590">
      <w:pPr>
        <w:rPr>
          <w:rFonts w:ascii="Calibri Light" w:eastAsia="Calibri Light" w:hAnsi="Calibri Light" w:cs="Calibri Light"/>
          <w:sz w:val="24"/>
          <w:szCs w:val="24"/>
          <w:lang w:val="en-AU"/>
        </w:rPr>
      </w:pPr>
      <w:r w:rsidRPr="00E54D0D">
        <w:rPr>
          <w:rFonts w:ascii="Calibri Light" w:eastAsia="Calibri Light" w:hAnsi="Calibri Light" w:cs="Calibri Light"/>
          <w:sz w:val="24"/>
          <w:szCs w:val="24"/>
          <w:lang w:val="en-AU"/>
        </w:rPr>
        <w:t>The</w:t>
      </w:r>
      <w:r w:rsidR="0A07A3F3" w:rsidRPr="00E54D0D">
        <w:rPr>
          <w:rFonts w:ascii="Calibri Light" w:eastAsia="Calibri Light" w:hAnsi="Calibri Light" w:cs="Calibri Light"/>
          <w:sz w:val="24"/>
          <w:szCs w:val="24"/>
          <w:lang w:val="en-AU"/>
        </w:rPr>
        <w:t xml:space="preserve"> </w:t>
      </w:r>
      <w:r w:rsidR="1CA32AA6" w:rsidRPr="00E54D0D">
        <w:rPr>
          <w:rFonts w:ascii="Calibri Light" w:eastAsia="Calibri Light" w:hAnsi="Calibri Light" w:cs="Calibri Light"/>
          <w:b/>
          <w:bCs/>
          <w:sz w:val="24"/>
          <w:szCs w:val="24"/>
          <w:lang w:val="en-AU"/>
        </w:rPr>
        <w:t xml:space="preserve">economic </w:t>
      </w:r>
      <w:r w:rsidR="0A07A3F3" w:rsidRPr="00E54D0D">
        <w:rPr>
          <w:rFonts w:ascii="Calibri Light" w:eastAsia="Calibri Light" w:hAnsi="Calibri Light" w:cs="Calibri Light"/>
          <w:b/>
          <w:bCs/>
          <w:sz w:val="24"/>
          <w:szCs w:val="24"/>
          <w:lang w:val="en-AU"/>
        </w:rPr>
        <w:t>vulnerability</w:t>
      </w:r>
      <w:r w:rsidR="0A07A3F3" w:rsidRPr="00E54D0D">
        <w:rPr>
          <w:rFonts w:ascii="Calibri Light" w:eastAsia="Calibri Light" w:hAnsi="Calibri Light" w:cs="Calibri Light"/>
          <w:sz w:val="24"/>
          <w:szCs w:val="24"/>
          <w:lang w:val="en-AU"/>
        </w:rPr>
        <w:t xml:space="preserve"> of Mekong countries to</w:t>
      </w:r>
      <w:r w:rsidR="310E9E11" w:rsidRPr="00E54D0D">
        <w:rPr>
          <w:rFonts w:ascii="Calibri Light" w:eastAsia="Calibri Light" w:hAnsi="Calibri Light" w:cs="Calibri Light"/>
          <w:sz w:val="24"/>
          <w:szCs w:val="24"/>
          <w:lang w:val="en-AU"/>
        </w:rPr>
        <w:t xml:space="preserve"> external</w:t>
      </w:r>
      <w:r w:rsidR="0BFA9416" w:rsidRPr="00E54D0D">
        <w:rPr>
          <w:rFonts w:ascii="Calibri Light" w:eastAsia="Calibri Light" w:hAnsi="Calibri Light" w:cs="Calibri Light"/>
          <w:sz w:val="24"/>
          <w:szCs w:val="24"/>
          <w:lang w:val="en-AU"/>
        </w:rPr>
        <w:t xml:space="preserve"> </w:t>
      </w:r>
      <w:r w:rsidR="310E9E11" w:rsidRPr="00E54D0D">
        <w:rPr>
          <w:rFonts w:ascii="Calibri Light" w:eastAsia="Calibri Light" w:hAnsi="Calibri Light" w:cs="Calibri Light"/>
          <w:sz w:val="24"/>
          <w:szCs w:val="24"/>
          <w:lang w:val="en-AU"/>
        </w:rPr>
        <w:t>pressure</w:t>
      </w:r>
      <w:r w:rsidR="407C1199" w:rsidRPr="00E54D0D">
        <w:rPr>
          <w:rFonts w:ascii="Calibri Light" w:eastAsia="Calibri Light" w:hAnsi="Calibri Light" w:cs="Calibri Light"/>
          <w:sz w:val="24"/>
          <w:szCs w:val="24"/>
          <w:lang w:val="en-AU"/>
        </w:rPr>
        <w:t>s</w:t>
      </w:r>
      <w:r w:rsidR="310E9E11" w:rsidRPr="00E54D0D">
        <w:rPr>
          <w:rFonts w:ascii="Calibri Light" w:eastAsia="Calibri Light" w:hAnsi="Calibri Light" w:cs="Calibri Light"/>
          <w:sz w:val="24"/>
          <w:szCs w:val="24"/>
          <w:lang w:val="en-AU"/>
        </w:rPr>
        <w:t xml:space="preserve"> and </w:t>
      </w:r>
      <w:r w:rsidR="407C1199" w:rsidRPr="00E54D0D">
        <w:rPr>
          <w:rFonts w:ascii="Calibri Light" w:eastAsia="Calibri Light" w:hAnsi="Calibri Light" w:cs="Calibri Light"/>
          <w:sz w:val="24"/>
          <w:szCs w:val="24"/>
          <w:lang w:val="en-AU"/>
        </w:rPr>
        <w:t>shocks</w:t>
      </w:r>
      <w:r w:rsidR="1C78C158" w:rsidRPr="00E54D0D">
        <w:rPr>
          <w:rFonts w:ascii="Calibri Light" w:eastAsia="Calibri Light" w:hAnsi="Calibri Light" w:cs="Calibri Light"/>
          <w:sz w:val="24"/>
          <w:szCs w:val="24"/>
          <w:lang w:val="en-AU"/>
        </w:rPr>
        <w:t xml:space="preserve"> </w:t>
      </w:r>
      <w:r w:rsidR="240CDE90" w:rsidRPr="00E54D0D">
        <w:rPr>
          <w:rFonts w:ascii="Calibri Light" w:eastAsia="Calibri Light" w:hAnsi="Calibri Light" w:cs="Calibri Light"/>
          <w:sz w:val="24"/>
          <w:szCs w:val="24"/>
          <w:lang w:val="en-AU"/>
        </w:rPr>
        <w:t xml:space="preserve">has </w:t>
      </w:r>
      <w:r w:rsidR="1C78C158" w:rsidRPr="00E54D0D">
        <w:rPr>
          <w:rFonts w:ascii="Calibri Light" w:eastAsia="Calibri Light" w:hAnsi="Calibri Light" w:cs="Calibri Light"/>
          <w:sz w:val="24"/>
          <w:szCs w:val="24"/>
          <w:lang w:val="en-AU"/>
        </w:rPr>
        <w:t>implications for the stability of the Mekong subregion and wider ASEAN</w:t>
      </w:r>
      <w:r w:rsidR="310E9E11" w:rsidRPr="00E54D0D">
        <w:rPr>
          <w:rFonts w:ascii="Calibri Light" w:eastAsia="Calibri Light" w:hAnsi="Calibri Light" w:cs="Calibri Light"/>
          <w:sz w:val="24"/>
          <w:szCs w:val="24"/>
          <w:lang w:val="en-AU"/>
        </w:rPr>
        <w:t xml:space="preserve">. While Thailand and Vietnam are middle-income countries, Cambodia and Laos face heightened economic vulnerabilities as smaller countries. The 2021 coup in Myanmar has reversed gains and </w:t>
      </w:r>
      <w:r w:rsidR="00446587">
        <w:rPr>
          <w:rFonts w:ascii="Calibri Light" w:eastAsia="Calibri Light" w:hAnsi="Calibri Light" w:cs="Calibri Light"/>
          <w:sz w:val="24"/>
          <w:szCs w:val="24"/>
          <w:lang w:val="en-AU"/>
        </w:rPr>
        <w:t>diminished</w:t>
      </w:r>
      <w:r w:rsidR="310E9E11" w:rsidRPr="00E54D0D">
        <w:rPr>
          <w:rFonts w:ascii="Calibri Light" w:eastAsia="Calibri Light" w:hAnsi="Calibri Light" w:cs="Calibri Light"/>
          <w:sz w:val="24"/>
          <w:szCs w:val="24"/>
          <w:lang w:val="en-AU"/>
        </w:rPr>
        <w:t xml:space="preserve"> international support beyond humanitarian response. </w:t>
      </w:r>
    </w:p>
    <w:p w14:paraId="4044E4E0" w14:textId="73509FCE" w:rsidR="645E3755" w:rsidRPr="00E54D0D" w:rsidRDefault="171D1560" w:rsidP="00BE1590">
      <w:pPr>
        <w:rPr>
          <w:rFonts w:eastAsia="Times New Roman" w:cs="Times New Roman"/>
          <w:sz w:val="24"/>
          <w:szCs w:val="24"/>
          <w:lang w:val="en-AU"/>
        </w:rPr>
      </w:pPr>
      <w:r w:rsidRPr="00E54D0D">
        <w:rPr>
          <w:rFonts w:eastAsia="Times New Roman" w:cs="Times New Roman"/>
          <w:b/>
          <w:bCs/>
          <w:sz w:val="24"/>
          <w:szCs w:val="24"/>
          <w:lang w:val="en-AU"/>
        </w:rPr>
        <w:t>T</w:t>
      </w:r>
      <w:r w:rsidR="627FB566" w:rsidRPr="00E54D0D">
        <w:rPr>
          <w:rFonts w:eastAsia="Times New Roman" w:cs="Times New Roman"/>
          <w:b/>
          <w:bCs/>
          <w:sz w:val="24"/>
          <w:szCs w:val="24"/>
          <w:lang w:val="en-AU"/>
        </w:rPr>
        <w:t>he Mekong subregion enjoys varied levels of economic connectivity</w:t>
      </w:r>
      <w:r w:rsidR="627FB566" w:rsidRPr="00E54D0D">
        <w:rPr>
          <w:rFonts w:eastAsia="Times New Roman" w:cs="Times New Roman"/>
          <w:sz w:val="24"/>
          <w:szCs w:val="24"/>
          <w:lang w:val="en-AU"/>
        </w:rPr>
        <w:t xml:space="preserve">. Thailand is a top-tier trading partner for Cambodia, Laos and Myanmar and hosts significant migrant worker populations from each. </w:t>
      </w:r>
      <w:r w:rsidR="288DF0E1" w:rsidRPr="00E54D0D">
        <w:rPr>
          <w:rFonts w:eastAsia="Times New Roman" w:cs="Times New Roman"/>
          <w:sz w:val="24"/>
          <w:szCs w:val="24"/>
          <w:lang w:val="en-AU"/>
        </w:rPr>
        <w:t>It has the region</w:t>
      </w:r>
      <w:r w:rsidR="00616532" w:rsidRPr="00E54D0D">
        <w:rPr>
          <w:rFonts w:eastAsia="Times New Roman" w:cs="Times New Roman"/>
          <w:sz w:val="24"/>
          <w:szCs w:val="24"/>
          <w:lang w:val="en-AU"/>
        </w:rPr>
        <w:t>’</w:t>
      </w:r>
      <w:r w:rsidR="288DF0E1" w:rsidRPr="00E54D0D">
        <w:rPr>
          <w:rFonts w:eastAsia="Times New Roman" w:cs="Times New Roman"/>
          <w:sz w:val="24"/>
          <w:szCs w:val="24"/>
          <w:lang w:val="en-AU"/>
        </w:rPr>
        <w:t>s deepest capital markets and provides a range of financial products, including green</w:t>
      </w:r>
      <w:r w:rsidR="00531590" w:rsidRPr="00E54D0D">
        <w:rPr>
          <w:rFonts w:eastAsia="Times New Roman" w:cs="Times New Roman"/>
          <w:sz w:val="24"/>
          <w:szCs w:val="24"/>
          <w:lang w:val="en-AU"/>
        </w:rPr>
        <w:t xml:space="preserve"> </w:t>
      </w:r>
      <w:r w:rsidR="288DF0E1" w:rsidRPr="00E54D0D">
        <w:rPr>
          <w:rFonts w:eastAsia="Times New Roman" w:cs="Times New Roman"/>
          <w:sz w:val="24"/>
          <w:szCs w:val="24"/>
          <w:lang w:val="en-AU"/>
        </w:rPr>
        <w:t xml:space="preserve">bonds, to private sector interests across the subregion. </w:t>
      </w:r>
      <w:r w:rsidR="627FB566" w:rsidRPr="00E54D0D">
        <w:rPr>
          <w:rFonts w:eastAsia="Times New Roman" w:cs="Times New Roman"/>
          <w:sz w:val="24"/>
          <w:szCs w:val="24"/>
          <w:lang w:val="en-AU"/>
        </w:rPr>
        <w:t xml:space="preserve">Vietnam is a top-tier trading partner for Cambodia, Laos and Thailand. Personal remittances made up 8.9 per cent of Cambodia’s GDP in 2022, and over </w:t>
      </w:r>
      <w:r w:rsidR="0A86F147" w:rsidRPr="00E54D0D">
        <w:rPr>
          <w:rFonts w:eastAsia="Times New Roman" w:cs="Times New Roman"/>
          <w:sz w:val="24"/>
          <w:szCs w:val="24"/>
          <w:lang w:val="en-AU"/>
        </w:rPr>
        <w:t>three</w:t>
      </w:r>
      <w:r w:rsidR="627FB566" w:rsidRPr="00E54D0D">
        <w:rPr>
          <w:rFonts w:eastAsia="Times New Roman" w:cs="Times New Roman"/>
          <w:sz w:val="24"/>
          <w:szCs w:val="24"/>
          <w:lang w:val="en-AU"/>
        </w:rPr>
        <w:t xml:space="preserve"> per cent of the GDP of Vietnam and Myanmar in the same year. Despite this connectivity, there is economic competition among Mekong countries. Considerable diversity in levels of economic and social development between Mekong countries make for an uneven economic playing field and differing incentives in progressing economic integration such as in manufacturing supply chains, energy and labour markets.</w:t>
      </w:r>
    </w:p>
    <w:p w14:paraId="1FE62325" w14:textId="4BD3BD4E" w:rsidR="00606A91" w:rsidRPr="00E54D0D" w:rsidRDefault="429534AA" w:rsidP="00BE1590">
      <w:pPr>
        <w:rPr>
          <w:rFonts w:eastAsia="Times New Roman" w:cs="Times New Roman"/>
          <w:sz w:val="24"/>
          <w:szCs w:val="24"/>
          <w:lang w:val="en-AU"/>
        </w:rPr>
      </w:pPr>
      <w:r w:rsidRPr="00E54D0D">
        <w:rPr>
          <w:rFonts w:eastAsia="Times New Roman" w:cs="Times New Roman"/>
          <w:b/>
          <w:bCs/>
          <w:sz w:val="24"/>
          <w:szCs w:val="24"/>
          <w:lang w:val="en-AU"/>
        </w:rPr>
        <w:t>Transnational, serious and organised crime poses a significant threat to economic development, good governance and security</w:t>
      </w:r>
      <w:r w:rsidRPr="00E54D0D">
        <w:rPr>
          <w:rFonts w:eastAsia="Times New Roman" w:cs="Times New Roman"/>
          <w:sz w:val="24"/>
          <w:szCs w:val="24"/>
          <w:lang w:val="en-AU"/>
        </w:rPr>
        <w:t xml:space="preserve">. According to the United Nations Office on Drugs and Crime </w:t>
      </w:r>
      <w:r w:rsidRPr="00E54D0D">
        <w:rPr>
          <w:rFonts w:eastAsia="Times New Roman" w:cs="Times New Roman"/>
          <w:sz w:val="24"/>
          <w:szCs w:val="24"/>
          <w:lang w:val="en-AU"/>
        </w:rPr>
        <w:lastRenderedPageBreak/>
        <w:t>(UNODC), illicit trafficking flows increased 30 per cent between 2013 and 2019, and the Mekong is described as “one of the biggest drug trafficking corridors in the world”.</w:t>
      </w:r>
      <w:r w:rsidR="00606A91" w:rsidRPr="00E54D0D">
        <w:rPr>
          <w:rStyle w:val="FootnoteReference"/>
          <w:rFonts w:eastAsia="Times New Roman" w:cs="Times New Roman"/>
          <w:sz w:val="24"/>
          <w:szCs w:val="24"/>
          <w:lang w:val="en-AU"/>
        </w:rPr>
        <w:footnoteReference w:id="6"/>
      </w:r>
      <w:r w:rsidRPr="00E54D0D">
        <w:rPr>
          <w:rFonts w:eastAsia="Times New Roman" w:cs="Times New Roman"/>
          <w:sz w:val="24"/>
          <w:szCs w:val="24"/>
          <w:lang w:val="en-AU"/>
        </w:rPr>
        <w:t xml:space="preserve"> The scale of illegal goods crossing Southeast Asia is estimated to exceed USD 110 billion annually, with methamphetamine alone accounting for over USD 33 billion.</w:t>
      </w:r>
      <w:r w:rsidR="00606A91" w:rsidRPr="00E54D0D">
        <w:rPr>
          <w:rStyle w:val="FootnoteReference"/>
          <w:rFonts w:eastAsia="Times New Roman" w:cs="Times New Roman"/>
          <w:sz w:val="24"/>
          <w:szCs w:val="24"/>
          <w:lang w:val="en-AU"/>
        </w:rPr>
        <w:footnoteReference w:id="7"/>
      </w:r>
      <w:r w:rsidRPr="00E54D0D">
        <w:rPr>
          <w:rFonts w:eastAsia="Times New Roman" w:cs="Times New Roman"/>
          <w:sz w:val="24"/>
          <w:szCs w:val="24"/>
          <w:lang w:val="en-AU"/>
        </w:rPr>
        <w:t xml:space="preserve"> Serious and organised crime cost the Australian community up to $60.1 billion in 2020-21, and up to 70 per cent of Australia’s serious and organised crime </w:t>
      </w:r>
      <w:r w:rsidR="00D95550">
        <w:rPr>
          <w:rFonts w:eastAsia="Times New Roman" w:cs="Times New Roman"/>
          <w:sz w:val="24"/>
          <w:szCs w:val="24"/>
          <w:lang w:val="en-AU"/>
        </w:rPr>
        <w:t>is</w:t>
      </w:r>
      <w:r w:rsidR="00D95550" w:rsidRPr="00E54D0D">
        <w:rPr>
          <w:rFonts w:eastAsia="Times New Roman" w:cs="Times New Roman"/>
          <w:sz w:val="24"/>
          <w:szCs w:val="24"/>
          <w:lang w:val="en-AU"/>
        </w:rPr>
        <w:t xml:space="preserve"> </w:t>
      </w:r>
      <w:r w:rsidRPr="00E54D0D">
        <w:rPr>
          <w:rFonts w:eastAsia="Times New Roman" w:cs="Times New Roman"/>
          <w:sz w:val="24"/>
          <w:szCs w:val="24"/>
          <w:lang w:val="en-AU"/>
        </w:rPr>
        <w:t xml:space="preserve">either based offshore or </w:t>
      </w:r>
      <w:r w:rsidR="00D95550">
        <w:rPr>
          <w:rFonts w:eastAsia="Times New Roman" w:cs="Times New Roman"/>
          <w:sz w:val="24"/>
          <w:szCs w:val="24"/>
          <w:lang w:val="en-AU"/>
        </w:rPr>
        <w:t>has</w:t>
      </w:r>
      <w:r w:rsidR="00D95550" w:rsidRPr="00E54D0D">
        <w:rPr>
          <w:rFonts w:eastAsia="Times New Roman" w:cs="Times New Roman"/>
          <w:sz w:val="24"/>
          <w:szCs w:val="24"/>
          <w:lang w:val="en-AU"/>
        </w:rPr>
        <w:t xml:space="preserve"> </w:t>
      </w:r>
      <w:r w:rsidRPr="00E54D0D">
        <w:rPr>
          <w:rFonts w:eastAsia="Times New Roman" w:cs="Times New Roman"/>
          <w:sz w:val="24"/>
          <w:szCs w:val="24"/>
          <w:lang w:val="en-AU"/>
        </w:rPr>
        <w:t>strong offshore links.</w:t>
      </w:r>
      <w:r w:rsidR="00606A91" w:rsidRPr="00E54D0D">
        <w:rPr>
          <w:rStyle w:val="FootnoteReference"/>
          <w:rFonts w:eastAsia="Times New Roman" w:cs="Times New Roman"/>
          <w:sz w:val="24"/>
          <w:szCs w:val="24"/>
          <w:lang w:val="en-AU"/>
        </w:rPr>
        <w:footnoteReference w:id="8"/>
      </w:r>
      <w:r w:rsidRPr="00E54D0D">
        <w:rPr>
          <w:rFonts w:eastAsia="Times New Roman" w:cs="Times New Roman"/>
          <w:sz w:val="24"/>
          <w:szCs w:val="24"/>
          <w:lang w:val="en-AU"/>
        </w:rPr>
        <w:t xml:space="preserve"> Australia is affected by drug flows and needs the ability to cooperate with countries in the Mekong to prevent, detect and respond to transnational crime. It is in Australia’s national interest to</w:t>
      </w:r>
      <w:r w:rsidR="00E06221">
        <w:rPr>
          <w:rFonts w:eastAsia="Times New Roman" w:cs="Times New Roman"/>
          <w:sz w:val="24"/>
          <w:szCs w:val="24"/>
          <w:lang w:val="en-AU"/>
        </w:rPr>
        <w:t xml:space="preserve"> work collaboratively to address</w:t>
      </w:r>
      <w:r w:rsidRPr="00E54D0D">
        <w:rPr>
          <w:rFonts w:eastAsia="Times New Roman" w:cs="Times New Roman"/>
          <w:sz w:val="24"/>
          <w:szCs w:val="24"/>
          <w:lang w:val="en-AU"/>
        </w:rPr>
        <w:t xml:space="preserve"> </w:t>
      </w:r>
      <w:r w:rsidR="315BC1A1" w:rsidRPr="00E54D0D">
        <w:rPr>
          <w:rFonts w:eastAsia="Times New Roman" w:cs="Times New Roman"/>
          <w:sz w:val="24"/>
          <w:szCs w:val="24"/>
          <w:lang w:val="en-AU"/>
        </w:rPr>
        <w:t>transnational crime</w:t>
      </w:r>
      <w:r w:rsidRPr="00E54D0D">
        <w:rPr>
          <w:rFonts w:eastAsia="Times New Roman" w:cs="Times New Roman"/>
          <w:sz w:val="24"/>
          <w:szCs w:val="24"/>
          <w:lang w:val="en-AU"/>
        </w:rPr>
        <w:t>.</w:t>
      </w:r>
    </w:p>
    <w:p w14:paraId="7722B61D" w14:textId="2D10D4E9" w:rsidR="002F099A" w:rsidRPr="00E54D0D" w:rsidRDefault="37CFBE47" w:rsidP="00BE1590">
      <w:pPr>
        <w:rPr>
          <w:rFonts w:eastAsia="Times New Roman" w:cs="Times New Roman"/>
          <w:sz w:val="24"/>
          <w:szCs w:val="24"/>
          <w:lang w:val="en-AU"/>
        </w:rPr>
      </w:pPr>
      <w:r w:rsidRPr="00E54D0D">
        <w:rPr>
          <w:rFonts w:eastAsia="Times New Roman" w:cs="Times New Roman"/>
          <w:b/>
          <w:bCs/>
          <w:sz w:val="24"/>
          <w:szCs w:val="24"/>
          <w:lang w:val="en-AU"/>
        </w:rPr>
        <w:t>While gender equality indicators have been improving in Mekong countries (with some variation), the gender parity gap remains large especially in terms of political representation, leadership, and labour force participation</w:t>
      </w:r>
      <w:r w:rsidRPr="00E54D0D">
        <w:rPr>
          <w:rFonts w:eastAsia="Times New Roman" w:cs="Times New Roman"/>
          <w:sz w:val="24"/>
          <w:szCs w:val="24"/>
          <w:lang w:val="en-AU"/>
        </w:rPr>
        <w:t>.</w:t>
      </w:r>
      <w:r w:rsidR="002F099A" w:rsidRPr="00E54D0D">
        <w:rPr>
          <w:rFonts w:eastAsia="Times New Roman" w:cs="Times New Roman"/>
          <w:sz w:val="24"/>
          <w:szCs w:val="24"/>
          <w:vertAlign w:val="superscript"/>
          <w:lang w:val="en-AU"/>
        </w:rPr>
        <w:footnoteReference w:id="9"/>
      </w:r>
      <w:r w:rsidRPr="00E54D0D">
        <w:rPr>
          <w:rFonts w:eastAsia="Times New Roman" w:cs="Times New Roman"/>
          <w:sz w:val="24"/>
          <w:szCs w:val="24"/>
          <w:lang w:val="en-AU"/>
        </w:rPr>
        <w:t xml:space="preserve"> This is magnified for women with disability and </w:t>
      </w:r>
      <w:r w:rsidR="2618B32F" w:rsidRPr="00E54D0D">
        <w:rPr>
          <w:rFonts w:eastAsia="Times New Roman" w:cs="Times New Roman"/>
          <w:sz w:val="24"/>
          <w:szCs w:val="24"/>
          <w:lang w:val="en-AU"/>
        </w:rPr>
        <w:t xml:space="preserve">from </w:t>
      </w:r>
      <w:r w:rsidRPr="00E54D0D">
        <w:rPr>
          <w:rFonts w:eastAsia="Times New Roman" w:cs="Times New Roman"/>
          <w:sz w:val="24"/>
          <w:szCs w:val="24"/>
          <w:lang w:val="en-AU"/>
        </w:rPr>
        <w:t xml:space="preserve">other disadvantaged groups including the poor, ethnic minorities and gender and sexual minorities. Across the region gendered social norms, power relations and structural barriers assign women most of the unpaid care and domestic work. This limits female labour force participation and </w:t>
      </w:r>
      <w:r w:rsidR="12EB2244" w:rsidRPr="00E54D0D">
        <w:rPr>
          <w:rFonts w:eastAsia="Times New Roman" w:cs="Times New Roman"/>
          <w:sz w:val="24"/>
          <w:szCs w:val="24"/>
          <w:lang w:val="en-AU"/>
        </w:rPr>
        <w:t xml:space="preserve">influences </w:t>
      </w:r>
      <w:r w:rsidRPr="00E54D0D">
        <w:rPr>
          <w:rFonts w:eastAsia="Times New Roman" w:cs="Times New Roman"/>
          <w:sz w:val="24"/>
          <w:szCs w:val="24"/>
          <w:lang w:val="en-AU"/>
        </w:rPr>
        <w:t>the quality and productivity of women’s economic potential, keeping women in vulnerable and informal jobs, part time jobs, jobs below women’s skill level and contributing to the gender pay gap.</w:t>
      </w:r>
      <w:r w:rsidR="002F099A" w:rsidRPr="00E54D0D">
        <w:rPr>
          <w:rFonts w:eastAsia="Times New Roman" w:cs="Times New Roman"/>
          <w:sz w:val="24"/>
          <w:szCs w:val="24"/>
          <w:vertAlign w:val="superscript"/>
          <w:lang w:val="en-AU"/>
        </w:rPr>
        <w:footnoteReference w:id="10"/>
      </w:r>
      <w:r w:rsidRPr="00E54D0D">
        <w:rPr>
          <w:rFonts w:eastAsia="Times New Roman" w:cs="Times New Roman"/>
          <w:sz w:val="24"/>
          <w:szCs w:val="24"/>
          <w:lang w:val="en-AU"/>
        </w:rPr>
        <w:t xml:space="preserve"> Women with disabilities are further disadvantaged by discrimination and multiple barriers to accessing education, jobs,</w:t>
      </w:r>
      <w:r w:rsidR="55DADE0E" w:rsidRPr="00E54D0D">
        <w:rPr>
          <w:rFonts w:eastAsia="Times New Roman" w:cs="Times New Roman"/>
          <w:sz w:val="24"/>
          <w:szCs w:val="24"/>
          <w:lang w:val="en-AU"/>
        </w:rPr>
        <w:t xml:space="preserve"> health, social services</w:t>
      </w:r>
      <w:r w:rsidRPr="00E54D0D">
        <w:rPr>
          <w:rFonts w:eastAsia="Times New Roman" w:cs="Times New Roman"/>
          <w:sz w:val="24"/>
          <w:szCs w:val="24"/>
          <w:lang w:val="en-AU"/>
        </w:rPr>
        <w:t xml:space="preserve"> and transport.</w:t>
      </w:r>
      <w:r w:rsidR="002F099A" w:rsidRPr="00E54D0D">
        <w:rPr>
          <w:rFonts w:eastAsia="Times New Roman" w:cs="Times New Roman"/>
          <w:sz w:val="24"/>
          <w:szCs w:val="24"/>
          <w:vertAlign w:val="superscript"/>
          <w:lang w:val="en-AU"/>
        </w:rPr>
        <w:footnoteReference w:id="11"/>
      </w:r>
      <w:r w:rsidRPr="00E54D0D">
        <w:rPr>
          <w:rFonts w:eastAsia="Times New Roman" w:cs="Times New Roman"/>
          <w:sz w:val="24"/>
          <w:szCs w:val="24"/>
          <w:lang w:val="en-AU"/>
        </w:rPr>
        <w:t xml:space="preserve"> Discriminatory policies, legislation and business practices hinder women entrepreneurs and macro-economic policies are developed without sufficient consideration of their gendered </w:t>
      </w:r>
      <w:r w:rsidR="3980469B" w:rsidRPr="00E54D0D">
        <w:rPr>
          <w:rFonts w:eastAsia="Times New Roman" w:cs="Times New Roman"/>
          <w:sz w:val="24"/>
          <w:szCs w:val="24"/>
          <w:lang w:val="en-AU"/>
        </w:rPr>
        <w:t xml:space="preserve">effect </w:t>
      </w:r>
      <w:r w:rsidRPr="00E54D0D">
        <w:rPr>
          <w:rFonts w:eastAsia="Times New Roman" w:cs="Times New Roman"/>
          <w:sz w:val="24"/>
          <w:szCs w:val="24"/>
          <w:lang w:val="en-AU"/>
        </w:rPr>
        <w:t>and potential to advance gender equality.</w:t>
      </w:r>
      <w:r w:rsidR="002F099A" w:rsidRPr="00E54D0D">
        <w:rPr>
          <w:rFonts w:eastAsia="Times New Roman" w:cs="Times New Roman"/>
          <w:sz w:val="24"/>
          <w:szCs w:val="24"/>
          <w:vertAlign w:val="superscript"/>
          <w:lang w:val="en-AU"/>
        </w:rPr>
        <w:footnoteReference w:id="12"/>
      </w:r>
      <w:r w:rsidRPr="00E54D0D">
        <w:rPr>
          <w:rFonts w:eastAsia="Times New Roman" w:cs="Times New Roman"/>
          <w:sz w:val="24"/>
          <w:szCs w:val="24"/>
          <w:lang w:val="en-AU"/>
        </w:rPr>
        <w:t xml:space="preserve"> ASEAN data shows that the poorest women and girls from minority ethnicities living in rural areas of remote provinces are the most underserved and deprived.</w:t>
      </w:r>
      <w:r w:rsidR="002F099A" w:rsidRPr="00E54D0D">
        <w:rPr>
          <w:rFonts w:eastAsia="Times New Roman" w:cs="Times New Roman"/>
          <w:sz w:val="24"/>
          <w:szCs w:val="24"/>
          <w:vertAlign w:val="superscript"/>
          <w:lang w:val="en-AU"/>
        </w:rPr>
        <w:footnoteReference w:id="13"/>
      </w:r>
      <w:r w:rsidRPr="00E54D0D">
        <w:rPr>
          <w:rFonts w:eastAsia="Times New Roman" w:cs="Times New Roman"/>
          <w:sz w:val="24"/>
          <w:szCs w:val="24"/>
          <w:lang w:val="en-AU"/>
        </w:rPr>
        <w:t xml:space="preserve"> </w:t>
      </w:r>
    </w:p>
    <w:p w14:paraId="37B7F9DF" w14:textId="79C4C256" w:rsidR="5F41D4CF" w:rsidRPr="00E54D0D" w:rsidRDefault="587133D6" w:rsidP="4C1C98D1">
      <w:pPr>
        <w:rPr>
          <w:sz w:val="24"/>
          <w:szCs w:val="24"/>
          <w:lang w:val="en-AU"/>
        </w:rPr>
      </w:pPr>
      <w:r w:rsidRPr="00E54D0D">
        <w:rPr>
          <w:rFonts w:eastAsia="Times New Roman" w:cs="Times New Roman"/>
          <w:b/>
          <w:bCs/>
          <w:sz w:val="24"/>
          <w:szCs w:val="24"/>
          <w:lang w:val="en-AU"/>
        </w:rPr>
        <w:t>Gendered social norms, conscious and unconscious bias and structural barriers are obstacles to diverse women entering the political sphere and advancing into leadership</w:t>
      </w:r>
      <w:r w:rsidR="7A85D18C" w:rsidRPr="00E54D0D">
        <w:rPr>
          <w:rFonts w:eastAsia="Times New Roman" w:cs="Times New Roman"/>
          <w:b/>
          <w:bCs/>
          <w:sz w:val="24"/>
          <w:szCs w:val="24"/>
          <w:lang w:val="en-AU"/>
        </w:rPr>
        <w:t>. W</w:t>
      </w:r>
      <w:r w:rsidRPr="00E54D0D">
        <w:rPr>
          <w:rFonts w:eastAsia="Times New Roman" w:cs="Times New Roman"/>
          <w:b/>
          <w:bCs/>
          <w:sz w:val="24"/>
          <w:szCs w:val="24"/>
          <w:lang w:val="en-AU"/>
        </w:rPr>
        <w:t>omen with disabilities and gender diverse minorities</w:t>
      </w:r>
      <w:r w:rsidR="7A85D18C" w:rsidRPr="00E54D0D">
        <w:rPr>
          <w:rFonts w:eastAsia="Times New Roman" w:cs="Times New Roman"/>
          <w:b/>
          <w:bCs/>
          <w:sz w:val="24"/>
          <w:szCs w:val="24"/>
          <w:lang w:val="en-AU"/>
        </w:rPr>
        <w:t xml:space="preserve"> are</w:t>
      </w:r>
      <w:r w:rsidRPr="00E54D0D">
        <w:rPr>
          <w:rFonts w:eastAsia="Times New Roman" w:cs="Times New Roman"/>
          <w:b/>
          <w:bCs/>
          <w:sz w:val="24"/>
          <w:szCs w:val="24"/>
          <w:lang w:val="en-AU"/>
        </w:rPr>
        <w:t xml:space="preserve"> especially disadvantaged</w:t>
      </w:r>
      <w:r w:rsidRPr="00E54D0D">
        <w:rPr>
          <w:rFonts w:eastAsia="Times New Roman" w:cs="Times New Roman"/>
          <w:sz w:val="24"/>
          <w:szCs w:val="24"/>
          <w:lang w:val="en-AU"/>
        </w:rPr>
        <w:t xml:space="preserve">. The result is that societies miss out on the benefits of women’s leadership and the diversity of perspectives, voices and abilities. Women are also under-represented at management level. </w:t>
      </w:r>
    </w:p>
    <w:p w14:paraId="036B5398" w14:textId="34B971DE" w:rsidR="009509A3" w:rsidRPr="001F14E7" w:rsidRDefault="6A4D3905" w:rsidP="009509A3">
      <w:pPr>
        <w:pStyle w:val="Heading2Numbered"/>
        <w:rPr>
          <w:lang w:val="en-AU"/>
        </w:rPr>
      </w:pPr>
      <w:bookmarkStart w:id="23" w:name="_Toc163823630"/>
      <w:bookmarkStart w:id="24" w:name="_Toc163823726"/>
      <w:bookmarkStart w:id="25" w:name="_Toc163823780"/>
      <w:bookmarkStart w:id="26" w:name="_Toc163823834"/>
      <w:bookmarkStart w:id="27" w:name="_Toc163824475"/>
      <w:bookmarkStart w:id="28" w:name="_Toc163824547"/>
      <w:bookmarkStart w:id="29" w:name="_Toc163824649"/>
      <w:bookmarkStart w:id="30" w:name="_Toc163824703"/>
      <w:bookmarkStart w:id="31" w:name="_Toc163539140"/>
      <w:bookmarkStart w:id="32" w:name="_Toc174029024"/>
      <w:bookmarkEnd w:id="23"/>
      <w:bookmarkEnd w:id="24"/>
      <w:bookmarkEnd w:id="25"/>
      <w:bookmarkEnd w:id="26"/>
      <w:bookmarkEnd w:id="27"/>
      <w:bookmarkEnd w:id="28"/>
      <w:bookmarkEnd w:id="29"/>
      <w:bookmarkEnd w:id="30"/>
      <w:r w:rsidRPr="4C1C98D1">
        <w:rPr>
          <w:lang w:val="en-AU"/>
        </w:rPr>
        <w:t>Development context</w:t>
      </w:r>
      <w:bookmarkEnd w:id="31"/>
      <w:r w:rsidR="1B0FA8E0" w:rsidRPr="4C1C98D1">
        <w:rPr>
          <w:lang w:val="en-AU"/>
        </w:rPr>
        <w:t xml:space="preserve"> </w:t>
      </w:r>
      <w:r w:rsidR="09B6F726" w:rsidRPr="4C1C98D1">
        <w:rPr>
          <w:lang w:val="en-AU"/>
        </w:rPr>
        <w:t>–</w:t>
      </w:r>
      <w:r w:rsidR="1B0FA8E0" w:rsidRPr="4C1C98D1">
        <w:rPr>
          <w:lang w:val="en-AU"/>
        </w:rPr>
        <w:t xml:space="preserve"> Mekong countries</w:t>
      </w:r>
      <w:bookmarkEnd w:id="32"/>
    </w:p>
    <w:p w14:paraId="6F6111B5" w14:textId="4A481517" w:rsidR="008839EB" w:rsidRPr="00E54D0D" w:rsidRDefault="002B7A84" w:rsidP="4C1C98D1">
      <w:pPr>
        <w:rPr>
          <w:sz w:val="24"/>
          <w:szCs w:val="24"/>
          <w:lang w:val="en-AU"/>
        </w:rPr>
      </w:pPr>
      <w:r>
        <w:rPr>
          <w:sz w:val="24"/>
          <w:szCs w:val="24"/>
          <w:lang w:val="en-AU"/>
        </w:rPr>
        <w:t>T</w:t>
      </w:r>
      <w:r w:rsidR="283843E8" w:rsidRPr="00E54D0D">
        <w:rPr>
          <w:sz w:val="24"/>
          <w:szCs w:val="24"/>
          <w:lang w:val="en-AU"/>
        </w:rPr>
        <w:t xml:space="preserve">he </w:t>
      </w:r>
      <w:r w:rsidR="283843E8" w:rsidRPr="00E54D0D">
        <w:rPr>
          <w:b/>
          <w:bCs/>
          <w:sz w:val="24"/>
          <w:szCs w:val="24"/>
          <w:lang w:val="en-AU"/>
        </w:rPr>
        <w:t xml:space="preserve">countries of the Mekong </w:t>
      </w:r>
      <w:r w:rsidR="7B90BB4D" w:rsidRPr="00E54D0D">
        <w:rPr>
          <w:b/>
          <w:bCs/>
          <w:sz w:val="24"/>
          <w:szCs w:val="24"/>
          <w:lang w:val="en-AU"/>
        </w:rPr>
        <w:t xml:space="preserve">subregion </w:t>
      </w:r>
      <w:r w:rsidR="283843E8" w:rsidRPr="00E54D0D">
        <w:rPr>
          <w:b/>
          <w:bCs/>
          <w:sz w:val="24"/>
          <w:szCs w:val="24"/>
          <w:lang w:val="en-AU"/>
        </w:rPr>
        <w:t>are at varying stages of development</w:t>
      </w:r>
      <w:r w:rsidR="283843E8" w:rsidRPr="00E54D0D">
        <w:rPr>
          <w:sz w:val="24"/>
          <w:szCs w:val="24"/>
          <w:lang w:val="en-AU"/>
        </w:rPr>
        <w:t xml:space="preserve">. Thailand is the only </w:t>
      </w:r>
      <w:r w:rsidR="518C4101" w:rsidRPr="00E54D0D">
        <w:rPr>
          <w:sz w:val="24"/>
          <w:szCs w:val="24"/>
          <w:lang w:val="en-AU"/>
        </w:rPr>
        <w:t xml:space="preserve">upper </w:t>
      </w:r>
      <w:r w:rsidR="283843E8" w:rsidRPr="00E54D0D">
        <w:rPr>
          <w:sz w:val="24"/>
          <w:szCs w:val="24"/>
          <w:lang w:val="en-AU"/>
        </w:rPr>
        <w:t>middle-income economy and generates significantly higher per capita GDP than other subregional countries. Vietnam</w:t>
      </w:r>
      <w:r w:rsidR="4EC00168" w:rsidRPr="00E54D0D">
        <w:rPr>
          <w:sz w:val="24"/>
          <w:szCs w:val="24"/>
          <w:lang w:val="en-AU"/>
        </w:rPr>
        <w:t xml:space="preserve"> is</w:t>
      </w:r>
      <w:r w:rsidR="283843E8" w:rsidRPr="00E54D0D">
        <w:rPr>
          <w:sz w:val="24"/>
          <w:szCs w:val="24"/>
          <w:lang w:val="en-AU"/>
        </w:rPr>
        <w:t xml:space="preserve"> </w:t>
      </w:r>
      <w:r w:rsidR="766D15AA" w:rsidRPr="00E54D0D">
        <w:rPr>
          <w:sz w:val="24"/>
          <w:szCs w:val="24"/>
          <w:lang w:val="en-AU"/>
        </w:rPr>
        <w:t>a</w:t>
      </w:r>
      <w:r w:rsidR="283843E8" w:rsidRPr="00E54D0D">
        <w:rPr>
          <w:sz w:val="24"/>
          <w:szCs w:val="24"/>
          <w:lang w:val="en-AU"/>
        </w:rPr>
        <w:t xml:space="preserve"> </w:t>
      </w:r>
      <w:r w:rsidR="0BFF05E7" w:rsidRPr="00E54D0D">
        <w:rPr>
          <w:sz w:val="24"/>
          <w:szCs w:val="24"/>
          <w:lang w:val="en-AU"/>
        </w:rPr>
        <w:t xml:space="preserve">lower </w:t>
      </w:r>
      <w:r w:rsidR="283843E8" w:rsidRPr="00E54D0D">
        <w:rPr>
          <w:sz w:val="24"/>
          <w:szCs w:val="24"/>
          <w:lang w:val="en-AU"/>
        </w:rPr>
        <w:t xml:space="preserve">middle-income </w:t>
      </w:r>
      <w:r w:rsidR="766D15AA" w:rsidRPr="00E54D0D">
        <w:rPr>
          <w:sz w:val="24"/>
          <w:szCs w:val="24"/>
          <w:lang w:val="en-AU"/>
        </w:rPr>
        <w:t>country</w:t>
      </w:r>
      <w:r w:rsidR="283843E8" w:rsidRPr="00E54D0D">
        <w:rPr>
          <w:sz w:val="24"/>
          <w:szCs w:val="24"/>
          <w:lang w:val="en-AU"/>
        </w:rPr>
        <w:t xml:space="preserve"> and has continued strong economic growth, forecast at around 6 per cent in 2024, most</w:t>
      </w:r>
      <w:r w:rsidR="551DFC11" w:rsidRPr="00E54D0D">
        <w:rPr>
          <w:sz w:val="24"/>
          <w:szCs w:val="24"/>
          <w:lang w:val="en-AU"/>
        </w:rPr>
        <w:t>ly</w:t>
      </w:r>
      <w:r w:rsidR="09673026" w:rsidRPr="00E54D0D">
        <w:rPr>
          <w:sz w:val="24"/>
          <w:szCs w:val="24"/>
          <w:lang w:val="en-AU"/>
        </w:rPr>
        <w:t xml:space="preserve"> </w:t>
      </w:r>
      <w:r w:rsidR="0B7EFB9F" w:rsidRPr="00E54D0D">
        <w:rPr>
          <w:sz w:val="24"/>
          <w:szCs w:val="24"/>
          <w:lang w:val="en-AU"/>
        </w:rPr>
        <w:t>generated</w:t>
      </w:r>
      <w:r w:rsidR="283843E8" w:rsidRPr="00E54D0D">
        <w:rPr>
          <w:sz w:val="24"/>
          <w:szCs w:val="24"/>
          <w:lang w:val="en-AU"/>
        </w:rPr>
        <w:t xml:space="preserve"> from the services sector.</w:t>
      </w:r>
      <w:r w:rsidR="008839EB" w:rsidRPr="00E54D0D">
        <w:rPr>
          <w:rStyle w:val="FootnoteReference"/>
          <w:rFonts w:eastAsia="Times New Roman" w:cs="Times New Roman"/>
          <w:sz w:val="24"/>
          <w:szCs w:val="24"/>
          <w:lang w:val="en-AU"/>
        </w:rPr>
        <w:footnoteReference w:id="14"/>
      </w:r>
      <w:r w:rsidR="283843E8" w:rsidRPr="00E54D0D">
        <w:rPr>
          <w:sz w:val="24"/>
          <w:szCs w:val="24"/>
          <w:lang w:val="en-AU"/>
        </w:rPr>
        <w:t xml:space="preserve"> Laos, Cambodia and Myanmar are ASEAN’s least developed countries and are all lower middle-income economies. </w:t>
      </w:r>
      <w:r w:rsidR="0044311F">
        <w:rPr>
          <w:sz w:val="24"/>
          <w:szCs w:val="24"/>
          <w:lang w:val="en-AU"/>
        </w:rPr>
        <w:t xml:space="preserve">According to World Bank data, </w:t>
      </w:r>
      <w:r w:rsidR="283843E8" w:rsidRPr="00E54D0D">
        <w:rPr>
          <w:sz w:val="24"/>
          <w:szCs w:val="24"/>
          <w:lang w:val="en-AU"/>
        </w:rPr>
        <w:t xml:space="preserve">Cambodia continues to experience relatively high economic growth and moderate inflation, while Laos has lower economic growth, high </w:t>
      </w:r>
      <w:r w:rsidR="00A642B1" w:rsidRPr="00E54D0D">
        <w:rPr>
          <w:sz w:val="24"/>
          <w:szCs w:val="24"/>
          <w:lang w:val="en-AU"/>
        </w:rPr>
        <w:t>inflation and</w:t>
      </w:r>
      <w:r w:rsidR="283843E8" w:rsidRPr="00E54D0D">
        <w:rPr>
          <w:sz w:val="24"/>
          <w:szCs w:val="24"/>
          <w:lang w:val="en-AU"/>
        </w:rPr>
        <w:t xml:space="preserve"> high levels of public debt. </w:t>
      </w:r>
    </w:p>
    <w:p w14:paraId="3B08FDAC" w14:textId="02523D71" w:rsidR="008839EB" w:rsidRPr="00E54D0D" w:rsidRDefault="283843E8" w:rsidP="00BE1590">
      <w:pPr>
        <w:rPr>
          <w:sz w:val="24"/>
          <w:szCs w:val="24"/>
          <w:lang w:val="en-AU"/>
        </w:rPr>
      </w:pPr>
      <w:r w:rsidRPr="00E54D0D">
        <w:rPr>
          <w:sz w:val="24"/>
          <w:szCs w:val="24"/>
          <w:lang w:val="en-AU"/>
        </w:rPr>
        <w:lastRenderedPageBreak/>
        <w:t xml:space="preserve">Thailand </w:t>
      </w:r>
      <w:r w:rsidR="1E76BFB8" w:rsidRPr="00E54D0D">
        <w:rPr>
          <w:sz w:val="24"/>
          <w:szCs w:val="24"/>
          <w:lang w:val="en-AU"/>
        </w:rPr>
        <w:t>is</w:t>
      </w:r>
      <w:r w:rsidRPr="00E54D0D">
        <w:rPr>
          <w:sz w:val="24"/>
          <w:szCs w:val="24"/>
          <w:lang w:val="en-AU"/>
        </w:rPr>
        <w:t xml:space="preserve"> grappling with economic and demographic constraints commonly associated with the </w:t>
      </w:r>
      <w:r w:rsidR="00572C25">
        <w:rPr>
          <w:sz w:val="24"/>
          <w:szCs w:val="24"/>
          <w:lang w:val="en-AU"/>
        </w:rPr>
        <w:t>‘</w:t>
      </w:r>
      <w:r w:rsidRPr="00E54D0D">
        <w:rPr>
          <w:sz w:val="24"/>
          <w:szCs w:val="24"/>
          <w:lang w:val="en-AU"/>
        </w:rPr>
        <w:t>middle-income trap</w:t>
      </w:r>
      <w:r w:rsidR="00572C25">
        <w:rPr>
          <w:sz w:val="24"/>
          <w:szCs w:val="24"/>
          <w:lang w:val="en-AU"/>
        </w:rPr>
        <w:t>‘</w:t>
      </w:r>
      <w:r w:rsidR="00572C25" w:rsidRPr="00E54D0D">
        <w:rPr>
          <w:sz w:val="24"/>
          <w:szCs w:val="24"/>
          <w:lang w:val="en-AU"/>
        </w:rPr>
        <w:t xml:space="preserve"> </w:t>
      </w:r>
      <w:r w:rsidRPr="00E54D0D">
        <w:rPr>
          <w:sz w:val="24"/>
          <w:szCs w:val="24"/>
          <w:lang w:val="en-AU"/>
        </w:rPr>
        <w:t xml:space="preserve">including </w:t>
      </w:r>
      <w:r w:rsidR="00A119AC" w:rsidRPr="00E54D0D">
        <w:rPr>
          <w:sz w:val="24"/>
          <w:szCs w:val="24"/>
          <w:lang w:val="en-AU"/>
        </w:rPr>
        <w:t xml:space="preserve">an </w:t>
      </w:r>
      <w:r w:rsidRPr="00E54D0D">
        <w:rPr>
          <w:sz w:val="24"/>
          <w:szCs w:val="24"/>
          <w:lang w:val="en-AU"/>
        </w:rPr>
        <w:t>aging population, stagnating private and foreign direct investment, limited gains in productivity and declining participation in global value chains.</w:t>
      </w:r>
      <w:r w:rsidR="008839EB" w:rsidRPr="00E54D0D">
        <w:rPr>
          <w:sz w:val="24"/>
          <w:szCs w:val="24"/>
          <w:vertAlign w:val="superscript"/>
          <w:lang w:val="en-AU"/>
        </w:rPr>
        <w:footnoteReference w:id="15"/>
      </w:r>
      <w:r w:rsidRPr="00E54D0D">
        <w:rPr>
          <w:sz w:val="24"/>
          <w:szCs w:val="24"/>
          <w:lang w:val="en-AU"/>
        </w:rPr>
        <w:t xml:space="preserve"> The macroeconomic situation in Laos is challenging and the country remains economically dependent on exports of its natural resources (mining, hydropower, forestry).</w:t>
      </w:r>
      <w:r w:rsidR="008839EB" w:rsidRPr="00E54D0D">
        <w:rPr>
          <w:rStyle w:val="FootnoteReference"/>
          <w:rFonts w:eastAsia="Times New Roman" w:cs="Times New Roman"/>
          <w:sz w:val="24"/>
          <w:szCs w:val="24"/>
          <w:lang w:val="en-AU"/>
        </w:rPr>
        <w:footnoteReference w:id="16"/>
      </w:r>
      <w:r w:rsidRPr="00E54D0D">
        <w:rPr>
          <w:sz w:val="24"/>
          <w:szCs w:val="24"/>
          <w:lang w:val="en-AU"/>
        </w:rPr>
        <w:t xml:space="preserve"> Most of Lao</w:t>
      </w:r>
      <w:r w:rsidR="4541686A" w:rsidRPr="00E54D0D">
        <w:rPr>
          <w:sz w:val="24"/>
          <w:szCs w:val="24"/>
          <w:lang w:val="en-AU"/>
        </w:rPr>
        <w:t>s</w:t>
      </w:r>
      <w:r w:rsidRPr="00E54D0D">
        <w:rPr>
          <w:sz w:val="24"/>
          <w:szCs w:val="24"/>
          <w:lang w:val="en-AU"/>
        </w:rPr>
        <w:t>’ 7.5 million people live rurally and depend on agriculture and natural resources.</w:t>
      </w:r>
      <w:r w:rsidR="0B7EFB9F" w:rsidRPr="00E54D0D">
        <w:rPr>
          <w:sz w:val="24"/>
          <w:szCs w:val="24"/>
          <w:lang w:val="en-AU"/>
        </w:rPr>
        <w:t xml:space="preserve"> </w:t>
      </w:r>
      <w:r w:rsidR="48102F59" w:rsidRPr="00E54D0D">
        <w:rPr>
          <w:sz w:val="24"/>
          <w:szCs w:val="24"/>
          <w:lang w:val="en-AU"/>
        </w:rPr>
        <w:t>E</w:t>
      </w:r>
      <w:r w:rsidR="0B7EFB9F" w:rsidRPr="00E54D0D">
        <w:rPr>
          <w:sz w:val="24"/>
          <w:szCs w:val="24"/>
          <w:lang w:val="en-AU"/>
        </w:rPr>
        <w:t>conomi</w:t>
      </w:r>
      <w:r w:rsidR="54E202FA" w:rsidRPr="00E54D0D">
        <w:rPr>
          <w:sz w:val="24"/>
          <w:szCs w:val="24"/>
          <w:lang w:val="en-AU"/>
        </w:rPr>
        <w:t>c</w:t>
      </w:r>
      <w:r w:rsidR="0B7EFB9F" w:rsidRPr="00E54D0D">
        <w:rPr>
          <w:sz w:val="24"/>
          <w:szCs w:val="24"/>
          <w:lang w:val="en-AU"/>
        </w:rPr>
        <w:t xml:space="preserve"> </w:t>
      </w:r>
      <w:r w:rsidR="48102F59" w:rsidRPr="00E54D0D">
        <w:rPr>
          <w:sz w:val="24"/>
          <w:szCs w:val="24"/>
          <w:lang w:val="en-AU"/>
        </w:rPr>
        <w:t xml:space="preserve">resilience is a matter of mutual dependence in the subregion where economies are heavily </w:t>
      </w:r>
      <w:r w:rsidR="0B7EFB9F" w:rsidRPr="00E54D0D">
        <w:rPr>
          <w:sz w:val="24"/>
          <w:szCs w:val="24"/>
          <w:lang w:val="en-AU"/>
        </w:rPr>
        <w:t>intertwined</w:t>
      </w:r>
      <w:r w:rsidR="48102F59" w:rsidRPr="00E54D0D">
        <w:rPr>
          <w:sz w:val="24"/>
          <w:szCs w:val="24"/>
          <w:lang w:val="en-AU"/>
        </w:rPr>
        <w:t xml:space="preserve"> through trade, investment and flows of labour</w:t>
      </w:r>
      <w:r w:rsidR="00E27AB9">
        <w:rPr>
          <w:sz w:val="24"/>
          <w:szCs w:val="24"/>
          <w:lang w:val="en-AU"/>
        </w:rPr>
        <w:t>.</w:t>
      </w:r>
    </w:p>
    <w:p w14:paraId="049FF611" w14:textId="1A6129D1" w:rsidR="00D759A9" w:rsidRDefault="0B7EFB9F" w:rsidP="00BE1590">
      <w:pPr>
        <w:rPr>
          <w:sz w:val="24"/>
          <w:szCs w:val="24"/>
          <w:lang w:val="en-AU"/>
        </w:rPr>
      </w:pPr>
      <w:r w:rsidRPr="00E54D0D">
        <w:rPr>
          <w:sz w:val="24"/>
          <w:szCs w:val="24"/>
          <w:lang w:val="en-AU"/>
        </w:rPr>
        <w:t>I</w:t>
      </w:r>
      <w:r w:rsidR="283843E8" w:rsidRPr="00E54D0D">
        <w:rPr>
          <w:sz w:val="24"/>
          <w:szCs w:val="24"/>
          <w:lang w:val="en-AU"/>
        </w:rPr>
        <w:t xml:space="preserve">n </w:t>
      </w:r>
      <w:r w:rsidR="29818299" w:rsidRPr="00E54D0D">
        <w:rPr>
          <w:sz w:val="24"/>
          <w:szCs w:val="24"/>
          <w:lang w:val="en-AU"/>
        </w:rPr>
        <w:t xml:space="preserve">the United Nations </w:t>
      </w:r>
      <w:r w:rsidR="283843E8" w:rsidRPr="00E54D0D">
        <w:rPr>
          <w:sz w:val="24"/>
          <w:szCs w:val="24"/>
          <w:lang w:val="en-AU"/>
        </w:rPr>
        <w:t>global rankings on human development, Thailand ranks “very high” and is 66 out of 191 countries</w:t>
      </w:r>
      <w:r w:rsidR="37CFBE47" w:rsidRPr="00E54D0D">
        <w:rPr>
          <w:sz w:val="24"/>
          <w:szCs w:val="24"/>
          <w:lang w:val="en-AU"/>
        </w:rPr>
        <w:t>/</w:t>
      </w:r>
      <w:r w:rsidR="283843E8" w:rsidRPr="00E54D0D">
        <w:rPr>
          <w:sz w:val="24"/>
          <w:szCs w:val="24"/>
          <w:lang w:val="en-AU"/>
        </w:rPr>
        <w:t>territories.</w:t>
      </w:r>
      <w:r w:rsidR="00107D34" w:rsidRPr="00E54D0D">
        <w:rPr>
          <w:rStyle w:val="FootnoteReference"/>
          <w:rFonts w:eastAsia="Times New Roman" w:cs="Times New Roman"/>
          <w:sz w:val="24"/>
          <w:szCs w:val="24"/>
          <w:lang w:val="en-AU"/>
        </w:rPr>
        <w:footnoteReference w:id="17"/>
      </w:r>
      <w:r w:rsidR="283843E8" w:rsidRPr="00E54D0D">
        <w:rPr>
          <w:sz w:val="24"/>
          <w:szCs w:val="24"/>
          <w:lang w:val="en-AU"/>
        </w:rPr>
        <w:t xml:space="preserve"> Vietnam enjoys “high” human development (115 of 191 countries</w:t>
      </w:r>
      <w:r w:rsidR="37CFBE47" w:rsidRPr="00E54D0D">
        <w:rPr>
          <w:sz w:val="24"/>
          <w:szCs w:val="24"/>
          <w:lang w:val="en-AU"/>
        </w:rPr>
        <w:t>/</w:t>
      </w:r>
      <w:r w:rsidR="283843E8" w:rsidRPr="00E54D0D">
        <w:rPr>
          <w:sz w:val="24"/>
          <w:szCs w:val="24"/>
          <w:lang w:val="en-AU"/>
        </w:rPr>
        <w:t>territories), while Cambodia, Laos and Myanmar are all ranked as “medium” and are 146, 140 and 149 in country rankings</w:t>
      </w:r>
      <w:r w:rsidR="3F8C5520" w:rsidRPr="00E54D0D">
        <w:rPr>
          <w:sz w:val="24"/>
          <w:szCs w:val="24"/>
          <w:lang w:val="en-AU"/>
        </w:rPr>
        <w:t xml:space="preserve"> </w:t>
      </w:r>
      <w:r w:rsidR="283843E8" w:rsidRPr="00E54D0D">
        <w:rPr>
          <w:sz w:val="24"/>
          <w:szCs w:val="24"/>
          <w:lang w:val="en-AU"/>
        </w:rPr>
        <w:t xml:space="preserve">respectively. </w:t>
      </w:r>
      <w:r w:rsidR="5790776D" w:rsidRPr="00E54D0D">
        <w:rPr>
          <w:sz w:val="24"/>
          <w:szCs w:val="24"/>
          <w:lang w:val="en-AU"/>
        </w:rPr>
        <w:t>World Bank</w:t>
      </w:r>
      <w:r w:rsidR="009F2C47" w:rsidRPr="00E54D0D">
        <w:rPr>
          <w:sz w:val="24"/>
          <w:szCs w:val="24"/>
          <w:lang w:val="en-AU"/>
        </w:rPr>
        <w:t>-</w:t>
      </w:r>
      <w:r w:rsidR="78B139D0" w:rsidRPr="00E54D0D">
        <w:rPr>
          <w:sz w:val="24"/>
          <w:szCs w:val="24"/>
          <w:lang w:val="en-AU"/>
        </w:rPr>
        <w:t>assessed</w:t>
      </w:r>
      <w:r w:rsidR="5790776D" w:rsidRPr="00E54D0D">
        <w:rPr>
          <w:sz w:val="24"/>
          <w:szCs w:val="24"/>
          <w:lang w:val="en-AU"/>
        </w:rPr>
        <w:t xml:space="preserve"> </w:t>
      </w:r>
      <w:r w:rsidR="79C2586B" w:rsidRPr="00E54D0D">
        <w:rPr>
          <w:sz w:val="24"/>
          <w:szCs w:val="24"/>
          <w:lang w:val="en-AU"/>
        </w:rPr>
        <w:t>p</w:t>
      </w:r>
      <w:r w:rsidR="283843E8" w:rsidRPr="00E54D0D">
        <w:rPr>
          <w:sz w:val="24"/>
          <w:szCs w:val="24"/>
          <w:lang w:val="en-AU"/>
        </w:rPr>
        <w:t xml:space="preserve">overty rates are highest in Laos and Myanmar, and </w:t>
      </w:r>
      <w:r w:rsidR="11211759" w:rsidRPr="00E54D0D">
        <w:rPr>
          <w:sz w:val="24"/>
          <w:szCs w:val="24"/>
          <w:lang w:val="en-AU"/>
        </w:rPr>
        <w:t>relatively low</w:t>
      </w:r>
      <w:r w:rsidR="283843E8" w:rsidRPr="00E54D0D">
        <w:rPr>
          <w:sz w:val="24"/>
          <w:szCs w:val="24"/>
          <w:lang w:val="en-AU"/>
        </w:rPr>
        <w:t xml:space="preserve"> in Vietnam and Thailand</w:t>
      </w:r>
      <w:r w:rsidR="11211759" w:rsidRPr="00E54D0D">
        <w:rPr>
          <w:sz w:val="24"/>
          <w:szCs w:val="24"/>
          <w:lang w:val="en-AU"/>
        </w:rPr>
        <w:t xml:space="preserve"> when measured by national poverty lines</w:t>
      </w:r>
      <w:r w:rsidR="283843E8" w:rsidRPr="00E54D0D">
        <w:rPr>
          <w:sz w:val="24"/>
          <w:szCs w:val="24"/>
          <w:lang w:val="en-AU"/>
        </w:rPr>
        <w:t xml:space="preserve">. </w:t>
      </w:r>
    </w:p>
    <w:p w14:paraId="70468E86" w14:textId="7319F230" w:rsidR="008839EB" w:rsidRPr="00E54D0D" w:rsidRDefault="283843E8" w:rsidP="00BE1590">
      <w:pPr>
        <w:rPr>
          <w:sz w:val="24"/>
          <w:szCs w:val="24"/>
          <w:lang w:val="en-AU"/>
        </w:rPr>
      </w:pPr>
      <w:r w:rsidRPr="00E54D0D">
        <w:rPr>
          <w:sz w:val="24"/>
          <w:szCs w:val="24"/>
          <w:lang w:val="en-AU"/>
        </w:rPr>
        <w:t>The February 2021 coup in Myanmar reversed a decade of development gains and Myanmar’s economy has contracted rapidly since the coup. Economic activity is disrupted by high input prices, inflation, electricity outages, conflict and logistics constraints, trade and foreign exchange restrictions and currency depreciation.</w:t>
      </w:r>
      <w:r w:rsidR="008839EB" w:rsidRPr="00E54D0D">
        <w:rPr>
          <w:sz w:val="24"/>
          <w:szCs w:val="24"/>
          <w:vertAlign w:val="superscript"/>
          <w:lang w:val="en-AU"/>
        </w:rPr>
        <w:footnoteReference w:id="18"/>
      </w:r>
      <w:r w:rsidR="48102F59" w:rsidRPr="00E54D0D">
        <w:rPr>
          <w:sz w:val="24"/>
          <w:szCs w:val="24"/>
          <w:lang w:val="en-AU"/>
        </w:rPr>
        <w:t xml:space="preserve"> </w:t>
      </w:r>
      <w:r w:rsidR="7FE201AA" w:rsidRPr="00E54D0D">
        <w:rPr>
          <w:sz w:val="24"/>
          <w:szCs w:val="24"/>
          <w:lang w:val="en-AU"/>
        </w:rPr>
        <w:t>In Myanmar, the coup, conflict and COVID-19 have severely disrupted education and public healthcare</w:t>
      </w:r>
      <w:r w:rsidR="2296AACB" w:rsidRPr="00E54D0D">
        <w:rPr>
          <w:sz w:val="24"/>
          <w:szCs w:val="24"/>
          <w:lang w:val="en-AU"/>
        </w:rPr>
        <w:t xml:space="preserve">. </w:t>
      </w:r>
      <w:r w:rsidR="282EBCC5" w:rsidRPr="00E54D0D">
        <w:rPr>
          <w:sz w:val="24"/>
          <w:szCs w:val="24"/>
          <w:lang w:val="en-AU"/>
        </w:rPr>
        <w:t>P</w:t>
      </w:r>
      <w:r w:rsidR="7FE201AA" w:rsidRPr="00E54D0D">
        <w:rPr>
          <w:sz w:val="24"/>
          <w:szCs w:val="24"/>
          <w:lang w:val="en-AU"/>
        </w:rPr>
        <w:t>ublic spending on health and education fell to about 1.8 per</w:t>
      </w:r>
      <w:r w:rsidR="1EA1E4D0" w:rsidRPr="00E54D0D">
        <w:rPr>
          <w:sz w:val="24"/>
          <w:szCs w:val="24"/>
          <w:lang w:val="en-AU"/>
        </w:rPr>
        <w:t xml:space="preserve"> </w:t>
      </w:r>
      <w:r w:rsidR="7FE201AA" w:rsidRPr="00E54D0D">
        <w:rPr>
          <w:sz w:val="24"/>
          <w:szCs w:val="24"/>
          <w:lang w:val="en-AU"/>
        </w:rPr>
        <w:t>cent of GDP in 2023. Food security and nutrition appear to be worsening with high food prices</w:t>
      </w:r>
      <w:r w:rsidR="666FD8FF" w:rsidRPr="00E54D0D">
        <w:rPr>
          <w:sz w:val="24"/>
          <w:szCs w:val="24"/>
          <w:lang w:val="en-AU"/>
        </w:rPr>
        <w:t xml:space="preserve">, </w:t>
      </w:r>
      <w:r w:rsidR="7FE201AA" w:rsidRPr="00E54D0D">
        <w:rPr>
          <w:sz w:val="24"/>
          <w:szCs w:val="24"/>
          <w:lang w:val="en-AU"/>
        </w:rPr>
        <w:t>declining household incomes</w:t>
      </w:r>
      <w:r w:rsidR="666FD8FF" w:rsidRPr="00E54D0D">
        <w:rPr>
          <w:sz w:val="24"/>
          <w:szCs w:val="24"/>
          <w:lang w:val="en-AU"/>
        </w:rPr>
        <w:t xml:space="preserve"> and climate</w:t>
      </w:r>
      <w:r w:rsidR="234D0A22" w:rsidRPr="00E54D0D">
        <w:rPr>
          <w:sz w:val="24"/>
          <w:szCs w:val="24"/>
          <w:lang w:val="en-AU"/>
        </w:rPr>
        <w:t xml:space="preserve"> and disaster</w:t>
      </w:r>
      <w:r w:rsidR="666FD8FF" w:rsidRPr="00E54D0D">
        <w:rPr>
          <w:sz w:val="24"/>
          <w:szCs w:val="24"/>
          <w:lang w:val="en-AU"/>
        </w:rPr>
        <w:t>-related impacts</w:t>
      </w:r>
      <w:r w:rsidR="7FE201AA" w:rsidRPr="00E54D0D">
        <w:rPr>
          <w:sz w:val="24"/>
          <w:szCs w:val="24"/>
          <w:lang w:val="en-AU"/>
        </w:rPr>
        <w:t xml:space="preserve">, particularly in </w:t>
      </w:r>
      <w:r w:rsidR="78A0BBDF" w:rsidRPr="00E54D0D">
        <w:rPr>
          <w:sz w:val="24"/>
          <w:szCs w:val="24"/>
          <w:lang w:val="en-AU"/>
        </w:rPr>
        <w:t xml:space="preserve">conflict </w:t>
      </w:r>
      <w:r w:rsidR="7FE201AA" w:rsidRPr="00E54D0D">
        <w:rPr>
          <w:sz w:val="24"/>
          <w:szCs w:val="24"/>
          <w:lang w:val="en-AU"/>
        </w:rPr>
        <w:t xml:space="preserve">affected </w:t>
      </w:r>
      <w:r w:rsidR="78A0BBDF" w:rsidRPr="00E54D0D">
        <w:rPr>
          <w:sz w:val="24"/>
          <w:szCs w:val="24"/>
          <w:lang w:val="en-AU"/>
        </w:rPr>
        <w:t>regions</w:t>
      </w:r>
      <w:r w:rsidR="7FE201AA" w:rsidRPr="00E54D0D">
        <w:rPr>
          <w:sz w:val="24"/>
          <w:szCs w:val="24"/>
          <w:lang w:val="en-AU"/>
        </w:rPr>
        <w:t xml:space="preserve">. </w:t>
      </w:r>
    </w:p>
    <w:p w14:paraId="5DD6A99B" w14:textId="58CC891B" w:rsidR="008839EB" w:rsidRPr="00E54D0D" w:rsidRDefault="2F951725" w:rsidP="00BE1590">
      <w:pPr>
        <w:rPr>
          <w:sz w:val="24"/>
          <w:szCs w:val="24"/>
          <w:lang w:val="en-AU"/>
        </w:rPr>
      </w:pPr>
      <w:r w:rsidRPr="00E54D0D">
        <w:rPr>
          <w:b/>
          <w:bCs/>
          <w:sz w:val="24"/>
          <w:szCs w:val="24"/>
          <w:lang w:val="en-AU"/>
        </w:rPr>
        <w:t>Types of government and electoral systems vary greatly</w:t>
      </w:r>
      <w:r w:rsidR="61460624" w:rsidRPr="00E54D0D">
        <w:rPr>
          <w:b/>
          <w:bCs/>
          <w:sz w:val="24"/>
          <w:szCs w:val="24"/>
          <w:lang w:val="en-AU"/>
        </w:rPr>
        <w:t xml:space="preserve"> across the subregion</w:t>
      </w:r>
      <w:r w:rsidRPr="00E54D0D">
        <w:rPr>
          <w:sz w:val="24"/>
          <w:szCs w:val="24"/>
          <w:lang w:val="en-AU"/>
        </w:rPr>
        <w:t xml:space="preserve">. </w:t>
      </w:r>
      <w:r w:rsidR="283843E8" w:rsidRPr="00E54D0D">
        <w:rPr>
          <w:sz w:val="24"/>
          <w:szCs w:val="24"/>
          <w:lang w:val="en-AU"/>
        </w:rPr>
        <w:t>Governance effectiveness including political voice and accountability, absence of violence, rule of law, and control of corruption</w:t>
      </w:r>
      <w:r w:rsidR="11211759" w:rsidRPr="00E54D0D">
        <w:rPr>
          <w:sz w:val="24"/>
          <w:szCs w:val="24"/>
          <w:lang w:val="en-AU"/>
        </w:rPr>
        <w:t xml:space="preserve"> and transnational crime</w:t>
      </w:r>
      <w:r w:rsidR="283843E8" w:rsidRPr="00E54D0D">
        <w:rPr>
          <w:sz w:val="24"/>
          <w:szCs w:val="24"/>
          <w:lang w:val="en-AU"/>
        </w:rPr>
        <w:t xml:space="preserve"> vary widely across the </w:t>
      </w:r>
      <w:r w:rsidR="48102F59" w:rsidRPr="00E54D0D">
        <w:rPr>
          <w:sz w:val="24"/>
          <w:szCs w:val="24"/>
          <w:lang w:val="en-AU"/>
        </w:rPr>
        <w:t>Mekong sub</w:t>
      </w:r>
      <w:r w:rsidR="283843E8" w:rsidRPr="00E54D0D">
        <w:rPr>
          <w:sz w:val="24"/>
          <w:szCs w:val="24"/>
          <w:lang w:val="en-AU"/>
        </w:rPr>
        <w:t xml:space="preserve">region </w:t>
      </w:r>
      <w:r w:rsidR="48102F59" w:rsidRPr="00E54D0D">
        <w:rPr>
          <w:sz w:val="24"/>
          <w:szCs w:val="24"/>
          <w:lang w:val="en-AU"/>
        </w:rPr>
        <w:t xml:space="preserve">as </w:t>
      </w:r>
      <w:r w:rsidR="1724820D" w:rsidRPr="00E54D0D">
        <w:rPr>
          <w:sz w:val="24"/>
          <w:szCs w:val="24"/>
          <w:lang w:val="en-AU"/>
        </w:rPr>
        <w:t>highlighted</w:t>
      </w:r>
      <w:r w:rsidR="48102F59" w:rsidRPr="00E54D0D">
        <w:rPr>
          <w:sz w:val="24"/>
          <w:szCs w:val="24"/>
          <w:lang w:val="en-AU"/>
        </w:rPr>
        <w:t xml:space="preserve"> in </w:t>
      </w:r>
      <w:r w:rsidR="1D284414" w:rsidRPr="00E54D0D">
        <w:rPr>
          <w:sz w:val="24"/>
          <w:szCs w:val="24"/>
          <w:lang w:val="en-AU"/>
        </w:rPr>
        <w:t xml:space="preserve">the World Bank’s </w:t>
      </w:r>
      <w:r w:rsidR="48102F59" w:rsidRPr="00E54D0D">
        <w:rPr>
          <w:sz w:val="24"/>
          <w:szCs w:val="24"/>
          <w:lang w:val="en-AU"/>
        </w:rPr>
        <w:t>global rankings data</w:t>
      </w:r>
      <w:r w:rsidR="283843E8" w:rsidRPr="00E54D0D">
        <w:rPr>
          <w:sz w:val="24"/>
          <w:szCs w:val="24"/>
          <w:lang w:val="en-AU"/>
        </w:rPr>
        <w:t xml:space="preserve">. </w:t>
      </w:r>
    </w:p>
    <w:p w14:paraId="33976561" w14:textId="3FE660D2" w:rsidR="00F32299" w:rsidRPr="00E54D0D" w:rsidRDefault="1B72D0F6" w:rsidP="06744E17">
      <w:pPr>
        <w:rPr>
          <w:rFonts w:ascii="Calibri Light" w:eastAsia="Calibri Light" w:hAnsi="Calibri Light"/>
          <w:sz w:val="24"/>
          <w:szCs w:val="24"/>
        </w:rPr>
      </w:pPr>
      <w:r w:rsidRPr="0000253E">
        <w:rPr>
          <w:rFonts w:ascii="Calibri Light" w:eastAsia="Calibri Light" w:hAnsi="Calibri Light"/>
          <w:sz w:val="24"/>
          <w:szCs w:val="24"/>
        </w:rPr>
        <w:t>The absence of diversity in national political representation and leadership, and social attitudes and norms that favour men in leadership roles across Mekong countries spills into subregional platforms, voice, influence, and agendas</w:t>
      </w:r>
      <w:r w:rsidRPr="00824163">
        <w:rPr>
          <w:rFonts w:ascii="Calibri Light" w:eastAsia="Calibri Light" w:hAnsi="Calibri Light"/>
          <w:sz w:val="24"/>
          <w:szCs w:val="24"/>
        </w:rPr>
        <w:t>.</w:t>
      </w:r>
      <w:r w:rsidRPr="00E54D0D">
        <w:rPr>
          <w:rFonts w:ascii="Calibri Light" w:eastAsia="Calibri Light" w:hAnsi="Calibri Light"/>
          <w:sz w:val="24"/>
          <w:szCs w:val="24"/>
        </w:rPr>
        <w:t xml:space="preserve"> </w:t>
      </w:r>
    </w:p>
    <w:p w14:paraId="17BD2C8B" w14:textId="6D874F82" w:rsidR="008839EB" w:rsidRPr="00E54D0D" w:rsidRDefault="55AE4198" w:rsidP="00BE1590">
      <w:pPr>
        <w:rPr>
          <w:sz w:val="24"/>
          <w:szCs w:val="24"/>
          <w:lang w:val="en-AU"/>
        </w:rPr>
      </w:pPr>
      <w:r w:rsidRPr="00E54D0D">
        <w:rPr>
          <w:rFonts w:ascii="Calibri Light" w:eastAsia="Calibri Light" w:hAnsi="Calibri Light"/>
          <w:sz w:val="24"/>
          <w:szCs w:val="24"/>
          <w:lang w:val="en-AU"/>
        </w:rPr>
        <w:t xml:space="preserve">At the national level, gender machineries across the Mekong </w:t>
      </w:r>
      <w:r w:rsidR="74D3DDC9" w:rsidRPr="00E54D0D">
        <w:rPr>
          <w:rFonts w:ascii="Calibri Light" w:eastAsia="Calibri Light" w:hAnsi="Calibri Light"/>
          <w:sz w:val="24"/>
          <w:szCs w:val="24"/>
          <w:lang w:val="en-AU"/>
        </w:rPr>
        <w:t xml:space="preserve">subregion </w:t>
      </w:r>
      <w:r w:rsidRPr="00E54D0D">
        <w:rPr>
          <w:rFonts w:ascii="Calibri Light" w:eastAsia="Calibri Light" w:hAnsi="Calibri Light"/>
          <w:sz w:val="24"/>
          <w:szCs w:val="24"/>
          <w:lang w:val="en-AU"/>
        </w:rPr>
        <w:t xml:space="preserve">experience common </w:t>
      </w:r>
      <w:r w:rsidR="7C7931EB" w:rsidRPr="00E54D0D">
        <w:rPr>
          <w:rFonts w:ascii="Calibri Light" w:eastAsia="Calibri Light" w:hAnsi="Calibri Light"/>
          <w:sz w:val="24"/>
          <w:szCs w:val="24"/>
          <w:lang w:val="en-AU"/>
        </w:rPr>
        <w:t xml:space="preserve">constraints on </w:t>
      </w:r>
      <w:r w:rsidRPr="00E54D0D">
        <w:rPr>
          <w:rFonts w:ascii="Calibri Light" w:eastAsia="Calibri Light" w:hAnsi="Calibri Light"/>
          <w:sz w:val="24"/>
          <w:szCs w:val="24"/>
          <w:lang w:val="en-AU"/>
        </w:rPr>
        <w:t xml:space="preserve">capacity, resources and influence. National disability bodies face similar challenges. In short, the </w:t>
      </w:r>
      <w:r w:rsidRPr="0000253E">
        <w:rPr>
          <w:rFonts w:ascii="Calibri Light" w:eastAsia="Calibri Light" w:hAnsi="Calibri Light"/>
          <w:sz w:val="24"/>
          <w:szCs w:val="24"/>
          <w:lang w:val="en-AU"/>
        </w:rPr>
        <w:t>gender and inclusion gap in leadership, weaknesses in the GEDSI capacity of subregional architecture and platforms, and threats to the functioning of women’s rights organisations and OPDs are national and subregional challenges</w:t>
      </w:r>
      <w:r w:rsidRPr="00726E78">
        <w:rPr>
          <w:rFonts w:ascii="Calibri Light" w:eastAsia="Calibri Light" w:hAnsi="Calibri Light"/>
          <w:sz w:val="24"/>
          <w:szCs w:val="24"/>
          <w:lang w:val="en-AU"/>
        </w:rPr>
        <w:t>.</w:t>
      </w:r>
      <w:r w:rsidR="7C7931EB" w:rsidRPr="00E54D0D">
        <w:rPr>
          <w:sz w:val="24"/>
          <w:szCs w:val="24"/>
          <w:lang w:val="en-AU"/>
        </w:rPr>
        <w:t xml:space="preserve"> </w:t>
      </w:r>
    </w:p>
    <w:p w14:paraId="3A197158" w14:textId="319079F8" w:rsidR="00C90718" w:rsidRPr="001F14E7" w:rsidRDefault="00C90718" w:rsidP="00C90718">
      <w:pPr>
        <w:pStyle w:val="Heading2Numbered"/>
        <w:rPr>
          <w:lang w:val="en-AU"/>
        </w:rPr>
      </w:pPr>
      <w:bookmarkStart w:id="33" w:name="_Toc162287854"/>
      <w:bookmarkStart w:id="34" w:name="_Toc163539141"/>
      <w:bookmarkStart w:id="35" w:name="_Toc174029025"/>
      <w:r w:rsidRPr="218F81E5">
        <w:rPr>
          <w:lang w:val="en-AU"/>
        </w:rPr>
        <w:t>Other Development Partners</w:t>
      </w:r>
      <w:bookmarkEnd w:id="33"/>
      <w:bookmarkEnd w:id="34"/>
      <w:bookmarkEnd w:id="35"/>
      <w:r w:rsidRPr="218F81E5">
        <w:rPr>
          <w:lang w:val="en-AU"/>
        </w:rPr>
        <w:t xml:space="preserve"> </w:t>
      </w:r>
    </w:p>
    <w:p w14:paraId="783335D3" w14:textId="4C4E6149" w:rsidR="00C90718" w:rsidRPr="00E54D0D" w:rsidRDefault="5ABED88D" w:rsidP="00BE1590">
      <w:pPr>
        <w:rPr>
          <w:sz w:val="24"/>
          <w:szCs w:val="24"/>
          <w:lang w:val="en-AU"/>
        </w:rPr>
      </w:pPr>
      <w:r w:rsidRPr="00E54D0D">
        <w:rPr>
          <w:sz w:val="24"/>
          <w:szCs w:val="24"/>
          <w:lang w:val="en-AU"/>
        </w:rPr>
        <w:t xml:space="preserve">Japan, </w:t>
      </w:r>
      <w:r w:rsidR="2C803335" w:rsidRPr="00E54D0D">
        <w:rPr>
          <w:sz w:val="24"/>
          <w:szCs w:val="24"/>
          <w:lang w:val="en-AU"/>
        </w:rPr>
        <w:t>the Republic of Korea</w:t>
      </w:r>
      <w:r w:rsidR="4286A248" w:rsidRPr="00E54D0D">
        <w:rPr>
          <w:sz w:val="24"/>
          <w:szCs w:val="24"/>
          <w:lang w:val="en-AU"/>
        </w:rPr>
        <w:t>,</w:t>
      </w:r>
      <w:r w:rsidR="2C803335" w:rsidRPr="00E54D0D">
        <w:rPr>
          <w:sz w:val="24"/>
          <w:szCs w:val="24"/>
          <w:lang w:val="en-AU"/>
        </w:rPr>
        <w:t xml:space="preserve"> </w:t>
      </w:r>
      <w:r w:rsidRPr="00E54D0D">
        <w:rPr>
          <w:sz w:val="24"/>
          <w:szCs w:val="24"/>
          <w:lang w:val="en-AU"/>
        </w:rPr>
        <w:t xml:space="preserve">the Asia Development Bank (ADB), the World Bank and the European Union are significant donors in Mekong countries. </w:t>
      </w:r>
      <w:r w:rsidR="150D4813" w:rsidRPr="00E54D0D">
        <w:rPr>
          <w:sz w:val="24"/>
          <w:szCs w:val="24"/>
          <w:lang w:val="en-AU"/>
        </w:rPr>
        <w:t>China is actively increasing connectivity and investment links with the subregion</w:t>
      </w:r>
      <w:r w:rsidR="00824163">
        <w:rPr>
          <w:sz w:val="24"/>
          <w:szCs w:val="24"/>
          <w:lang w:val="en-AU"/>
        </w:rPr>
        <w:t>.</w:t>
      </w:r>
      <w:r w:rsidR="150D4813" w:rsidRPr="00E54D0D">
        <w:rPr>
          <w:sz w:val="24"/>
          <w:szCs w:val="24"/>
          <w:lang w:val="en-AU"/>
        </w:rPr>
        <w:t xml:space="preserve"> </w:t>
      </w:r>
      <w:r w:rsidRPr="00E54D0D">
        <w:rPr>
          <w:sz w:val="24"/>
          <w:szCs w:val="24"/>
          <w:lang w:val="en-AU"/>
        </w:rPr>
        <w:t>China is a key financi</w:t>
      </w:r>
      <w:r w:rsidR="6CC63984" w:rsidRPr="00E54D0D">
        <w:rPr>
          <w:sz w:val="24"/>
          <w:szCs w:val="24"/>
          <w:lang w:val="en-AU"/>
        </w:rPr>
        <w:t>er</w:t>
      </w:r>
      <w:r w:rsidRPr="00E54D0D">
        <w:rPr>
          <w:sz w:val="24"/>
          <w:szCs w:val="24"/>
          <w:lang w:val="en-AU"/>
        </w:rPr>
        <w:t xml:space="preserve"> and backer of the subregions’ major infrastructure and connectivity projects. </w:t>
      </w:r>
      <w:r w:rsidR="150D4813" w:rsidRPr="00E54D0D">
        <w:rPr>
          <w:sz w:val="24"/>
          <w:szCs w:val="24"/>
          <w:lang w:val="en-AU"/>
        </w:rPr>
        <w:t xml:space="preserve">The US-led ‘Friends of the Mekong’ was initiated as part of the </w:t>
      </w:r>
      <w:bookmarkStart w:id="36" w:name="_Int_91JnRF2l"/>
      <w:r w:rsidR="150D4813" w:rsidRPr="00E54D0D">
        <w:rPr>
          <w:sz w:val="24"/>
          <w:szCs w:val="24"/>
          <w:lang w:val="en-AU"/>
        </w:rPr>
        <w:t>US</w:t>
      </w:r>
      <w:bookmarkEnd w:id="36"/>
      <w:r w:rsidR="150D4813" w:rsidRPr="00E54D0D">
        <w:rPr>
          <w:sz w:val="24"/>
          <w:szCs w:val="24"/>
          <w:lang w:val="en-AU"/>
        </w:rPr>
        <w:t>’ intensified commitment to the subregion, advocating for transparency, good governance, equality, gender equity and mutual respect and trust.</w:t>
      </w:r>
      <w:r w:rsidR="00C77F57" w:rsidRPr="00E54D0D">
        <w:rPr>
          <w:rStyle w:val="FootnoteReference"/>
          <w:rFonts w:eastAsia="Times New Roman" w:cs="Times New Roman"/>
          <w:sz w:val="24"/>
          <w:szCs w:val="24"/>
          <w:lang w:val="en-AU"/>
        </w:rPr>
        <w:footnoteReference w:id="19"/>
      </w:r>
      <w:r w:rsidR="150D4813" w:rsidRPr="00E54D0D">
        <w:rPr>
          <w:sz w:val="24"/>
          <w:szCs w:val="24"/>
          <w:lang w:val="en-AU"/>
        </w:rPr>
        <w:t xml:space="preserve"> </w:t>
      </w:r>
      <w:r w:rsidR="4278B31E" w:rsidRPr="00E54D0D">
        <w:rPr>
          <w:sz w:val="24"/>
          <w:szCs w:val="24"/>
          <w:lang w:val="en-AU"/>
        </w:rPr>
        <w:t>Several development partners</w:t>
      </w:r>
      <w:r w:rsidRPr="00E54D0D">
        <w:rPr>
          <w:sz w:val="24"/>
          <w:szCs w:val="24"/>
          <w:lang w:val="en-AU"/>
        </w:rPr>
        <w:t xml:space="preserve"> have shifted </w:t>
      </w:r>
      <w:r w:rsidRPr="00E54D0D">
        <w:rPr>
          <w:sz w:val="24"/>
          <w:szCs w:val="24"/>
          <w:lang w:val="en-AU"/>
        </w:rPr>
        <w:lastRenderedPageBreak/>
        <w:t xml:space="preserve">their ODA engagement in Myanmar to reflect their political approach to the military </w:t>
      </w:r>
      <w:r w:rsidR="00FF391D">
        <w:rPr>
          <w:sz w:val="24"/>
          <w:szCs w:val="24"/>
          <w:lang w:val="en-AU"/>
        </w:rPr>
        <w:t>regime</w:t>
      </w:r>
      <w:r w:rsidR="00FF391D" w:rsidRPr="00E54D0D">
        <w:rPr>
          <w:sz w:val="24"/>
          <w:szCs w:val="24"/>
          <w:lang w:val="en-AU"/>
        </w:rPr>
        <w:t xml:space="preserve"> </w:t>
      </w:r>
      <w:r w:rsidRPr="00E54D0D">
        <w:rPr>
          <w:sz w:val="24"/>
          <w:szCs w:val="24"/>
          <w:lang w:val="en-AU"/>
        </w:rPr>
        <w:t xml:space="preserve">since the coup. </w:t>
      </w:r>
    </w:p>
    <w:p w14:paraId="602EAF4A" w14:textId="77777777" w:rsidR="008839EB" w:rsidRPr="001F14E7" w:rsidRDefault="008839EB" w:rsidP="00C741C4">
      <w:pPr>
        <w:pStyle w:val="Heading2Numbered"/>
        <w:rPr>
          <w:lang w:val="en-AU"/>
        </w:rPr>
      </w:pPr>
      <w:bookmarkStart w:id="37" w:name="_Toc162287855"/>
      <w:bookmarkStart w:id="38" w:name="_Toc163539142"/>
      <w:bookmarkStart w:id="39" w:name="_Toc174029026"/>
      <w:r w:rsidRPr="218F81E5">
        <w:rPr>
          <w:lang w:val="en-AU"/>
        </w:rPr>
        <w:t>Evidence and lessons</w:t>
      </w:r>
      <w:bookmarkEnd w:id="37"/>
      <w:bookmarkEnd w:id="38"/>
      <w:bookmarkEnd w:id="39"/>
      <w:r w:rsidRPr="218F81E5">
        <w:rPr>
          <w:lang w:val="en-AU"/>
        </w:rPr>
        <w:t xml:space="preserve"> </w:t>
      </w:r>
    </w:p>
    <w:p w14:paraId="74EBA12B" w14:textId="0DCFBB6C" w:rsidR="002B2712" w:rsidRPr="00E54D0D" w:rsidRDefault="008839EB" w:rsidP="00BE1590">
      <w:pPr>
        <w:rPr>
          <w:sz w:val="24"/>
          <w:szCs w:val="24"/>
          <w:lang w:val="en-AU"/>
        </w:rPr>
      </w:pPr>
      <w:r w:rsidRPr="00E54D0D">
        <w:rPr>
          <w:sz w:val="24"/>
          <w:szCs w:val="24"/>
          <w:lang w:val="en-AU"/>
        </w:rPr>
        <w:t>Australia has long invested in the Mekong subregion’s prosperity and development</w:t>
      </w:r>
      <w:r w:rsidR="00A02F91" w:rsidRPr="00E54D0D">
        <w:rPr>
          <w:sz w:val="24"/>
          <w:szCs w:val="24"/>
          <w:lang w:val="en-AU"/>
        </w:rPr>
        <w:t xml:space="preserve"> through decades of </w:t>
      </w:r>
      <w:r w:rsidRPr="00E54D0D">
        <w:rPr>
          <w:sz w:val="24"/>
          <w:szCs w:val="24"/>
          <w:lang w:val="en-AU"/>
        </w:rPr>
        <w:t xml:space="preserve">bilateral and ASEAN </w:t>
      </w:r>
      <w:r w:rsidR="00A02F91" w:rsidRPr="00E54D0D">
        <w:rPr>
          <w:sz w:val="24"/>
          <w:szCs w:val="24"/>
          <w:lang w:val="en-AU"/>
        </w:rPr>
        <w:t xml:space="preserve">development </w:t>
      </w:r>
      <w:r w:rsidRPr="00E54D0D">
        <w:rPr>
          <w:sz w:val="24"/>
          <w:szCs w:val="24"/>
          <w:lang w:val="en-AU"/>
        </w:rPr>
        <w:t>programs</w:t>
      </w:r>
      <w:r w:rsidR="00A02F91" w:rsidRPr="00E54D0D">
        <w:rPr>
          <w:sz w:val="24"/>
          <w:szCs w:val="24"/>
          <w:lang w:val="en-AU"/>
        </w:rPr>
        <w:t xml:space="preserve"> and other support. </w:t>
      </w:r>
      <w:r w:rsidRPr="00E54D0D">
        <w:rPr>
          <w:sz w:val="24"/>
          <w:szCs w:val="24"/>
          <w:lang w:val="en-AU"/>
        </w:rPr>
        <w:t>Australia launched the Mekong-Australia Partnership (MAP) in 2020, a $232 million four-year (</w:t>
      </w:r>
      <w:r w:rsidR="00A02F91" w:rsidRPr="00E54D0D">
        <w:rPr>
          <w:sz w:val="24"/>
          <w:szCs w:val="24"/>
          <w:lang w:val="en-AU"/>
        </w:rPr>
        <w:t>2020</w:t>
      </w:r>
      <w:r w:rsidR="000E6640" w:rsidRPr="00E54D0D">
        <w:rPr>
          <w:sz w:val="24"/>
          <w:szCs w:val="24"/>
          <w:lang w:val="en-AU"/>
        </w:rPr>
        <w:t>-21</w:t>
      </w:r>
      <w:r w:rsidRPr="00E54D0D">
        <w:rPr>
          <w:sz w:val="24"/>
          <w:szCs w:val="24"/>
          <w:lang w:val="en-AU"/>
        </w:rPr>
        <w:t xml:space="preserve"> to </w:t>
      </w:r>
      <w:r w:rsidR="000E6640" w:rsidRPr="00E54D0D">
        <w:rPr>
          <w:sz w:val="24"/>
          <w:szCs w:val="24"/>
          <w:lang w:val="en-AU"/>
        </w:rPr>
        <w:t>2023-</w:t>
      </w:r>
      <w:r w:rsidRPr="00E54D0D">
        <w:rPr>
          <w:sz w:val="24"/>
          <w:szCs w:val="24"/>
          <w:lang w:val="en-AU"/>
        </w:rPr>
        <w:t>24) initiative to elevate Australia’s engagement with the subregion. An Independent Strategic Review of MAP Phase 1</w:t>
      </w:r>
      <w:r w:rsidR="00732443" w:rsidRPr="00E54D0D">
        <w:rPr>
          <w:sz w:val="24"/>
          <w:szCs w:val="24"/>
          <w:lang w:val="en-AU"/>
        </w:rPr>
        <w:t>, completed in May 2023,</w:t>
      </w:r>
      <w:r w:rsidRPr="00E54D0D">
        <w:rPr>
          <w:b/>
          <w:bCs/>
          <w:sz w:val="24"/>
          <w:szCs w:val="24"/>
          <w:lang w:val="en-AU"/>
        </w:rPr>
        <w:t xml:space="preserve"> </w:t>
      </w:r>
      <w:r w:rsidR="002B2712" w:rsidRPr="00E54D0D">
        <w:rPr>
          <w:sz w:val="24"/>
          <w:szCs w:val="24"/>
          <w:lang w:val="en-AU"/>
        </w:rPr>
        <w:t>found that the investment was strategically relevant and coherent and delivered outcomes through a range of initiatives across five thematic pillars. The review found that:</w:t>
      </w:r>
    </w:p>
    <w:p w14:paraId="0E92DEB8" w14:textId="015C3D80" w:rsidR="002B2712" w:rsidRPr="00E54D0D" w:rsidRDefault="00B92C7B" w:rsidP="4C1C98D1">
      <w:pPr>
        <w:pStyle w:val="Bullet1"/>
        <w:rPr>
          <w:sz w:val="24"/>
          <w:szCs w:val="24"/>
          <w:lang w:val="en-AU"/>
        </w:rPr>
      </w:pPr>
      <w:r w:rsidRPr="00E54D0D">
        <w:rPr>
          <w:sz w:val="24"/>
          <w:szCs w:val="24"/>
          <w:lang w:val="en-AU"/>
        </w:rPr>
        <w:t>a</w:t>
      </w:r>
      <w:r w:rsidR="1767CA62" w:rsidRPr="00E54D0D">
        <w:rPr>
          <w:sz w:val="24"/>
          <w:szCs w:val="24"/>
          <w:lang w:val="en-AU"/>
        </w:rPr>
        <w:t xml:space="preserve">s a flexible and responsive funding mechanism, MAP had expanded and deepened Australia’s engagement as a constructive, practical partner on mutual policy priorities in the Mekong subregion </w:t>
      </w:r>
    </w:p>
    <w:p w14:paraId="3376E221" w14:textId="0EFD3D13" w:rsidR="002B2712" w:rsidRPr="00E54D0D" w:rsidRDefault="1767CA62" w:rsidP="4C1C98D1">
      <w:pPr>
        <w:pStyle w:val="Bullet1"/>
        <w:rPr>
          <w:sz w:val="24"/>
          <w:szCs w:val="24"/>
          <w:lang w:val="en-AU"/>
        </w:rPr>
      </w:pPr>
      <w:r w:rsidRPr="00E54D0D">
        <w:rPr>
          <w:sz w:val="24"/>
          <w:szCs w:val="24"/>
          <w:lang w:val="en-AU"/>
        </w:rPr>
        <w:t>MAP had boosted Australia’s credentials with senior government interlocutors in the subregion – as well as with likeminded partners – particularly after a period of ODA budget cuts and diminished influence</w:t>
      </w:r>
    </w:p>
    <w:p w14:paraId="23296E96" w14:textId="1E55149B" w:rsidR="00BE1590" w:rsidRPr="00E54D0D" w:rsidRDefault="1767CA62" w:rsidP="4C1C98D1">
      <w:pPr>
        <w:pStyle w:val="Bullet1"/>
        <w:rPr>
          <w:sz w:val="24"/>
          <w:szCs w:val="24"/>
          <w:lang w:val="en-AU"/>
        </w:rPr>
      </w:pPr>
      <w:r w:rsidRPr="00E54D0D">
        <w:rPr>
          <w:sz w:val="24"/>
          <w:szCs w:val="24"/>
          <w:lang w:val="en-AU"/>
        </w:rPr>
        <w:t>Mekong partner countries noted the benefits of Australia’s practical, flexible and demand-driven approach – which contrasts with that of other development partners</w:t>
      </w:r>
    </w:p>
    <w:p w14:paraId="4C329A90" w14:textId="1AC1FF45" w:rsidR="00BE1590" w:rsidRPr="00E54D0D" w:rsidRDefault="00B92C7B" w:rsidP="4C1C98D1">
      <w:pPr>
        <w:pStyle w:val="Bullet1"/>
        <w:rPr>
          <w:sz w:val="24"/>
          <w:szCs w:val="24"/>
          <w:lang w:val="en-AU"/>
        </w:rPr>
      </w:pPr>
      <w:r w:rsidRPr="00E54D0D">
        <w:rPr>
          <w:sz w:val="24"/>
          <w:szCs w:val="24"/>
          <w:lang w:val="en-AU"/>
        </w:rPr>
        <w:t xml:space="preserve">staffing </w:t>
      </w:r>
      <w:r w:rsidR="1767CA62" w:rsidRPr="00E54D0D">
        <w:rPr>
          <w:sz w:val="24"/>
          <w:szCs w:val="24"/>
          <w:lang w:val="en-AU"/>
        </w:rPr>
        <w:t>resources funded by MAP had enabled Australia to deepen engagement and influence in the subregion, with a significant expansion of capacity on economic, trade and development issues</w:t>
      </w:r>
    </w:p>
    <w:p w14:paraId="52746D75" w14:textId="1F6ABDE1" w:rsidR="00BE1590" w:rsidRPr="00E54D0D" w:rsidRDefault="1767CA62" w:rsidP="4C1C98D1">
      <w:pPr>
        <w:pStyle w:val="Bullet1"/>
        <w:rPr>
          <w:sz w:val="24"/>
          <w:szCs w:val="24"/>
          <w:lang w:val="en-AU"/>
        </w:rPr>
      </w:pPr>
      <w:r w:rsidRPr="00E54D0D">
        <w:rPr>
          <w:sz w:val="24"/>
          <w:szCs w:val="24"/>
          <w:lang w:val="en-AU"/>
        </w:rPr>
        <w:t xml:space="preserve">MAP was strategic and coherent when treated as a strategic framework for enhanced Mekong engagement rather than as a single program – noting also that its branding and narrative was sometimes confusing to </w:t>
      </w:r>
      <w:r w:rsidR="7A82F6FC" w:rsidRPr="00E54D0D">
        <w:rPr>
          <w:sz w:val="24"/>
          <w:szCs w:val="24"/>
          <w:lang w:val="en-AU"/>
        </w:rPr>
        <w:t>partners,</w:t>
      </w:r>
      <w:r w:rsidRPr="00E54D0D">
        <w:rPr>
          <w:sz w:val="24"/>
          <w:szCs w:val="24"/>
          <w:lang w:val="en-AU"/>
        </w:rPr>
        <w:t xml:space="preserve"> and it was often not relevant to refer to it as anything but Australian assistance</w:t>
      </w:r>
    </w:p>
    <w:p w14:paraId="47F94DBD" w14:textId="77777777" w:rsidR="00EE2540" w:rsidRPr="00E54D0D" w:rsidRDefault="002B2712" w:rsidP="00EE2540">
      <w:pPr>
        <w:pStyle w:val="Bullet1"/>
        <w:rPr>
          <w:sz w:val="24"/>
          <w:szCs w:val="24"/>
          <w:lang w:val="en-AU"/>
        </w:rPr>
      </w:pPr>
      <w:r w:rsidRPr="00E54D0D">
        <w:rPr>
          <w:sz w:val="24"/>
          <w:szCs w:val="24"/>
          <w:lang w:val="en-AU"/>
        </w:rPr>
        <w:t>MAP was delivered under challenging circumstances, with unrealistic time pressures and complicated and sometimes fragmented management arrangements, which affected its efficiency</w:t>
      </w:r>
      <w:r w:rsidR="008839EB" w:rsidRPr="00E54D0D">
        <w:rPr>
          <w:sz w:val="24"/>
          <w:szCs w:val="24"/>
          <w:lang w:val="en-AU"/>
        </w:rPr>
        <w:t>.</w:t>
      </w:r>
    </w:p>
    <w:p w14:paraId="471E779A" w14:textId="17A04711" w:rsidR="00E6454D" w:rsidRPr="00E54D0D" w:rsidRDefault="3BE15FCA" w:rsidP="4C1C98D1">
      <w:pPr>
        <w:pStyle w:val="Bullet1"/>
        <w:numPr>
          <w:ilvl w:val="0"/>
          <w:numId w:val="0"/>
        </w:numPr>
        <w:rPr>
          <w:sz w:val="24"/>
          <w:szCs w:val="24"/>
          <w:lang w:val="en-AU"/>
        </w:rPr>
      </w:pPr>
      <w:r w:rsidRPr="00E54D0D">
        <w:rPr>
          <w:sz w:val="24"/>
          <w:szCs w:val="24"/>
          <w:lang w:val="en-AU"/>
        </w:rPr>
        <w:t xml:space="preserve">This Portfolio Design Framework draws on the Independent Strategic Review’s recommendations and extensive document review and DFAT consultations in Canberra and with all Mekong posts. </w:t>
      </w:r>
      <w:r w:rsidR="0AA0BE36" w:rsidRPr="00E54D0D">
        <w:rPr>
          <w:sz w:val="24"/>
          <w:szCs w:val="24"/>
          <w:lang w:val="en-AU"/>
        </w:rPr>
        <w:t xml:space="preserve"> </w:t>
      </w:r>
      <w:r w:rsidR="004C6005">
        <w:rPr>
          <w:sz w:val="24"/>
          <w:szCs w:val="24"/>
          <w:lang w:val="en-AU"/>
        </w:rPr>
        <w:t>A</w:t>
      </w:r>
      <w:r w:rsidR="0AA0BE36" w:rsidRPr="00E54D0D">
        <w:rPr>
          <w:sz w:val="24"/>
          <w:szCs w:val="24"/>
          <w:lang w:val="en-AU"/>
        </w:rPr>
        <w:t xml:space="preserve">ll posts tested broad ideas </w:t>
      </w:r>
      <w:r w:rsidR="796FEEBD" w:rsidRPr="00E54D0D">
        <w:rPr>
          <w:sz w:val="24"/>
          <w:szCs w:val="24"/>
          <w:lang w:val="en-AU"/>
        </w:rPr>
        <w:t>for Australian Mekong subregional engagement with partner government counterparts and reflected feedback in this design process.</w:t>
      </w:r>
      <w:r w:rsidR="1DB17F94" w:rsidRPr="00E54D0D">
        <w:rPr>
          <w:sz w:val="24"/>
          <w:szCs w:val="24"/>
          <w:lang w:val="en-AU"/>
        </w:rPr>
        <w:t xml:space="preserve"> Further stakeholder consultations are underway and will continue into the inception period</w:t>
      </w:r>
      <w:r w:rsidR="1F303A36" w:rsidRPr="00E54D0D">
        <w:rPr>
          <w:sz w:val="24"/>
          <w:szCs w:val="24"/>
          <w:lang w:val="en-AU"/>
        </w:rPr>
        <w:t xml:space="preserve"> to inform pipeline planning and development of partnerships.</w:t>
      </w:r>
    </w:p>
    <w:p w14:paraId="112069CF" w14:textId="2465EAA7" w:rsidR="008839EB" w:rsidRPr="00E54D0D" w:rsidRDefault="5F5BB4EE" w:rsidP="00BE1590">
      <w:pPr>
        <w:rPr>
          <w:sz w:val="24"/>
          <w:szCs w:val="24"/>
          <w:lang w:val="en-AU"/>
        </w:rPr>
      </w:pPr>
      <w:r w:rsidRPr="00E54D0D">
        <w:rPr>
          <w:sz w:val="24"/>
          <w:szCs w:val="24"/>
          <w:lang w:val="en-AU"/>
        </w:rPr>
        <w:t>GEDSI</w:t>
      </w:r>
      <w:r w:rsidR="00A02F91" w:rsidRPr="00E54D0D">
        <w:rPr>
          <w:sz w:val="24"/>
          <w:szCs w:val="24"/>
          <w:lang w:val="en-AU"/>
        </w:rPr>
        <w:t xml:space="preserve"> was not a standalone pillar or adequately mainstreamed into much of MAP Phase 1. Rapid start up in the context of the COVID-19 pandemic, and low awareness and capacity on GEDSI among partners contributed to </w:t>
      </w:r>
      <w:r w:rsidR="00A20F5F">
        <w:rPr>
          <w:sz w:val="24"/>
          <w:szCs w:val="24"/>
          <w:lang w:val="en-AU"/>
        </w:rPr>
        <w:t>missed opportunities</w:t>
      </w:r>
      <w:r w:rsidR="00A02F91" w:rsidRPr="00E54D0D">
        <w:rPr>
          <w:sz w:val="24"/>
          <w:szCs w:val="24"/>
          <w:lang w:val="en-AU"/>
        </w:rPr>
        <w:t xml:space="preserve">. That said, well established programs and </w:t>
      </w:r>
      <w:r w:rsidR="008F2098" w:rsidRPr="00E54D0D">
        <w:rPr>
          <w:sz w:val="24"/>
          <w:szCs w:val="24"/>
          <w:lang w:val="en-AU"/>
        </w:rPr>
        <w:t xml:space="preserve">implementing </w:t>
      </w:r>
      <w:r w:rsidR="00A02F91" w:rsidRPr="00E54D0D">
        <w:rPr>
          <w:sz w:val="24"/>
          <w:szCs w:val="24"/>
          <w:lang w:val="en-AU"/>
        </w:rPr>
        <w:t xml:space="preserve">partners did thread gender and inclusion through the project cycle. </w:t>
      </w:r>
      <w:r w:rsidR="00A02F91" w:rsidRPr="00E54D0D">
        <w:rPr>
          <w:b/>
          <w:bCs/>
          <w:sz w:val="24"/>
          <w:szCs w:val="24"/>
          <w:lang w:val="en-AU"/>
        </w:rPr>
        <w:t xml:space="preserve">During design consultations for MAP Phase 2 there was general consensus that a more intentional and effective approach to advancing GEDSI </w:t>
      </w:r>
      <w:r w:rsidR="00EA1A8B" w:rsidRPr="00E54D0D">
        <w:rPr>
          <w:b/>
          <w:bCs/>
          <w:sz w:val="24"/>
          <w:szCs w:val="24"/>
          <w:lang w:val="en-AU"/>
        </w:rPr>
        <w:t xml:space="preserve">was </w:t>
      </w:r>
      <w:r w:rsidR="00A02F91" w:rsidRPr="00E54D0D">
        <w:rPr>
          <w:b/>
          <w:bCs/>
          <w:sz w:val="24"/>
          <w:szCs w:val="24"/>
          <w:lang w:val="en-AU"/>
        </w:rPr>
        <w:t>needed in line with Australia’s International Development Policy</w:t>
      </w:r>
      <w:r w:rsidR="00A02F91" w:rsidRPr="00E54D0D">
        <w:rPr>
          <w:sz w:val="24"/>
          <w:szCs w:val="24"/>
          <w:lang w:val="en-AU"/>
        </w:rPr>
        <w:t>.</w:t>
      </w:r>
      <w:r w:rsidR="008839EB" w:rsidRPr="00E54D0D">
        <w:rPr>
          <w:sz w:val="24"/>
          <w:szCs w:val="24"/>
          <w:lang w:val="en-AU"/>
        </w:rPr>
        <w:t xml:space="preserve"> </w:t>
      </w:r>
    </w:p>
    <w:p w14:paraId="5B1F72EE" w14:textId="77777777" w:rsidR="00FB0C28" w:rsidRPr="001F14E7" w:rsidRDefault="008839EB" w:rsidP="00FB0C28">
      <w:pPr>
        <w:pStyle w:val="Heading2Numbered"/>
        <w:rPr>
          <w:lang w:val="en-AU"/>
        </w:rPr>
      </w:pPr>
      <w:bookmarkStart w:id="40" w:name="_Toc174029027"/>
      <w:r w:rsidRPr="218F81E5">
        <w:rPr>
          <w:lang w:val="en-AU"/>
        </w:rPr>
        <w:t>The M</w:t>
      </w:r>
      <w:r w:rsidR="00A02F91" w:rsidRPr="218F81E5">
        <w:rPr>
          <w:lang w:val="en-AU"/>
        </w:rPr>
        <w:t>ekong</w:t>
      </w:r>
      <w:r w:rsidR="7640B17E" w:rsidRPr="218F81E5">
        <w:rPr>
          <w:lang w:val="en-AU"/>
        </w:rPr>
        <w:t>-</w:t>
      </w:r>
      <w:r w:rsidR="00A02F91" w:rsidRPr="218F81E5">
        <w:rPr>
          <w:lang w:val="en-AU"/>
        </w:rPr>
        <w:t>Australia Partnership for Transnational Crime</w:t>
      </w:r>
      <w:bookmarkEnd w:id="40"/>
      <w:r w:rsidR="00A02F91" w:rsidRPr="218F81E5">
        <w:rPr>
          <w:lang w:val="en-AU"/>
        </w:rPr>
        <w:t xml:space="preserve"> </w:t>
      </w:r>
    </w:p>
    <w:p w14:paraId="1D2CB17F" w14:textId="74E7BC11" w:rsidR="00FB0C28" w:rsidRPr="00E54D0D" w:rsidRDefault="7B773DF3" w:rsidP="4C1C98D1">
      <w:pPr>
        <w:rPr>
          <w:rFonts w:eastAsiaTheme="majorEastAsia" w:cstheme="majorBidi"/>
          <w:sz w:val="24"/>
          <w:szCs w:val="24"/>
          <w:lang w:val="en-AU"/>
        </w:rPr>
      </w:pPr>
      <w:r w:rsidRPr="00E54D0D">
        <w:rPr>
          <w:sz w:val="24"/>
          <w:szCs w:val="24"/>
          <w:lang w:val="en-AU"/>
        </w:rPr>
        <w:t xml:space="preserve">The Mekong-Australia Partnership </w:t>
      </w:r>
      <w:r w:rsidR="696B97C3" w:rsidRPr="00E54D0D">
        <w:rPr>
          <w:sz w:val="24"/>
          <w:szCs w:val="24"/>
          <w:lang w:val="en-AU"/>
        </w:rPr>
        <w:t>f</w:t>
      </w:r>
      <w:r w:rsidRPr="00E54D0D">
        <w:rPr>
          <w:sz w:val="24"/>
          <w:szCs w:val="24"/>
          <w:lang w:val="en-AU"/>
        </w:rPr>
        <w:t xml:space="preserve">or Transnational Crime </w:t>
      </w:r>
      <w:r w:rsidR="4E864009" w:rsidRPr="00E54D0D">
        <w:rPr>
          <w:sz w:val="24"/>
          <w:szCs w:val="24"/>
          <w:lang w:val="en-AU"/>
        </w:rPr>
        <w:t>(MAP-</w:t>
      </w:r>
      <w:r w:rsidR="7FE201AA" w:rsidRPr="00E54D0D">
        <w:rPr>
          <w:sz w:val="24"/>
          <w:szCs w:val="24"/>
          <w:lang w:val="en-AU"/>
        </w:rPr>
        <w:t>TNC</w:t>
      </w:r>
      <w:r w:rsidR="4E864009" w:rsidRPr="00E54D0D">
        <w:rPr>
          <w:sz w:val="24"/>
          <w:szCs w:val="24"/>
          <w:lang w:val="en-AU"/>
        </w:rPr>
        <w:t>)</w:t>
      </w:r>
      <w:r w:rsidR="7FE201AA" w:rsidRPr="00E54D0D">
        <w:rPr>
          <w:sz w:val="24"/>
          <w:szCs w:val="24"/>
          <w:lang w:val="en-AU"/>
        </w:rPr>
        <w:t xml:space="preserve"> </w:t>
      </w:r>
      <w:r w:rsidR="00514976">
        <w:rPr>
          <w:sz w:val="24"/>
          <w:szCs w:val="24"/>
          <w:lang w:val="en-AU"/>
        </w:rPr>
        <w:t>was</w:t>
      </w:r>
      <w:r w:rsidR="00514976" w:rsidRPr="00E54D0D">
        <w:rPr>
          <w:sz w:val="24"/>
          <w:szCs w:val="24"/>
          <w:lang w:val="en-AU"/>
        </w:rPr>
        <w:t xml:space="preserve"> </w:t>
      </w:r>
      <w:r w:rsidR="7FE201AA" w:rsidRPr="00E54D0D">
        <w:rPr>
          <w:sz w:val="24"/>
          <w:szCs w:val="24"/>
          <w:lang w:val="en-AU"/>
        </w:rPr>
        <w:t>a</w:t>
      </w:r>
      <w:r w:rsidR="4E864009" w:rsidRPr="00E54D0D">
        <w:rPr>
          <w:sz w:val="24"/>
          <w:szCs w:val="24"/>
          <w:lang w:val="en-AU"/>
        </w:rPr>
        <w:t xml:space="preserve"> standalone</w:t>
      </w:r>
      <w:r w:rsidR="7FE201AA" w:rsidRPr="00E54D0D">
        <w:rPr>
          <w:sz w:val="24"/>
          <w:szCs w:val="24"/>
          <w:lang w:val="en-AU"/>
        </w:rPr>
        <w:t xml:space="preserve"> $30 million (2021-29) program to leverage Australian </w:t>
      </w:r>
      <w:r w:rsidR="3FA6E610" w:rsidRPr="00E54D0D">
        <w:rPr>
          <w:sz w:val="24"/>
          <w:szCs w:val="24"/>
          <w:lang w:val="en-AU"/>
        </w:rPr>
        <w:t>G</w:t>
      </w:r>
      <w:r w:rsidR="7FE201AA" w:rsidRPr="00E54D0D">
        <w:rPr>
          <w:sz w:val="24"/>
          <w:szCs w:val="24"/>
          <w:lang w:val="en-AU"/>
        </w:rPr>
        <w:t xml:space="preserve">overnment capability to </w:t>
      </w:r>
      <w:r w:rsidR="2ED556F8" w:rsidRPr="00E54D0D">
        <w:rPr>
          <w:sz w:val="24"/>
          <w:szCs w:val="24"/>
          <w:lang w:val="en-AU"/>
        </w:rPr>
        <w:t xml:space="preserve">prevent and </w:t>
      </w:r>
      <w:r w:rsidR="7FE201AA" w:rsidRPr="00E54D0D">
        <w:rPr>
          <w:sz w:val="24"/>
          <w:szCs w:val="24"/>
          <w:lang w:val="en-AU"/>
        </w:rPr>
        <w:t xml:space="preserve">counter transnational crime threats </w:t>
      </w:r>
      <w:r w:rsidR="2ED556F8" w:rsidRPr="00E54D0D">
        <w:rPr>
          <w:sz w:val="24"/>
          <w:szCs w:val="24"/>
          <w:lang w:val="en-AU"/>
        </w:rPr>
        <w:t>(</w:t>
      </w:r>
      <w:r w:rsidR="7FE201AA" w:rsidRPr="00E54D0D">
        <w:rPr>
          <w:sz w:val="24"/>
          <w:szCs w:val="24"/>
          <w:lang w:val="en-AU"/>
        </w:rPr>
        <w:t>such as drug trafficking, child sexual exploitation and financial crimes</w:t>
      </w:r>
      <w:r w:rsidR="2ED556F8" w:rsidRPr="00E54D0D">
        <w:rPr>
          <w:sz w:val="24"/>
          <w:szCs w:val="24"/>
          <w:lang w:val="en-AU"/>
        </w:rPr>
        <w:t>)</w:t>
      </w:r>
      <w:r w:rsidR="7FE201AA" w:rsidRPr="00E54D0D">
        <w:rPr>
          <w:sz w:val="24"/>
          <w:szCs w:val="24"/>
          <w:lang w:val="en-AU"/>
        </w:rPr>
        <w:t xml:space="preserve"> </w:t>
      </w:r>
      <w:r w:rsidR="7FE201AA" w:rsidRPr="00E54D0D">
        <w:rPr>
          <w:sz w:val="24"/>
          <w:szCs w:val="24"/>
          <w:lang w:val="en-AU"/>
        </w:rPr>
        <w:lastRenderedPageBreak/>
        <w:t xml:space="preserve">and strengthen border security in the Mekong subregion. The program has sponsored six Australian Government Agencies and two research partners to deliver </w:t>
      </w:r>
      <w:r w:rsidR="2ED556F8" w:rsidRPr="00E54D0D">
        <w:rPr>
          <w:sz w:val="24"/>
          <w:szCs w:val="24"/>
          <w:lang w:val="en-AU"/>
        </w:rPr>
        <w:t xml:space="preserve">relevant </w:t>
      </w:r>
      <w:r w:rsidR="7FE201AA" w:rsidRPr="00E54D0D">
        <w:rPr>
          <w:sz w:val="24"/>
          <w:szCs w:val="24"/>
          <w:lang w:val="en-AU"/>
        </w:rPr>
        <w:t xml:space="preserve">activities. </w:t>
      </w:r>
    </w:p>
    <w:p w14:paraId="3C93F615" w14:textId="3B4C2FB0" w:rsidR="00FB0C28" w:rsidRPr="00E54D0D" w:rsidRDefault="7FE201AA" w:rsidP="4C1C98D1">
      <w:pPr>
        <w:rPr>
          <w:sz w:val="24"/>
          <w:szCs w:val="24"/>
          <w:lang w:val="en-AU"/>
        </w:rPr>
      </w:pPr>
      <w:r w:rsidRPr="00E54D0D">
        <w:rPr>
          <w:b/>
          <w:bCs/>
          <w:sz w:val="24"/>
          <w:szCs w:val="24"/>
          <w:lang w:val="en-AU"/>
        </w:rPr>
        <w:t xml:space="preserve">A recent Mid Term Review of MAP-TNC found that Australian national interests warrant renewed and expanded efforts to address TNC in the </w:t>
      </w:r>
      <w:r w:rsidR="2ED556F8" w:rsidRPr="00E54D0D">
        <w:rPr>
          <w:b/>
          <w:bCs/>
          <w:sz w:val="24"/>
          <w:szCs w:val="24"/>
          <w:lang w:val="en-AU"/>
        </w:rPr>
        <w:t xml:space="preserve">subregion, and that </w:t>
      </w:r>
      <w:r w:rsidRPr="00E54D0D">
        <w:rPr>
          <w:b/>
          <w:bCs/>
          <w:sz w:val="24"/>
          <w:szCs w:val="24"/>
          <w:lang w:val="en-AU"/>
        </w:rPr>
        <w:t>the program would benefit from being reconfigured</w:t>
      </w:r>
      <w:r w:rsidRPr="00E54D0D">
        <w:rPr>
          <w:sz w:val="24"/>
          <w:szCs w:val="24"/>
          <w:lang w:val="en-AU"/>
        </w:rPr>
        <w:t xml:space="preserve"> </w:t>
      </w:r>
      <w:r w:rsidRPr="00E54D0D">
        <w:rPr>
          <w:b/>
          <w:bCs/>
          <w:sz w:val="24"/>
          <w:szCs w:val="24"/>
          <w:lang w:val="en-AU"/>
        </w:rPr>
        <w:t>to:</w:t>
      </w:r>
      <w:r w:rsidRPr="00E54D0D">
        <w:rPr>
          <w:sz w:val="24"/>
          <w:szCs w:val="24"/>
          <w:lang w:val="en-AU"/>
        </w:rPr>
        <w:t xml:space="preserve"> </w:t>
      </w:r>
    </w:p>
    <w:p w14:paraId="3FDC9C3E" w14:textId="19535D98" w:rsidR="00FB0C28" w:rsidRPr="00E54D0D" w:rsidRDefault="00FE69FA" w:rsidP="4C1C98D1">
      <w:pPr>
        <w:pStyle w:val="ListParagraph"/>
        <w:numPr>
          <w:ilvl w:val="0"/>
          <w:numId w:val="1"/>
        </w:numPr>
        <w:rPr>
          <w:sz w:val="24"/>
          <w:szCs w:val="24"/>
          <w:lang w:val="en-AU"/>
        </w:rPr>
      </w:pPr>
      <w:r w:rsidRPr="00E54D0D">
        <w:rPr>
          <w:sz w:val="24"/>
          <w:szCs w:val="24"/>
          <w:lang w:val="en-AU"/>
        </w:rPr>
        <w:t>f</w:t>
      </w:r>
      <w:r w:rsidR="7FE201AA" w:rsidRPr="00E54D0D">
        <w:rPr>
          <w:sz w:val="24"/>
          <w:szCs w:val="24"/>
          <w:lang w:val="en-AU"/>
        </w:rPr>
        <w:t>acilitate better focus at strategic rather than activity level</w:t>
      </w:r>
    </w:p>
    <w:p w14:paraId="4B1C6F00" w14:textId="0D85C6DB" w:rsidR="00FB0C28" w:rsidRPr="00E54D0D" w:rsidRDefault="00FE69FA" w:rsidP="4C1C98D1">
      <w:pPr>
        <w:pStyle w:val="ListParagraph"/>
        <w:numPr>
          <w:ilvl w:val="0"/>
          <w:numId w:val="1"/>
        </w:numPr>
        <w:rPr>
          <w:sz w:val="24"/>
          <w:szCs w:val="24"/>
          <w:lang w:val="en-AU"/>
        </w:rPr>
      </w:pPr>
      <w:r w:rsidRPr="00E54D0D">
        <w:rPr>
          <w:sz w:val="24"/>
          <w:szCs w:val="24"/>
          <w:lang w:val="en-AU"/>
        </w:rPr>
        <w:t xml:space="preserve">make </w:t>
      </w:r>
      <w:r w:rsidR="7FE201AA" w:rsidRPr="00E54D0D">
        <w:rPr>
          <w:sz w:val="24"/>
          <w:szCs w:val="24"/>
          <w:lang w:val="en-AU"/>
        </w:rPr>
        <w:t xml:space="preserve">better use of expertise dispersed across DFAT, </w:t>
      </w:r>
      <w:r w:rsidR="51014812" w:rsidRPr="00E54D0D">
        <w:rPr>
          <w:sz w:val="24"/>
          <w:szCs w:val="24"/>
          <w:lang w:val="en-AU"/>
        </w:rPr>
        <w:t xml:space="preserve">its </w:t>
      </w:r>
      <w:r w:rsidR="7FE201AA" w:rsidRPr="00E54D0D">
        <w:rPr>
          <w:sz w:val="24"/>
          <w:szCs w:val="24"/>
          <w:lang w:val="en-AU"/>
        </w:rPr>
        <w:t>Program Support Unit, Australian Government Agencies and external partners</w:t>
      </w:r>
    </w:p>
    <w:p w14:paraId="12D94120" w14:textId="574CB4C9" w:rsidR="00FB0C28" w:rsidRPr="00E54D0D" w:rsidRDefault="00FE69FA" w:rsidP="4C1C98D1">
      <w:pPr>
        <w:pStyle w:val="ListParagraph"/>
        <w:numPr>
          <w:ilvl w:val="0"/>
          <w:numId w:val="1"/>
        </w:numPr>
        <w:rPr>
          <w:rFonts w:eastAsiaTheme="majorEastAsia" w:cstheme="majorBidi"/>
          <w:sz w:val="24"/>
          <w:szCs w:val="24"/>
          <w:lang w:val="en-AU"/>
        </w:rPr>
      </w:pPr>
      <w:r w:rsidRPr="00E54D0D">
        <w:rPr>
          <w:sz w:val="24"/>
          <w:szCs w:val="24"/>
          <w:lang w:val="en-AU"/>
        </w:rPr>
        <w:t xml:space="preserve">shift </w:t>
      </w:r>
      <w:r w:rsidR="7FE201AA" w:rsidRPr="00E54D0D">
        <w:rPr>
          <w:sz w:val="24"/>
          <w:szCs w:val="24"/>
          <w:lang w:val="en-AU"/>
        </w:rPr>
        <w:t xml:space="preserve">to larger, multi-year programs of work. </w:t>
      </w:r>
    </w:p>
    <w:p w14:paraId="69A69B39" w14:textId="60032D1B" w:rsidR="00FB0C28" w:rsidRPr="00E54D0D" w:rsidRDefault="0908F187" w:rsidP="4C1C98D1">
      <w:pPr>
        <w:rPr>
          <w:rFonts w:eastAsiaTheme="majorEastAsia" w:cstheme="majorBidi"/>
          <w:sz w:val="24"/>
          <w:szCs w:val="24"/>
          <w:lang w:val="en-AU"/>
        </w:rPr>
      </w:pPr>
      <w:r w:rsidRPr="00E54D0D">
        <w:rPr>
          <w:sz w:val="24"/>
          <w:szCs w:val="24"/>
          <w:lang w:val="en-AU"/>
        </w:rPr>
        <w:t>To maximise strategic coherence and enhance administrative efficiency, MAP</w:t>
      </w:r>
      <w:r w:rsidR="00514976">
        <w:rPr>
          <w:sz w:val="24"/>
          <w:szCs w:val="24"/>
          <w:lang w:val="en-AU"/>
        </w:rPr>
        <w:t>-</w:t>
      </w:r>
      <w:r w:rsidRPr="00E54D0D">
        <w:rPr>
          <w:sz w:val="24"/>
          <w:szCs w:val="24"/>
          <w:lang w:val="en-AU"/>
        </w:rPr>
        <w:t>TNC will be</w:t>
      </w:r>
      <w:r w:rsidR="00FE69FA" w:rsidRPr="00E54D0D">
        <w:rPr>
          <w:sz w:val="24"/>
          <w:szCs w:val="24"/>
          <w:lang w:val="en-AU"/>
        </w:rPr>
        <w:t xml:space="preserve"> fully integrated into</w:t>
      </w:r>
      <w:r w:rsidRPr="00E54D0D">
        <w:rPr>
          <w:sz w:val="24"/>
          <w:szCs w:val="24"/>
          <w:lang w:val="en-AU"/>
        </w:rPr>
        <w:t xml:space="preserve"> the MAP Phase 2 portfolio when the current standalone administrative arrangements come to an end in </w:t>
      </w:r>
      <w:r w:rsidR="00514976">
        <w:rPr>
          <w:sz w:val="24"/>
          <w:szCs w:val="24"/>
          <w:lang w:val="en-AU"/>
        </w:rPr>
        <w:t>2024-25</w:t>
      </w:r>
      <w:r w:rsidRPr="00E54D0D">
        <w:rPr>
          <w:sz w:val="24"/>
          <w:szCs w:val="24"/>
          <w:lang w:val="en-AU"/>
        </w:rPr>
        <w:t>.</w:t>
      </w:r>
    </w:p>
    <w:p w14:paraId="55701467" w14:textId="77777777" w:rsidR="008839EB" w:rsidRPr="001D60C1" w:rsidRDefault="008839EB" w:rsidP="001D60C1">
      <w:pPr>
        <w:pStyle w:val="Heading1Numbered"/>
        <w:rPr>
          <w:lang w:val="en-AU"/>
        </w:rPr>
      </w:pPr>
      <w:bookmarkStart w:id="41" w:name="_Toc162287857"/>
      <w:bookmarkStart w:id="42" w:name="_Toc163539144"/>
      <w:bookmarkStart w:id="43" w:name="_Toc174029028"/>
      <w:r w:rsidRPr="001D60C1">
        <w:rPr>
          <w:lang w:val="en-AU"/>
        </w:rPr>
        <w:t>Strategic Intent and Rationale</w:t>
      </w:r>
      <w:bookmarkEnd w:id="41"/>
      <w:bookmarkEnd w:id="42"/>
      <w:bookmarkEnd w:id="43"/>
    </w:p>
    <w:p w14:paraId="7199BA25" w14:textId="7CD8490C" w:rsidR="00FA4202" w:rsidRPr="001F14E7" w:rsidRDefault="00FA4202" w:rsidP="00FA4202">
      <w:pPr>
        <w:pStyle w:val="Heading2Numbered"/>
        <w:rPr>
          <w:lang w:val="en-AU"/>
        </w:rPr>
      </w:pPr>
      <w:bookmarkStart w:id="44" w:name="_Toc162287858"/>
      <w:bookmarkStart w:id="45" w:name="_Toc163539145"/>
      <w:bookmarkStart w:id="46" w:name="_Toc174029029"/>
      <w:r w:rsidRPr="001F14E7">
        <w:rPr>
          <w:lang w:val="en-AU"/>
        </w:rPr>
        <w:t>Alignment with Australia’s interests</w:t>
      </w:r>
      <w:bookmarkEnd w:id="44"/>
      <w:bookmarkEnd w:id="45"/>
      <w:bookmarkEnd w:id="46"/>
      <w:r w:rsidRPr="001F14E7">
        <w:rPr>
          <w:lang w:val="en-AU"/>
        </w:rPr>
        <w:t xml:space="preserve"> </w:t>
      </w:r>
    </w:p>
    <w:p w14:paraId="782206EE" w14:textId="58922237" w:rsidR="00D433BB" w:rsidRPr="00E54D0D" w:rsidRDefault="7FE201AA" w:rsidP="00BE1590">
      <w:pPr>
        <w:rPr>
          <w:sz w:val="24"/>
          <w:szCs w:val="24"/>
          <w:lang w:val="en-AU"/>
        </w:rPr>
      </w:pPr>
      <w:r w:rsidRPr="00E54D0D">
        <w:rPr>
          <w:sz w:val="24"/>
          <w:szCs w:val="24"/>
          <w:lang w:val="en-AU"/>
        </w:rPr>
        <w:t>Australia is committed to deepening engagement with Southeast Asia, working towards a region where countries</w:t>
      </w:r>
      <w:r w:rsidR="00133893" w:rsidRPr="00E54D0D">
        <w:rPr>
          <w:sz w:val="24"/>
          <w:szCs w:val="24"/>
          <w:lang w:val="en-AU"/>
        </w:rPr>
        <w:t xml:space="preserve"> have agency and shared responsibility and</w:t>
      </w:r>
      <w:r w:rsidRPr="00E54D0D">
        <w:rPr>
          <w:sz w:val="24"/>
          <w:szCs w:val="24"/>
          <w:lang w:val="en-AU"/>
        </w:rPr>
        <w:t xml:space="preserve"> cooperate, trade and thrive. MAP </w:t>
      </w:r>
      <w:r w:rsidR="7E3357C3" w:rsidRPr="00E54D0D">
        <w:rPr>
          <w:sz w:val="24"/>
          <w:szCs w:val="24"/>
          <w:lang w:val="en-AU"/>
        </w:rPr>
        <w:t xml:space="preserve">Phase 2 </w:t>
      </w:r>
      <w:r w:rsidRPr="00E54D0D">
        <w:rPr>
          <w:sz w:val="24"/>
          <w:szCs w:val="24"/>
          <w:lang w:val="en-AU"/>
        </w:rPr>
        <w:t xml:space="preserve">aligns with Australia’s </w:t>
      </w:r>
      <w:r w:rsidRPr="00E54D0D">
        <w:rPr>
          <w:i/>
          <w:iCs/>
          <w:sz w:val="24"/>
          <w:szCs w:val="24"/>
          <w:lang w:val="en-AU"/>
        </w:rPr>
        <w:t>International Development Policy</w:t>
      </w:r>
      <w:r w:rsidRPr="00E54D0D">
        <w:rPr>
          <w:sz w:val="24"/>
          <w:szCs w:val="24"/>
          <w:lang w:val="en-AU"/>
        </w:rPr>
        <w:t xml:space="preserve"> (2023) for a peaceful, stable and prosperous Indo-Pacific, including through commitments to</w:t>
      </w:r>
      <w:r w:rsidR="7E3357C3" w:rsidRPr="00E54D0D">
        <w:rPr>
          <w:sz w:val="24"/>
          <w:szCs w:val="24"/>
          <w:lang w:val="en-AU"/>
        </w:rPr>
        <w:t xml:space="preserve"> enhancing</w:t>
      </w:r>
      <w:r w:rsidRPr="00E54D0D">
        <w:rPr>
          <w:sz w:val="24"/>
          <w:szCs w:val="24"/>
          <w:lang w:val="en-AU"/>
        </w:rPr>
        <w:t xml:space="preserve"> state and community resilience to external pressures and shocks</w:t>
      </w:r>
      <w:r w:rsidR="7E3357C3" w:rsidRPr="00E54D0D">
        <w:rPr>
          <w:sz w:val="24"/>
          <w:szCs w:val="24"/>
          <w:lang w:val="en-AU"/>
        </w:rPr>
        <w:t>,</w:t>
      </w:r>
      <w:r w:rsidRPr="00E54D0D">
        <w:rPr>
          <w:sz w:val="24"/>
          <w:szCs w:val="24"/>
          <w:lang w:val="en-AU"/>
        </w:rPr>
        <w:t xml:space="preserve"> regional architecture and partnerships</w:t>
      </w:r>
      <w:r w:rsidR="7E3357C3" w:rsidRPr="00E54D0D">
        <w:rPr>
          <w:sz w:val="24"/>
          <w:szCs w:val="24"/>
          <w:lang w:val="en-AU"/>
        </w:rPr>
        <w:t>,</w:t>
      </w:r>
      <w:r w:rsidRPr="00E54D0D">
        <w:rPr>
          <w:sz w:val="24"/>
          <w:szCs w:val="24"/>
          <w:lang w:val="en-AU"/>
        </w:rPr>
        <w:t xml:space="preserve"> and cooperation on shared challenges. </w:t>
      </w:r>
    </w:p>
    <w:p w14:paraId="51E13FC7" w14:textId="7C58D2EE" w:rsidR="008839EB" w:rsidRPr="00187A81" w:rsidRDefault="3506CB0A" w:rsidP="00BE1590">
      <w:pPr>
        <w:rPr>
          <w:b/>
          <w:bCs/>
          <w:sz w:val="24"/>
          <w:szCs w:val="24"/>
          <w:lang w:val="en-AU"/>
        </w:rPr>
      </w:pPr>
      <w:r w:rsidRPr="00E54D0D">
        <w:rPr>
          <w:b/>
          <w:bCs/>
          <w:sz w:val="24"/>
          <w:szCs w:val="24"/>
          <w:lang w:val="en-AU"/>
        </w:rPr>
        <w:t xml:space="preserve">This </w:t>
      </w:r>
      <w:r w:rsidR="00EC0DA8">
        <w:rPr>
          <w:b/>
          <w:bCs/>
          <w:sz w:val="24"/>
          <w:szCs w:val="24"/>
          <w:lang w:val="en-AU"/>
        </w:rPr>
        <w:t>portfolio</w:t>
      </w:r>
      <w:r w:rsidR="00EC0DA8" w:rsidRPr="00E54D0D">
        <w:rPr>
          <w:b/>
          <w:bCs/>
          <w:sz w:val="24"/>
          <w:szCs w:val="24"/>
          <w:lang w:val="en-AU"/>
        </w:rPr>
        <w:t xml:space="preserve"> </w:t>
      </w:r>
      <w:r w:rsidRPr="00E54D0D">
        <w:rPr>
          <w:b/>
          <w:bCs/>
          <w:sz w:val="24"/>
          <w:szCs w:val="24"/>
          <w:lang w:val="en-AU"/>
        </w:rPr>
        <w:t>contributes to Australia</w:t>
      </w:r>
      <w:r w:rsidR="09B6F726" w:rsidRPr="00E54D0D">
        <w:rPr>
          <w:b/>
          <w:bCs/>
          <w:sz w:val="24"/>
          <w:szCs w:val="24"/>
          <w:lang w:val="en-AU"/>
        </w:rPr>
        <w:t>’</w:t>
      </w:r>
      <w:r w:rsidRPr="00E54D0D">
        <w:rPr>
          <w:b/>
          <w:bCs/>
          <w:sz w:val="24"/>
          <w:szCs w:val="24"/>
          <w:lang w:val="en-AU"/>
        </w:rPr>
        <w:t>s commitment to work in partnership with our neighbours to achieve a peaceful, stable and prosperous Indo-Pacific</w:t>
      </w:r>
      <w:r w:rsidRPr="00E54D0D">
        <w:rPr>
          <w:sz w:val="24"/>
          <w:szCs w:val="24"/>
          <w:lang w:val="en-AU"/>
        </w:rPr>
        <w:t xml:space="preserve">. </w:t>
      </w:r>
      <w:r w:rsidR="5C9BC680" w:rsidRPr="00E54D0D">
        <w:rPr>
          <w:sz w:val="24"/>
          <w:szCs w:val="24"/>
          <w:lang w:val="en-AU"/>
        </w:rPr>
        <w:t xml:space="preserve">Australia prioritises supporting partners to build effective, accountable states that drive their own development, connect with Australia and regional architecture, and generate collective action on challenges that </w:t>
      </w:r>
      <w:r w:rsidR="53F62D7E" w:rsidRPr="00E54D0D">
        <w:rPr>
          <w:sz w:val="24"/>
          <w:szCs w:val="24"/>
          <w:lang w:val="en-AU"/>
        </w:rPr>
        <w:t xml:space="preserve">affect </w:t>
      </w:r>
      <w:r w:rsidR="1957E08C" w:rsidRPr="00E54D0D">
        <w:rPr>
          <w:sz w:val="24"/>
          <w:szCs w:val="24"/>
          <w:lang w:val="en-AU"/>
        </w:rPr>
        <w:t>the</w:t>
      </w:r>
      <w:r w:rsidR="5C9BC680" w:rsidRPr="00E54D0D">
        <w:rPr>
          <w:sz w:val="24"/>
          <w:szCs w:val="24"/>
          <w:lang w:val="en-AU"/>
        </w:rPr>
        <w:t xml:space="preserve"> region</w:t>
      </w:r>
      <w:r w:rsidRPr="00E54D0D">
        <w:rPr>
          <w:sz w:val="24"/>
          <w:szCs w:val="24"/>
          <w:lang w:val="en-AU"/>
        </w:rPr>
        <w:t>.</w:t>
      </w:r>
      <w:r w:rsidR="00D433BB" w:rsidRPr="00E54D0D">
        <w:rPr>
          <w:rStyle w:val="FootnoteReference"/>
          <w:rFonts w:eastAsia="Times New Roman" w:cs="Times New Roman"/>
          <w:sz w:val="24"/>
          <w:szCs w:val="24"/>
          <w:lang w:val="en-AU"/>
        </w:rPr>
        <w:footnoteReference w:id="20"/>
      </w:r>
      <w:r w:rsidR="5C9BC680" w:rsidRPr="00E54D0D">
        <w:rPr>
          <w:sz w:val="24"/>
          <w:szCs w:val="24"/>
          <w:lang w:val="en-AU"/>
        </w:rPr>
        <w:t xml:space="preserve">  </w:t>
      </w:r>
    </w:p>
    <w:p w14:paraId="494ADD11" w14:textId="01827DF8" w:rsidR="00A96E1A" w:rsidRPr="00E54D0D" w:rsidRDefault="008839EB" w:rsidP="491FEDF7">
      <w:pPr>
        <w:rPr>
          <w:sz w:val="24"/>
          <w:szCs w:val="24"/>
        </w:rPr>
      </w:pPr>
      <w:bookmarkStart w:id="47" w:name="_Hlk173416516"/>
      <w:r w:rsidRPr="00E54D0D">
        <w:rPr>
          <w:sz w:val="24"/>
          <w:szCs w:val="24"/>
        </w:rPr>
        <w:t xml:space="preserve">Mekong subregional cooperation </w:t>
      </w:r>
      <w:r w:rsidR="00A97292" w:rsidRPr="00E54D0D">
        <w:rPr>
          <w:sz w:val="24"/>
          <w:szCs w:val="24"/>
        </w:rPr>
        <w:t>is</w:t>
      </w:r>
      <w:r w:rsidR="00490134" w:rsidRPr="00E54D0D">
        <w:rPr>
          <w:sz w:val="24"/>
          <w:szCs w:val="24"/>
        </w:rPr>
        <w:t xml:space="preserve"> </w:t>
      </w:r>
      <w:r w:rsidRPr="00E54D0D">
        <w:rPr>
          <w:sz w:val="24"/>
          <w:szCs w:val="24"/>
        </w:rPr>
        <w:t xml:space="preserve">a key theme </w:t>
      </w:r>
      <w:r w:rsidR="005124A5" w:rsidRPr="00E54D0D">
        <w:rPr>
          <w:sz w:val="24"/>
          <w:szCs w:val="24"/>
        </w:rPr>
        <w:t>of</w:t>
      </w:r>
      <w:r w:rsidRPr="00E54D0D">
        <w:rPr>
          <w:sz w:val="24"/>
          <w:szCs w:val="24"/>
        </w:rPr>
        <w:t xml:space="preserve"> </w:t>
      </w:r>
      <w:r w:rsidR="005124A5" w:rsidRPr="00E54D0D">
        <w:rPr>
          <w:sz w:val="24"/>
          <w:szCs w:val="24"/>
        </w:rPr>
        <w:t>DFAT’s</w:t>
      </w:r>
      <w:r w:rsidR="00BC0342">
        <w:rPr>
          <w:sz w:val="24"/>
          <w:szCs w:val="24"/>
        </w:rPr>
        <w:t xml:space="preserve"> forthcoming</w:t>
      </w:r>
      <w:r w:rsidRPr="00E54D0D">
        <w:rPr>
          <w:sz w:val="24"/>
          <w:szCs w:val="24"/>
        </w:rPr>
        <w:t xml:space="preserve"> </w:t>
      </w:r>
      <w:r w:rsidRPr="00E54D0D">
        <w:rPr>
          <w:i/>
          <w:iCs/>
          <w:sz w:val="24"/>
          <w:szCs w:val="24"/>
        </w:rPr>
        <w:t>Southeast Asia Regional Development Partnership Plan</w:t>
      </w:r>
      <w:r w:rsidRPr="00E54D0D">
        <w:rPr>
          <w:sz w:val="24"/>
          <w:szCs w:val="24"/>
        </w:rPr>
        <w:t xml:space="preserve"> (DPP) and Mekong subregion analysis and strategy. </w:t>
      </w:r>
      <w:r w:rsidRPr="002962AC">
        <w:rPr>
          <w:sz w:val="24"/>
          <w:szCs w:val="24"/>
        </w:rPr>
        <w:t xml:space="preserve">The Southeast Asia Regional DPP outlines Australia’s strategic interests in the Mekong subregion and rationale for MAP </w:t>
      </w:r>
      <w:r w:rsidR="005124A5" w:rsidRPr="002962AC">
        <w:rPr>
          <w:sz w:val="24"/>
          <w:szCs w:val="24"/>
        </w:rPr>
        <w:t>P</w:t>
      </w:r>
      <w:r w:rsidRPr="002962AC">
        <w:rPr>
          <w:sz w:val="24"/>
          <w:szCs w:val="24"/>
        </w:rPr>
        <w:t>hase 2.</w:t>
      </w:r>
      <w:r w:rsidRPr="00E54D0D">
        <w:rPr>
          <w:sz w:val="24"/>
          <w:szCs w:val="24"/>
        </w:rPr>
        <w:t xml:space="preserve"> </w:t>
      </w:r>
    </w:p>
    <w:bookmarkEnd w:id="47"/>
    <w:p w14:paraId="67D661BC" w14:textId="6186AA12" w:rsidR="008839EB" w:rsidRPr="00E54D0D" w:rsidRDefault="008839EB" w:rsidP="00BE1590">
      <w:pPr>
        <w:rPr>
          <w:sz w:val="24"/>
          <w:szCs w:val="24"/>
          <w:lang w:val="en-AU"/>
        </w:rPr>
      </w:pPr>
      <w:r w:rsidRPr="00E54D0D">
        <w:rPr>
          <w:b/>
          <w:bCs/>
          <w:sz w:val="24"/>
          <w:szCs w:val="24"/>
          <w:lang w:val="en-AU"/>
        </w:rPr>
        <w:t xml:space="preserve">Australia’s interests lie in </w:t>
      </w:r>
      <w:r w:rsidR="57D3EF5F" w:rsidRPr="00E54D0D">
        <w:rPr>
          <w:b/>
          <w:bCs/>
          <w:sz w:val="24"/>
          <w:szCs w:val="24"/>
          <w:lang w:val="en-AU"/>
        </w:rPr>
        <w:t xml:space="preserve">promoting Mekong countries’ cooperation on shared issues to </w:t>
      </w:r>
      <w:r w:rsidR="005124A5" w:rsidRPr="00E54D0D">
        <w:rPr>
          <w:b/>
          <w:bCs/>
          <w:sz w:val="24"/>
          <w:szCs w:val="24"/>
          <w:lang w:val="en-AU"/>
        </w:rPr>
        <w:t>enhanc</w:t>
      </w:r>
      <w:r w:rsidR="3CA29372" w:rsidRPr="00E54D0D">
        <w:rPr>
          <w:b/>
          <w:bCs/>
          <w:sz w:val="24"/>
          <w:szCs w:val="24"/>
          <w:lang w:val="en-AU"/>
        </w:rPr>
        <w:t xml:space="preserve">e </w:t>
      </w:r>
      <w:r w:rsidR="005124A5" w:rsidRPr="00E54D0D">
        <w:rPr>
          <w:b/>
          <w:bCs/>
          <w:sz w:val="24"/>
          <w:szCs w:val="24"/>
          <w:lang w:val="en-AU"/>
        </w:rPr>
        <w:t>the resilience of individual Mekong countries</w:t>
      </w:r>
      <w:r w:rsidR="104D838B" w:rsidRPr="00E54D0D">
        <w:rPr>
          <w:b/>
          <w:bCs/>
          <w:sz w:val="24"/>
          <w:szCs w:val="24"/>
          <w:lang w:val="en-AU"/>
        </w:rPr>
        <w:t xml:space="preserve"> and the subregion as a whole</w:t>
      </w:r>
      <w:r w:rsidR="00721684" w:rsidRPr="00E54D0D">
        <w:rPr>
          <w:b/>
          <w:bCs/>
          <w:sz w:val="24"/>
          <w:szCs w:val="24"/>
          <w:lang w:val="en-AU"/>
        </w:rPr>
        <w:t>.</w:t>
      </w:r>
      <w:r w:rsidRPr="00E54D0D">
        <w:rPr>
          <w:sz w:val="24"/>
          <w:szCs w:val="24"/>
          <w:lang w:val="en-AU"/>
        </w:rPr>
        <w:t xml:space="preserve"> </w:t>
      </w:r>
      <w:r w:rsidR="00D433BB" w:rsidRPr="00E54D0D">
        <w:rPr>
          <w:sz w:val="24"/>
          <w:szCs w:val="24"/>
          <w:lang w:val="en-AU"/>
        </w:rPr>
        <w:t xml:space="preserve">It is important that Australia – and the way in which MAP Phase 2 and other investments operate – </w:t>
      </w:r>
      <w:r w:rsidR="499EC729" w:rsidRPr="00E54D0D">
        <w:rPr>
          <w:sz w:val="24"/>
          <w:szCs w:val="24"/>
          <w:lang w:val="en-AU"/>
        </w:rPr>
        <w:t xml:space="preserve">remains a </w:t>
      </w:r>
      <w:r w:rsidR="00D433BB" w:rsidRPr="00E54D0D">
        <w:rPr>
          <w:sz w:val="24"/>
          <w:szCs w:val="24"/>
          <w:lang w:val="en-AU"/>
        </w:rPr>
        <w:t xml:space="preserve">trusted, and reliable partner that provides high quality offerings, delivers on commitments and </w:t>
      </w:r>
      <w:r w:rsidR="7E5A3BB9" w:rsidRPr="00E54D0D">
        <w:rPr>
          <w:sz w:val="24"/>
          <w:szCs w:val="24"/>
          <w:lang w:val="en-AU"/>
        </w:rPr>
        <w:t>uphold rules and norms</w:t>
      </w:r>
      <w:r w:rsidR="00721684" w:rsidRPr="00E54D0D">
        <w:rPr>
          <w:sz w:val="24"/>
          <w:szCs w:val="24"/>
          <w:lang w:val="en-AU"/>
        </w:rPr>
        <w:t>.</w:t>
      </w:r>
      <w:r w:rsidR="00D433BB" w:rsidRPr="00E54D0D">
        <w:rPr>
          <w:sz w:val="24"/>
          <w:szCs w:val="24"/>
          <w:lang w:val="en-AU"/>
        </w:rPr>
        <w:t xml:space="preserve"> </w:t>
      </w:r>
      <w:r w:rsidR="713EFD13" w:rsidRPr="00E54D0D">
        <w:rPr>
          <w:rFonts w:ascii="Calibri Light" w:eastAsia="Calibri Light" w:hAnsi="Calibri Light" w:cs="Calibri Light"/>
          <w:sz w:val="24"/>
          <w:szCs w:val="24"/>
          <w:lang w:val="en-AU"/>
        </w:rPr>
        <w:t xml:space="preserve">It is in Australia’s interests that the Mekong subregion is </w:t>
      </w:r>
      <w:r w:rsidR="001D60C1" w:rsidRPr="00E54D0D">
        <w:rPr>
          <w:rFonts w:ascii="Calibri Light" w:eastAsia="Calibri Light" w:hAnsi="Calibri Light" w:cs="Calibri Light"/>
          <w:sz w:val="24"/>
          <w:szCs w:val="24"/>
          <w:lang w:val="en-AU"/>
        </w:rPr>
        <w:t>resilient,</w:t>
      </w:r>
      <w:r w:rsidR="713EFD13" w:rsidRPr="00E54D0D">
        <w:rPr>
          <w:rFonts w:ascii="Calibri Light" w:eastAsia="Calibri Light" w:hAnsi="Calibri Light" w:cs="Calibri Light"/>
          <w:sz w:val="24"/>
          <w:szCs w:val="24"/>
          <w:lang w:val="en-AU"/>
        </w:rPr>
        <w:t xml:space="preserve"> and its countries work in solidarity to pursue joint solutions to their shared challenges</w:t>
      </w:r>
      <w:r w:rsidR="00271BB6">
        <w:rPr>
          <w:rFonts w:ascii="Calibri Light" w:eastAsia="Calibri Light" w:hAnsi="Calibri Light" w:cs="Calibri Light"/>
          <w:sz w:val="24"/>
          <w:szCs w:val="24"/>
          <w:lang w:val="en-AU"/>
        </w:rPr>
        <w:t>.</w:t>
      </w:r>
    </w:p>
    <w:p w14:paraId="2BC400F2" w14:textId="77777777" w:rsidR="00721684" w:rsidRPr="001F14E7" w:rsidRDefault="2BF9F30C" w:rsidP="771B71A5">
      <w:pPr>
        <w:pStyle w:val="Heading2Numbered"/>
        <w:rPr>
          <w:sz w:val="32"/>
          <w:szCs w:val="32"/>
          <w:lang w:val="en-AU"/>
        </w:rPr>
      </w:pPr>
      <w:bookmarkStart w:id="48" w:name="_Toc163539146"/>
      <w:bookmarkStart w:id="49" w:name="_Toc174029030"/>
      <w:bookmarkStart w:id="50" w:name="_Toc162287859"/>
      <w:r w:rsidRPr="771B71A5">
        <w:rPr>
          <w:lang w:val="en-AU"/>
        </w:rPr>
        <w:t xml:space="preserve">Australia’s </w:t>
      </w:r>
      <w:r w:rsidR="5C757635" w:rsidRPr="771B71A5">
        <w:rPr>
          <w:lang w:val="en-AU"/>
        </w:rPr>
        <w:t xml:space="preserve">value </w:t>
      </w:r>
      <w:bookmarkStart w:id="51" w:name="_Int_GTX5eYia"/>
      <w:r w:rsidR="5C757635" w:rsidRPr="771B71A5">
        <w:rPr>
          <w:lang w:val="en-AU"/>
        </w:rPr>
        <w:t>add</w:t>
      </w:r>
      <w:bookmarkEnd w:id="48"/>
      <w:bookmarkEnd w:id="51"/>
      <w:bookmarkEnd w:id="49"/>
    </w:p>
    <w:bookmarkEnd w:id="50"/>
    <w:p w14:paraId="125B74E2" w14:textId="3BDEC860" w:rsidR="005D01A3" w:rsidRPr="00E54D0D" w:rsidRDefault="5D85CA5C" w:rsidP="00BE1590">
      <w:pPr>
        <w:rPr>
          <w:sz w:val="24"/>
          <w:szCs w:val="24"/>
          <w:lang w:val="en-AU"/>
        </w:rPr>
      </w:pPr>
      <w:r w:rsidRPr="00E54D0D">
        <w:rPr>
          <w:sz w:val="24"/>
          <w:szCs w:val="24"/>
          <w:lang w:val="en-AU"/>
        </w:rPr>
        <w:t xml:space="preserve">Australia has a long history of </w:t>
      </w:r>
      <w:r w:rsidR="336BA19C" w:rsidRPr="00E54D0D">
        <w:rPr>
          <w:sz w:val="24"/>
          <w:szCs w:val="24"/>
          <w:lang w:val="en-AU"/>
        </w:rPr>
        <w:t>working together</w:t>
      </w:r>
      <w:r w:rsidRPr="00E54D0D">
        <w:rPr>
          <w:sz w:val="24"/>
          <w:szCs w:val="24"/>
          <w:lang w:val="en-AU"/>
        </w:rPr>
        <w:t xml:space="preserve"> with the Mekong subregion</w:t>
      </w:r>
      <w:r w:rsidR="0F63CAFB" w:rsidRPr="00E54D0D">
        <w:rPr>
          <w:sz w:val="24"/>
          <w:szCs w:val="24"/>
          <w:lang w:val="en-AU"/>
        </w:rPr>
        <w:t xml:space="preserve">, both bilaterally and </w:t>
      </w:r>
      <w:r w:rsidR="37E923C3" w:rsidRPr="00E54D0D">
        <w:rPr>
          <w:sz w:val="24"/>
          <w:szCs w:val="24"/>
          <w:lang w:val="en-AU"/>
        </w:rPr>
        <w:t>sub regionally</w:t>
      </w:r>
      <w:r w:rsidR="0F63CAFB" w:rsidRPr="00E54D0D">
        <w:rPr>
          <w:sz w:val="24"/>
          <w:szCs w:val="24"/>
          <w:lang w:val="en-AU"/>
        </w:rPr>
        <w:t>,</w:t>
      </w:r>
      <w:r w:rsidRPr="00E54D0D">
        <w:rPr>
          <w:sz w:val="24"/>
          <w:szCs w:val="24"/>
          <w:lang w:val="en-AU"/>
        </w:rPr>
        <w:t xml:space="preserve"> and is recognised as a pragmatic</w:t>
      </w:r>
      <w:r w:rsidR="336BA19C" w:rsidRPr="00E54D0D">
        <w:rPr>
          <w:sz w:val="24"/>
          <w:szCs w:val="24"/>
          <w:lang w:val="en-AU"/>
        </w:rPr>
        <w:t xml:space="preserve"> and responsive</w:t>
      </w:r>
      <w:r w:rsidRPr="00E54D0D">
        <w:rPr>
          <w:sz w:val="24"/>
          <w:szCs w:val="24"/>
          <w:lang w:val="en-AU"/>
        </w:rPr>
        <w:t xml:space="preserve"> partner. </w:t>
      </w:r>
      <w:r w:rsidR="3850D967" w:rsidRPr="00E54D0D">
        <w:rPr>
          <w:sz w:val="24"/>
          <w:szCs w:val="24"/>
          <w:lang w:val="en-AU"/>
        </w:rPr>
        <w:t xml:space="preserve">The thematic priorities of MAP Phase 2 reflect areas where Australia has demonstrated value add and comparative advantage </w:t>
      </w:r>
      <w:r w:rsidR="336BA19C" w:rsidRPr="00E54D0D">
        <w:rPr>
          <w:sz w:val="24"/>
          <w:szCs w:val="24"/>
          <w:lang w:val="en-AU"/>
        </w:rPr>
        <w:t>as a development partner.</w:t>
      </w:r>
      <w:r w:rsidR="007F5D9A" w:rsidRPr="00E54D0D">
        <w:rPr>
          <w:sz w:val="24"/>
          <w:szCs w:val="24"/>
          <w:lang w:val="en-AU"/>
        </w:rPr>
        <w:t xml:space="preserve"> MAP thematic strategies will </w:t>
      </w:r>
      <w:r w:rsidR="00A12FA3" w:rsidRPr="00E54D0D">
        <w:rPr>
          <w:sz w:val="24"/>
          <w:szCs w:val="24"/>
          <w:lang w:val="en-AU"/>
        </w:rPr>
        <w:t xml:space="preserve">further identify where Australia can </w:t>
      </w:r>
      <w:r w:rsidR="00F62B06" w:rsidRPr="00E54D0D">
        <w:rPr>
          <w:sz w:val="24"/>
          <w:szCs w:val="24"/>
          <w:lang w:val="en-AU"/>
        </w:rPr>
        <w:t>play a key role across each of MAP’s key themes.</w:t>
      </w:r>
    </w:p>
    <w:p w14:paraId="756D37E2" w14:textId="726B60F4" w:rsidR="00355CFB" w:rsidRPr="00E54D0D" w:rsidRDefault="7FE201AA" w:rsidP="00BE1590">
      <w:pPr>
        <w:rPr>
          <w:sz w:val="24"/>
          <w:szCs w:val="24"/>
          <w:lang w:val="en-AU"/>
        </w:rPr>
      </w:pPr>
      <w:r w:rsidRPr="00E54D0D">
        <w:rPr>
          <w:sz w:val="24"/>
          <w:szCs w:val="24"/>
          <w:lang w:val="en-AU"/>
        </w:rPr>
        <w:lastRenderedPageBreak/>
        <w:t>Australia recognises the risks that climate change pose to the stability of national economies</w:t>
      </w:r>
      <w:r w:rsidR="575174CC" w:rsidRPr="00E54D0D">
        <w:rPr>
          <w:sz w:val="24"/>
          <w:szCs w:val="24"/>
          <w:lang w:val="en-AU"/>
        </w:rPr>
        <w:t xml:space="preserve"> and </w:t>
      </w:r>
      <w:r w:rsidR="5FD264FD" w:rsidRPr="00E54D0D">
        <w:rPr>
          <w:sz w:val="24"/>
          <w:szCs w:val="24"/>
          <w:lang w:val="en-AU"/>
        </w:rPr>
        <w:t>populations and</w:t>
      </w:r>
      <w:r w:rsidRPr="00E54D0D">
        <w:rPr>
          <w:sz w:val="24"/>
          <w:szCs w:val="24"/>
          <w:lang w:val="en-AU"/>
        </w:rPr>
        <w:t xml:space="preserve"> sees </w:t>
      </w:r>
      <w:r w:rsidRPr="00E54D0D">
        <w:rPr>
          <w:b/>
          <w:bCs/>
          <w:sz w:val="24"/>
          <w:szCs w:val="24"/>
          <w:lang w:val="en-AU"/>
        </w:rPr>
        <w:t xml:space="preserve">climate action as essential for meaningful engagement on broader regional and global human development, economic </w:t>
      </w:r>
      <w:r w:rsidR="7EBDE0E1" w:rsidRPr="00E54D0D">
        <w:rPr>
          <w:b/>
          <w:bCs/>
          <w:sz w:val="24"/>
          <w:szCs w:val="24"/>
          <w:lang w:val="en-AU"/>
        </w:rPr>
        <w:t>development</w:t>
      </w:r>
      <w:r w:rsidRPr="00E54D0D">
        <w:rPr>
          <w:b/>
          <w:bCs/>
          <w:sz w:val="24"/>
          <w:szCs w:val="24"/>
          <w:lang w:val="en-AU"/>
        </w:rPr>
        <w:t xml:space="preserve"> and trade</w:t>
      </w:r>
      <w:r w:rsidRPr="00E54D0D">
        <w:rPr>
          <w:sz w:val="24"/>
          <w:szCs w:val="24"/>
          <w:lang w:val="en-AU"/>
        </w:rPr>
        <w:t>.</w:t>
      </w:r>
      <w:r w:rsidR="008839EB" w:rsidRPr="00E54D0D">
        <w:rPr>
          <w:rStyle w:val="FootnoteReference"/>
          <w:rFonts w:eastAsia="Times New Roman" w:cs="Times New Roman"/>
          <w:sz w:val="24"/>
          <w:szCs w:val="24"/>
          <w:lang w:val="en-AU"/>
        </w:rPr>
        <w:footnoteReference w:id="21"/>
      </w:r>
      <w:r w:rsidRPr="00E54D0D">
        <w:rPr>
          <w:sz w:val="24"/>
          <w:szCs w:val="24"/>
          <w:lang w:val="en-AU"/>
        </w:rPr>
        <w:t xml:space="preserve"> Australia’s </w:t>
      </w:r>
      <w:r w:rsidRPr="00E54D0D">
        <w:rPr>
          <w:i/>
          <w:iCs/>
          <w:sz w:val="24"/>
          <w:szCs w:val="24"/>
          <w:lang w:val="en-AU"/>
        </w:rPr>
        <w:t>International Development Policy</w:t>
      </w:r>
      <w:r w:rsidRPr="00E54D0D">
        <w:rPr>
          <w:sz w:val="24"/>
          <w:szCs w:val="24"/>
          <w:lang w:val="en-AU"/>
        </w:rPr>
        <w:t xml:space="preserve"> highlights climate change as a core focus across economic and social sectors. It underscores Australia’s commitment to support countries in its region to </w:t>
      </w:r>
      <w:r w:rsidR="239E0269" w:rsidRPr="00E54D0D">
        <w:rPr>
          <w:sz w:val="24"/>
          <w:szCs w:val="24"/>
          <w:lang w:val="en-AU"/>
        </w:rPr>
        <w:t xml:space="preserve">work towards </w:t>
      </w:r>
      <w:r w:rsidRPr="00E54D0D">
        <w:rPr>
          <w:sz w:val="24"/>
          <w:szCs w:val="24"/>
          <w:lang w:val="en-AU"/>
        </w:rPr>
        <w:t xml:space="preserve">their climate change targets, implement adaptation policies and transition to low-carbon growth, including through mainstreaming of climate considerations throughout the Australian development program.  These measures are a shared priority for Australia and Mekong partner countries. </w:t>
      </w:r>
    </w:p>
    <w:p w14:paraId="0FAF6F47" w14:textId="7944BDBE" w:rsidR="7E616314" w:rsidRPr="00E54D0D" w:rsidRDefault="1250AD3D" w:rsidP="00BE1590">
      <w:pPr>
        <w:rPr>
          <w:sz w:val="24"/>
          <w:szCs w:val="24"/>
          <w:lang w:val="en-AU"/>
        </w:rPr>
      </w:pPr>
      <w:r w:rsidRPr="00E54D0D">
        <w:rPr>
          <w:sz w:val="24"/>
          <w:szCs w:val="24"/>
          <w:lang w:val="en-AU"/>
        </w:rPr>
        <w:t xml:space="preserve">In 2023, Australia strengthened its previous climate finance commitment of $2 billion and is now expected to deliver $3 billion towards the global goal on climate finance over 2020 to 2025. </w:t>
      </w:r>
      <w:r w:rsidR="001937AF">
        <w:rPr>
          <w:sz w:val="24"/>
          <w:szCs w:val="24"/>
          <w:lang w:val="en-AU"/>
        </w:rPr>
        <w:t>MAP will b</w:t>
      </w:r>
      <w:r w:rsidR="009D2B54">
        <w:rPr>
          <w:sz w:val="24"/>
          <w:szCs w:val="24"/>
          <w:lang w:val="en-AU"/>
        </w:rPr>
        <w:t>e a significant contributor to this commitment.</w:t>
      </w:r>
      <w:r w:rsidR="0FB56018" w:rsidRPr="00E54D0D">
        <w:rPr>
          <w:sz w:val="24"/>
          <w:szCs w:val="24"/>
          <w:lang w:val="en-AU"/>
        </w:rPr>
        <w:t xml:space="preserve"> </w:t>
      </w:r>
    </w:p>
    <w:p w14:paraId="0D7B3C95" w14:textId="39013A03" w:rsidR="005A0314" w:rsidRPr="00E54D0D" w:rsidRDefault="602DC6DF" w:rsidP="00BE1590">
      <w:pPr>
        <w:rPr>
          <w:sz w:val="24"/>
          <w:szCs w:val="24"/>
          <w:lang w:val="en-AU"/>
        </w:rPr>
      </w:pPr>
      <w:r w:rsidRPr="00E54D0D">
        <w:rPr>
          <w:sz w:val="24"/>
          <w:szCs w:val="24"/>
          <w:lang w:val="en-AU"/>
        </w:rPr>
        <w:t xml:space="preserve">Australia’s </w:t>
      </w:r>
      <w:r w:rsidRPr="00E54D0D">
        <w:rPr>
          <w:i/>
          <w:iCs/>
          <w:sz w:val="24"/>
          <w:szCs w:val="24"/>
          <w:lang w:val="en-AU"/>
        </w:rPr>
        <w:t>International Development Policy</w:t>
      </w:r>
      <w:r w:rsidR="67AEBDF2" w:rsidRPr="00E54D0D">
        <w:rPr>
          <w:sz w:val="24"/>
          <w:szCs w:val="24"/>
          <w:lang w:val="en-AU"/>
        </w:rPr>
        <w:t xml:space="preserve"> also recognises that climate change is often manifesting itself by increasing water insecurity. The 2023 COP28 Global Stocktake recognises the critical role of protecting, conserving and restoring water systems and water-related ecosystems in delivering climate adaptation benefits. </w:t>
      </w:r>
      <w:r w:rsidR="4E864009" w:rsidRPr="00E54D0D">
        <w:rPr>
          <w:sz w:val="24"/>
          <w:szCs w:val="24"/>
          <w:lang w:val="en-AU"/>
        </w:rPr>
        <w:t xml:space="preserve">Australia has been active across the subregion in the water sector for </w:t>
      </w:r>
      <w:r w:rsidR="7EBDE0E1" w:rsidRPr="00E54D0D">
        <w:rPr>
          <w:sz w:val="24"/>
          <w:szCs w:val="24"/>
          <w:lang w:val="en-AU"/>
        </w:rPr>
        <w:t>many</w:t>
      </w:r>
      <w:r w:rsidR="4E864009" w:rsidRPr="00E54D0D">
        <w:rPr>
          <w:sz w:val="24"/>
          <w:szCs w:val="24"/>
          <w:lang w:val="en-AU"/>
        </w:rPr>
        <w:t xml:space="preserve"> years through the former Greater Mekong Water Resources Program, including support to the MRC since its establishment in 1995. </w:t>
      </w:r>
      <w:r w:rsidR="28788B56" w:rsidRPr="00E54D0D">
        <w:rPr>
          <w:b/>
          <w:bCs/>
          <w:sz w:val="24"/>
          <w:szCs w:val="24"/>
          <w:lang w:val="en-AU"/>
        </w:rPr>
        <w:t>MAP Phase 2 builds on Australia’s longstanding experience supporting improved water governance in the region and the relationships, expertise and knowledge it has developed</w:t>
      </w:r>
      <w:r w:rsidR="28788B56" w:rsidRPr="00E54D0D">
        <w:rPr>
          <w:sz w:val="24"/>
          <w:szCs w:val="24"/>
          <w:lang w:val="en-AU"/>
        </w:rPr>
        <w:t xml:space="preserve">. </w:t>
      </w:r>
      <w:r w:rsidR="118DD605" w:rsidRPr="00E54D0D">
        <w:rPr>
          <w:sz w:val="24"/>
          <w:szCs w:val="24"/>
          <w:lang w:val="en-AU"/>
        </w:rPr>
        <w:t>Australia has much to offer in addressing water governance and management through our many well established, technically credible federal, state and territory agencies, and private sector partners that are leveraged in the subregion</w:t>
      </w:r>
      <w:r w:rsidR="009D2B54">
        <w:rPr>
          <w:sz w:val="24"/>
          <w:szCs w:val="24"/>
          <w:lang w:val="en-AU"/>
        </w:rPr>
        <w:t xml:space="preserve"> including</w:t>
      </w:r>
      <w:r w:rsidR="118DD605" w:rsidRPr="00E54D0D">
        <w:rPr>
          <w:sz w:val="24"/>
          <w:szCs w:val="24"/>
          <w:lang w:val="en-AU"/>
        </w:rPr>
        <w:t xml:space="preserve"> via the Australian Water Partnership. </w:t>
      </w:r>
      <w:r w:rsidR="582C81CE" w:rsidRPr="00E54D0D">
        <w:rPr>
          <w:sz w:val="24"/>
          <w:szCs w:val="24"/>
          <w:lang w:val="en-AU"/>
        </w:rPr>
        <w:t xml:space="preserve">As the driest continent in the world, Australia has world leading water management practises and expertise in water security.  </w:t>
      </w:r>
      <w:r w:rsidR="4E864009" w:rsidRPr="00E54D0D">
        <w:rPr>
          <w:sz w:val="24"/>
          <w:szCs w:val="24"/>
          <w:lang w:val="en-AU"/>
        </w:rPr>
        <w:t>Australia’s support to the MRC, ACMECS and the Mekong Institute is central to our commitment to back</w:t>
      </w:r>
      <w:r w:rsidR="4E864009" w:rsidRPr="00E54D0D">
        <w:rPr>
          <w:b/>
          <w:bCs/>
          <w:sz w:val="24"/>
          <w:szCs w:val="24"/>
          <w:lang w:val="en-AU"/>
        </w:rPr>
        <w:t xml:space="preserve"> </w:t>
      </w:r>
      <w:r w:rsidR="4E864009" w:rsidRPr="00E54D0D">
        <w:rPr>
          <w:sz w:val="24"/>
          <w:szCs w:val="24"/>
          <w:lang w:val="en-AU"/>
        </w:rPr>
        <w:t>locally led Mekong subregion institutions that amplify local voices and priorities and drive change</w:t>
      </w:r>
      <w:r w:rsidR="71CF6C80" w:rsidRPr="00E54D0D">
        <w:rPr>
          <w:sz w:val="24"/>
          <w:szCs w:val="24"/>
          <w:lang w:val="en-AU"/>
        </w:rPr>
        <w:t xml:space="preserve"> in water governance and management</w:t>
      </w:r>
      <w:r w:rsidR="4E864009" w:rsidRPr="00E54D0D">
        <w:rPr>
          <w:sz w:val="24"/>
          <w:szCs w:val="24"/>
          <w:lang w:val="en-AU"/>
        </w:rPr>
        <w:t xml:space="preserve">. </w:t>
      </w:r>
    </w:p>
    <w:p w14:paraId="3E76DF06" w14:textId="347FDBE4" w:rsidR="00153977" w:rsidRPr="00E54D0D" w:rsidRDefault="5449A2C7" w:rsidP="00BE1590">
      <w:pPr>
        <w:rPr>
          <w:sz w:val="24"/>
          <w:szCs w:val="24"/>
          <w:lang w:val="en-AU"/>
        </w:rPr>
      </w:pPr>
      <w:r w:rsidRPr="00E54D0D">
        <w:rPr>
          <w:sz w:val="24"/>
          <w:szCs w:val="24"/>
          <w:lang w:val="en-AU"/>
        </w:rPr>
        <w:t xml:space="preserve">MAP </w:t>
      </w:r>
      <w:r w:rsidR="118DD605" w:rsidRPr="00E54D0D">
        <w:rPr>
          <w:sz w:val="24"/>
          <w:szCs w:val="24"/>
          <w:lang w:val="en-AU"/>
        </w:rPr>
        <w:t>P</w:t>
      </w:r>
      <w:r w:rsidRPr="00E54D0D">
        <w:rPr>
          <w:sz w:val="24"/>
          <w:szCs w:val="24"/>
          <w:lang w:val="en-AU"/>
        </w:rPr>
        <w:t xml:space="preserve">hase 2 aligns with </w:t>
      </w:r>
      <w:r w:rsidRPr="00E54D0D">
        <w:rPr>
          <w:i/>
          <w:iCs/>
          <w:sz w:val="24"/>
          <w:szCs w:val="24"/>
          <w:lang w:val="en-AU"/>
        </w:rPr>
        <w:t>Invested: Australia’s Southeast Asia Economic Strategy to 2040</w:t>
      </w:r>
      <w:r w:rsidRPr="00E54D0D">
        <w:rPr>
          <w:sz w:val="24"/>
          <w:szCs w:val="24"/>
          <w:lang w:val="en-AU"/>
        </w:rPr>
        <w:t xml:space="preserve"> which highlights the centrality of the region for Australia’s economic destiny and for shared prosperity.</w:t>
      </w:r>
      <w:r w:rsidR="00153977" w:rsidRPr="00E54D0D">
        <w:rPr>
          <w:rStyle w:val="FootnoteReference"/>
          <w:rFonts w:eastAsia="Times New Roman" w:cs="Times New Roman"/>
          <w:sz w:val="24"/>
          <w:szCs w:val="24"/>
          <w:lang w:val="en-AU"/>
        </w:rPr>
        <w:footnoteReference w:id="22"/>
      </w:r>
      <w:r w:rsidRPr="00E54D0D">
        <w:rPr>
          <w:sz w:val="24"/>
          <w:szCs w:val="24"/>
          <w:lang w:val="en-AU"/>
        </w:rPr>
        <w:t xml:space="preserve"> </w:t>
      </w:r>
      <w:r w:rsidRPr="00E54D0D">
        <w:rPr>
          <w:b/>
          <w:bCs/>
          <w:sz w:val="24"/>
          <w:szCs w:val="24"/>
          <w:lang w:val="en-AU"/>
        </w:rPr>
        <w:t xml:space="preserve">It is in Australia’s interests that countries of the region are </w:t>
      </w:r>
      <w:r w:rsidR="1957E08C" w:rsidRPr="00E54D0D">
        <w:rPr>
          <w:b/>
          <w:bCs/>
          <w:sz w:val="24"/>
          <w:szCs w:val="24"/>
          <w:lang w:val="en-AU"/>
        </w:rPr>
        <w:t>interconnected,</w:t>
      </w:r>
      <w:r w:rsidRPr="00E54D0D">
        <w:rPr>
          <w:b/>
          <w:bCs/>
          <w:sz w:val="24"/>
          <w:szCs w:val="24"/>
          <w:lang w:val="en-AU"/>
        </w:rPr>
        <w:t xml:space="preserve"> and that competition is managed responsibly and transparently </w:t>
      </w:r>
      <w:r w:rsidRPr="00E54D0D">
        <w:rPr>
          <w:sz w:val="24"/>
          <w:szCs w:val="24"/>
          <w:lang w:val="en-AU"/>
        </w:rPr>
        <w:t>so that th</w:t>
      </w:r>
      <w:r w:rsidRPr="00E54D0D">
        <w:rPr>
          <w:rFonts w:eastAsiaTheme="minorEastAsia"/>
          <w:sz w:val="24"/>
          <w:szCs w:val="24"/>
          <w:lang w:val="en-AU"/>
        </w:rPr>
        <w:t xml:space="preserve">e region can continue to prosper as a centre of economic growth and innovation. </w:t>
      </w:r>
      <w:r w:rsidR="582C81CE" w:rsidRPr="00E54D0D">
        <w:rPr>
          <w:sz w:val="24"/>
          <w:szCs w:val="24"/>
          <w:lang w:val="en-AU"/>
        </w:rPr>
        <w:t xml:space="preserve">As a leading </w:t>
      </w:r>
      <w:r w:rsidR="603F46D9" w:rsidRPr="00E54D0D">
        <w:rPr>
          <w:sz w:val="24"/>
          <w:szCs w:val="24"/>
          <w:lang w:val="en-AU"/>
        </w:rPr>
        <w:t>export-oriented</w:t>
      </w:r>
      <w:r w:rsidR="582C81CE" w:rsidRPr="00E54D0D">
        <w:rPr>
          <w:sz w:val="24"/>
          <w:szCs w:val="24"/>
          <w:lang w:val="en-AU"/>
        </w:rPr>
        <w:t xml:space="preserve"> economy highly integrated </w:t>
      </w:r>
      <w:r w:rsidR="2D67795E" w:rsidRPr="00E54D0D">
        <w:rPr>
          <w:sz w:val="24"/>
          <w:szCs w:val="24"/>
          <w:lang w:val="en-AU"/>
        </w:rPr>
        <w:t>globally</w:t>
      </w:r>
      <w:r w:rsidR="582C81CE" w:rsidRPr="00E54D0D">
        <w:rPr>
          <w:sz w:val="24"/>
          <w:szCs w:val="24"/>
          <w:lang w:val="en-AU"/>
        </w:rPr>
        <w:t xml:space="preserve">, </w:t>
      </w:r>
      <w:r w:rsidR="118DD605" w:rsidRPr="00E54D0D">
        <w:rPr>
          <w:sz w:val="24"/>
          <w:szCs w:val="24"/>
          <w:lang w:val="en-AU"/>
        </w:rPr>
        <w:t>Australia has much to offer via our technically credible and sought after technical department</w:t>
      </w:r>
      <w:r w:rsidR="5C1885A2" w:rsidRPr="00E54D0D">
        <w:rPr>
          <w:sz w:val="24"/>
          <w:szCs w:val="24"/>
          <w:lang w:val="en-AU"/>
        </w:rPr>
        <w:t>s</w:t>
      </w:r>
      <w:r w:rsidR="118DD605" w:rsidRPr="00E54D0D">
        <w:rPr>
          <w:sz w:val="24"/>
          <w:szCs w:val="24"/>
          <w:lang w:val="en-AU"/>
        </w:rPr>
        <w:t xml:space="preserve"> and agencies</w:t>
      </w:r>
      <w:r w:rsidR="582C81CE" w:rsidRPr="00E54D0D">
        <w:rPr>
          <w:sz w:val="24"/>
          <w:szCs w:val="24"/>
          <w:lang w:val="en-AU"/>
        </w:rPr>
        <w:t xml:space="preserve">. Where possible, </w:t>
      </w:r>
      <w:r w:rsidR="118DD605" w:rsidRPr="00E54D0D">
        <w:rPr>
          <w:sz w:val="24"/>
          <w:szCs w:val="24"/>
          <w:lang w:val="en-AU"/>
        </w:rPr>
        <w:t xml:space="preserve">MAP Phase 2 </w:t>
      </w:r>
      <w:r w:rsidR="71CF6C80" w:rsidRPr="00E54D0D">
        <w:rPr>
          <w:sz w:val="24"/>
          <w:szCs w:val="24"/>
          <w:lang w:val="en-AU"/>
        </w:rPr>
        <w:t xml:space="preserve">will </w:t>
      </w:r>
      <w:r w:rsidR="118DD605" w:rsidRPr="00E54D0D">
        <w:rPr>
          <w:sz w:val="24"/>
          <w:szCs w:val="24"/>
          <w:lang w:val="en-AU"/>
        </w:rPr>
        <w:t xml:space="preserve">utilise these and </w:t>
      </w:r>
      <w:r w:rsidR="71CF6C80" w:rsidRPr="00E54D0D">
        <w:rPr>
          <w:sz w:val="24"/>
          <w:szCs w:val="24"/>
          <w:lang w:val="en-AU"/>
        </w:rPr>
        <w:t>build on partnerships with others to continue to support improved public financial management, productive foreign investment, and inclusive growth</w:t>
      </w:r>
      <w:r w:rsidR="00A7299D" w:rsidRPr="00E54D0D">
        <w:rPr>
          <w:sz w:val="24"/>
          <w:szCs w:val="24"/>
          <w:lang w:val="en-AU"/>
        </w:rPr>
        <w:t xml:space="preserve">, </w:t>
      </w:r>
      <w:r w:rsidR="00C87A4B">
        <w:rPr>
          <w:sz w:val="24"/>
          <w:szCs w:val="24"/>
          <w:lang w:val="en-AU"/>
        </w:rPr>
        <w:t xml:space="preserve">in </w:t>
      </w:r>
      <w:r w:rsidR="00A7299D" w:rsidRPr="00E54D0D">
        <w:rPr>
          <w:sz w:val="24"/>
          <w:szCs w:val="24"/>
          <w:lang w:val="en-AU"/>
        </w:rPr>
        <w:t>particular in lower-income Mekong economies</w:t>
      </w:r>
      <w:r w:rsidR="71CF6C80" w:rsidRPr="00E54D0D">
        <w:rPr>
          <w:sz w:val="24"/>
          <w:szCs w:val="24"/>
          <w:lang w:val="en-AU"/>
        </w:rPr>
        <w:t>. Australia has much to offer in addressing barriers to women’s labour force participation and broader economic inclusion for enhanced productivity</w:t>
      </w:r>
      <w:r w:rsidR="582C81CE" w:rsidRPr="00E54D0D">
        <w:rPr>
          <w:sz w:val="24"/>
          <w:szCs w:val="24"/>
          <w:lang w:val="en-AU"/>
        </w:rPr>
        <w:t xml:space="preserve">, </w:t>
      </w:r>
      <w:r w:rsidR="71CF6C80" w:rsidRPr="00E54D0D">
        <w:rPr>
          <w:sz w:val="24"/>
          <w:szCs w:val="24"/>
          <w:lang w:val="en-AU"/>
        </w:rPr>
        <w:t>economic resilience</w:t>
      </w:r>
      <w:r w:rsidR="582C81CE" w:rsidRPr="00E54D0D">
        <w:rPr>
          <w:sz w:val="24"/>
          <w:szCs w:val="24"/>
          <w:lang w:val="en-AU"/>
        </w:rPr>
        <w:t xml:space="preserve"> and integration</w:t>
      </w:r>
      <w:r w:rsidR="71CF6C80" w:rsidRPr="00E54D0D">
        <w:rPr>
          <w:sz w:val="24"/>
          <w:szCs w:val="24"/>
          <w:lang w:val="en-AU"/>
        </w:rPr>
        <w:t xml:space="preserve">. </w:t>
      </w:r>
    </w:p>
    <w:p w14:paraId="2532953A" w14:textId="77777777" w:rsidR="00395A00" w:rsidRPr="00E54D0D" w:rsidRDefault="00C24DF2" w:rsidP="00BE1590">
      <w:pPr>
        <w:rPr>
          <w:sz w:val="24"/>
          <w:szCs w:val="24"/>
          <w:lang w:val="en-AU"/>
        </w:rPr>
      </w:pPr>
      <w:r w:rsidRPr="00E54D0D">
        <w:rPr>
          <w:b/>
          <w:bCs/>
          <w:sz w:val="24"/>
          <w:szCs w:val="24"/>
          <w:lang w:val="en-AU"/>
        </w:rPr>
        <w:t>Escalating transnational crime is seriously undermining development in the Mekong subregion, spilling over into Australia and damaging a wide range of Australian interests</w:t>
      </w:r>
      <w:r w:rsidRPr="00E54D0D">
        <w:rPr>
          <w:sz w:val="24"/>
          <w:szCs w:val="24"/>
          <w:lang w:val="en-AU"/>
        </w:rPr>
        <w:t xml:space="preserve">. It is an increasing threat to national sovereignty and security in the region; and is a priority concern of partner countries. Australian agencies have valued capability to assist, and strong relations to build on. Australian national interests warrant renewed and expanded efforts to address transnational crime in the Mekong. </w:t>
      </w:r>
    </w:p>
    <w:p w14:paraId="33D59095" w14:textId="606A4B1A" w:rsidR="00153977" w:rsidRPr="00E54D0D" w:rsidRDefault="001B0FAF" w:rsidP="00BE1590">
      <w:pPr>
        <w:rPr>
          <w:sz w:val="24"/>
          <w:szCs w:val="24"/>
          <w:lang w:val="en-AU"/>
        </w:rPr>
      </w:pPr>
      <w:r w:rsidRPr="00E54D0D">
        <w:rPr>
          <w:b/>
          <w:bCs/>
          <w:sz w:val="24"/>
          <w:szCs w:val="24"/>
          <w:lang w:val="en-AU"/>
        </w:rPr>
        <w:t>Australia’s global standing on gender equality and disability inclusion makes it a credible and valued partner to address this shared challenge</w:t>
      </w:r>
      <w:r w:rsidRPr="00E54D0D">
        <w:rPr>
          <w:sz w:val="24"/>
          <w:szCs w:val="24"/>
          <w:lang w:val="en-AU"/>
        </w:rPr>
        <w:t>. MAP Phase 2</w:t>
      </w:r>
      <w:r w:rsidR="00C24DF2" w:rsidRPr="00E54D0D">
        <w:rPr>
          <w:sz w:val="24"/>
          <w:szCs w:val="24"/>
          <w:lang w:val="en-AU"/>
        </w:rPr>
        <w:t xml:space="preserve"> </w:t>
      </w:r>
      <w:r w:rsidR="004A120F" w:rsidRPr="00E54D0D">
        <w:rPr>
          <w:sz w:val="24"/>
          <w:szCs w:val="24"/>
          <w:lang w:val="en-AU"/>
        </w:rPr>
        <w:t xml:space="preserve">aligns with </w:t>
      </w:r>
      <w:r w:rsidR="00C24DF2" w:rsidRPr="00E54D0D">
        <w:rPr>
          <w:sz w:val="24"/>
          <w:szCs w:val="24"/>
          <w:lang w:val="en-AU"/>
        </w:rPr>
        <w:t xml:space="preserve">the </w:t>
      </w:r>
      <w:r w:rsidR="00C24DF2" w:rsidRPr="00E54D0D">
        <w:rPr>
          <w:i/>
          <w:iCs/>
          <w:sz w:val="24"/>
          <w:szCs w:val="24"/>
          <w:lang w:val="en-AU"/>
        </w:rPr>
        <w:t xml:space="preserve">International Development </w:t>
      </w:r>
      <w:r w:rsidR="00C24DF2" w:rsidRPr="00E54D0D">
        <w:rPr>
          <w:i/>
          <w:iCs/>
          <w:sz w:val="24"/>
          <w:szCs w:val="24"/>
          <w:lang w:val="en-AU"/>
        </w:rPr>
        <w:lastRenderedPageBreak/>
        <w:t>Policy</w:t>
      </w:r>
      <w:r w:rsidR="00C24DF2" w:rsidRPr="00E54D0D">
        <w:rPr>
          <w:sz w:val="24"/>
          <w:szCs w:val="24"/>
          <w:lang w:val="en-AU"/>
        </w:rPr>
        <w:t xml:space="preserve"> which places gender equality and disability equity as core issues for action and requires all ODA investments of $3m or more to include a gender equality objective. The portfolio</w:t>
      </w:r>
      <w:r w:rsidRPr="00E54D0D">
        <w:rPr>
          <w:sz w:val="24"/>
          <w:szCs w:val="24"/>
          <w:lang w:val="en-AU"/>
        </w:rPr>
        <w:t xml:space="preserve"> </w:t>
      </w:r>
      <w:r w:rsidR="00153977" w:rsidRPr="00E54D0D">
        <w:rPr>
          <w:sz w:val="24"/>
          <w:szCs w:val="24"/>
          <w:lang w:val="en-AU"/>
        </w:rPr>
        <w:t xml:space="preserve">aligns with the prioritisation of women’s economic empowerment and women’s participation in leadership and decision-making in DFAT’s </w:t>
      </w:r>
      <w:r w:rsidR="00153977" w:rsidRPr="00E54D0D">
        <w:rPr>
          <w:i/>
          <w:iCs/>
          <w:sz w:val="24"/>
          <w:szCs w:val="24"/>
          <w:lang w:val="en-AU"/>
        </w:rPr>
        <w:t>Gender Equality and Women’s Empowerment Strategy</w:t>
      </w:r>
      <w:r w:rsidR="00153977" w:rsidRPr="00E54D0D">
        <w:rPr>
          <w:sz w:val="24"/>
          <w:szCs w:val="24"/>
          <w:lang w:val="en-AU"/>
        </w:rPr>
        <w:t>.</w:t>
      </w:r>
      <w:r w:rsidR="005D5B67" w:rsidRPr="00E54D0D">
        <w:rPr>
          <w:sz w:val="24"/>
          <w:szCs w:val="24"/>
          <w:lang w:val="en-AU"/>
        </w:rPr>
        <w:t xml:space="preserve"> </w:t>
      </w:r>
      <w:r w:rsidR="00153977" w:rsidRPr="00E54D0D">
        <w:rPr>
          <w:i/>
          <w:iCs/>
          <w:sz w:val="24"/>
          <w:szCs w:val="24"/>
          <w:lang w:val="en-AU"/>
        </w:rPr>
        <w:t xml:space="preserve">Invested: Australia’s Southeast Asia Economic Strategy to 2040 </w:t>
      </w:r>
      <w:r w:rsidR="00153977" w:rsidRPr="00E54D0D">
        <w:rPr>
          <w:sz w:val="24"/>
          <w:szCs w:val="24"/>
          <w:lang w:val="en-AU"/>
        </w:rPr>
        <w:t xml:space="preserve">notes that ‘for all countries, empowering women and girls to participate in business, ensuring equality of salaries, addressing the unequal distribution of unpaid care and domestic work, and improving social infrastructure will unlock economic dividends.’ </w:t>
      </w:r>
    </w:p>
    <w:p w14:paraId="08096EA0" w14:textId="636D84DF" w:rsidR="00756237" w:rsidRPr="001F14E7" w:rsidRDefault="00756237" w:rsidP="00756237">
      <w:pPr>
        <w:pStyle w:val="Heading2Numbered"/>
        <w:rPr>
          <w:lang w:val="en-AU"/>
        </w:rPr>
      </w:pPr>
      <w:bookmarkStart w:id="52" w:name="_Toc174029031"/>
      <w:r w:rsidRPr="001F14E7">
        <w:rPr>
          <w:lang w:val="en-AU"/>
        </w:rPr>
        <w:t>What is changing from MAP Phase 1?</w:t>
      </w:r>
      <w:bookmarkEnd w:id="52"/>
    </w:p>
    <w:p w14:paraId="61C3DEF0" w14:textId="6A4ECEFA" w:rsidR="00693A65" w:rsidRPr="00DA776F" w:rsidRDefault="00756237" w:rsidP="00693A65">
      <w:pPr>
        <w:rPr>
          <w:sz w:val="24"/>
          <w:szCs w:val="24"/>
          <w:lang w:val="en-AU"/>
        </w:rPr>
      </w:pPr>
      <w:r w:rsidRPr="5E73C848">
        <w:rPr>
          <w:sz w:val="24"/>
          <w:szCs w:val="24"/>
          <w:lang w:val="en-AU"/>
        </w:rPr>
        <w:t xml:space="preserve">MAP Phase 2 represents an evolution from MAP Phase </w:t>
      </w:r>
      <w:r w:rsidR="00BE1590" w:rsidRPr="5E73C848">
        <w:rPr>
          <w:sz w:val="24"/>
          <w:szCs w:val="24"/>
          <w:lang w:val="en-AU"/>
        </w:rPr>
        <w:t>1</w:t>
      </w:r>
      <w:r w:rsidRPr="5E73C848">
        <w:rPr>
          <w:sz w:val="24"/>
          <w:szCs w:val="24"/>
          <w:lang w:val="en-AU"/>
        </w:rPr>
        <w:t xml:space="preserve">.  </w:t>
      </w:r>
      <w:r w:rsidR="00693A65" w:rsidRPr="5E73C848">
        <w:rPr>
          <w:sz w:val="24"/>
          <w:szCs w:val="24"/>
          <w:lang w:val="en-AU"/>
        </w:rPr>
        <w:t xml:space="preserve">MAP Phase 2 will build on the achievements and lessons of MAP Phase 1 to progress the goal of a more resilient and inclusive Mekong subregion that pursues joint solutions to shared and transboundary challenges. </w:t>
      </w:r>
      <w:r w:rsidR="00693A65" w:rsidRPr="5E73C848">
        <w:rPr>
          <w:b/>
          <w:bCs/>
          <w:sz w:val="24"/>
          <w:szCs w:val="24"/>
          <w:lang w:val="en-AU"/>
        </w:rPr>
        <w:t>MAP Phase 2 will support the Mekong subregion through longer-term partnerships with local counterparts and locally led architecture and sharing Australian expertise</w:t>
      </w:r>
      <w:r w:rsidR="00693A65" w:rsidRPr="5E73C848">
        <w:rPr>
          <w:sz w:val="24"/>
          <w:szCs w:val="24"/>
          <w:lang w:val="en-AU"/>
        </w:rPr>
        <w:t xml:space="preserve"> in the thematic priority areas of climate change and water security, economic resilience and subregional integration, preventing and countering transnational crime and GEDSI. </w:t>
      </w:r>
    </w:p>
    <w:p w14:paraId="163356E7" w14:textId="2DD8E15D" w:rsidR="00756237" w:rsidRPr="00DA776F" w:rsidRDefault="00693A65" w:rsidP="00756237">
      <w:pPr>
        <w:rPr>
          <w:sz w:val="24"/>
          <w:szCs w:val="24"/>
          <w:lang w:val="en-AU"/>
        </w:rPr>
      </w:pPr>
      <w:r w:rsidRPr="00DA776F">
        <w:rPr>
          <w:sz w:val="24"/>
          <w:szCs w:val="24"/>
          <w:lang w:val="en-AU"/>
        </w:rPr>
        <w:t xml:space="preserve">MAP Phase 2 will invest in trilateral and multi-country activities that respond to shared and transboundary challenges, collaborate with likeminded partners and invest in productive subregional cooperation. Additionally, MAP Phase 2 will provide additional funds to bilateral Mekong programs in recognition of the importance of these programs as the bedrock of Australia’s relationship with countries in the subregion. Australia will deliver development cooperation that aligns with Mekong countries and broader ASEAN priorities, cementing Australia as a committed and trusted partner of choice that supports resilience and sovereignty. </w:t>
      </w:r>
      <w:r w:rsidR="00756237" w:rsidRPr="00DA776F">
        <w:rPr>
          <w:sz w:val="24"/>
          <w:szCs w:val="24"/>
          <w:lang w:val="en-AU"/>
        </w:rPr>
        <w:t xml:space="preserve">Changes are summarised in Table </w:t>
      </w:r>
      <w:r w:rsidR="00EF5117" w:rsidRPr="00DA776F">
        <w:rPr>
          <w:sz w:val="24"/>
          <w:szCs w:val="24"/>
          <w:lang w:val="en-AU"/>
        </w:rPr>
        <w:t>1</w:t>
      </w:r>
      <w:r w:rsidR="00756237" w:rsidRPr="00DA776F">
        <w:rPr>
          <w:sz w:val="24"/>
          <w:szCs w:val="24"/>
          <w:lang w:val="en-AU"/>
        </w:rPr>
        <w:t xml:space="preserve"> below</w:t>
      </w:r>
      <w:r w:rsidR="00BE1590" w:rsidRPr="00DA776F">
        <w:rPr>
          <w:sz w:val="24"/>
          <w:szCs w:val="24"/>
          <w:lang w:val="en-AU"/>
        </w:rPr>
        <w:t>.</w:t>
      </w:r>
    </w:p>
    <w:p w14:paraId="4702B4FA" w14:textId="37073269" w:rsidR="00EF5117" w:rsidRPr="00DA776F" w:rsidRDefault="00EF5117" w:rsidP="00EF5117">
      <w:pPr>
        <w:pStyle w:val="Caption"/>
        <w:keepNext/>
        <w:spacing w:before="120" w:after="120"/>
        <w:rPr>
          <w:sz w:val="24"/>
          <w:szCs w:val="24"/>
          <w:lang w:val="en-AU"/>
        </w:rPr>
      </w:pPr>
      <w:r w:rsidRPr="00DA776F">
        <w:rPr>
          <w:sz w:val="24"/>
          <w:szCs w:val="24"/>
          <w:lang w:val="en-AU"/>
        </w:rPr>
        <w:t xml:space="preserve">Table </w:t>
      </w:r>
      <w:r w:rsidRPr="00DA776F">
        <w:rPr>
          <w:sz w:val="24"/>
          <w:szCs w:val="24"/>
          <w:lang w:val="en-AU"/>
        </w:rPr>
        <w:fldChar w:fldCharType="begin"/>
      </w:r>
      <w:r w:rsidRPr="00DA776F">
        <w:rPr>
          <w:sz w:val="24"/>
          <w:szCs w:val="24"/>
          <w:lang w:val="en-AU"/>
        </w:rPr>
        <w:instrText xml:space="preserve"> SEQ Table \* ARABIC </w:instrText>
      </w:r>
      <w:r w:rsidRPr="00DA776F">
        <w:rPr>
          <w:sz w:val="24"/>
          <w:szCs w:val="24"/>
          <w:lang w:val="en-AU"/>
        </w:rPr>
        <w:fldChar w:fldCharType="separate"/>
      </w:r>
      <w:r w:rsidR="003E1E3C" w:rsidRPr="00DA776F">
        <w:rPr>
          <w:noProof/>
          <w:sz w:val="24"/>
          <w:szCs w:val="24"/>
          <w:lang w:val="en-AU"/>
        </w:rPr>
        <w:t>1</w:t>
      </w:r>
      <w:r w:rsidRPr="00DA776F">
        <w:rPr>
          <w:sz w:val="24"/>
          <w:szCs w:val="24"/>
          <w:lang w:val="en-AU"/>
        </w:rPr>
        <w:fldChar w:fldCharType="end"/>
      </w:r>
      <w:r w:rsidRPr="00DA776F">
        <w:rPr>
          <w:sz w:val="24"/>
          <w:szCs w:val="24"/>
          <w:lang w:val="en-AU"/>
        </w:rPr>
        <w:t>: Changes in approach from MAP Phase 1 to MAP Phase 2</w:t>
      </w:r>
    </w:p>
    <w:tbl>
      <w:tblPr>
        <w:tblStyle w:val="TableGrid"/>
        <w:tblW w:w="0" w:type="auto"/>
        <w:tblLook w:val="04A0" w:firstRow="1" w:lastRow="0" w:firstColumn="1" w:lastColumn="0" w:noHBand="0" w:noVBand="1"/>
      </w:tblPr>
      <w:tblGrid>
        <w:gridCol w:w="4248"/>
        <w:gridCol w:w="5380"/>
      </w:tblGrid>
      <w:tr w:rsidR="00756237" w:rsidRPr="00DA776F" w14:paraId="5E8D8FEF" w14:textId="77777777" w:rsidTr="00A554D1">
        <w:tc>
          <w:tcPr>
            <w:tcW w:w="4248" w:type="dxa"/>
            <w:shd w:val="clear" w:color="auto" w:fill="007C89" w:themeFill="accent6"/>
          </w:tcPr>
          <w:p w14:paraId="6CE5925D" w14:textId="77777777" w:rsidR="00756237" w:rsidRPr="00DA776F" w:rsidRDefault="00756237" w:rsidP="00BE1590">
            <w:pPr>
              <w:tabs>
                <w:tab w:val="left" w:pos="284"/>
              </w:tabs>
              <w:suppressAutoHyphens w:val="0"/>
              <w:spacing w:before="60" w:line="240" w:lineRule="auto"/>
              <w:rPr>
                <w:rFonts w:eastAsia="Times New Roman" w:cstheme="minorHAnsi"/>
                <w:b/>
                <w:bCs/>
                <w:color w:val="FFFFFF" w:themeColor="background1"/>
                <w:sz w:val="24"/>
                <w:szCs w:val="24"/>
                <w:lang w:val="en-AU"/>
              </w:rPr>
            </w:pPr>
            <w:r w:rsidRPr="00DA776F">
              <w:rPr>
                <w:rFonts w:eastAsia="Times New Roman" w:cstheme="minorHAnsi"/>
                <w:b/>
                <w:bCs/>
                <w:color w:val="FFFFFF" w:themeColor="background1"/>
                <w:sz w:val="24"/>
                <w:szCs w:val="24"/>
                <w:lang w:val="en-AU"/>
              </w:rPr>
              <w:t>Phase 1 approach</w:t>
            </w:r>
          </w:p>
        </w:tc>
        <w:tc>
          <w:tcPr>
            <w:tcW w:w="5380" w:type="dxa"/>
            <w:shd w:val="clear" w:color="auto" w:fill="007C89" w:themeFill="accent6"/>
          </w:tcPr>
          <w:p w14:paraId="3E2CFA5D" w14:textId="77777777" w:rsidR="00756237" w:rsidRPr="00DA776F" w:rsidRDefault="00756237" w:rsidP="00BE1590">
            <w:pPr>
              <w:tabs>
                <w:tab w:val="left" w:pos="284"/>
              </w:tabs>
              <w:suppressAutoHyphens w:val="0"/>
              <w:spacing w:before="60" w:line="240" w:lineRule="auto"/>
              <w:rPr>
                <w:rFonts w:eastAsia="Times New Roman" w:cstheme="minorHAnsi"/>
                <w:b/>
                <w:bCs/>
                <w:color w:val="FFFFFF" w:themeColor="background1"/>
                <w:sz w:val="24"/>
                <w:szCs w:val="24"/>
                <w:lang w:val="en-AU"/>
              </w:rPr>
            </w:pPr>
            <w:r w:rsidRPr="00DA776F">
              <w:rPr>
                <w:rFonts w:eastAsia="Times New Roman" w:cstheme="minorHAnsi"/>
                <w:b/>
                <w:bCs/>
                <w:color w:val="FFFFFF" w:themeColor="background1"/>
                <w:sz w:val="24"/>
                <w:szCs w:val="24"/>
                <w:lang w:val="en-AU"/>
              </w:rPr>
              <w:t>Phase 2 approach</w:t>
            </w:r>
          </w:p>
        </w:tc>
      </w:tr>
      <w:tr w:rsidR="00756237" w:rsidRPr="00DA776F" w14:paraId="12E5662C" w14:textId="77777777" w:rsidTr="00BE1590">
        <w:tc>
          <w:tcPr>
            <w:tcW w:w="4248" w:type="dxa"/>
          </w:tcPr>
          <w:p w14:paraId="77D7AEF8" w14:textId="706C0CB6"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t xml:space="preserve">Hybrid ODA/non-ODA program managed across several DFAT divisions, including trade and cyber areas, with a separate </w:t>
            </w:r>
            <w:r w:rsidR="00343468" w:rsidRPr="00DA776F">
              <w:rPr>
                <w:rFonts w:eastAsia="Times New Roman" w:cstheme="minorHAnsi"/>
                <w:sz w:val="24"/>
                <w:szCs w:val="24"/>
                <w:lang w:val="en-AU"/>
              </w:rPr>
              <w:t xml:space="preserve">TNC </w:t>
            </w:r>
            <w:r w:rsidRPr="00DA776F">
              <w:rPr>
                <w:rFonts w:eastAsia="Times New Roman" w:cstheme="minorHAnsi"/>
                <w:sz w:val="24"/>
                <w:szCs w:val="24"/>
                <w:lang w:val="en-AU"/>
              </w:rPr>
              <w:t>program</w:t>
            </w:r>
          </w:p>
        </w:tc>
        <w:tc>
          <w:tcPr>
            <w:tcW w:w="5380" w:type="dxa"/>
          </w:tcPr>
          <w:p w14:paraId="2860568F" w14:textId="68D0125D" w:rsidR="00756237" w:rsidRPr="00DA776F" w:rsidRDefault="00756237" w:rsidP="001D60C1">
            <w:pPr>
              <w:tabs>
                <w:tab w:val="left" w:pos="284"/>
              </w:tabs>
              <w:suppressAutoHyphens w:val="0"/>
              <w:spacing w:before="0" w:line="280" w:lineRule="exact"/>
              <w:rPr>
                <w:sz w:val="24"/>
                <w:szCs w:val="24"/>
                <w:lang w:val="en-AU"/>
              </w:rPr>
            </w:pPr>
            <w:r w:rsidRPr="00DA776F">
              <w:rPr>
                <w:rFonts w:eastAsia="Times New Roman" w:cstheme="minorHAnsi"/>
                <w:sz w:val="24"/>
                <w:szCs w:val="24"/>
                <w:lang w:val="en-AU"/>
              </w:rPr>
              <w:t xml:space="preserve">ODA-only </w:t>
            </w:r>
            <w:r w:rsidR="004A5BE1">
              <w:rPr>
                <w:rFonts w:eastAsia="Times New Roman" w:cstheme="minorHAnsi"/>
                <w:sz w:val="24"/>
                <w:szCs w:val="24"/>
                <w:lang w:val="en-AU"/>
              </w:rPr>
              <w:t>portfolio</w:t>
            </w:r>
            <w:r w:rsidR="004A5BE1" w:rsidRPr="00DA776F">
              <w:rPr>
                <w:rFonts w:eastAsia="Times New Roman" w:cstheme="minorHAnsi"/>
                <w:sz w:val="24"/>
                <w:szCs w:val="24"/>
                <w:lang w:val="en-AU"/>
              </w:rPr>
              <w:t xml:space="preserve"> </w:t>
            </w:r>
            <w:r w:rsidRPr="00DA776F">
              <w:rPr>
                <w:rFonts w:eastAsia="Times New Roman" w:cstheme="minorHAnsi"/>
                <w:sz w:val="24"/>
                <w:szCs w:val="24"/>
                <w:lang w:val="en-AU"/>
              </w:rPr>
              <w:t>managed entirely by DFAT’s Office of Southeast Asia, discontinuing non-ODA components</w:t>
            </w:r>
            <w:r w:rsidR="001D60C1" w:rsidRPr="00DA776F">
              <w:rPr>
                <w:rFonts w:eastAsia="Times New Roman" w:cstheme="minorHAnsi"/>
                <w:sz w:val="24"/>
                <w:szCs w:val="24"/>
                <w:lang w:val="en-AU"/>
              </w:rPr>
              <w:t>.</w:t>
            </w:r>
            <w:r w:rsidRPr="00DA776F">
              <w:rPr>
                <w:rFonts w:eastAsia="Times New Roman" w:cstheme="minorHAnsi"/>
                <w:sz w:val="24"/>
                <w:szCs w:val="24"/>
                <w:lang w:val="en-AU"/>
              </w:rPr>
              <w:t xml:space="preserve"> </w:t>
            </w:r>
            <w:r w:rsidR="004F15C9" w:rsidRPr="00DA776F">
              <w:rPr>
                <w:rFonts w:eastAsia="Times New Roman" w:cstheme="minorHAnsi"/>
                <w:sz w:val="24"/>
                <w:szCs w:val="24"/>
                <w:lang w:val="en-AU"/>
              </w:rPr>
              <w:t>(</w:t>
            </w:r>
            <w:r w:rsidR="00DF7B51" w:rsidRPr="00DA776F">
              <w:rPr>
                <w:sz w:val="24"/>
                <w:szCs w:val="24"/>
                <w:lang w:val="en-AU"/>
              </w:rPr>
              <w:t>MAP Phase 2 delivery mechanisms will retain flexibility to consider incorporating non-ODA arrangements in future years if circumstances change</w:t>
            </w:r>
            <w:r w:rsidR="00613A6B" w:rsidRPr="00DA776F">
              <w:rPr>
                <w:sz w:val="24"/>
                <w:szCs w:val="24"/>
                <w:lang w:val="en-AU"/>
              </w:rPr>
              <w:t xml:space="preserve">). </w:t>
            </w:r>
          </w:p>
        </w:tc>
      </w:tr>
      <w:tr w:rsidR="00756237" w:rsidRPr="00DA776F" w14:paraId="52E072FA" w14:textId="77777777" w:rsidTr="00BE1590">
        <w:tc>
          <w:tcPr>
            <w:tcW w:w="4248" w:type="dxa"/>
          </w:tcPr>
          <w:p w14:paraId="058D5EA2" w14:textId="77777777"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t>Rigid thematic pillars with fixed budgets and varying management and accountability arrangements</w:t>
            </w:r>
          </w:p>
        </w:tc>
        <w:tc>
          <w:tcPr>
            <w:tcW w:w="5380" w:type="dxa"/>
          </w:tcPr>
          <w:p w14:paraId="1B742C9E" w14:textId="78FBDFA8" w:rsidR="00756237" w:rsidRPr="00DA776F" w:rsidRDefault="00756237" w:rsidP="00BE1590">
            <w:pPr>
              <w:tabs>
                <w:tab w:val="left" w:pos="284"/>
              </w:tabs>
              <w:suppressAutoHyphens w:val="0"/>
              <w:spacing w:before="60" w:line="240" w:lineRule="auto"/>
              <w:rPr>
                <w:rFonts w:eastAsia="Times New Roman"/>
                <w:sz w:val="24"/>
                <w:szCs w:val="24"/>
                <w:lang w:val="en-AU"/>
              </w:rPr>
            </w:pPr>
            <w:r w:rsidRPr="00DA776F">
              <w:rPr>
                <w:rFonts w:eastAsia="Times New Roman"/>
                <w:sz w:val="24"/>
                <w:szCs w:val="24"/>
                <w:lang w:val="en-AU"/>
              </w:rPr>
              <w:t xml:space="preserve">New </w:t>
            </w:r>
            <w:bookmarkStart w:id="53" w:name="_Int_qa8SfLiL"/>
            <w:r w:rsidR="00343468" w:rsidRPr="00DA776F">
              <w:rPr>
                <w:rFonts w:eastAsia="Times New Roman"/>
                <w:sz w:val="24"/>
                <w:szCs w:val="24"/>
                <w:lang w:val="en-AU"/>
              </w:rPr>
              <w:t>EOPOs</w:t>
            </w:r>
            <w:bookmarkEnd w:id="53"/>
            <w:r w:rsidRPr="00DA776F">
              <w:rPr>
                <w:rFonts w:eastAsia="Times New Roman"/>
                <w:sz w:val="24"/>
                <w:szCs w:val="24"/>
                <w:lang w:val="en-AU"/>
              </w:rPr>
              <w:t xml:space="preserve"> that focus on </w:t>
            </w:r>
            <w:r w:rsidR="00343468" w:rsidRPr="00DA776F">
              <w:rPr>
                <w:rFonts w:eastAsia="Times New Roman"/>
                <w:sz w:val="24"/>
                <w:szCs w:val="24"/>
                <w:lang w:val="en-AU"/>
              </w:rPr>
              <w:t xml:space="preserve">select </w:t>
            </w:r>
            <w:r w:rsidRPr="00DA776F">
              <w:rPr>
                <w:rFonts w:eastAsia="Times New Roman"/>
                <w:sz w:val="24"/>
                <w:szCs w:val="24"/>
                <w:lang w:val="en-AU"/>
              </w:rPr>
              <w:t>thematic priorities with the combined impact on shared resilience and cooperation, with a shared budget governed by a Steering Committee</w:t>
            </w:r>
          </w:p>
        </w:tc>
      </w:tr>
      <w:tr w:rsidR="00756237" w:rsidRPr="00DA776F" w14:paraId="16AE77CB" w14:textId="77777777" w:rsidTr="00BE1590">
        <w:tc>
          <w:tcPr>
            <w:tcW w:w="4248" w:type="dxa"/>
          </w:tcPr>
          <w:p w14:paraId="07A7C8E6" w14:textId="77777777"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t>Strong focus on bilateral activities but with inefficient approval and reporting arrangements</w:t>
            </w:r>
          </w:p>
        </w:tc>
        <w:tc>
          <w:tcPr>
            <w:tcW w:w="5380" w:type="dxa"/>
          </w:tcPr>
          <w:p w14:paraId="4AD2DE7E" w14:textId="77777777"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t>Increased focus on multi-country and subregional partnerships, with high-priority bilateral activities managed more efficiently through direct allocations to posts</w:t>
            </w:r>
          </w:p>
        </w:tc>
      </w:tr>
      <w:tr w:rsidR="00756237" w:rsidRPr="00DA776F" w14:paraId="247B87B0" w14:textId="77777777" w:rsidTr="00BE1590">
        <w:tc>
          <w:tcPr>
            <w:tcW w:w="4248" w:type="dxa"/>
          </w:tcPr>
          <w:p w14:paraId="3E366F6D" w14:textId="77777777"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t>Tendency to fund many small value, short duration activities</w:t>
            </w:r>
          </w:p>
        </w:tc>
        <w:tc>
          <w:tcPr>
            <w:tcW w:w="5380" w:type="dxa"/>
          </w:tcPr>
          <w:p w14:paraId="495D89C8" w14:textId="77777777"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t>Focus on fewer, larger long-term partnerships prioritised through an integrated pipeline development process and agreed by Steering Committee</w:t>
            </w:r>
          </w:p>
        </w:tc>
      </w:tr>
      <w:tr w:rsidR="00756237" w:rsidRPr="00DA776F" w14:paraId="34B94E4C" w14:textId="77777777" w:rsidTr="00343468">
        <w:trPr>
          <w:trHeight w:val="710"/>
        </w:trPr>
        <w:tc>
          <w:tcPr>
            <w:tcW w:w="4248" w:type="dxa"/>
          </w:tcPr>
          <w:p w14:paraId="32113019" w14:textId="77777777"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lastRenderedPageBreak/>
              <w:t>DFAT managed without a central contractor; several small contracts to manage MEL and individual advisers</w:t>
            </w:r>
          </w:p>
        </w:tc>
        <w:tc>
          <w:tcPr>
            <w:tcW w:w="5380" w:type="dxa"/>
          </w:tcPr>
          <w:p w14:paraId="586EFBA8" w14:textId="17109881"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t>DFAT retains strategic management but with assistance of a Support Services Contractor to provide logistical support</w:t>
            </w:r>
            <w:r w:rsidR="00A059D4">
              <w:rPr>
                <w:rFonts w:eastAsia="Times New Roman" w:cstheme="minorHAnsi"/>
                <w:sz w:val="24"/>
                <w:szCs w:val="24"/>
                <w:lang w:val="en-AU"/>
              </w:rPr>
              <w:t>,</w:t>
            </w:r>
            <w:r w:rsidRPr="00DA776F">
              <w:rPr>
                <w:rFonts w:eastAsia="Times New Roman" w:cstheme="minorHAnsi"/>
                <w:sz w:val="24"/>
                <w:szCs w:val="24"/>
                <w:lang w:val="en-AU"/>
              </w:rPr>
              <w:t xml:space="preserve"> capability to source technical expertise</w:t>
            </w:r>
            <w:r w:rsidR="00A059D4">
              <w:rPr>
                <w:rFonts w:eastAsia="Times New Roman" w:cstheme="minorHAnsi"/>
                <w:sz w:val="24"/>
                <w:szCs w:val="24"/>
                <w:lang w:val="en-AU"/>
              </w:rPr>
              <w:t xml:space="preserve"> and to deliver selected activities</w:t>
            </w:r>
          </w:p>
        </w:tc>
      </w:tr>
      <w:tr w:rsidR="00756237" w:rsidRPr="00DA776F" w14:paraId="1DDCA30F" w14:textId="77777777" w:rsidTr="00BE1590">
        <w:tc>
          <w:tcPr>
            <w:tcW w:w="4248" w:type="dxa"/>
          </w:tcPr>
          <w:p w14:paraId="43FD9386" w14:textId="2801F3D3"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t xml:space="preserve">Standalone MAP-Water Energy and Climate Program Management Unit in Bangkok </w:t>
            </w:r>
          </w:p>
        </w:tc>
        <w:tc>
          <w:tcPr>
            <w:tcW w:w="5380" w:type="dxa"/>
          </w:tcPr>
          <w:p w14:paraId="72115451" w14:textId="02EEF05A"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t>Enhanced Mekong Hub to lead on whole of MAP portfolio implementation and operations</w:t>
            </w:r>
          </w:p>
        </w:tc>
      </w:tr>
      <w:tr w:rsidR="00756237" w:rsidRPr="00DA776F" w14:paraId="17830129" w14:textId="77777777" w:rsidTr="00BE1590">
        <w:tc>
          <w:tcPr>
            <w:tcW w:w="4248" w:type="dxa"/>
            <w:shd w:val="clear" w:color="auto" w:fill="auto"/>
          </w:tcPr>
          <w:p w14:paraId="34684533" w14:textId="77777777"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t>Limited visibility and mainstreaming of GEDSI</w:t>
            </w:r>
          </w:p>
        </w:tc>
        <w:tc>
          <w:tcPr>
            <w:tcW w:w="5380" w:type="dxa"/>
            <w:shd w:val="clear" w:color="auto" w:fill="auto"/>
          </w:tcPr>
          <w:p w14:paraId="1F338BB2" w14:textId="170F67C8" w:rsidR="00756237" w:rsidRPr="00DA776F" w:rsidRDefault="00756237" w:rsidP="00BE1590">
            <w:pPr>
              <w:tabs>
                <w:tab w:val="left" w:pos="284"/>
              </w:tabs>
              <w:suppressAutoHyphens w:val="0"/>
              <w:spacing w:before="60" w:line="240" w:lineRule="auto"/>
              <w:rPr>
                <w:rFonts w:eastAsia="Times New Roman" w:cstheme="minorHAnsi"/>
                <w:sz w:val="24"/>
                <w:szCs w:val="24"/>
                <w:lang w:val="en-AU"/>
              </w:rPr>
            </w:pPr>
            <w:r w:rsidRPr="00DA776F">
              <w:rPr>
                <w:rFonts w:eastAsia="Times New Roman" w:cstheme="minorHAnsi"/>
                <w:sz w:val="24"/>
                <w:szCs w:val="24"/>
                <w:lang w:val="en-AU"/>
              </w:rPr>
              <w:t>GEDSI standalone thematic area of work and mainstreamed across the portfolio</w:t>
            </w:r>
          </w:p>
        </w:tc>
      </w:tr>
    </w:tbl>
    <w:p w14:paraId="117EB197" w14:textId="2C17B0A5" w:rsidR="00A32858" w:rsidRPr="009A7103" w:rsidRDefault="00A32858" w:rsidP="009A7103">
      <w:pPr>
        <w:pStyle w:val="Heading1Numbered"/>
        <w:numPr>
          <w:ilvl w:val="0"/>
          <w:numId w:val="26"/>
        </w:numPr>
        <w:rPr>
          <w:szCs w:val="21"/>
          <w:lang w:val="en-AU"/>
        </w:rPr>
      </w:pPr>
      <w:bookmarkStart w:id="54" w:name="_Toc162287864"/>
      <w:bookmarkStart w:id="55" w:name="_Toc163539148"/>
      <w:bookmarkStart w:id="56" w:name="_Toc174029032"/>
      <w:r w:rsidRPr="009A7103">
        <w:rPr>
          <w:lang w:val="en-AU"/>
        </w:rPr>
        <w:t>Proposed Outcomes and Investment Options</w:t>
      </w:r>
      <w:bookmarkEnd w:id="54"/>
      <w:bookmarkEnd w:id="55"/>
      <w:bookmarkEnd w:id="56"/>
    </w:p>
    <w:p w14:paraId="370B9E02" w14:textId="512C955A" w:rsidR="00403666" w:rsidRPr="009A7103" w:rsidRDefault="00836DE0" w:rsidP="009A7103">
      <w:pPr>
        <w:pStyle w:val="Heading2Numbered"/>
        <w:rPr>
          <w:lang w:val="en-AU"/>
        </w:rPr>
      </w:pPr>
      <w:bookmarkStart w:id="57" w:name="_Toc162287865"/>
      <w:bookmarkStart w:id="58" w:name="_Toc163539149"/>
      <w:bookmarkStart w:id="59" w:name="_Toc174029033"/>
      <w:r w:rsidRPr="009A7103">
        <w:rPr>
          <w:lang w:val="en-AU"/>
        </w:rPr>
        <w:t>Portfolio Logic</w:t>
      </w:r>
      <w:bookmarkEnd w:id="57"/>
      <w:bookmarkEnd w:id="58"/>
      <w:bookmarkEnd w:id="59"/>
    </w:p>
    <w:p w14:paraId="614CE777" w14:textId="6331B56F" w:rsidR="00384D57" w:rsidRPr="00DA776F" w:rsidRDefault="00384D57" w:rsidP="00343468">
      <w:pPr>
        <w:rPr>
          <w:rFonts w:cstheme="minorHAnsi"/>
          <w:sz w:val="24"/>
          <w:szCs w:val="24"/>
          <w:lang w:val="en-AU"/>
        </w:rPr>
      </w:pPr>
      <w:r w:rsidRPr="00DA776F">
        <w:rPr>
          <w:rFonts w:cstheme="minorHAnsi"/>
          <w:sz w:val="24"/>
          <w:szCs w:val="24"/>
          <w:lang w:val="en-AU"/>
        </w:rPr>
        <w:t>The objective of MAP Phase 2 is</w:t>
      </w:r>
      <w:r w:rsidR="00157F92" w:rsidRPr="00DA776F">
        <w:rPr>
          <w:rFonts w:cstheme="minorHAnsi"/>
          <w:sz w:val="24"/>
          <w:szCs w:val="24"/>
          <w:lang w:val="en-AU"/>
        </w:rPr>
        <w:t xml:space="preserve"> that</w:t>
      </w:r>
      <w:r w:rsidRPr="00DA776F">
        <w:rPr>
          <w:rFonts w:cstheme="minorHAnsi"/>
          <w:sz w:val="24"/>
          <w:szCs w:val="24"/>
          <w:lang w:val="en-AU"/>
        </w:rPr>
        <w:t xml:space="preserve"> ‘</w:t>
      </w:r>
      <w:r w:rsidRPr="00DA776F">
        <w:rPr>
          <w:rFonts w:cstheme="minorHAnsi"/>
          <w:b/>
          <w:bCs/>
          <w:i/>
          <w:iCs/>
          <w:sz w:val="24"/>
          <w:szCs w:val="24"/>
          <w:lang w:val="en-AU"/>
        </w:rPr>
        <w:t>The Mekong subregion is more</w:t>
      </w:r>
      <w:r w:rsidR="00A70469" w:rsidRPr="00DA776F">
        <w:rPr>
          <w:rFonts w:cstheme="minorHAnsi"/>
          <w:b/>
          <w:bCs/>
          <w:i/>
          <w:iCs/>
          <w:sz w:val="24"/>
          <w:szCs w:val="24"/>
          <w:lang w:val="en-AU"/>
        </w:rPr>
        <w:t xml:space="preserve"> resilient and inclusive</w:t>
      </w:r>
      <w:r w:rsidRPr="00DA776F">
        <w:rPr>
          <w:rFonts w:cstheme="minorHAnsi"/>
          <w:b/>
          <w:bCs/>
          <w:i/>
          <w:iCs/>
          <w:sz w:val="24"/>
          <w:szCs w:val="24"/>
          <w:lang w:val="en-AU"/>
        </w:rPr>
        <w:t xml:space="preserve"> and pursues joint solutions to shared and transboundary challenges</w:t>
      </w:r>
      <w:r w:rsidRPr="00DA776F">
        <w:rPr>
          <w:rFonts w:cstheme="minorHAnsi"/>
          <w:sz w:val="24"/>
          <w:szCs w:val="24"/>
          <w:lang w:val="en-AU"/>
        </w:rPr>
        <w:t xml:space="preserve">.’ </w:t>
      </w:r>
      <w:r w:rsidR="001C01D7" w:rsidRPr="00DA776F">
        <w:rPr>
          <w:rFonts w:cstheme="minorHAnsi"/>
          <w:sz w:val="24"/>
          <w:szCs w:val="24"/>
          <w:lang w:val="en-AU"/>
        </w:rPr>
        <w:t>T</w:t>
      </w:r>
      <w:r w:rsidRPr="00DA776F">
        <w:rPr>
          <w:rFonts w:cstheme="minorHAnsi"/>
          <w:sz w:val="24"/>
          <w:szCs w:val="24"/>
          <w:lang w:val="en-AU"/>
        </w:rPr>
        <w:t>his objective defines Australia’s aspiration for the Mekong subregion to be</w:t>
      </w:r>
      <w:r w:rsidR="001C01D7" w:rsidRPr="00DA776F">
        <w:rPr>
          <w:rFonts w:cstheme="minorHAnsi"/>
          <w:sz w:val="24"/>
          <w:szCs w:val="24"/>
          <w:lang w:val="en-AU"/>
        </w:rPr>
        <w:t xml:space="preserve"> resilient in the face of existing and emerging global, regional, and national challenges</w:t>
      </w:r>
      <w:r w:rsidR="00D70B4D" w:rsidRPr="00DA776F">
        <w:rPr>
          <w:rFonts w:cstheme="minorHAnsi"/>
          <w:sz w:val="24"/>
          <w:szCs w:val="24"/>
          <w:lang w:val="en-AU"/>
        </w:rPr>
        <w:t>,</w:t>
      </w:r>
      <w:r w:rsidR="001C01D7" w:rsidRPr="00DA776F">
        <w:rPr>
          <w:rFonts w:cstheme="minorHAnsi"/>
          <w:sz w:val="24"/>
          <w:szCs w:val="24"/>
          <w:lang w:val="en-AU"/>
        </w:rPr>
        <w:t xml:space="preserve"> and</w:t>
      </w:r>
      <w:r w:rsidRPr="00DA776F">
        <w:rPr>
          <w:rFonts w:cstheme="minorHAnsi"/>
          <w:sz w:val="24"/>
          <w:szCs w:val="24"/>
          <w:lang w:val="en-AU"/>
        </w:rPr>
        <w:t xml:space="preserve"> inclusive of all its citizen</w:t>
      </w:r>
      <w:r w:rsidR="001C01D7" w:rsidRPr="00DA776F">
        <w:rPr>
          <w:rFonts w:cstheme="minorHAnsi"/>
          <w:sz w:val="24"/>
          <w:szCs w:val="24"/>
          <w:lang w:val="en-AU"/>
        </w:rPr>
        <w:t>s</w:t>
      </w:r>
      <w:r w:rsidRPr="00DA776F">
        <w:rPr>
          <w:rFonts w:cstheme="minorHAnsi"/>
          <w:sz w:val="24"/>
          <w:szCs w:val="24"/>
          <w:lang w:val="en-AU"/>
        </w:rPr>
        <w:t>.</w:t>
      </w:r>
      <w:r w:rsidR="001C01D7" w:rsidRPr="00DA776F">
        <w:rPr>
          <w:rFonts w:cstheme="minorHAnsi"/>
          <w:sz w:val="24"/>
          <w:szCs w:val="24"/>
          <w:lang w:val="en-AU"/>
        </w:rPr>
        <w:t xml:space="preserve"> MAP Phase 2 is a catalytic </w:t>
      </w:r>
      <w:r w:rsidR="006C3B18">
        <w:rPr>
          <w:rFonts w:cstheme="minorHAnsi"/>
          <w:sz w:val="24"/>
          <w:szCs w:val="24"/>
          <w:lang w:val="en-AU"/>
        </w:rPr>
        <w:t xml:space="preserve">portfolio </w:t>
      </w:r>
      <w:r w:rsidR="001C01D7" w:rsidRPr="00DA776F">
        <w:rPr>
          <w:rFonts w:cstheme="minorHAnsi"/>
          <w:sz w:val="24"/>
          <w:szCs w:val="24"/>
          <w:lang w:val="en-AU"/>
        </w:rPr>
        <w:t xml:space="preserve">investment </w:t>
      </w:r>
      <w:r w:rsidR="00D70B4D" w:rsidRPr="00DA776F">
        <w:rPr>
          <w:rFonts w:cstheme="minorHAnsi"/>
          <w:sz w:val="24"/>
          <w:szCs w:val="24"/>
          <w:lang w:val="en-AU"/>
        </w:rPr>
        <w:t>to</w:t>
      </w:r>
      <w:r w:rsidR="001C01D7" w:rsidRPr="00DA776F">
        <w:rPr>
          <w:rFonts w:cstheme="minorHAnsi"/>
          <w:sz w:val="24"/>
          <w:szCs w:val="24"/>
          <w:lang w:val="en-AU"/>
        </w:rPr>
        <w:t xml:space="preserve"> support</w:t>
      </w:r>
      <w:r w:rsidR="00D70B4D" w:rsidRPr="00DA776F">
        <w:rPr>
          <w:rFonts w:cstheme="minorHAnsi"/>
          <w:sz w:val="24"/>
          <w:szCs w:val="24"/>
          <w:lang w:val="en-AU"/>
        </w:rPr>
        <w:t xml:space="preserve"> </w:t>
      </w:r>
      <w:r w:rsidR="001C01D7" w:rsidRPr="00DA776F">
        <w:rPr>
          <w:rFonts w:cstheme="minorHAnsi"/>
          <w:sz w:val="24"/>
          <w:szCs w:val="24"/>
          <w:lang w:val="en-AU"/>
        </w:rPr>
        <w:t xml:space="preserve">capacity in the subregion to withstand and recover from shocks and adapt to changing conditions </w:t>
      </w:r>
      <w:r w:rsidR="00140B90" w:rsidRPr="00DA776F">
        <w:rPr>
          <w:rFonts w:cstheme="minorHAnsi"/>
          <w:sz w:val="24"/>
          <w:szCs w:val="24"/>
          <w:lang w:val="en-AU"/>
        </w:rPr>
        <w:t>in an equitable way</w:t>
      </w:r>
      <w:r w:rsidR="001C01D7" w:rsidRPr="00DA776F">
        <w:rPr>
          <w:rFonts w:cstheme="minorHAnsi"/>
          <w:sz w:val="24"/>
          <w:szCs w:val="24"/>
          <w:lang w:val="en-AU"/>
        </w:rPr>
        <w:t>.</w:t>
      </w:r>
      <w:r w:rsidRPr="00DA776F">
        <w:rPr>
          <w:rFonts w:cstheme="minorHAnsi"/>
          <w:sz w:val="24"/>
          <w:szCs w:val="24"/>
          <w:lang w:val="en-AU"/>
        </w:rPr>
        <w:t xml:space="preserve"> </w:t>
      </w:r>
      <w:r w:rsidR="001C01D7" w:rsidRPr="00DA776F">
        <w:rPr>
          <w:rFonts w:cstheme="minorHAnsi"/>
          <w:sz w:val="24"/>
          <w:szCs w:val="24"/>
          <w:lang w:val="en-AU"/>
        </w:rPr>
        <w:t>It reflects Australia’s values of inclusion, diversity and equity</w:t>
      </w:r>
      <w:r w:rsidR="00140B90" w:rsidRPr="00DA776F">
        <w:rPr>
          <w:rFonts w:cstheme="minorHAnsi"/>
          <w:sz w:val="24"/>
          <w:szCs w:val="24"/>
          <w:lang w:val="en-AU"/>
        </w:rPr>
        <w:t xml:space="preserve"> to maximise the full potential and talent of its peoples</w:t>
      </w:r>
      <w:r w:rsidR="001C01D7" w:rsidRPr="00DA776F">
        <w:rPr>
          <w:rFonts w:cstheme="minorHAnsi"/>
          <w:sz w:val="24"/>
          <w:szCs w:val="24"/>
          <w:lang w:val="en-AU"/>
        </w:rPr>
        <w:t>, and the importance of safeguarding the subregion’s environment and the viability and vitality of its ecosystems as the substrate of human social and economic activities</w:t>
      </w:r>
      <w:r w:rsidR="00D70B4D" w:rsidRPr="00DA776F">
        <w:rPr>
          <w:rFonts w:cstheme="minorHAnsi"/>
          <w:sz w:val="24"/>
          <w:szCs w:val="24"/>
          <w:lang w:val="en-AU"/>
        </w:rPr>
        <w:t>,</w:t>
      </w:r>
      <w:r w:rsidR="001C01D7" w:rsidRPr="00DA776F">
        <w:rPr>
          <w:rFonts w:cstheme="minorHAnsi"/>
          <w:sz w:val="24"/>
          <w:szCs w:val="24"/>
          <w:lang w:val="en-AU"/>
        </w:rPr>
        <w:t xml:space="preserve"> now and for future generations. T</w:t>
      </w:r>
      <w:r w:rsidRPr="00DA776F">
        <w:rPr>
          <w:rFonts w:cstheme="minorHAnsi"/>
          <w:sz w:val="24"/>
          <w:szCs w:val="24"/>
          <w:lang w:val="en-AU"/>
        </w:rPr>
        <w:t xml:space="preserve">his requires sustained commitment, </w:t>
      </w:r>
      <w:r w:rsidR="001733F1" w:rsidRPr="00DA776F">
        <w:rPr>
          <w:rFonts w:cstheme="minorHAnsi"/>
          <w:sz w:val="24"/>
          <w:szCs w:val="24"/>
          <w:lang w:val="en-AU"/>
        </w:rPr>
        <w:t>coordination,</w:t>
      </w:r>
      <w:r w:rsidRPr="00DA776F">
        <w:rPr>
          <w:rFonts w:cstheme="minorHAnsi"/>
          <w:sz w:val="24"/>
          <w:szCs w:val="24"/>
          <w:lang w:val="en-AU"/>
        </w:rPr>
        <w:t xml:space="preserve"> </w:t>
      </w:r>
      <w:r w:rsidR="001C01D7" w:rsidRPr="00DA776F">
        <w:rPr>
          <w:rFonts w:cstheme="minorHAnsi"/>
          <w:sz w:val="24"/>
          <w:szCs w:val="24"/>
          <w:lang w:val="en-AU"/>
        </w:rPr>
        <w:t xml:space="preserve">collaboration, </w:t>
      </w:r>
      <w:r w:rsidR="001733F1" w:rsidRPr="00DA776F">
        <w:rPr>
          <w:rFonts w:cstheme="minorHAnsi"/>
          <w:sz w:val="24"/>
          <w:szCs w:val="24"/>
          <w:lang w:val="en-AU"/>
        </w:rPr>
        <w:t xml:space="preserve">and </w:t>
      </w:r>
      <w:r w:rsidR="001C01D7" w:rsidRPr="00DA776F">
        <w:rPr>
          <w:rFonts w:cstheme="minorHAnsi"/>
          <w:sz w:val="24"/>
          <w:szCs w:val="24"/>
          <w:lang w:val="en-AU"/>
        </w:rPr>
        <w:t xml:space="preserve">cooperation </w:t>
      </w:r>
      <w:r w:rsidRPr="00DA776F">
        <w:rPr>
          <w:rFonts w:cstheme="minorHAnsi"/>
          <w:sz w:val="24"/>
          <w:szCs w:val="24"/>
          <w:lang w:val="en-AU"/>
        </w:rPr>
        <w:t xml:space="preserve">among countries </w:t>
      </w:r>
      <w:r w:rsidR="001C01D7" w:rsidRPr="00DA776F">
        <w:rPr>
          <w:rFonts w:cstheme="minorHAnsi"/>
          <w:sz w:val="24"/>
          <w:szCs w:val="24"/>
          <w:lang w:val="en-AU"/>
        </w:rPr>
        <w:t>underpinned by</w:t>
      </w:r>
      <w:r w:rsidRPr="00DA776F">
        <w:rPr>
          <w:rFonts w:cstheme="minorHAnsi"/>
          <w:sz w:val="24"/>
          <w:szCs w:val="24"/>
          <w:lang w:val="en-AU"/>
        </w:rPr>
        <w:t xml:space="preserve"> </w:t>
      </w:r>
      <w:r w:rsidR="001733F1" w:rsidRPr="00DA776F">
        <w:rPr>
          <w:rFonts w:cstheme="minorHAnsi"/>
          <w:sz w:val="24"/>
          <w:szCs w:val="24"/>
          <w:lang w:val="en-AU"/>
        </w:rPr>
        <w:t>mutual</w:t>
      </w:r>
      <w:r w:rsidRPr="00DA776F">
        <w:rPr>
          <w:rFonts w:cstheme="minorHAnsi"/>
          <w:sz w:val="24"/>
          <w:szCs w:val="24"/>
          <w:lang w:val="en-AU"/>
        </w:rPr>
        <w:t xml:space="preserve"> responsibility</w:t>
      </w:r>
      <w:r w:rsidR="001C01D7" w:rsidRPr="00DA776F">
        <w:rPr>
          <w:rFonts w:cstheme="minorHAnsi"/>
          <w:sz w:val="24"/>
          <w:szCs w:val="24"/>
          <w:lang w:val="en-AU"/>
        </w:rPr>
        <w:t xml:space="preserve"> and accountability</w:t>
      </w:r>
      <w:r w:rsidRPr="00DA776F">
        <w:rPr>
          <w:rFonts w:cstheme="minorHAnsi"/>
          <w:sz w:val="24"/>
          <w:szCs w:val="24"/>
          <w:lang w:val="en-AU"/>
        </w:rPr>
        <w:t xml:space="preserve">. </w:t>
      </w:r>
      <w:r w:rsidR="001C01D7" w:rsidRPr="00DA776F">
        <w:rPr>
          <w:rFonts w:cstheme="minorHAnsi"/>
          <w:sz w:val="24"/>
          <w:szCs w:val="24"/>
          <w:lang w:val="en-AU"/>
        </w:rPr>
        <w:t>By promoting resilience, inclusion and sustainability, Australia will support the Mekong subregion to actively shape its own future, contribute to</w:t>
      </w:r>
      <w:r w:rsidR="002D0B10" w:rsidRPr="00DA776F">
        <w:rPr>
          <w:rFonts w:cstheme="minorHAnsi"/>
          <w:sz w:val="24"/>
          <w:szCs w:val="24"/>
          <w:lang w:val="en-AU"/>
        </w:rPr>
        <w:t xml:space="preserve"> </w:t>
      </w:r>
      <w:r w:rsidR="001C01D7" w:rsidRPr="00DA776F">
        <w:rPr>
          <w:rFonts w:cstheme="minorHAnsi"/>
          <w:sz w:val="24"/>
          <w:szCs w:val="24"/>
          <w:lang w:val="en-AU"/>
        </w:rPr>
        <w:t xml:space="preserve">the well-being and prosperity of its diverse populations and ecosystems, and </w:t>
      </w:r>
      <w:r w:rsidR="002D0B10" w:rsidRPr="00DA776F">
        <w:rPr>
          <w:rFonts w:cstheme="minorHAnsi"/>
          <w:sz w:val="24"/>
          <w:szCs w:val="24"/>
          <w:lang w:val="en-AU"/>
        </w:rPr>
        <w:t>have enhanced capability to</w:t>
      </w:r>
      <w:r w:rsidR="001C01D7" w:rsidRPr="00DA776F">
        <w:rPr>
          <w:rFonts w:cstheme="minorHAnsi"/>
          <w:sz w:val="24"/>
          <w:szCs w:val="24"/>
          <w:lang w:val="en-AU"/>
        </w:rPr>
        <w:t xml:space="preserve"> respon</w:t>
      </w:r>
      <w:r w:rsidR="001B0FAF" w:rsidRPr="00DA776F">
        <w:rPr>
          <w:rFonts w:cstheme="minorHAnsi"/>
          <w:sz w:val="24"/>
          <w:szCs w:val="24"/>
          <w:lang w:val="en-AU"/>
        </w:rPr>
        <w:t>d</w:t>
      </w:r>
      <w:r w:rsidR="001C01D7" w:rsidRPr="00DA776F">
        <w:rPr>
          <w:rFonts w:cstheme="minorHAnsi"/>
          <w:sz w:val="24"/>
          <w:szCs w:val="24"/>
          <w:lang w:val="en-AU"/>
        </w:rPr>
        <w:t xml:space="preserve"> to future uncertainties. </w:t>
      </w:r>
    </w:p>
    <w:p w14:paraId="5DF4B5B9" w14:textId="56F5315E" w:rsidR="003C4472" w:rsidRPr="00DA776F" w:rsidRDefault="00384D57" w:rsidP="00343468">
      <w:pPr>
        <w:rPr>
          <w:rFonts w:cstheme="minorHAnsi"/>
          <w:sz w:val="24"/>
          <w:szCs w:val="24"/>
          <w:lang w:val="en-AU"/>
        </w:rPr>
      </w:pPr>
      <w:r w:rsidRPr="00DA776F">
        <w:rPr>
          <w:rFonts w:cstheme="minorHAnsi"/>
          <w:sz w:val="24"/>
          <w:szCs w:val="24"/>
          <w:lang w:val="en-AU"/>
        </w:rPr>
        <w:t xml:space="preserve">The purpose </w:t>
      </w:r>
      <w:r w:rsidR="001733F1" w:rsidRPr="00DA776F">
        <w:rPr>
          <w:rFonts w:cstheme="minorHAnsi"/>
          <w:sz w:val="24"/>
          <w:szCs w:val="24"/>
          <w:lang w:val="en-AU"/>
        </w:rPr>
        <w:t xml:space="preserve">of MAP Phase 2 </w:t>
      </w:r>
      <w:r w:rsidRPr="00DA776F">
        <w:rPr>
          <w:rFonts w:cstheme="minorHAnsi"/>
          <w:sz w:val="24"/>
          <w:szCs w:val="24"/>
          <w:lang w:val="en-AU"/>
        </w:rPr>
        <w:t>is</w:t>
      </w:r>
      <w:r w:rsidR="001733F1" w:rsidRPr="00DA776F">
        <w:rPr>
          <w:rFonts w:cstheme="minorHAnsi"/>
          <w:sz w:val="24"/>
          <w:szCs w:val="24"/>
          <w:lang w:val="en-AU"/>
        </w:rPr>
        <w:t xml:space="preserve"> that</w:t>
      </w:r>
      <w:r w:rsidRPr="00DA776F">
        <w:rPr>
          <w:rFonts w:cstheme="minorHAnsi"/>
          <w:sz w:val="24"/>
          <w:szCs w:val="24"/>
          <w:lang w:val="en-AU"/>
        </w:rPr>
        <w:t xml:space="preserve"> ‘</w:t>
      </w:r>
      <w:r w:rsidRPr="00DA776F">
        <w:rPr>
          <w:rFonts w:cstheme="minorHAnsi"/>
          <w:b/>
          <w:bCs/>
          <w:i/>
          <w:iCs/>
          <w:sz w:val="24"/>
          <w:szCs w:val="24"/>
          <w:lang w:val="en-AU"/>
        </w:rPr>
        <w:t xml:space="preserve">Australia is a trusted and visible partner in </w:t>
      </w:r>
      <w:r w:rsidR="009D218D">
        <w:rPr>
          <w:rFonts w:cstheme="minorHAnsi"/>
          <w:b/>
          <w:bCs/>
          <w:i/>
          <w:iCs/>
          <w:sz w:val="24"/>
          <w:szCs w:val="24"/>
          <w:lang w:val="en-AU"/>
        </w:rPr>
        <w:t>supporting</w:t>
      </w:r>
      <w:r w:rsidRPr="00DA776F">
        <w:rPr>
          <w:rFonts w:cstheme="minorHAnsi"/>
          <w:b/>
          <w:bCs/>
          <w:i/>
          <w:iCs/>
          <w:sz w:val="24"/>
          <w:szCs w:val="24"/>
          <w:lang w:val="en-AU"/>
        </w:rPr>
        <w:t xml:space="preserve"> a resilient, inclusive and sustainable Mekong subregion</w:t>
      </w:r>
      <w:r w:rsidRPr="00DA776F">
        <w:rPr>
          <w:rFonts w:cstheme="minorHAnsi"/>
          <w:sz w:val="24"/>
          <w:szCs w:val="24"/>
          <w:lang w:val="en-AU"/>
        </w:rPr>
        <w:t xml:space="preserve">.’ This </w:t>
      </w:r>
      <w:r w:rsidR="00704DF3" w:rsidRPr="00DA776F">
        <w:rPr>
          <w:rFonts w:cstheme="minorHAnsi"/>
          <w:sz w:val="24"/>
          <w:szCs w:val="24"/>
          <w:lang w:val="en-AU"/>
        </w:rPr>
        <w:t>defines Australia’s aspiration for the Mekong subregion to be resilient in the face of existing and emerging global, regional and national challenges. It also recognises the benefits of a collaborative approach where sustained commitment, cooperation and coordination among countries are guided by principles of equity, solidarity and shared responsibility</w:t>
      </w:r>
      <w:r w:rsidRPr="00DA776F">
        <w:rPr>
          <w:rFonts w:cstheme="minorHAnsi"/>
          <w:sz w:val="24"/>
          <w:szCs w:val="24"/>
          <w:lang w:val="en-AU"/>
        </w:rPr>
        <w:t>.</w:t>
      </w:r>
      <w:r w:rsidR="001C01D7" w:rsidRPr="00DA776F">
        <w:rPr>
          <w:rFonts w:cstheme="minorHAnsi"/>
          <w:sz w:val="24"/>
          <w:szCs w:val="24"/>
          <w:lang w:val="en-AU"/>
        </w:rPr>
        <w:t xml:space="preserve"> By working together to address common challenges and leverage collective strengths, Australia will </w:t>
      </w:r>
      <w:r w:rsidR="006E3DC5" w:rsidRPr="00DA776F">
        <w:rPr>
          <w:rFonts w:cstheme="minorHAnsi"/>
          <w:sz w:val="24"/>
          <w:szCs w:val="24"/>
          <w:lang w:val="en-AU"/>
        </w:rPr>
        <w:t>contribute to</w:t>
      </w:r>
      <w:r w:rsidR="001C01D7" w:rsidRPr="00DA776F">
        <w:rPr>
          <w:rFonts w:cstheme="minorHAnsi"/>
          <w:sz w:val="24"/>
          <w:szCs w:val="24"/>
          <w:lang w:val="en-AU"/>
        </w:rPr>
        <w:t xml:space="preserve"> a more </w:t>
      </w:r>
      <w:r w:rsidR="4682CA16" w:rsidRPr="00DA776F">
        <w:rPr>
          <w:rFonts w:cstheme="minorHAnsi"/>
          <w:sz w:val="24"/>
          <w:szCs w:val="24"/>
          <w:lang w:val="en-AU"/>
        </w:rPr>
        <w:t>peaceful, stable and</w:t>
      </w:r>
      <w:r w:rsidR="001C01D7" w:rsidRPr="00DA776F">
        <w:rPr>
          <w:rFonts w:cstheme="minorHAnsi"/>
          <w:sz w:val="24"/>
          <w:szCs w:val="24"/>
          <w:lang w:val="en-AU"/>
        </w:rPr>
        <w:t xml:space="preserve"> prosperous </w:t>
      </w:r>
      <w:r w:rsidR="006E3DC5" w:rsidRPr="00DA776F">
        <w:rPr>
          <w:rFonts w:cstheme="minorHAnsi"/>
          <w:sz w:val="24"/>
          <w:szCs w:val="24"/>
          <w:lang w:val="en-AU"/>
        </w:rPr>
        <w:t>Mekong subregion</w:t>
      </w:r>
      <w:r w:rsidR="001C01D7" w:rsidRPr="00DA776F">
        <w:rPr>
          <w:rFonts w:cstheme="minorHAnsi"/>
          <w:sz w:val="24"/>
          <w:szCs w:val="24"/>
          <w:lang w:val="en-AU"/>
        </w:rPr>
        <w:t>.</w:t>
      </w:r>
    </w:p>
    <w:p w14:paraId="481D0C80" w14:textId="494733B8" w:rsidR="007978D8" w:rsidRDefault="007978D8" w:rsidP="00343468">
      <w:pPr>
        <w:rPr>
          <w:rFonts w:cstheme="minorHAnsi"/>
          <w:sz w:val="24"/>
          <w:szCs w:val="24"/>
          <w:lang w:val="en-AU"/>
        </w:rPr>
      </w:pPr>
      <w:r>
        <w:rPr>
          <w:rFonts w:cstheme="minorHAnsi"/>
          <w:sz w:val="24"/>
          <w:szCs w:val="24"/>
          <w:lang w:val="en-AU"/>
        </w:rPr>
        <w:t>MAP Phase 2 is a portfolio</w:t>
      </w:r>
      <w:r w:rsidR="007E114B">
        <w:rPr>
          <w:rFonts w:cstheme="minorHAnsi"/>
          <w:sz w:val="24"/>
          <w:szCs w:val="24"/>
          <w:lang w:val="en-AU"/>
        </w:rPr>
        <w:t xml:space="preserve"> made up of several investments and activities. This design outlines a logic for the portfolio as a whole. </w:t>
      </w:r>
      <w:r w:rsidR="00BD3332">
        <w:rPr>
          <w:rFonts w:cstheme="minorHAnsi"/>
          <w:sz w:val="24"/>
          <w:szCs w:val="24"/>
          <w:lang w:val="en-AU"/>
        </w:rPr>
        <w:t>Some i</w:t>
      </w:r>
      <w:r w:rsidR="006B119B">
        <w:rPr>
          <w:rFonts w:cstheme="minorHAnsi"/>
          <w:sz w:val="24"/>
          <w:szCs w:val="24"/>
          <w:lang w:val="en-AU"/>
        </w:rPr>
        <w:t xml:space="preserve">nvestments that fall under MAP Phase 2 will be subject to </w:t>
      </w:r>
      <w:r w:rsidR="00BD3332">
        <w:rPr>
          <w:rFonts w:cstheme="minorHAnsi"/>
          <w:sz w:val="24"/>
          <w:szCs w:val="24"/>
          <w:lang w:val="en-AU"/>
        </w:rPr>
        <w:t>their own</w:t>
      </w:r>
      <w:r w:rsidR="006B119B">
        <w:rPr>
          <w:rFonts w:cstheme="minorHAnsi"/>
          <w:sz w:val="24"/>
          <w:szCs w:val="24"/>
          <w:lang w:val="en-AU"/>
        </w:rPr>
        <w:t xml:space="preserve"> design processe</w:t>
      </w:r>
      <w:r w:rsidR="00BD3332">
        <w:rPr>
          <w:rFonts w:cstheme="minorHAnsi"/>
          <w:sz w:val="24"/>
          <w:szCs w:val="24"/>
          <w:lang w:val="en-AU"/>
        </w:rPr>
        <w:t xml:space="preserve">s. Design and quality assurance requirements for these investments will be streamlined and proportionate, subject to their value and risk profile. </w:t>
      </w:r>
    </w:p>
    <w:p w14:paraId="486AC568" w14:textId="4AE76328" w:rsidR="00AC3C8F" w:rsidRPr="00DA776F" w:rsidRDefault="00B2652B" w:rsidP="00343468">
      <w:pPr>
        <w:rPr>
          <w:rFonts w:cstheme="minorHAnsi"/>
          <w:b/>
          <w:bCs/>
          <w:i/>
          <w:iCs/>
          <w:sz w:val="24"/>
          <w:szCs w:val="24"/>
          <w:lang w:val="en-AU"/>
        </w:rPr>
      </w:pPr>
      <w:r w:rsidRPr="00DA776F">
        <w:rPr>
          <w:rFonts w:cstheme="minorHAnsi"/>
          <w:sz w:val="24"/>
          <w:szCs w:val="24"/>
          <w:lang w:val="en-AU"/>
        </w:rPr>
        <w:t xml:space="preserve">MAP Phase 2 has five </w:t>
      </w:r>
      <w:r w:rsidR="00C3705B" w:rsidRPr="00DA776F">
        <w:rPr>
          <w:rFonts w:cstheme="minorHAnsi"/>
          <w:sz w:val="24"/>
          <w:szCs w:val="24"/>
          <w:lang w:val="en-AU"/>
        </w:rPr>
        <w:t>end of portfolio outcomes (EOPO)</w:t>
      </w:r>
      <w:r w:rsidR="00DE1FFB" w:rsidRPr="00DA776F">
        <w:rPr>
          <w:rFonts w:cstheme="minorHAnsi"/>
          <w:sz w:val="24"/>
          <w:szCs w:val="24"/>
          <w:lang w:val="en-AU"/>
        </w:rPr>
        <w:t xml:space="preserve"> that reflect thematic areas of interest. These </w:t>
      </w:r>
      <w:r w:rsidR="001C01D7" w:rsidRPr="00DA776F">
        <w:rPr>
          <w:rFonts w:cstheme="minorHAnsi"/>
          <w:sz w:val="24"/>
          <w:szCs w:val="24"/>
          <w:lang w:val="en-AU"/>
        </w:rPr>
        <w:t>represent an evolution of</w:t>
      </w:r>
      <w:r w:rsidR="00451F8E" w:rsidRPr="00DA776F">
        <w:rPr>
          <w:rFonts w:cstheme="minorHAnsi"/>
          <w:sz w:val="24"/>
          <w:szCs w:val="24"/>
          <w:lang w:val="en-AU"/>
        </w:rPr>
        <w:t xml:space="preserve"> MAP Phase 1 </w:t>
      </w:r>
      <w:r w:rsidR="001C01D7" w:rsidRPr="00DA776F">
        <w:rPr>
          <w:rFonts w:cstheme="minorHAnsi"/>
          <w:sz w:val="24"/>
          <w:szCs w:val="24"/>
          <w:lang w:val="en-AU"/>
        </w:rPr>
        <w:t>pillars</w:t>
      </w:r>
      <w:r w:rsidR="00DE1FFB" w:rsidRPr="00DA776F">
        <w:rPr>
          <w:rFonts w:cstheme="minorHAnsi"/>
          <w:sz w:val="24"/>
          <w:szCs w:val="24"/>
          <w:lang w:val="en-AU"/>
        </w:rPr>
        <w:t>, are</w:t>
      </w:r>
      <w:r w:rsidR="00D3221B" w:rsidRPr="00DA776F">
        <w:rPr>
          <w:rFonts w:cstheme="minorHAnsi"/>
          <w:sz w:val="24"/>
          <w:szCs w:val="24"/>
          <w:lang w:val="en-AU"/>
        </w:rPr>
        <w:t xml:space="preserve"> align</w:t>
      </w:r>
      <w:r w:rsidR="00DE1FFB" w:rsidRPr="00DA776F">
        <w:rPr>
          <w:rFonts w:cstheme="minorHAnsi"/>
          <w:sz w:val="24"/>
          <w:szCs w:val="24"/>
          <w:lang w:val="en-AU"/>
        </w:rPr>
        <w:t>ed</w:t>
      </w:r>
      <w:r w:rsidR="00D3221B" w:rsidRPr="00DA776F">
        <w:rPr>
          <w:rFonts w:cstheme="minorHAnsi"/>
          <w:sz w:val="24"/>
          <w:szCs w:val="24"/>
          <w:lang w:val="en-AU"/>
        </w:rPr>
        <w:t xml:space="preserve"> with </w:t>
      </w:r>
      <w:r w:rsidR="00D3221B" w:rsidRPr="00DA776F">
        <w:rPr>
          <w:rFonts w:eastAsia="Segoe UI" w:cstheme="minorHAnsi"/>
          <w:i/>
          <w:iCs/>
          <w:color w:val="333333"/>
          <w:sz w:val="24"/>
          <w:szCs w:val="24"/>
          <w:lang w:val="en-AU"/>
        </w:rPr>
        <w:t>Australia’s International Development Policy</w:t>
      </w:r>
      <w:r w:rsidR="00D3221B" w:rsidRPr="00DA776F">
        <w:rPr>
          <w:rFonts w:eastAsia="Calibri Light" w:cstheme="minorHAnsi"/>
          <w:sz w:val="24"/>
          <w:szCs w:val="24"/>
          <w:lang w:val="en-AU"/>
        </w:rPr>
        <w:t xml:space="preserve"> and </w:t>
      </w:r>
      <w:r w:rsidR="00D3221B" w:rsidRPr="00DA776F">
        <w:rPr>
          <w:rFonts w:cstheme="minorHAnsi"/>
          <w:sz w:val="24"/>
          <w:szCs w:val="24"/>
          <w:lang w:val="en-AU"/>
        </w:rPr>
        <w:t xml:space="preserve">DFAT’s </w:t>
      </w:r>
      <w:r w:rsidR="00D3221B" w:rsidRPr="00DA776F">
        <w:rPr>
          <w:rFonts w:cstheme="minorHAnsi"/>
          <w:i/>
          <w:iCs/>
          <w:sz w:val="24"/>
          <w:szCs w:val="24"/>
          <w:lang w:val="en-AU"/>
        </w:rPr>
        <w:t>Southeast Asia</w:t>
      </w:r>
      <w:r w:rsidR="00BE660E">
        <w:rPr>
          <w:rFonts w:cstheme="minorHAnsi"/>
          <w:i/>
          <w:iCs/>
          <w:sz w:val="24"/>
          <w:szCs w:val="24"/>
          <w:lang w:val="en-AU"/>
        </w:rPr>
        <w:t xml:space="preserve"> Regional</w:t>
      </w:r>
      <w:r w:rsidR="00D3221B" w:rsidRPr="00DA776F">
        <w:rPr>
          <w:rFonts w:cstheme="minorHAnsi"/>
          <w:i/>
          <w:iCs/>
          <w:sz w:val="24"/>
          <w:szCs w:val="24"/>
          <w:lang w:val="en-AU"/>
        </w:rPr>
        <w:t xml:space="preserve"> DPP</w:t>
      </w:r>
      <w:r w:rsidR="00DE1FFB" w:rsidRPr="00DA776F">
        <w:rPr>
          <w:rFonts w:cstheme="minorHAnsi"/>
          <w:sz w:val="24"/>
          <w:szCs w:val="24"/>
          <w:lang w:val="en-AU"/>
        </w:rPr>
        <w:t>, and</w:t>
      </w:r>
      <w:r w:rsidR="00D3221B" w:rsidRPr="00DA776F">
        <w:rPr>
          <w:rFonts w:cstheme="minorHAnsi"/>
          <w:sz w:val="24"/>
          <w:szCs w:val="24"/>
          <w:lang w:val="en-AU"/>
        </w:rPr>
        <w:t xml:space="preserve"> </w:t>
      </w:r>
      <w:r w:rsidR="00451F8E" w:rsidRPr="00DA776F">
        <w:rPr>
          <w:rFonts w:cstheme="minorHAnsi"/>
          <w:sz w:val="24"/>
          <w:szCs w:val="24"/>
          <w:lang w:val="en-AU"/>
        </w:rPr>
        <w:t>will</w:t>
      </w:r>
      <w:r w:rsidR="00AC3C8F" w:rsidRPr="00DA776F">
        <w:rPr>
          <w:rFonts w:cstheme="minorHAnsi"/>
          <w:sz w:val="24"/>
          <w:szCs w:val="24"/>
          <w:lang w:val="en-AU"/>
        </w:rPr>
        <w:t xml:space="preserve"> guide investment selection</w:t>
      </w:r>
      <w:r w:rsidRPr="00DA776F">
        <w:rPr>
          <w:rFonts w:cstheme="minorHAnsi"/>
          <w:sz w:val="24"/>
          <w:szCs w:val="24"/>
          <w:lang w:val="en-AU"/>
        </w:rPr>
        <w:t xml:space="preserve">: </w:t>
      </w:r>
    </w:p>
    <w:p w14:paraId="59214F72" w14:textId="730484DF" w:rsidR="00AC3C8F" w:rsidRPr="00DA776F" w:rsidRDefault="002D0B10" w:rsidP="002E677B">
      <w:pPr>
        <w:pStyle w:val="ListParagraph"/>
        <w:numPr>
          <w:ilvl w:val="0"/>
          <w:numId w:val="51"/>
        </w:numPr>
        <w:rPr>
          <w:sz w:val="24"/>
          <w:szCs w:val="24"/>
          <w:lang w:val="en-AU"/>
        </w:rPr>
      </w:pPr>
      <w:r w:rsidRPr="00DA776F">
        <w:rPr>
          <w:sz w:val="24"/>
          <w:szCs w:val="24"/>
          <w:lang w:val="en-AU"/>
        </w:rPr>
        <w:t>Climate resilience</w:t>
      </w:r>
    </w:p>
    <w:p w14:paraId="6E17B92C" w14:textId="7E3E1973" w:rsidR="00AC3C8F" w:rsidRPr="00DA776F" w:rsidRDefault="00B2652B" w:rsidP="002E677B">
      <w:pPr>
        <w:pStyle w:val="ListParagraph"/>
        <w:numPr>
          <w:ilvl w:val="0"/>
          <w:numId w:val="51"/>
        </w:numPr>
        <w:rPr>
          <w:sz w:val="24"/>
          <w:szCs w:val="24"/>
          <w:lang w:val="en-AU"/>
        </w:rPr>
      </w:pPr>
      <w:r w:rsidRPr="00DA776F">
        <w:rPr>
          <w:sz w:val="24"/>
          <w:szCs w:val="24"/>
          <w:lang w:val="en-AU"/>
        </w:rPr>
        <w:t xml:space="preserve">Water </w:t>
      </w:r>
      <w:r w:rsidR="002D0B10" w:rsidRPr="00DA776F">
        <w:rPr>
          <w:sz w:val="24"/>
          <w:szCs w:val="24"/>
          <w:lang w:val="en-AU"/>
        </w:rPr>
        <w:t>s</w:t>
      </w:r>
      <w:r w:rsidRPr="00DA776F">
        <w:rPr>
          <w:sz w:val="24"/>
          <w:szCs w:val="24"/>
          <w:lang w:val="en-AU"/>
        </w:rPr>
        <w:t>ecurity</w:t>
      </w:r>
    </w:p>
    <w:p w14:paraId="4FAFC0C8" w14:textId="7C32A323" w:rsidR="00B2652B" w:rsidRPr="00DA776F" w:rsidRDefault="002D0B10" w:rsidP="002E677B">
      <w:pPr>
        <w:pStyle w:val="ListParagraph"/>
        <w:numPr>
          <w:ilvl w:val="0"/>
          <w:numId w:val="51"/>
        </w:numPr>
        <w:rPr>
          <w:rFonts w:cstheme="minorHAnsi"/>
          <w:sz w:val="24"/>
          <w:szCs w:val="24"/>
          <w:lang w:val="en-AU"/>
        </w:rPr>
      </w:pPr>
      <w:r w:rsidRPr="00DA776F">
        <w:rPr>
          <w:rFonts w:cstheme="minorHAnsi"/>
          <w:sz w:val="24"/>
          <w:szCs w:val="24"/>
          <w:lang w:val="en-AU"/>
        </w:rPr>
        <w:t>Gender equality, disability and social inclusion</w:t>
      </w:r>
      <w:r w:rsidR="00D3221B" w:rsidRPr="00DA776F">
        <w:rPr>
          <w:rFonts w:cstheme="minorHAnsi"/>
          <w:sz w:val="24"/>
          <w:szCs w:val="24"/>
          <w:lang w:val="en-AU"/>
        </w:rPr>
        <w:t xml:space="preserve"> (GEDSI)</w:t>
      </w:r>
    </w:p>
    <w:p w14:paraId="0D68F179" w14:textId="4FEC986E" w:rsidR="00555A20" w:rsidRPr="00DA776F" w:rsidRDefault="00555A20" w:rsidP="002E677B">
      <w:pPr>
        <w:pStyle w:val="ListParagraph"/>
        <w:numPr>
          <w:ilvl w:val="0"/>
          <w:numId w:val="51"/>
        </w:numPr>
        <w:rPr>
          <w:rFonts w:cstheme="minorHAnsi"/>
          <w:sz w:val="24"/>
          <w:szCs w:val="24"/>
          <w:lang w:val="en-AU"/>
        </w:rPr>
      </w:pPr>
      <w:r w:rsidRPr="00DA776F">
        <w:rPr>
          <w:rFonts w:cstheme="minorHAnsi"/>
          <w:sz w:val="24"/>
          <w:szCs w:val="24"/>
          <w:lang w:val="en-AU"/>
        </w:rPr>
        <w:lastRenderedPageBreak/>
        <w:t>Economic resilience and subregional integration</w:t>
      </w:r>
    </w:p>
    <w:p w14:paraId="16ABF9B0" w14:textId="7219DC56" w:rsidR="001D3895" w:rsidRPr="00DA776F" w:rsidRDefault="4A4F4906" w:rsidP="4C1C98D1">
      <w:pPr>
        <w:pStyle w:val="ListParagraph"/>
        <w:numPr>
          <w:ilvl w:val="0"/>
          <w:numId w:val="51"/>
        </w:numPr>
        <w:rPr>
          <w:sz w:val="24"/>
          <w:szCs w:val="24"/>
          <w:lang w:val="en-AU"/>
        </w:rPr>
      </w:pPr>
      <w:r w:rsidRPr="00DA776F">
        <w:rPr>
          <w:sz w:val="24"/>
          <w:szCs w:val="24"/>
          <w:lang w:val="en-AU"/>
        </w:rPr>
        <w:t>T</w:t>
      </w:r>
      <w:r w:rsidR="2F978808" w:rsidRPr="00DA776F">
        <w:rPr>
          <w:sz w:val="24"/>
          <w:szCs w:val="24"/>
          <w:lang w:val="en-AU"/>
        </w:rPr>
        <w:t>ransnational crime</w:t>
      </w:r>
      <w:r w:rsidR="4B52EB25" w:rsidRPr="00DA776F">
        <w:rPr>
          <w:sz w:val="24"/>
          <w:szCs w:val="24"/>
          <w:lang w:val="en-AU"/>
        </w:rPr>
        <w:t xml:space="preserve"> (TNC)</w:t>
      </w:r>
      <w:r w:rsidR="7339E25F" w:rsidRPr="00DA776F">
        <w:rPr>
          <w:sz w:val="24"/>
          <w:szCs w:val="24"/>
          <w:lang w:val="en-AU"/>
        </w:rPr>
        <w:t>.</w:t>
      </w:r>
    </w:p>
    <w:p w14:paraId="4F8879D1" w14:textId="4E3FB804" w:rsidR="006E3DC5" w:rsidRPr="00DA776F" w:rsidRDefault="00704DF3" w:rsidP="006E3DC5">
      <w:pPr>
        <w:rPr>
          <w:sz w:val="24"/>
          <w:szCs w:val="24"/>
          <w:lang w:val="en-AU"/>
        </w:rPr>
      </w:pPr>
      <w:r w:rsidRPr="00DA776F">
        <w:rPr>
          <w:sz w:val="24"/>
          <w:szCs w:val="24"/>
          <w:lang w:val="en-AU"/>
        </w:rPr>
        <w:t>These areas</w:t>
      </w:r>
      <w:r w:rsidR="006E3DC5" w:rsidRPr="00DA776F">
        <w:rPr>
          <w:sz w:val="24"/>
          <w:szCs w:val="24"/>
          <w:lang w:val="en-AU"/>
        </w:rPr>
        <w:t xml:space="preserve"> are interconnected and mutually reinforcing. Progress in one area often supports and facilitates progress in others, for example:</w:t>
      </w:r>
    </w:p>
    <w:p w14:paraId="41B61C7E" w14:textId="1C73623C" w:rsidR="006E3DC5" w:rsidRPr="00DA776F" w:rsidRDefault="4A833987" w:rsidP="002E677B">
      <w:pPr>
        <w:pStyle w:val="ListParagraph"/>
        <w:numPr>
          <w:ilvl w:val="0"/>
          <w:numId w:val="50"/>
        </w:numPr>
        <w:rPr>
          <w:sz w:val="24"/>
          <w:szCs w:val="24"/>
          <w:lang w:val="en-AU"/>
        </w:rPr>
      </w:pPr>
      <w:r w:rsidRPr="00DA776F">
        <w:rPr>
          <w:sz w:val="24"/>
          <w:szCs w:val="24"/>
          <w:lang w:val="en-AU"/>
        </w:rPr>
        <w:t>e</w:t>
      </w:r>
      <w:r w:rsidR="2F6D2BF2" w:rsidRPr="00DA776F">
        <w:rPr>
          <w:sz w:val="24"/>
          <w:szCs w:val="24"/>
          <w:lang w:val="en-AU"/>
        </w:rPr>
        <w:t>nhancing climate resilience and water security can promote economic resilience and social well-being by safeguarding livelihoods and ecosystems, whil</w:t>
      </w:r>
      <w:r w:rsidR="2156FA29" w:rsidRPr="00DA776F">
        <w:rPr>
          <w:sz w:val="24"/>
          <w:szCs w:val="24"/>
          <w:lang w:val="en-AU"/>
        </w:rPr>
        <w:t>e</w:t>
      </w:r>
      <w:r w:rsidR="2F6D2BF2" w:rsidRPr="00DA776F">
        <w:rPr>
          <w:sz w:val="24"/>
          <w:szCs w:val="24"/>
          <w:lang w:val="en-AU"/>
        </w:rPr>
        <w:t xml:space="preserve"> also ensuring the voice</w:t>
      </w:r>
      <w:r w:rsidR="11CFBA9E" w:rsidRPr="00DA776F">
        <w:rPr>
          <w:sz w:val="24"/>
          <w:szCs w:val="24"/>
          <w:lang w:val="en-AU"/>
        </w:rPr>
        <w:t>s</w:t>
      </w:r>
      <w:r w:rsidR="2F6D2BF2" w:rsidRPr="00DA776F">
        <w:rPr>
          <w:sz w:val="24"/>
          <w:szCs w:val="24"/>
          <w:lang w:val="en-AU"/>
        </w:rPr>
        <w:t xml:space="preserve"> of women and marginalised groups are heard in policy and decision-making processes</w:t>
      </w:r>
    </w:p>
    <w:p w14:paraId="026FF840" w14:textId="12966DBD" w:rsidR="006E3DC5" w:rsidRPr="00DA776F" w:rsidRDefault="004633BD" w:rsidP="002E677B">
      <w:pPr>
        <w:pStyle w:val="ListParagraph"/>
        <w:numPr>
          <w:ilvl w:val="0"/>
          <w:numId w:val="50"/>
        </w:numPr>
        <w:rPr>
          <w:sz w:val="24"/>
          <w:szCs w:val="24"/>
          <w:lang w:val="en-AU"/>
        </w:rPr>
      </w:pPr>
      <w:r w:rsidRPr="00DA776F">
        <w:rPr>
          <w:sz w:val="24"/>
          <w:szCs w:val="24"/>
          <w:lang w:val="en-AU"/>
        </w:rPr>
        <w:t xml:space="preserve">enhancing </w:t>
      </w:r>
      <w:r w:rsidR="006E3DC5" w:rsidRPr="00DA776F">
        <w:rPr>
          <w:sz w:val="24"/>
          <w:szCs w:val="24"/>
          <w:lang w:val="en-AU"/>
        </w:rPr>
        <w:t xml:space="preserve">women’s labour force participation and economic empowerment contributes to gender equality, economic resilience, and community resilience to economic shocks, and </w:t>
      </w:r>
      <w:r w:rsidR="00395A00" w:rsidRPr="00DA776F">
        <w:rPr>
          <w:sz w:val="24"/>
          <w:szCs w:val="24"/>
          <w:lang w:val="en-AU"/>
        </w:rPr>
        <w:t xml:space="preserve">can </w:t>
      </w:r>
      <w:r w:rsidR="006E3DC5" w:rsidRPr="00DA776F">
        <w:rPr>
          <w:sz w:val="24"/>
          <w:szCs w:val="24"/>
          <w:lang w:val="en-AU"/>
        </w:rPr>
        <w:t>open the door to greater opportunities for other marginalised groups</w:t>
      </w:r>
    </w:p>
    <w:p w14:paraId="1C936700" w14:textId="118C595D" w:rsidR="006E3DC5" w:rsidRPr="00DA776F" w:rsidRDefault="004633BD" w:rsidP="002E677B">
      <w:pPr>
        <w:pStyle w:val="ListParagraph"/>
        <w:numPr>
          <w:ilvl w:val="0"/>
          <w:numId w:val="50"/>
        </w:numPr>
        <w:rPr>
          <w:sz w:val="24"/>
          <w:szCs w:val="24"/>
          <w:lang w:val="en-AU"/>
        </w:rPr>
      </w:pPr>
      <w:r w:rsidRPr="00DA776F">
        <w:rPr>
          <w:sz w:val="24"/>
          <w:szCs w:val="24"/>
          <w:lang w:val="en-AU"/>
        </w:rPr>
        <w:t xml:space="preserve">organised </w:t>
      </w:r>
      <w:r w:rsidR="001D3895" w:rsidRPr="00DA776F">
        <w:rPr>
          <w:sz w:val="24"/>
          <w:szCs w:val="24"/>
          <w:lang w:val="en-AU"/>
        </w:rPr>
        <w:t>crime not only profits from the effects of climate change</w:t>
      </w:r>
      <w:r w:rsidR="46C9FAD3" w:rsidRPr="00DA776F">
        <w:rPr>
          <w:sz w:val="24"/>
          <w:szCs w:val="24"/>
          <w:lang w:val="en-AU"/>
        </w:rPr>
        <w:t xml:space="preserve"> but</w:t>
      </w:r>
      <w:r w:rsidR="001D3895" w:rsidRPr="00DA776F">
        <w:rPr>
          <w:sz w:val="24"/>
          <w:szCs w:val="24"/>
          <w:lang w:val="en-AU"/>
        </w:rPr>
        <w:t xml:space="preserve"> it also drives some </w:t>
      </w:r>
      <w:r w:rsidR="00BD6DAF" w:rsidRPr="00DA776F">
        <w:rPr>
          <w:sz w:val="24"/>
          <w:szCs w:val="24"/>
          <w:lang w:val="en-AU"/>
        </w:rPr>
        <w:t>environmental</w:t>
      </w:r>
      <w:r w:rsidR="00100D58" w:rsidRPr="00DA776F">
        <w:rPr>
          <w:sz w:val="24"/>
          <w:szCs w:val="24"/>
          <w:lang w:val="en-AU"/>
        </w:rPr>
        <w:t xml:space="preserve"> </w:t>
      </w:r>
      <w:r w:rsidR="001D3895" w:rsidRPr="00DA776F">
        <w:rPr>
          <w:sz w:val="24"/>
          <w:szCs w:val="24"/>
          <w:lang w:val="en-AU"/>
        </w:rPr>
        <w:t xml:space="preserve">degradation. </w:t>
      </w:r>
      <w:r w:rsidR="006E3DC5" w:rsidRPr="00DA776F">
        <w:rPr>
          <w:sz w:val="24"/>
          <w:szCs w:val="24"/>
          <w:lang w:val="en-AU"/>
        </w:rPr>
        <w:t xml:space="preserve">Strengthening cooperation on countering transnational crime can </w:t>
      </w:r>
      <w:r w:rsidR="001D3895" w:rsidRPr="00DA776F">
        <w:rPr>
          <w:sz w:val="24"/>
          <w:szCs w:val="24"/>
          <w:lang w:val="en-AU"/>
        </w:rPr>
        <w:t xml:space="preserve">therefore </w:t>
      </w:r>
      <w:r w:rsidR="006E3DC5" w:rsidRPr="00DA776F">
        <w:rPr>
          <w:sz w:val="24"/>
          <w:szCs w:val="24"/>
          <w:lang w:val="en-AU"/>
        </w:rPr>
        <w:t xml:space="preserve">contribute to </w:t>
      </w:r>
      <w:r w:rsidR="001D3895" w:rsidRPr="00DA776F">
        <w:rPr>
          <w:sz w:val="24"/>
          <w:szCs w:val="24"/>
          <w:lang w:val="en-AU"/>
        </w:rPr>
        <w:t>reduced climate change vulnerability</w:t>
      </w:r>
      <w:r w:rsidR="00024BD5" w:rsidRPr="00DA776F">
        <w:rPr>
          <w:sz w:val="24"/>
          <w:szCs w:val="24"/>
          <w:lang w:val="en-AU"/>
        </w:rPr>
        <w:t>,</w:t>
      </w:r>
      <w:r w:rsidR="001D3895" w:rsidRPr="00DA776F">
        <w:rPr>
          <w:sz w:val="24"/>
          <w:szCs w:val="24"/>
          <w:lang w:val="en-AU"/>
        </w:rPr>
        <w:t xml:space="preserve"> </w:t>
      </w:r>
      <w:r w:rsidR="0057356D" w:rsidRPr="00DA776F">
        <w:rPr>
          <w:sz w:val="24"/>
          <w:szCs w:val="24"/>
          <w:lang w:val="en-AU"/>
        </w:rPr>
        <w:t>and</w:t>
      </w:r>
      <w:r w:rsidR="001D3895" w:rsidRPr="00DA776F">
        <w:rPr>
          <w:sz w:val="24"/>
          <w:szCs w:val="24"/>
          <w:lang w:val="en-AU"/>
        </w:rPr>
        <w:t xml:space="preserve"> </w:t>
      </w:r>
      <w:r w:rsidR="006E3DC5" w:rsidRPr="00DA776F">
        <w:rPr>
          <w:sz w:val="24"/>
          <w:szCs w:val="24"/>
          <w:lang w:val="en-AU"/>
        </w:rPr>
        <w:t>regional stability and security, fostering an environment conducive to improved economic integration.</w:t>
      </w:r>
    </w:p>
    <w:p w14:paraId="1FD715E6" w14:textId="1A10C197" w:rsidR="006E3DC5" w:rsidRPr="00DA776F" w:rsidRDefault="2F978808" w:rsidP="00812730">
      <w:pPr>
        <w:rPr>
          <w:sz w:val="24"/>
          <w:szCs w:val="24"/>
          <w:lang w:val="en-AU"/>
        </w:rPr>
      </w:pPr>
      <w:r w:rsidRPr="00DA776F">
        <w:rPr>
          <w:sz w:val="24"/>
          <w:szCs w:val="24"/>
          <w:lang w:val="en-AU"/>
        </w:rPr>
        <w:t xml:space="preserve">Given the breadth of </w:t>
      </w:r>
      <w:r w:rsidR="301E1C98" w:rsidRPr="00DA776F">
        <w:rPr>
          <w:sz w:val="24"/>
          <w:szCs w:val="24"/>
          <w:lang w:val="en-AU"/>
        </w:rPr>
        <w:t xml:space="preserve">MAP Phase 2 </w:t>
      </w:r>
      <w:r w:rsidRPr="00DA776F">
        <w:rPr>
          <w:sz w:val="24"/>
          <w:szCs w:val="24"/>
          <w:lang w:val="en-AU"/>
        </w:rPr>
        <w:t>portfolio and the need to retain a high level of flexibility, the</w:t>
      </w:r>
      <w:r w:rsidR="53200B88" w:rsidRPr="00DA776F">
        <w:rPr>
          <w:sz w:val="24"/>
          <w:szCs w:val="24"/>
          <w:lang w:val="en-AU"/>
        </w:rPr>
        <w:t xml:space="preserve"> portfolio</w:t>
      </w:r>
      <w:r w:rsidRPr="00DA776F">
        <w:rPr>
          <w:sz w:val="24"/>
          <w:szCs w:val="24"/>
          <w:lang w:val="en-AU"/>
        </w:rPr>
        <w:t xml:space="preserve"> immediate </w:t>
      </w:r>
      <w:r w:rsidR="1087C7F3" w:rsidRPr="00DA776F">
        <w:rPr>
          <w:sz w:val="24"/>
          <w:szCs w:val="24"/>
          <w:lang w:val="en-AU"/>
        </w:rPr>
        <w:t>and</w:t>
      </w:r>
      <w:r w:rsidR="4B52EB25" w:rsidRPr="00DA776F">
        <w:rPr>
          <w:sz w:val="24"/>
          <w:szCs w:val="24"/>
          <w:lang w:val="en-AU"/>
        </w:rPr>
        <w:t xml:space="preserve"> intermediate outcomes focus on enabling</w:t>
      </w:r>
      <w:r w:rsidR="6BB2644D" w:rsidRPr="00DA776F">
        <w:rPr>
          <w:sz w:val="24"/>
          <w:szCs w:val="24"/>
          <w:lang w:val="en-AU"/>
        </w:rPr>
        <w:t xml:space="preserve"> pathways and</w:t>
      </w:r>
      <w:r w:rsidR="4B52EB25" w:rsidRPr="00DA776F">
        <w:rPr>
          <w:sz w:val="24"/>
          <w:szCs w:val="24"/>
          <w:lang w:val="en-AU"/>
        </w:rPr>
        <w:t xml:space="preserve"> </w:t>
      </w:r>
      <w:r w:rsidR="3AE0F01C" w:rsidRPr="00DA776F">
        <w:rPr>
          <w:sz w:val="24"/>
          <w:szCs w:val="24"/>
          <w:lang w:val="en-AU"/>
        </w:rPr>
        <w:t xml:space="preserve">drivers </w:t>
      </w:r>
      <w:r w:rsidR="4B52EB25" w:rsidRPr="00DA776F">
        <w:rPr>
          <w:sz w:val="24"/>
          <w:szCs w:val="24"/>
          <w:lang w:val="en-AU"/>
        </w:rPr>
        <w:t>of chang</w:t>
      </w:r>
      <w:r w:rsidR="5CA9A4A6" w:rsidRPr="00DA776F">
        <w:rPr>
          <w:sz w:val="24"/>
          <w:szCs w:val="24"/>
          <w:lang w:val="en-AU"/>
        </w:rPr>
        <w:t>e</w:t>
      </w:r>
      <w:r w:rsidR="51501396" w:rsidRPr="00DA776F">
        <w:rPr>
          <w:sz w:val="24"/>
          <w:szCs w:val="24"/>
          <w:lang w:val="en-AU"/>
        </w:rPr>
        <w:t xml:space="preserve">. The </w:t>
      </w:r>
      <w:r w:rsidR="5CA9A4A6" w:rsidRPr="00DA776F">
        <w:rPr>
          <w:sz w:val="24"/>
          <w:szCs w:val="24"/>
          <w:lang w:val="en-AU"/>
        </w:rPr>
        <w:t xml:space="preserve">indicative thematic intermediate outcomes </w:t>
      </w:r>
      <w:r w:rsidR="19501610" w:rsidRPr="00DA776F">
        <w:rPr>
          <w:sz w:val="24"/>
          <w:szCs w:val="24"/>
          <w:lang w:val="en-AU"/>
        </w:rPr>
        <w:t xml:space="preserve">(to be </w:t>
      </w:r>
      <w:r w:rsidR="74402057" w:rsidRPr="00DA776F">
        <w:rPr>
          <w:sz w:val="24"/>
          <w:szCs w:val="24"/>
          <w:lang w:val="en-AU"/>
        </w:rPr>
        <w:t xml:space="preserve">refined throughout thematic strategies) focus on </w:t>
      </w:r>
      <w:r w:rsidR="4479C6F2" w:rsidRPr="00DA776F">
        <w:rPr>
          <w:sz w:val="24"/>
          <w:szCs w:val="24"/>
          <w:lang w:val="en-AU"/>
        </w:rPr>
        <w:t>measurable progress in each thematic area of MAP Phase 2</w:t>
      </w:r>
      <w:r w:rsidR="4BD91173" w:rsidRPr="00DA776F">
        <w:rPr>
          <w:sz w:val="24"/>
          <w:szCs w:val="24"/>
          <w:lang w:val="en-AU"/>
        </w:rPr>
        <w:t xml:space="preserve">. </w:t>
      </w:r>
      <w:r w:rsidR="234D0A22" w:rsidRPr="00DA776F">
        <w:rPr>
          <w:sz w:val="24"/>
          <w:szCs w:val="24"/>
          <w:lang w:val="en-AU"/>
        </w:rPr>
        <w:t xml:space="preserve">Each level of the portfolio logic is linked through a causal chain. </w:t>
      </w:r>
      <w:r w:rsidRPr="00DA776F">
        <w:rPr>
          <w:sz w:val="24"/>
          <w:szCs w:val="24"/>
          <w:lang w:val="en-AU"/>
        </w:rPr>
        <w:t>I</w:t>
      </w:r>
      <w:r w:rsidR="301E1C98" w:rsidRPr="00DA776F">
        <w:rPr>
          <w:sz w:val="24"/>
          <w:szCs w:val="24"/>
          <w:lang w:val="en-AU"/>
        </w:rPr>
        <w:t xml:space="preserve">nvestments will be </w:t>
      </w:r>
      <w:r w:rsidR="4A4F4906" w:rsidRPr="00DA776F">
        <w:rPr>
          <w:sz w:val="24"/>
          <w:szCs w:val="24"/>
          <w:lang w:val="en-AU"/>
        </w:rPr>
        <w:t>diverse,</w:t>
      </w:r>
      <w:r w:rsidR="301E1C98" w:rsidRPr="00DA776F">
        <w:rPr>
          <w:sz w:val="24"/>
          <w:szCs w:val="24"/>
          <w:lang w:val="en-AU"/>
        </w:rPr>
        <w:t xml:space="preserve"> and many will </w:t>
      </w:r>
      <w:r w:rsidRPr="00DA776F">
        <w:rPr>
          <w:sz w:val="24"/>
          <w:szCs w:val="24"/>
          <w:lang w:val="en-AU"/>
        </w:rPr>
        <w:t xml:space="preserve">include multiple pathways, contributing to several </w:t>
      </w:r>
      <w:r w:rsidR="301E1C98" w:rsidRPr="00DA776F">
        <w:rPr>
          <w:sz w:val="24"/>
          <w:szCs w:val="24"/>
          <w:lang w:val="en-AU"/>
        </w:rPr>
        <w:t xml:space="preserve">immediate outcomes. </w:t>
      </w:r>
      <w:r w:rsidR="4CE5BC18" w:rsidRPr="00DA776F">
        <w:rPr>
          <w:sz w:val="24"/>
          <w:szCs w:val="24"/>
          <w:lang w:val="en-AU"/>
        </w:rPr>
        <w:t xml:space="preserve">Achievement of </w:t>
      </w:r>
      <w:r w:rsidRPr="00DA776F">
        <w:rPr>
          <w:sz w:val="24"/>
          <w:szCs w:val="24"/>
          <w:lang w:val="en-AU"/>
        </w:rPr>
        <w:t>these</w:t>
      </w:r>
      <w:r w:rsidR="4CE5BC18" w:rsidRPr="00DA776F">
        <w:rPr>
          <w:sz w:val="24"/>
          <w:szCs w:val="24"/>
          <w:lang w:val="en-AU"/>
        </w:rPr>
        <w:t xml:space="preserve"> outcomes are expected to </w:t>
      </w:r>
      <w:r w:rsidR="4B52EB25" w:rsidRPr="00DA776F">
        <w:rPr>
          <w:sz w:val="24"/>
          <w:szCs w:val="24"/>
          <w:lang w:val="en-AU"/>
        </w:rPr>
        <w:t>lead to stronger</w:t>
      </w:r>
      <w:r w:rsidR="4CE5BC18" w:rsidRPr="00DA776F">
        <w:rPr>
          <w:sz w:val="24"/>
          <w:szCs w:val="24"/>
          <w:lang w:val="en-AU"/>
        </w:rPr>
        <w:t xml:space="preserve"> partnerships, </w:t>
      </w:r>
      <w:r w:rsidR="2D3FB849" w:rsidRPr="00DA776F">
        <w:rPr>
          <w:sz w:val="24"/>
          <w:szCs w:val="24"/>
          <w:lang w:val="en-AU"/>
        </w:rPr>
        <w:t xml:space="preserve">more </w:t>
      </w:r>
      <w:r w:rsidR="4CE5BC18" w:rsidRPr="00DA776F">
        <w:rPr>
          <w:sz w:val="24"/>
          <w:szCs w:val="24"/>
          <w:lang w:val="en-AU"/>
        </w:rPr>
        <w:t>evidence-based and inclusive policies</w:t>
      </w:r>
      <w:r w:rsidR="3B654812" w:rsidRPr="00DA776F">
        <w:rPr>
          <w:sz w:val="24"/>
          <w:szCs w:val="24"/>
          <w:lang w:val="en-AU"/>
        </w:rPr>
        <w:t xml:space="preserve"> and practices</w:t>
      </w:r>
      <w:r w:rsidR="4CE5BC18" w:rsidRPr="00DA776F">
        <w:rPr>
          <w:sz w:val="24"/>
          <w:szCs w:val="24"/>
          <w:lang w:val="en-AU"/>
        </w:rPr>
        <w:t xml:space="preserve">, and increased </w:t>
      </w:r>
      <w:r w:rsidR="4B52EB25" w:rsidRPr="00DA776F">
        <w:rPr>
          <w:sz w:val="24"/>
          <w:szCs w:val="24"/>
          <w:lang w:val="en-AU"/>
        </w:rPr>
        <w:t xml:space="preserve">cooperation and </w:t>
      </w:r>
      <w:r w:rsidR="4CE5BC18" w:rsidRPr="00DA776F">
        <w:rPr>
          <w:sz w:val="24"/>
          <w:szCs w:val="24"/>
          <w:lang w:val="en-AU"/>
        </w:rPr>
        <w:t>joint pursuit of mutually beneficial solutions</w:t>
      </w:r>
      <w:r w:rsidR="2D3FB849" w:rsidRPr="00DA776F">
        <w:rPr>
          <w:sz w:val="24"/>
          <w:szCs w:val="24"/>
          <w:lang w:val="en-AU"/>
        </w:rPr>
        <w:t>, which in turn will promote sough</w:t>
      </w:r>
      <w:r w:rsidR="76C3C19A" w:rsidRPr="00DA776F">
        <w:rPr>
          <w:sz w:val="24"/>
          <w:szCs w:val="24"/>
          <w:lang w:val="en-AU"/>
        </w:rPr>
        <w:t>t</w:t>
      </w:r>
      <w:r w:rsidR="2D3FB849" w:rsidRPr="00DA776F">
        <w:rPr>
          <w:sz w:val="24"/>
          <w:szCs w:val="24"/>
          <w:lang w:val="en-AU"/>
        </w:rPr>
        <w:t>-after change</w:t>
      </w:r>
      <w:r w:rsidR="4A4F4906" w:rsidRPr="00DA776F">
        <w:rPr>
          <w:sz w:val="24"/>
          <w:szCs w:val="24"/>
          <w:lang w:val="en-AU"/>
        </w:rPr>
        <w:t>s</w:t>
      </w:r>
      <w:r w:rsidR="2D3FB849" w:rsidRPr="00DA776F">
        <w:rPr>
          <w:sz w:val="24"/>
          <w:szCs w:val="24"/>
          <w:lang w:val="en-AU"/>
        </w:rPr>
        <w:t xml:space="preserve"> in the five targeted areas (EOPOs)</w:t>
      </w:r>
      <w:r w:rsidR="4CE5BC18" w:rsidRPr="00DA776F">
        <w:rPr>
          <w:sz w:val="24"/>
          <w:szCs w:val="24"/>
          <w:lang w:val="en-AU"/>
        </w:rPr>
        <w:t>. The culmination of these efforts is expected to result in increased visibility and trust of Australia in the subregion (purpose), and a Mekong subregion more inclusive and better equipped to address shared and transboundary challenges (objective). The objective and purpose represent the sphere of MAP Phase 2’s interest and are above the line of accountability, represented by the blue line in the portfolio logic diagram</w:t>
      </w:r>
      <w:r w:rsidR="3F2E011B" w:rsidRPr="00DA776F">
        <w:rPr>
          <w:sz w:val="24"/>
          <w:szCs w:val="24"/>
          <w:lang w:val="en-AU"/>
        </w:rPr>
        <w:t xml:space="preserve"> (Figure </w:t>
      </w:r>
      <w:r w:rsidR="2E12D6E5" w:rsidRPr="00DA776F">
        <w:rPr>
          <w:sz w:val="24"/>
          <w:szCs w:val="24"/>
          <w:lang w:val="en-AU"/>
        </w:rPr>
        <w:t>2</w:t>
      </w:r>
      <w:r w:rsidR="3F2E011B" w:rsidRPr="00DA776F">
        <w:rPr>
          <w:sz w:val="24"/>
          <w:szCs w:val="24"/>
          <w:lang w:val="en-AU"/>
        </w:rPr>
        <w:t>)</w:t>
      </w:r>
      <w:r w:rsidR="37A589CD" w:rsidRPr="00DA776F">
        <w:rPr>
          <w:sz w:val="24"/>
          <w:szCs w:val="24"/>
          <w:lang w:val="en-AU"/>
        </w:rPr>
        <w:t>.</w:t>
      </w:r>
    </w:p>
    <w:p w14:paraId="3C0FE70A" w14:textId="6C8984B1" w:rsidR="00384D57" w:rsidRPr="00DA776F" w:rsidRDefault="005E0A6F" w:rsidP="00384D57">
      <w:pPr>
        <w:rPr>
          <w:sz w:val="24"/>
          <w:szCs w:val="24"/>
          <w:lang w:val="en-AU"/>
        </w:rPr>
      </w:pPr>
      <w:r w:rsidRPr="00DA776F">
        <w:rPr>
          <w:sz w:val="24"/>
          <w:szCs w:val="24"/>
          <w:lang w:val="en-AU"/>
        </w:rPr>
        <w:t>A high proportion of MAP Phase 2 investments will target Mekong country government institutions, including inter-governmental agencies</w:t>
      </w:r>
      <w:r w:rsidR="00040DF2" w:rsidRPr="00DA776F">
        <w:rPr>
          <w:sz w:val="24"/>
          <w:szCs w:val="24"/>
          <w:lang w:val="en-AU"/>
        </w:rPr>
        <w:t xml:space="preserve"> (within and between partner governments)</w:t>
      </w:r>
      <w:r w:rsidRPr="00DA776F">
        <w:rPr>
          <w:sz w:val="24"/>
          <w:szCs w:val="24"/>
          <w:lang w:val="en-AU"/>
        </w:rPr>
        <w:t xml:space="preserve">. Building on strengths and lessons from MAP Phase 1 and to maximise efficiency, MAP Phase 2 will channel support through delivery partners such as multilateral development banks and agencies, </w:t>
      </w:r>
      <w:r w:rsidR="2EA53427" w:rsidRPr="00DA776F">
        <w:rPr>
          <w:sz w:val="24"/>
          <w:szCs w:val="24"/>
          <w:lang w:val="en-AU"/>
        </w:rPr>
        <w:t>non-government organisations (NGOs),</w:t>
      </w:r>
      <w:r w:rsidRPr="00DA776F">
        <w:rPr>
          <w:sz w:val="24"/>
          <w:szCs w:val="24"/>
          <w:lang w:val="en-AU"/>
        </w:rPr>
        <w:t xml:space="preserve"> community group</w:t>
      </w:r>
      <w:r w:rsidR="7E26CBA0" w:rsidRPr="00DA776F">
        <w:rPr>
          <w:sz w:val="24"/>
          <w:szCs w:val="24"/>
          <w:lang w:val="en-AU"/>
        </w:rPr>
        <w:t>s,</w:t>
      </w:r>
      <w:r w:rsidRPr="00DA776F">
        <w:rPr>
          <w:sz w:val="24"/>
          <w:szCs w:val="24"/>
          <w:lang w:val="en-AU"/>
        </w:rPr>
        <w:t xml:space="preserve"> academic and research institutions, and private sector organisations. Opportunities to support new partnerships, and to scale up, adapt and revise existing </w:t>
      </w:r>
      <w:r w:rsidR="00D3221B" w:rsidRPr="00DA776F">
        <w:rPr>
          <w:sz w:val="24"/>
          <w:szCs w:val="24"/>
          <w:lang w:val="en-AU"/>
        </w:rPr>
        <w:t>one</w:t>
      </w:r>
      <w:r w:rsidRPr="00DA776F">
        <w:rPr>
          <w:sz w:val="24"/>
          <w:szCs w:val="24"/>
          <w:lang w:val="en-AU"/>
        </w:rPr>
        <w:t>s</w:t>
      </w:r>
      <w:r w:rsidR="00D3221B" w:rsidRPr="00DA776F">
        <w:rPr>
          <w:sz w:val="24"/>
          <w:szCs w:val="24"/>
          <w:lang w:val="en-AU"/>
        </w:rPr>
        <w:t>,</w:t>
      </w:r>
      <w:r w:rsidRPr="00DA776F">
        <w:rPr>
          <w:sz w:val="24"/>
          <w:szCs w:val="24"/>
          <w:lang w:val="en-AU"/>
        </w:rPr>
        <w:t xml:space="preserve"> will be examined through the pipeline planning and </w:t>
      </w:r>
      <w:r w:rsidR="00273291" w:rsidRPr="00DA776F">
        <w:rPr>
          <w:sz w:val="24"/>
          <w:szCs w:val="24"/>
          <w:lang w:val="en-AU"/>
        </w:rPr>
        <w:t>thematic d</w:t>
      </w:r>
      <w:r w:rsidRPr="00DA776F">
        <w:rPr>
          <w:sz w:val="24"/>
          <w:szCs w:val="24"/>
          <w:lang w:val="en-AU"/>
        </w:rPr>
        <w:t xml:space="preserve">elivery </w:t>
      </w:r>
      <w:r w:rsidR="00273291" w:rsidRPr="00DA776F">
        <w:rPr>
          <w:sz w:val="24"/>
          <w:szCs w:val="24"/>
          <w:lang w:val="en-AU"/>
        </w:rPr>
        <w:t>s</w:t>
      </w:r>
      <w:r w:rsidRPr="00DA776F">
        <w:rPr>
          <w:sz w:val="24"/>
          <w:szCs w:val="24"/>
          <w:lang w:val="en-AU"/>
        </w:rPr>
        <w:t>trategy development process</w:t>
      </w:r>
      <w:r w:rsidR="0A482C09" w:rsidRPr="00DA776F">
        <w:rPr>
          <w:sz w:val="24"/>
          <w:szCs w:val="24"/>
          <w:lang w:val="en-AU"/>
        </w:rPr>
        <w:t xml:space="preserve">, all </w:t>
      </w:r>
      <w:r w:rsidR="00D3221B" w:rsidRPr="00DA776F">
        <w:rPr>
          <w:sz w:val="24"/>
          <w:szCs w:val="24"/>
          <w:lang w:val="en-AU"/>
        </w:rPr>
        <w:t xml:space="preserve">to be </w:t>
      </w:r>
      <w:r w:rsidR="0A482C09" w:rsidRPr="00DA776F">
        <w:rPr>
          <w:sz w:val="24"/>
          <w:szCs w:val="24"/>
          <w:lang w:val="en-AU"/>
        </w:rPr>
        <w:t>approved by the MAP Steering Committee</w:t>
      </w:r>
      <w:r w:rsidRPr="00DA776F">
        <w:rPr>
          <w:sz w:val="24"/>
          <w:szCs w:val="24"/>
          <w:lang w:val="en-AU"/>
        </w:rPr>
        <w:t>. Importantly,</w:t>
      </w:r>
      <w:r w:rsidR="00AE6063" w:rsidRPr="00DA776F">
        <w:rPr>
          <w:sz w:val="24"/>
          <w:szCs w:val="24"/>
          <w:lang w:val="en-AU"/>
        </w:rPr>
        <w:t xml:space="preserve"> MAP will support</w:t>
      </w:r>
      <w:r w:rsidRPr="00DA776F">
        <w:rPr>
          <w:sz w:val="24"/>
          <w:szCs w:val="24"/>
          <w:lang w:val="en-AU"/>
        </w:rPr>
        <w:t xml:space="preserve"> targeted partnerships between Australian and Mekong subregion organisations, although not exclusively </w:t>
      </w:r>
      <w:r w:rsidR="00826BA0" w:rsidRPr="00DA776F">
        <w:rPr>
          <w:sz w:val="24"/>
          <w:szCs w:val="24"/>
          <w:lang w:val="en-AU"/>
        </w:rPr>
        <w:t>–</w:t>
      </w:r>
      <w:r w:rsidRPr="00DA776F">
        <w:rPr>
          <w:sz w:val="24"/>
          <w:szCs w:val="24"/>
          <w:lang w:val="en-AU"/>
        </w:rPr>
        <w:t xml:space="preserve"> some partnerships will be between Mekong subregion organisations, and with international organisations working in the region. By strengthening collaboration, these partners will leverage their collective resources, expertise and networks to progress MAP Phase 2 outcomes</w:t>
      </w:r>
      <w:r w:rsidR="009A7103" w:rsidRPr="00DA776F">
        <w:rPr>
          <w:sz w:val="24"/>
          <w:szCs w:val="24"/>
          <w:lang w:val="en-AU"/>
        </w:rPr>
        <w:t xml:space="preserve">. </w:t>
      </w:r>
    </w:p>
    <w:p w14:paraId="35F96257" w14:textId="5670B5A8" w:rsidR="009A7103" w:rsidRPr="009A7103" w:rsidRDefault="009A7103" w:rsidP="00384D57">
      <w:pPr>
        <w:rPr>
          <w:sz w:val="21"/>
          <w:szCs w:val="21"/>
          <w:lang w:val="en-AU"/>
        </w:rPr>
        <w:sectPr w:rsidR="009A7103" w:rsidRPr="009A7103" w:rsidSect="003E52D8">
          <w:pgSz w:w="11906" w:h="16838" w:code="9"/>
          <w:pgMar w:top="1276" w:right="1134" w:bottom="851" w:left="1134" w:header="425" w:footer="493" w:gutter="0"/>
          <w:cols w:space="397"/>
          <w:docGrid w:linePitch="360"/>
        </w:sectPr>
      </w:pPr>
    </w:p>
    <w:p w14:paraId="50EBF62A" w14:textId="504CF5CA" w:rsidR="06C76B43" w:rsidRDefault="009A7103" w:rsidP="00D50C95">
      <w:pPr>
        <w:rPr>
          <w:b/>
          <w:bCs/>
          <w:sz w:val="21"/>
          <w:szCs w:val="21"/>
          <w:lang w:val="en-AU"/>
        </w:rPr>
      </w:pPr>
      <w:r w:rsidRPr="009B5447">
        <w:rPr>
          <w:b/>
          <w:bCs/>
          <w:sz w:val="21"/>
          <w:szCs w:val="21"/>
          <w:lang w:val="en-AU"/>
        </w:rPr>
        <w:lastRenderedPageBreak/>
        <w:t xml:space="preserve">Figure 2: MAP Phase 2 Portfolio </w:t>
      </w:r>
      <w:r w:rsidR="009B5447" w:rsidRPr="009B5447">
        <w:rPr>
          <w:b/>
          <w:bCs/>
          <w:sz w:val="21"/>
          <w:szCs w:val="21"/>
          <w:lang w:val="en-AU"/>
        </w:rPr>
        <w:t>Logic</w:t>
      </w:r>
    </w:p>
    <w:p w14:paraId="3857E5E3" w14:textId="10EB4E17" w:rsidR="0043313B" w:rsidRPr="001F14E7" w:rsidRDefault="00E460E9" w:rsidP="00CF0522">
      <w:pPr>
        <w:rPr>
          <w:lang w:val="en-AU"/>
        </w:rPr>
        <w:sectPr w:rsidR="0043313B" w:rsidRPr="001F14E7" w:rsidSect="003E52D8">
          <w:pgSz w:w="16838" w:h="11906" w:orient="landscape" w:code="9"/>
          <w:pgMar w:top="1134" w:right="851" w:bottom="1134" w:left="1276" w:header="425" w:footer="493" w:gutter="0"/>
          <w:cols w:space="397"/>
          <w:docGrid w:linePitch="360"/>
        </w:sectPr>
      </w:pPr>
      <w:r>
        <w:rPr>
          <w:noProof/>
          <w:lang w:val="en-AU"/>
        </w:rPr>
        <w:drawing>
          <wp:inline distT="0" distB="0" distL="0" distR="0" wp14:anchorId="3F8065AC" wp14:editId="4F912CA0">
            <wp:extent cx="8382000" cy="5808058"/>
            <wp:effectExtent l="0" t="0" r="0" b="2540"/>
            <wp:docPr id="2" name="Picture 2" descr="Description of the image is above/below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of the image is above/below this image"/>
                    <pic:cNvPicPr/>
                  </pic:nvPicPr>
                  <pic:blipFill rotWithShape="1">
                    <a:blip r:embed="rId14" cstate="print">
                      <a:extLst>
                        <a:ext uri="{28A0092B-C50C-407E-A947-70E740481C1C}">
                          <a14:useLocalDpi xmlns:a14="http://schemas.microsoft.com/office/drawing/2010/main" val="0"/>
                        </a:ext>
                      </a:extLst>
                    </a:blip>
                    <a:srcRect l="436" t="1245" r="1082" b="1266"/>
                    <a:stretch/>
                  </pic:blipFill>
                  <pic:spPr bwMode="auto">
                    <a:xfrm>
                      <a:off x="0" y="0"/>
                      <a:ext cx="8382000" cy="5808058"/>
                    </a:xfrm>
                    <a:prstGeom prst="rect">
                      <a:avLst/>
                    </a:prstGeom>
                    <a:ln>
                      <a:noFill/>
                    </a:ln>
                    <a:extLst>
                      <a:ext uri="{53640926-AAD7-44D8-BBD7-CCE9431645EC}">
                        <a14:shadowObscured xmlns:a14="http://schemas.microsoft.com/office/drawing/2010/main"/>
                      </a:ext>
                    </a:extLst>
                  </pic:spPr>
                </pic:pic>
              </a:graphicData>
            </a:graphic>
          </wp:inline>
        </w:drawing>
      </w:r>
    </w:p>
    <w:p w14:paraId="63290299" w14:textId="6D55A876" w:rsidR="00EF5117" w:rsidRPr="00DA776F" w:rsidRDefault="4C954397" w:rsidP="00EF5117">
      <w:pPr>
        <w:rPr>
          <w:sz w:val="24"/>
          <w:szCs w:val="24"/>
          <w:lang w:val="en-AU"/>
        </w:rPr>
      </w:pPr>
      <w:r w:rsidRPr="00DA776F">
        <w:rPr>
          <w:sz w:val="24"/>
          <w:szCs w:val="24"/>
          <w:lang w:val="en-AU"/>
        </w:rPr>
        <w:lastRenderedPageBreak/>
        <w:t xml:space="preserve">The portfolio logic has been developed collaboratively with MKS, relevant Posts and other relevant DFAT teams. Deeper engagement with relevant Mekong counterparts and implementing partners will be undertaken during the inception period as part of the development of the </w:t>
      </w:r>
      <w:r w:rsidR="507236DB" w:rsidRPr="00DA776F">
        <w:rPr>
          <w:sz w:val="24"/>
          <w:szCs w:val="24"/>
          <w:lang w:val="en-AU"/>
        </w:rPr>
        <w:t xml:space="preserve">thematic </w:t>
      </w:r>
      <w:r w:rsidRPr="00DA776F">
        <w:rPr>
          <w:sz w:val="24"/>
          <w:szCs w:val="24"/>
          <w:lang w:val="en-AU"/>
        </w:rPr>
        <w:t xml:space="preserve">delivery strategies. Intermediate and immediate outcomes are likely to be refreshed during the development of the </w:t>
      </w:r>
      <w:r w:rsidR="2A05CC60" w:rsidRPr="00DA776F">
        <w:rPr>
          <w:sz w:val="24"/>
          <w:szCs w:val="24"/>
          <w:lang w:val="en-AU"/>
        </w:rPr>
        <w:t xml:space="preserve">thematic </w:t>
      </w:r>
      <w:r w:rsidRPr="00DA776F">
        <w:rPr>
          <w:sz w:val="24"/>
          <w:szCs w:val="24"/>
          <w:lang w:val="en-AU"/>
        </w:rPr>
        <w:t>delivery strategies to further tighten the framing of support to each thematic area. The portfolio logic will be reviewed periodically through the Mid-Term Review process and other processes (see Section 6) to ensure it remains fit for purpose. Any significant revisions will be approved by the MAP Steering Committee (see Section 4).</w:t>
      </w:r>
    </w:p>
    <w:p w14:paraId="0E654421" w14:textId="62F45CBF" w:rsidR="00EA0F09" w:rsidRPr="0043313B" w:rsidRDefault="00392FA3" w:rsidP="00C3705B">
      <w:pPr>
        <w:pStyle w:val="Heading3Numbered"/>
        <w:rPr>
          <w:i/>
          <w:iCs/>
          <w:lang w:val="en-AU"/>
        </w:rPr>
      </w:pPr>
      <w:r w:rsidRPr="0043313B">
        <w:rPr>
          <w:lang w:val="en-AU"/>
        </w:rPr>
        <w:t>End of Portfolio outcomes</w:t>
      </w:r>
    </w:p>
    <w:p w14:paraId="596F7FF6" w14:textId="3403A6F7" w:rsidR="00C3705B" w:rsidRPr="00DA776F" w:rsidRDefault="00555A20" w:rsidP="00C3705B">
      <w:pPr>
        <w:rPr>
          <w:b/>
          <w:bCs/>
          <w:i/>
          <w:iCs/>
          <w:sz w:val="24"/>
          <w:szCs w:val="24"/>
          <w:lang w:val="en-AU"/>
        </w:rPr>
      </w:pPr>
      <w:r w:rsidRPr="00DA776F">
        <w:rPr>
          <w:b/>
          <w:bCs/>
          <w:i/>
          <w:iCs/>
          <w:sz w:val="24"/>
          <w:szCs w:val="24"/>
          <w:lang w:val="en-AU"/>
        </w:rPr>
        <w:t>EOPO</w:t>
      </w:r>
      <w:r w:rsidR="00C3705B" w:rsidRPr="00DA776F">
        <w:rPr>
          <w:b/>
          <w:bCs/>
          <w:i/>
          <w:iCs/>
          <w:sz w:val="24"/>
          <w:szCs w:val="24"/>
          <w:lang w:val="en-AU"/>
        </w:rPr>
        <w:t xml:space="preserve"> 1 – </w:t>
      </w:r>
      <w:r w:rsidRPr="00DA776F">
        <w:rPr>
          <w:b/>
          <w:bCs/>
          <w:i/>
          <w:iCs/>
          <w:sz w:val="24"/>
          <w:szCs w:val="24"/>
          <w:lang w:val="en-AU"/>
        </w:rPr>
        <w:t>Mekong subregion partners reduce vulnerability to impacts of climate change</w:t>
      </w:r>
      <w:r w:rsidR="00C3705B" w:rsidRPr="00DA776F">
        <w:rPr>
          <w:b/>
          <w:bCs/>
          <w:i/>
          <w:iCs/>
          <w:sz w:val="24"/>
          <w:szCs w:val="24"/>
          <w:lang w:val="en-AU"/>
        </w:rPr>
        <w:t>.</w:t>
      </w:r>
    </w:p>
    <w:p w14:paraId="78F30491" w14:textId="628F963D" w:rsidR="00775620" w:rsidRPr="00DA776F" w:rsidRDefault="4D00F59C" w:rsidP="00775620">
      <w:pPr>
        <w:rPr>
          <w:sz w:val="24"/>
          <w:szCs w:val="24"/>
          <w:lang w:val="en-AU"/>
        </w:rPr>
      </w:pPr>
      <w:r w:rsidRPr="00DA776F">
        <w:rPr>
          <w:sz w:val="24"/>
          <w:szCs w:val="24"/>
          <w:lang w:val="en-AU"/>
        </w:rPr>
        <w:t xml:space="preserve">MAP Phase 2 support will enable Mekong subregion partners </w:t>
      </w:r>
      <w:r w:rsidR="1DBB1C57" w:rsidRPr="00DA776F">
        <w:rPr>
          <w:sz w:val="24"/>
          <w:szCs w:val="24"/>
          <w:lang w:val="en-AU"/>
        </w:rPr>
        <w:t xml:space="preserve">to </w:t>
      </w:r>
      <w:r w:rsidRPr="00DA776F">
        <w:rPr>
          <w:sz w:val="24"/>
          <w:szCs w:val="24"/>
          <w:lang w:val="en-AU"/>
        </w:rPr>
        <w:t xml:space="preserve">intensify their efforts to mitigate vulnerabilities and enhance resilience across the subregion.  Through collaborative initiatives, local communities, governments, civil society organisations, private sector, academia, and other stakeholders will implement various initiatives </w:t>
      </w:r>
      <w:r w:rsidR="16ED8011" w:rsidRPr="00DA776F">
        <w:rPr>
          <w:sz w:val="24"/>
          <w:szCs w:val="24"/>
          <w:lang w:val="en-AU"/>
        </w:rPr>
        <w:t>including</w:t>
      </w:r>
      <w:r w:rsidRPr="00DA776F">
        <w:rPr>
          <w:sz w:val="24"/>
          <w:szCs w:val="24"/>
          <w:lang w:val="en-AU"/>
        </w:rPr>
        <w:t xml:space="preserve"> community-based adaptation strategies; nature-based and nature-positive solutions; disaster risk reduction; and management practices to strengthen overall resilience.  Through inclusive decision-making processes that take into account the voices of marginalised groups such as women, persons with disabilities, and </w:t>
      </w:r>
      <w:r w:rsidR="00775620" w:rsidRPr="00DA776F">
        <w:rPr>
          <w:sz w:val="24"/>
          <w:szCs w:val="24"/>
          <w:lang w:val="en-AU"/>
        </w:rPr>
        <w:t>i</w:t>
      </w:r>
      <w:r w:rsidRPr="00DA776F">
        <w:rPr>
          <w:sz w:val="24"/>
          <w:szCs w:val="24"/>
          <w:lang w:val="en-AU"/>
        </w:rPr>
        <w:t xml:space="preserve">ndigenous peoples, Mekong subregion partners will ensure that mitigation and adaptation measures are equitable and responsive to the needs of all. </w:t>
      </w:r>
    </w:p>
    <w:p w14:paraId="30FA03B6" w14:textId="730E4E06" w:rsidR="0043313B" w:rsidRPr="00DA776F" w:rsidRDefault="4D00F59C" w:rsidP="00C3705B">
      <w:pPr>
        <w:rPr>
          <w:sz w:val="24"/>
          <w:szCs w:val="24"/>
          <w:lang w:val="en-AU"/>
        </w:rPr>
      </w:pPr>
      <w:r w:rsidRPr="00DA776F">
        <w:rPr>
          <w:sz w:val="24"/>
          <w:szCs w:val="24"/>
          <w:lang w:val="en-AU"/>
        </w:rPr>
        <w:t>Investments under this E</w:t>
      </w:r>
      <w:r w:rsidR="1B607490" w:rsidRPr="00DA776F">
        <w:rPr>
          <w:sz w:val="24"/>
          <w:szCs w:val="24"/>
          <w:lang w:val="en-AU"/>
        </w:rPr>
        <w:t>O</w:t>
      </w:r>
      <w:r w:rsidRPr="00DA776F">
        <w:rPr>
          <w:sz w:val="24"/>
          <w:szCs w:val="24"/>
          <w:lang w:val="en-AU"/>
        </w:rPr>
        <w:t xml:space="preserve">PO may </w:t>
      </w:r>
      <w:bookmarkStart w:id="60" w:name="_Int_5aWb5X3t"/>
      <w:r w:rsidRPr="00DA776F">
        <w:rPr>
          <w:sz w:val="24"/>
          <w:szCs w:val="24"/>
          <w:lang w:val="en-AU"/>
        </w:rPr>
        <w:t>include:</w:t>
      </w:r>
      <w:bookmarkEnd w:id="60"/>
      <w:r w:rsidRPr="00DA776F">
        <w:rPr>
          <w:sz w:val="24"/>
          <w:szCs w:val="24"/>
          <w:lang w:val="en-AU"/>
        </w:rPr>
        <w:t xml:space="preserve"> land-use and urban planning; climate-smart agriculture; biodiversity protection and restoration; transport; infrastructure; low-emission technology development; community level renewable energy and efficiency; and preparedness and response to natural disasters and climate-related hazards (e.g. floods, droughts and storms). In developing these investments, nature-based solutions will be actively explored and pursued when possible, including through considering, valuing and revitalising </w:t>
      </w:r>
      <w:r w:rsidR="00775620" w:rsidRPr="00DA776F">
        <w:rPr>
          <w:sz w:val="24"/>
          <w:szCs w:val="24"/>
          <w:lang w:val="en-AU"/>
        </w:rPr>
        <w:t>i</w:t>
      </w:r>
      <w:r w:rsidRPr="00DA776F">
        <w:rPr>
          <w:sz w:val="24"/>
          <w:szCs w:val="24"/>
          <w:lang w:val="en-AU"/>
        </w:rPr>
        <w:t>ndigenous knowledge systems and practices. All investments will be designed to be GEDSI responsive</w:t>
      </w:r>
      <w:r w:rsidR="16ED8011" w:rsidRPr="00DA776F">
        <w:rPr>
          <w:sz w:val="24"/>
          <w:szCs w:val="24"/>
          <w:lang w:val="en-AU"/>
        </w:rPr>
        <w:t>.</w:t>
      </w:r>
    </w:p>
    <w:p w14:paraId="2A8D130B" w14:textId="0096B713" w:rsidR="00C3705B" w:rsidRPr="00DA776F" w:rsidRDefault="00EA0F09" w:rsidP="00C3705B">
      <w:pPr>
        <w:rPr>
          <w:b/>
          <w:bCs/>
          <w:i/>
          <w:iCs/>
          <w:sz w:val="24"/>
          <w:szCs w:val="24"/>
          <w:lang w:val="en-AU"/>
        </w:rPr>
      </w:pPr>
      <w:r w:rsidRPr="00DA776F">
        <w:rPr>
          <w:b/>
          <w:bCs/>
          <w:i/>
          <w:iCs/>
          <w:sz w:val="24"/>
          <w:szCs w:val="24"/>
          <w:lang w:val="en-AU"/>
        </w:rPr>
        <w:t>EOPO</w:t>
      </w:r>
      <w:r w:rsidR="00C3705B" w:rsidRPr="00DA776F">
        <w:rPr>
          <w:b/>
          <w:bCs/>
          <w:i/>
          <w:iCs/>
          <w:sz w:val="24"/>
          <w:szCs w:val="24"/>
          <w:lang w:val="en-AU"/>
        </w:rPr>
        <w:t xml:space="preserve"> 2 – </w:t>
      </w:r>
      <w:r w:rsidR="00555A20" w:rsidRPr="00DA776F">
        <w:rPr>
          <w:b/>
          <w:bCs/>
          <w:i/>
          <w:iCs/>
          <w:sz w:val="24"/>
          <w:szCs w:val="24"/>
          <w:lang w:val="en-AU"/>
        </w:rPr>
        <w:t xml:space="preserve">Mekong subregion partners manage water resources in a more </w:t>
      </w:r>
      <w:r w:rsidR="00CE236F" w:rsidRPr="00DA776F">
        <w:rPr>
          <w:b/>
          <w:bCs/>
          <w:i/>
          <w:iCs/>
          <w:sz w:val="24"/>
          <w:szCs w:val="24"/>
          <w:lang w:val="en-AU"/>
        </w:rPr>
        <w:t xml:space="preserve">coordinated and </w:t>
      </w:r>
      <w:r w:rsidR="00555A20" w:rsidRPr="00DA776F">
        <w:rPr>
          <w:b/>
          <w:bCs/>
          <w:i/>
          <w:iCs/>
          <w:sz w:val="24"/>
          <w:szCs w:val="24"/>
          <w:lang w:val="en-AU"/>
        </w:rPr>
        <w:t>sustainable way</w:t>
      </w:r>
      <w:r w:rsidR="00C3705B" w:rsidRPr="00DA776F">
        <w:rPr>
          <w:b/>
          <w:bCs/>
          <w:i/>
          <w:iCs/>
          <w:sz w:val="24"/>
          <w:szCs w:val="24"/>
          <w:lang w:val="en-AU"/>
        </w:rPr>
        <w:t>.</w:t>
      </w:r>
    </w:p>
    <w:p w14:paraId="27232427" w14:textId="06D42742" w:rsidR="0011244E" w:rsidRPr="00DA776F" w:rsidRDefault="0011244E" w:rsidP="0011244E">
      <w:pPr>
        <w:rPr>
          <w:sz w:val="24"/>
          <w:szCs w:val="24"/>
          <w:lang w:val="en-AU"/>
        </w:rPr>
      </w:pPr>
      <w:r w:rsidRPr="00DA776F">
        <w:rPr>
          <w:sz w:val="24"/>
          <w:szCs w:val="24"/>
          <w:lang w:val="en-AU"/>
        </w:rPr>
        <w:t>Mekong subregion partners will strengthen their efforts to manage water resources in a more coordinated and sustainable way across the subregion. Local communities, governments, civil society organisations, private sector, academia and other stakeholders will work together to implement integrated water management systems and processes, inclusive initiatives to address water pollution, better river basin management and support for sustainable livelihoods among riverine communities.</w:t>
      </w:r>
    </w:p>
    <w:p w14:paraId="012060D8" w14:textId="13F2B1D2" w:rsidR="00C3705B" w:rsidRPr="00DA776F" w:rsidRDefault="16103488" w:rsidP="00C3705B">
      <w:pPr>
        <w:rPr>
          <w:sz w:val="24"/>
          <w:szCs w:val="24"/>
          <w:lang w:val="en-AU"/>
        </w:rPr>
      </w:pPr>
      <w:r w:rsidRPr="00DA776F">
        <w:rPr>
          <w:sz w:val="24"/>
          <w:szCs w:val="24"/>
          <w:lang w:val="en-AU"/>
        </w:rPr>
        <w:t xml:space="preserve">A coordinated approach will require inclusive and effective water governance structures, data sharing mechanisms, and cross-border cooperation initiatives to ensure that water resources are managed in a holistic and equitable manner.  Rural, riverine and urban nature-based approaches will be actively explored and pursued when possible, including through considering, valuing and revitalising </w:t>
      </w:r>
      <w:r w:rsidR="0011244E" w:rsidRPr="00DA776F">
        <w:rPr>
          <w:sz w:val="24"/>
          <w:szCs w:val="24"/>
          <w:lang w:val="en-AU"/>
        </w:rPr>
        <w:t>i</w:t>
      </w:r>
      <w:r w:rsidRPr="00DA776F">
        <w:rPr>
          <w:sz w:val="24"/>
          <w:szCs w:val="24"/>
          <w:lang w:val="en-AU"/>
        </w:rPr>
        <w:t xml:space="preserve">ndigenous knowledge systems and practices. All investments will be designed to be GEDSI responsive.  </w:t>
      </w:r>
    </w:p>
    <w:p w14:paraId="5AC11137" w14:textId="77777777" w:rsidR="003C73A0" w:rsidRDefault="003C73A0" w:rsidP="00C3705B">
      <w:pPr>
        <w:rPr>
          <w:sz w:val="24"/>
          <w:szCs w:val="24"/>
          <w:lang w:val="en-AU"/>
        </w:rPr>
      </w:pPr>
    </w:p>
    <w:p w14:paraId="0D549E9C" w14:textId="77777777" w:rsidR="003C73A0" w:rsidRPr="00DA776F" w:rsidRDefault="003C73A0" w:rsidP="00C3705B">
      <w:pPr>
        <w:rPr>
          <w:sz w:val="24"/>
          <w:szCs w:val="24"/>
          <w:lang w:val="en-AU"/>
        </w:rPr>
      </w:pPr>
    </w:p>
    <w:p w14:paraId="522FFBC2" w14:textId="04B15ADD" w:rsidR="00C3705B" w:rsidRPr="00DA776F" w:rsidRDefault="00EA0F09" w:rsidP="00C3705B">
      <w:pPr>
        <w:rPr>
          <w:b/>
          <w:bCs/>
          <w:i/>
          <w:iCs/>
          <w:sz w:val="24"/>
          <w:szCs w:val="24"/>
          <w:lang w:val="en-AU"/>
        </w:rPr>
      </w:pPr>
      <w:r w:rsidRPr="00DA776F">
        <w:rPr>
          <w:b/>
          <w:bCs/>
          <w:i/>
          <w:iCs/>
          <w:sz w:val="24"/>
          <w:szCs w:val="24"/>
          <w:lang w:val="en-AU"/>
        </w:rPr>
        <w:lastRenderedPageBreak/>
        <w:t>EOPO</w:t>
      </w:r>
      <w:r w:rsidR="00C3705B" w:rsidRPr="00DA776F">
        <w:rPr>
          <w:b/>
          <w:bCs/>
          <w:i/>
          <w:iCs/>
          <w:sz w:val="24"/>
          <w:szCs w:val="24"/>
          <w:lang w:val="en-AU"/>
        </w:rPr>
        <w:t xml:space="preserve"> 3 – </w:t>
      </w:r>
      <w:r w:rsidRPr="00DA776F">
        <w:rPr>
          <w:b/>
          <w:bCs/>
          <w:i/>
          <w:iCs/>
          <w:sz w:val="24"/>
          <w:szCs w:val="24"/>
          <w:lang w:val="en-AU"/>
        </w:rPr>
        <w:t>Mekong subregion partners increase leadership and economic opportunities for women, people with disabilities and other marginalised groups</w:t>
      </w:r>
      <w:r w:rsidR="00C3705B" w:rsidRPr="00DA776F">
        <w:rPr>
          <w:b/>
          <w:bCs/>
          <w:i/>
          <w:iCs/>
          <w:sz w:val="24"/>
          <w:szCs w:val="24"/>
          <w:lang w:val="en-AU"/>
        </w:rPr>
        <w:t>.</w:t>
      </w:r>
    </w:p>
    <w:p w14:paraId="372A3102" w14:textId="77777777" w:rsidR="00823527" w:rsidRPr="00DA776F" w:rsidRDefault="00823527" w:rsidP="00823527">
      <w:pPr>
        <w:rPr>
          <w:sz w:val="24"/>
          <w:szCs w:val="24"/>
          <w:lang w:val="en-AU"/>
        </w:rPr>
      </w:pPr>
      <w:r w:rsidRPr="00DA776F">
        <w:rPr>
          <w:sz w:val="24"/>
          <w:szCs w:val="24"/>
          <w:lang w:val="en-AU"/>
        </w:rPr>
        <w:t xml:space="preserve">Mekong subregion partners will help enable greater equality and social inclusion by providing opportunities for meaningful participation of women, people with disabilities and other marginalised groups in leadership and economic development. Australia will support partners in facilitating diverse representation in public dialogue and decision-making, strengthening evidence for and participation in inclusive policy, developing organisational capacity for inclusive policy and practice aligned with gender equality and inclusion principles. </w:t>
      </w:r>
    </w:p>
    <w:p w14:paraId="68A6F7D6" w14:textId="77777777" w:rsidR="00823527" w:rsidRPr="00DA776F" w:rsidRDefault="00823527" w:rsidP="00823527">
      <w:pPr>
        <w:rPr>
          <w:sz w:val="24"/>
          <w:szCs w:val="24"/>
          <w:lang w:val="en-AU"/>
        </w:rPr>
      </w:pPr>
      <w:r w:rsidRPr="00DA776F">
        <w:rPr>
          <w:sz w:val="24"/>
          <w:szCs w:val="24"/>
          <w:lang w:val="en-AU"/>
        </w:rPr>
        <w:t>MAP Phase 2 will support targeted GEDSI investments across topics such as the care economy; the economic empowerment of women, people with disability and ethnic minorities; inclusive leadership development; the strengthening of women’s rights, minority rights, and human rights organisations and organisations of people with disability; and GEDSI statistics and evidence for policy advocacy and systemic changes. In addition, MAP Phase 2 will ensure at least 80% of all investments in other thematic areas are GEDSI responsive or transformative with the remainder GEDSI sensitive (see Section 5). GEDSI mainstreaming efforts will focus on tangible outcomes of leadership, agency and economic opportunities for women, people with disability and other marginalised groups so that they equitably benefit from their cascading impact and outcomes.</w:t>
      </w:r>
    </w:p>
    <w:p w14:paraId="6EAF6905" w14:textId="792C1A96" w:rsidR="00C3705B" w:rsidRPr="00DA776F" w:rsidRDefault="00EA0F09" w:rsidP="00EA0F09">
      <w:pPr>
        <w:rPr>
          <w:b/>
          <w:bCs/>
          <w:i/>
          <w:iCs/>
          <w:sz w:val="24"/>
          <w:szCs w:val="24"/>
          <w:lang w:val="en-AU"/>
        </w:rPr>
      </w:pPr>
      <w:r w:rsidRPr="00DA776F">
        <w:rPr>
          <w:b/>
          <w:bCs/>
          <w:i/>
          <w:iCs/>
          <w:sz w:val="24"/>
          <w:szCs w:val="24"/>
          <w:lang w:val="en-AU"/>
        </w:rPr>
        <w:t>EOPO</w:t>
      </w:r>
      <w:r w:rsidR="00C3705B" w:rsidRPr="00DA776F">
        <w:rPr>
          <w:b/>
          <w:bCs/>
          <w:i/>
          <w:iCs/>
          <w:sz w:val="24"/>
          <w:szCs w:val="24"/>
          <w:lang w:val="en-AU"/>
        </w:rPr>
        <w:t xml:space="preserve"> 4 – </w:t>
      </w:r>
      <w:r w:rsidRPr="00DA776F">
        <w:rPr>
          <w:b/>
          <w:bCs/>
          <w:i/>
          <w:iCs/>
          <w:sz w:val="24"/>
          <w:szCs w:val="24"/>
          <w:lang w:val="en-AU"/>
        </w:rPr>
        <w:t xml:space="preserve">Mekong subregion partners enable </w:t>
      </w:r>
      <w:r w:rsidR="00244DE4" w:rsidRPr="00DA776F">
        <w:rPr>
          <w:b/>
          <w:bCs/>
          <w:i/>
          <w:iCs/>
          <w:sz w:val="24"/>
          <w:szCs w:val="24"/>
          <w:lang w:val="en-AU"/>
        </w:rPr>
        <w:t>strengthened economic resilience and subregional</w:t>
      </w:r>
      <w:r w:rsidR="00244DE4" w:rsidRPr="00DA776F">
        <w:rPr>
          <w:sz w:val="24"/>
          <w:szCs w:val="24"/>
          <w:lang w:val="en-AU"/>
        </w:rPr>
        <w:t xml:space="preserve"> </w:t>
      </w:r>
      <w:r w:rsidRPr="00DA776F">
        <w:rPr>
          <w:b/>
          <w:bCs/>
          <w:i/>
          <w:iCs/>
          <w:sz w:val="24"/>
          <w:szCs w:val="24"/>
          <w:lang w:val="en-AU"/>
        </w:rPr>
        <w:t>integration</w:t>
      </w:r>
      <w:r w:rsidR="00C3705B" w:rsidRPr="00DA776F">
        <w:rPr>
          <w:b/>
          <w:bCs/>
          <w:i/>
          <w:iCs/>
          <w:sz w:val="24"/>
          <w:szCs w:val="24"/>
          <w:lang w:val="en-AU"/>
        </w:rPr>
        <w:t>.</w:t>
      </w:r>
    </w:p>
    <w:p w14:paraId="5D7F13A0" w14:textId="77777777" w:rsidR="00A5140E" w:rsidRPr="00DA776F" w:rsidRDefault="00A5140E" w:rsidP="00A5140E">
      <w:pPr>
        <w:rPr>
          <w:sz w:val="24"/>
          <w:szCs w:val="24"/>
          <w:lang w:val="en-AU"/>
        </w:rPr>
      </w:pPr>
      <w:r w:rsidRPr="00DA776F">
        <w:rPr>
          <w:sz w:val="24"/>
          <w:szCs w:val="24"/>
          <w:lang w:val="en-AU"/>
        </w:rPr>
        <w:t xml:space="preserve">With the support of MAP Phase 2, Mekong subregion partners will actively work together to strengthen economic resilience and subregional integration by pursuing mutually beneficial economic initiatives, increasing economic cooperation, harmonising regulations, and leveraging collective strengths and resources to achieve equitable and inclusive economic growth.  </w:t>
      </w:r>
    </w:p>
    <w:p w14:paraId="6F20C022" w14:textId="4E540583" w:rsidR="00A5140E" w:rsidRPr="00DA776F" w:rsidRDefault="00A5140E" w:rsidP="00A5140E">
      <w:pPr>
        <w:rPr>
          <w:sz w:val="24"/>
          <w:szCs w:val="24"/>
          <w:lang w:val="en-AU"/>
        </w:rPr>
      </w:pPr>
      <w:r w:rsidRPr="00DA776F">
        <w:rPr>
          <w:sz w:val="24"/>
          <w:szCs w:val="24"/>
          <w:lang w:val="en-AU"/>
        </w:rPr>
        <w:t>MAP Phase 2 will invest in activities that support inclusive economic development, diversification and integration of Mekong countries to enhance their resilience to external shocks and promote shared prosperity. It will include developing a follow</w:t>
      </w:r>
      <w:r w:rsidR="34383206" w:rsidRPr="00DA776F">
        <w:rPr>
          <w:sz w:val="24"/>
          <w:szCs w:val="24"/>
          <w:lang w:val="en-AU"/>
        </w:rPr>
        <w:t>-</w:t>
      </w:r>
      <w:r w:rsidRPr="00DA776F">
        <w:rPr>
          <w:sz w:val="24"/>
          <w:szCs w:val="24"/>
          <w:lang w:val="en-AU"/>
        </w:rPr>
        <w:t>up investment to support improved capacity to review and assess risks related to foreign direct investment across the subregion. MAP Phase 2 could also invest in fostering inclusive economic resilience through contributions to social protection and/or labour mobility initiatives and supporting economic connectivity through trade and supply chain linkages, potentially via other relevant DFAT investments (see section 3.2 below). There is merit in investing in initiatives to support women’s labour force participation and entrepreneurship, including addressing the significant barrier of an under-developed care economy.</w:t>
      </w:r>
    </w:p>
    <w:p w14:paraId="3774B1E1" w14:textId="4CFF0006" w:rsidR="00C3705B" w:rsidRPr="00DA776F" w:rsidRDefault="00EA0F09" w:rsidP="00C3705B">
      <w:pPr>
        <w:rPr>
          <w:b/>
          <w:bCs/>
          <w:i/>
          <w:iCs/>
          <w:sz w:val="24"/>
          <w:szCs w:val="24"/>
          <w:lang w:val="en-AU"/>
        </w:rPr>
      </w:pPr>
      <w:r w:rsidRPr="00DA776F">
        <w:rPr>
          <w:b/>
          <w:bCs/>
          <w:i/>
          <w:iCs/>
          <w:sz w:val="24"/>
          <w:szCs w:val="24"/>
          <w:lang w:val="en-AU"/>
        </w:rPr>
        <w:t>EOP</w:t>
      </w:r>
      <w:r w:rsidR="00C3705B" w:rsidRPr="00DA776F">
        <w:rPr>
          <w:b/>
          <w:bCs/>
          <w:i/>
          <w:iCs/>
          <w:sz w:val="24"/>
          <w:szCs w:val="24"/>
          <w:lang w:val="en-AU"/>
        </w:rPr>
        <w:t xml:space="preserve">O 5 – </w:t>
      </w:r>
      <w:r w:rsidRPr="00DA776F">
        <w:rPr>
          <w:b/>
          <w:bCs/>
          <w:i/>
          <w:iCs/>
          <w:sz w:val="24"/>
          <w:szCs w:val="24"/>
          <w:lang w:val="en-AU"/>
        </w:rPr>
        <w:t>Mekong subregion partners better prevent and counter targeted transnational crime.</w:t>
      </w:r>
    </w:p>
    <w:p w14:paraId="38BC825A" w14:textId="609C8A85" w:rsidR="00C419D0" w:rsidRPr="00DA776F" w:rsidRDefault="0022104E" w:rsidP="0022104E">
      <w:pPr>
        <w:rPr>
          <w:sz w:val="24"/>
          <w:szCs w:val="24"/>
          <w:lang w:val="en-AU"/>
        </w:rPr>
      </w:pPr>
      <w:r w:rsidRPr="00DA776F">
        <w:rPr>
          <w:sz w:val="24"/>
          <w:szCs w:val="24"/>
          <w:lang w:val="en-AU"/>
        </w:rPr>
        <w:t xml:space="preserve">Mekong institutions, at all levels, will strengthen </w:t>
      </w:r>
      <w:r w:rsidR="009F4394" w:rsidRPr="00DA776F">
        <w:rPr>
          <w:sz w:val="24"/>
          <w:szCs w:val="24"/>
          <w:lang w:val="en-AU"/>
        </w:rPr>
        <w:t xml:space="preserve">analysis and </w:t>
      </w:r>
      <w:r w:rsidRPr="00DA776F">
        <w:rPr>
          <w:sz w:val="24"/>
          <w:szCs w:val="24"/>
          <w:lang w:val="en-AU"/>
        </w:rPr>
        <w:t>operational capacit</w:t>
      </w:r>
      <w:r w:rsidR="00CA7E1D" w:rsidRPr="00DA776F">
        <w:rPr>
          <w:sz w:val="24"/>
          <w:szCs w:val="24"/>
          <w:lang w:val="en-AU"/>
        </w:rPr>
        <w:t>y</w:t>
      </w:r>
      <w:r w:rsidR="006B2667" w:rsidRPr="00DA776F">
        <w:rPr>
          <w:sz w:val="24"/>
          <w:szCs w:val="24"/>
          <w:lang w:val="en-AU"/>
        </w:rPr>
        <w:t xml:space="preserve">, including from </w:t>
      </w:r>
      <w:r w:rsidR="00C419D0" w:rsidRPr="00DA776F">
        <w:rPr>
          <w:sz w:val="24"/>
          <w:szCs w:val="24"/>
          <w:lang w:val="en-AU"/>
        </w:rPr>
        <w:t>GEDSI perspectives,</w:t>
      </w:r>
      <w:r w:rsidRPr="00DA776F">
        <w:rPr>
          <w:sz w:val="24"/>
          <w:szCs w:val="24"/>
          <w:lang w:val="en-AU"/>
        </w:rPr>
        <w:t xml:space="preserve"> to prevent, detect and address TNC transnational and border security threats. </w:t>
      </w:r>
      <w:r w:rsidR="00FC5CF0" w:rsidRPr="00DA776F">
        <w:rPr>
          <w:sz w:val="24"/>
          <w:szCs w:val="24"/>
          <w:lang w:val="en-AU"/>
        </w:rPr>
        <w:t>Institutional and individual r</w:t>
      </w:r>
      <w:r w:rsidRPr="00DA776F">
        <w:rPr>
          <w:sz w:val="24"/>
          <w:szCs w:val="24"/>
          <w:lang w:val="en-AU"/>
        </w:rPr>
        <w:t>elationships between Mekong countries and between Australian Government Agency counterparts will also be strengthened to better tackle transnational crime challenges. MAP Phase 2 will invest in initiatives that promote collaboration and cooperation on preventing and countering transnational crime such as child sexual exploitation, illicit drug</w:t>
      </w:r>
      <w:r w:rsidR="00C71148" w:rsidRPr="00DA776F">
        <w:rPr>
          <w:sz w:val="24"/>
          <w:szCs w:val="24"/>
          <w:lang w:val="en-AU"/>
        </w:rPr>
        <w:t xml:space="preserve"> trafficking</w:t>
      </w:r>
      <w:r w:rsidRPr="00DA776F">
        <w:rPr>
          <w:sz w:val="24"/>
          <w:szCs w:val="24"/>
          <w:lang w:val="en-AU"/>
        </w:rPr>
        <w:t xml:space="preserve"> and financial crimes. </w:t>
      </w:r>
    </w:p>
    <w:p w14:paraId="35D4F491" w14:textId="308784F0" w:rsidR="0002603F" w:rsidRPr="00DA776F" w:rsidRDefault="0022104E" w:rsidP="0002603F">
      <w:pPr>
        <w:rPr>
          <w:sz w:val="24"/>
          <w:szCs w:val="24"/>
          <w:lang w:val="en-AU"/>
        </w:rPr>
      </w:pPr>
      <w:r w:rsidRPr="00DA776F">
        <w:rPr>
          <w:sz w:val="24"/>
          <w:szCs w:val="24"/>
          <w:lang w:val="en-AU"/>
        </w:rPr>
        <w:t>Following a Mid-Term Review (MTR), a sub</w:t>
      </w:r>
      <w:r w:rsidR="00FC5CF0" w:rsidRPr="00DA776F">
        <w:rPr>
          <w:sz w:val="24"/>
          <w:szCs w:val="24"/>
          <w:lang w:val="en-AU"/>
        </w:rPr>
        <w:t>-</w:t>
      </w:r>
      <w:r w:rsidRPr="00DA776F">
        <w:rPr>
          <w:sz w:val="24"/>
          <w:szCs w:val="24"/>
          <w:lang w:val="en-AU"/>
        </w:rPr>
        <w:t xml:space="preserve">design update of MAP-TNC is underway and will clarify relevant investment selection criteria (including targeted crime types) and delivery modalities. This may include investments such as conducting research and analysis, strengthening legal and </w:t>
      </w:r>
      <w:r w:rsidRPr="00DA776F">
        <w:rPr>
          <w:sz w:val="24"/>
          <w:szCs w:val="24"/>
          <w:lang w:val="en-AU"/>
        </w:rPr>
        <w:lastRenderedPageBreak/>
        <w:t>institutional frameworks (e</w:t>
      </w:r>
      <w:r w:rsidR="002A1D5B" w:rsidRPr="00DA776F">
        <w:rPr>
          <w:sz w:val="24"/>
          <w:szCs w:val="24"/>
          <w:lang w:val="en-AU"/>
        </w:rPr>
        <w:t>.</w:t>
      </w:r>
      <w:r w:rsidRPr="00DA776F">
        <w:rPr>
          <w:sz w:val="24"/>
          <w:szCs w:val="24"/>
          <w:lang w:val="en-AU"/>
        </w:rPr>
        <w:t>g</w:t>
      </w:r>
      <w:r w:rsidR="002A1D5B" w:rsidRPr="00DA776F">
        <w:rPr>
          <w:sz w:val="24"/>
          <w:szCs w:val="24"/>
          <w:lang w:val="en-AU"/>
        </w:rPr>
        <w:t>.</w:t>
      </w:r>
      <w:r w:rsidRPr="00DA776F">
        <w:rPr>
          <w:sz w:val="24"/>
          <w:szCs w:val="24"/>
          <w:lang w:val="en-AU"/>
        </w:rPr>
        <w:t xml:space="preserve"> enhancing law enforcement capacities and international cooperation mechanisms), promoting information sharing (e</w:t>
      </w:r>
      <w:r w:rsidR="002A1D5B" w:rsidRPr="00DA776F">
        <w:rPr>
          <w:sz w:val="24"/>
          <w:szCs w:val="24"/>
          <w:lang w:val="en-AU"/>
        </w:rPr>
        <w:t>.</w:t>
      </w:r>
      <w:r w:rsidRPr="00DA776F">
        <w:rPr>
          <w:sz w:val="24"/>
          <w:szCs w:val="24"/>
          <w:lang w:val="en-AU"/>
        </w:rPr>
        <w:t>g</w:t>
      </w:r>
      <w:r w:rsidR="002A1D5B" w:rsidRPr="00DA776F">
        <w:rPr>
          <w:sz w:val="24"/>
          <w:szCs w:val="24"/>
          <w:lang w:val="en-AU"/>
        </w:rPr>
        <w:t>.</w:t>
      </w:r>
      <w:r w:rsidRPr="00DA776F">
        <w:rPr>
          <w:sz w:val="24"/>
          <w:szCs w:val="24"/>
          <w:lang w:val="en-AU"/>
        </w:rPr>
        <w:t xml:space="preserve"> facilitating exchange of information, intelligence, and best practices among agencies, governments, and international organisations), and building capacity to address specific cross-border challenges (e</w:t>
      </w:r>
      <w:r w:rsidR="002A1D5B" w:rsidRPr="00DA776F">
        <w:rPr>
          <w:sz w:val="24"/>
          <w:szCs w:val="24"/>
          <w:lang w:val="en-AU"/>
        </w:rPr>
        <w:t>.</w:t>
      </w:r>
      <w:r w:rsidRPr="00DA776F">
        <w:rPr>
          <w:sz w:val="24"/>
          <w:szCs w:val="24"/>
          <w:lang w:val="en-AU"/>
        </w:rPr>
        <w:t>g</w:t>
      </w:r>
      <w:r w:rsidR="002A1D5B" w:rsidRPr="00DA776F">
        <w:rPr>
          <w:sz w:val="24"/>
          <w:szCs w:val="24"/>
          <w:lang w:val="en-AU"/>
        </w:rPr>
        <w:t>.</w:t>
      </w:r>
      <w:r w:rsidRPr="00DA776F">
        <w:rPr>
          <w:sz w:val="24"/>
          <w:szCs w:val="24"/>
          <w:lang w:val="en-AU"/>
        </w:rPr>
        <w:t xml:space="preserve"> information sharing, investigations, and prosecutions that protect victim rights and apply gender-sensitive approaches).</w:t>
      </w:r>
    </w:p>
    <w:p w14:paraId="38CE8D4D" w14:textId="195AED44" w:rsidR="002D3580" w:rsidRPr="00DA776F" w:rsidRDefault="1CF6698D" w:rsidP="00384D57">
      <w:pPr>
        <w:rPr>
          <w:sz w:val="24"/>
          <w:szCs w:val="24"/>
          <w:lang w:val="en-AU"/>
        </w:rPr>
      </w:pPr>
      <w:r w:rsidRPr="00DA776F">
        <w:rPr>
          <w:sz w:val="24"/>
          <w:szCs w:val="24"/>
          <w:lang w:val="en-AU"/>
        </w:rPr>
        <w:t xml:space="preserve">MAP-TNC was delivered primarily through </w:t>
      </w:r>
      <w:r w:rsidR="3930F220" w:rsidRPr="00DA776F">
        <w:rPr>
          <w:sz w:val="24"/>
          <w:szCs w:val="24"/>
          <w:lang w:val="en-AU"/>
        </w:rPr>
        <w:t xml:space="preserve">government to government (G2G) partnerships between Australian Government </w:t>
      </w:r>
      <w:r w:rsidR="02097E8D" w:rsidRPr="00DA776F">
        <w:rPr>
          <w:sz w:val="24"/>
          <w:szCs w:val="24"/>
          <w:lang w:val="en-AU"/>
        </w:rPr>
        <w:t>A</w:t>
      </w:r>
      <w:r w:rsidR="3930F220" w:rsidRPr="00DA776F">
        <w:rPr>
          <w:sz w:val="24"/>
          <w:szCs w:val="24"/>
          <w:lang w:val="en-AU"/>
        </w:rPr>
        <w:t>gencies including the Australian Federal Police, Australian Border Force</w:t>
      </w:r>
      <w:r w:rsidR="203F626C" w:rsidRPr="00DA776F">
        <w:rPr>
          <w:sz w:val="24"/>
          <w:szCs w:val="24"/>
          <w:lang w:val="en-AU"/>
        </w:rPr>
        <w:t xml:space="preserve"> and AUSTRAC and their </w:t>
      </w:r>
      <w:r w:rsidR="1147DDBB" w:rsidRPr="00DA776F">
        <w:rPr>
          <w:sz w:val="24"/>
          <w:szCs w:val="24"/>
          <w:lang w:val="en-AU"/>
        </w:rPr>
        <w:t xml:space="preserve">counterparts in Mekong subregion countries. Following the </w:t>
      </w:r>
      <w:r w:rsidR="055ED881" w:rsidRPr="00DA776F">
        <w:rPr>
          <w:sz w:val="24"/>
          <w:szCs w:val="24"/>
          <w:lang w:val="en-AU"/>
        </w:rPr>
        <w:t>MTR</w:t>
      </w:r>
      <w:r w:rsidR="1147DDBB" w:rsidRPr="00DA776F">
        <w:rPr>
          <w:sz w:val="24"/>
          <w:szCs w:val="24"/>
          <w:lang w:val="en-AU"/>
        </w:rPr>
        <w:t xml:space="preserve">, it is envisaged that MAP engagement on transnational crime will continue to </w:t>
      </w:r>
      <w:r w:rsidR="23EF6755" w:rsidRPr="00DA776F">
        <w:rPr>
          <w:sz w:val="24"/>
          <w:szCs w:val="24"/>
          <w:lang w:val="en-AU"/>
        </w:rPr>
        <w:t>be delivered primarily through G2G partnerships</w:t>
      </w:r>
      <w:r w:rsidR="7B599937" w:rsidRPr="00DA776F">
        <w:rPr>
          <w:sz w:val="24"/>
          <w:szCs w:val="24"/>
          <w:lang w:val="en-AU"/>
        </w:rPr>
        <w:t xml:space="preserve">, </w:t>
      </w:r>
      <w:r w:rsidR="159F5EA6" w:rsidRPr="00DA776F">
        <w:rPr>
          <w:sz w:val="24"/>
          <w:szCs w:val="24"/>
          <w:lang w:val="en-AU"/>
        </w:rPr>
        <w:t xml:space="preserve">with a shift towards multi-year and larger value partnerships </w:t>
      </w:r>
      <w:r w:rsidR="03A86FFD" w:rsidRPr="00DA776F">
        <w:rPr>
          <w:sz w:val="24"/>
          <w:szCs w:val="24"/>
          <w:lang w:val="en-AU"/>
        </w:rPr>
        <w:t xml:space="preserve">between DFAT and other agencies </w:t>
      </w:r>
      <w:r w:rsidR="159F5EA6" w:rsidRPr="00DA776F">
        <w:rPr>
          <w:sz w:val="24"/>
          <w:szCs w:val="24"/>
          <w:lang w:val="en-AU"/>
        </w:rPr>
        <w:t xml:space="preserve">rather than discrete </w:t>
      </w:r>
      <w:r w:rsidR="03A86FFD" w:rsidRPr="00DA776F">
        <w:rPr>
          <w:sz w:val="24"/>
          <w:szCs w:val="24"/>
          <w:lang w:val="en-AU"/>
        </w:rPr>
        <w:t>arrangements for individual activities</w:t>
      </w:r>
      <w:r w:rsidR="23EF6755" w:rsidRPr="00DA776F">
        <w:rPr>
          <w:sz w:val="24"/>
          <w:szCs w:val="24"/>
          <w:lang w:val="en-AU"/>
        </w:rPr>
        <w:t xml:space="preserve">. </w:t>
      </w:r>
      <w:r w:rsidR="055ED881" w:rsidRPr="00DA776F">
        <w:rPr>
          <w:sz w:val="24"/>
          <w:szCs w:val="24"/>
          <w:lang w:val="en-AU"/>
        </w:rPr>
        <w:t>The Mekong Hub will undertake a sub</w:t>
      </w:r>
      <w:r w:rsidR="01AF376A" w:rsidRPr="00DA776F">
        <w:rPr>
          <w:sz w:val="24"/>
          <w:szCs w:val="24"/>
          <w:lang w:val="en-AU"/>
        </w:rPr>
        <w:t>-</w:t>
      </w:r>
      <w:r w:rsidR="055ED881" w:rsidRPr="00DA776F">
        <w:rPr>
          <w:sz w:val="24"/>
          <w:szCs w:val="24"/>
          <w:lang w:val="en-AU"/>
        </w:rPr>
        <w:t xml:space="preserve">design update process of the MAP-TNC design to respond to the MTR and to align </w:t>
      </w:r>
      <w:r w:rsidR="5CF60526" w:rsidRPr="00DA776F">
        <w:rPr>
          <w:sz w:val="24"/>
          <w:szCs w:val="24"/>
          <w:lang w:val="en-AU"/>
        </w:rPr>
        <w:t>this program with this design.</w:t>
      </w:r>
      <w:r w:rsidR="055ED881" w:rsidRPr="00DA776F">
        <w:rPr>
          <w:sz w:val="24"/>
          <w:szCs w:val="24"/>
          <w:lang w:val="en-AU"/>
        </w:rPr>
        <w:t xml:space="preserve"> </w:t>
      </w:r>
    </w:p>
    <w:p w14:paraId="20894C30" w14:textId="772AB347" w:rsidR="00392FA3" w:rsidRPr="0043313B" w:rsidRDefault="00FE11F6" w:rsidP="00600A31">
      <w:pPr>
        <w:pStyle w:val="Heading3Numbered"/>
        <w:rPr>
          <w:i/>
          <w:iCs/>
          <w:lang w:val="en-AU"/>
        </w:rPr>
      </w:pPr>
      <w:r w:rsidRPr="0043313B">
        <w:rPr>
          <w:lang w:val="en-AU"/>
        </w:rPr>
        <w:t xml:space="preserve">Portfolio </w:t>
      </w:r>
      <w:r w:rsidR="00392FA3" w:rsidRPr="0043313B">
        <w:rPr>
          <w:lang w:val="en-AU"/>
        </w:rPr>
        <w:t>Intermediate outcomes</w:t>
      </w:r>
    </w:p>
    <w:p w14:paraId="20C03BCF" w14:textId="4929B45C" w:rsidR="00384D57" w:rsidRPr="00DA776F" w:rsidRDefault="00384D57" w:rsidP="00451F8E">
      <w:pPr>
        <w:rPr>
          <w:sz w:val="24"/>
          <w:szCs w:val="24"/>
          <w:lang w:val="en-AU"/>
        </w:rPr>
      </w:pPr>
      <w:r w:rsidRPr="00DA776F">
        <w:rPr>
          <w:sz w:val="24"/>
          <w:szCs w:val="24"/>
          <w:lang w:val="en-AU"/>
        </w:rPr>
        <w:t xml:space="preserve">To achieve </w:t>
      </w:r>
      <w:r w:rsidR="003D1626" w:rsidRPr="00DA776F">
        <w:rPr>
          <w:sz w:val="24"/>
          <w:szCs w:val="24"/>
          <w:lang w:val="en-AU"/>
        </w:rPr>
        <w:t xml:space="preserve">the </w:t>
      </w:r>
      <w:r w:rsidRPr="00DA776F">
        <w:rPr>
          <w:sz w:val="24"/>
          <w:szCs w:val="24"/>
          <w:lang w:val="en-AU"/>
        </w:rPr>
        <w:t xml:space="preserve">EOPOs, MAP Phase 2 will </w:t>
      </w:r>
      <w:r w:rsidR="003D1626" w:rsidRPr="00DA776F">
        <w:rPr>
          <w:sz w:val="24"/>
          <w:szCs w:val="24"/>
          <w:lang w:val="en-AU"/>
        </w:rPr>
        <w:t xml:space="preserve">channel its support towards </w:t>
      </w:r>
      <w:r w:rsidR="00C3705B" w:rsidRPr="00DA776F">
        <w:rPr>
          <w:sz w:val="24"/>
          <w:szCs w:val="24"/>
          <w:lang w:val="en-AU"/>
        </w:rPr>
        <w:t>three</w:t>
      </w:r>
      <w:r w:rsidRPr="00DA776F">
        <w:rPr>
          <w:sz w:val="24"/>
          <w:szCs w:val="24"/>
          <w:lang w:val="en-AU"/>
        </w:rPr>
        <w:t xml:space="preserve"> intermediate outcomes</w:t>
      </w:r>
      <w:r w:rsidR="00666726" w:rsidRPr="00DA776F">
        <w:rPr>
          <w:sz w:val="24"/>
          <w:szCs w:val="24"/>
          <w:lang w:val="en-AU"/>
        </w:rPr>
        <w:t xml:space="preserve"> (IO)</w:t>
      </w:r>
      <w:r w:rsidR="00C524E6" w:rsidRPr="00DA776F">
        <w:rPr>
          <w:sz w:val="24"/>
          <w:szCs w:val="24"/>
          <w:lang w:val="en-AU"/>
        </w:rPr>
        <w:t xml:space="preserve"> </w:t>
      </w:r>
      <w:r w:rsidRPr="00DA776F">
        <w:rPr>
          <w:sz w:val="24"/>
          <w:szCs w:val="24"/>
          <w:lang w:val="en-AU"/>
        </w:rPr>
        <w:t xml:space="preserve">expected to be achieved by the end of the </w:t>
      </w:r>
      <w:r w:rsidR="00D724C5" w:rsidRPr="00DA776F">
        <w:rPr>
          <w:sz w:val="24"/>
          <w:szCs w:val="24"/>
          <w:lang w:val="en-AU"/>
        </w:rPr>
        <w:t>five</w:t>
      </w:r>
      <w:r w:rsidRPr="00DA776F">
        <w:rPr>
          <w:sz w:val="24"/>
          <w:szCs w:val="24"/>
          <w:lang w:val="en-AU"/>
        </w:rPr>
        <w:t xml:space="preserve"> years of implementation (2029). </w:t>
      </w:r>
      <w:r w:rsidR="6561059D" w:rsidRPr="00DA776F">
        <w:rPr>
          <w:sz w:val="24"/>
          <w:szCs w:val="24"/>
          <w:lang w:val="en-AU"/>
        </w:rPr>
        <w:t>Intermediate outcomes are likely to be refreshed during the development of the thematic delivery strategies throughout the inception period to further tighten the framing of support to each thematic area.</w:t>
      </w:r>
    </w:p>
    <w:p w14:paraId="32C7FD6C" w14:textId="3C179AB7" w:rsidR="00555A20" w:rsidRPr="00DA776F" w:rsidRDefault="00555A20" w:rsidP="00555A20">
      <w:pPr>
        <w:rPr>
          <w:b/>
          <w:bCs/>
          <w:i/>
          <w:iCs/>
          <w:sz w:val="24"/>
          <w:szCs w:val="24"/>
          <w:lang w:val="en-AU"/>
        </w:rPr>
      </w:pPr>
      <w:r w:rsidRPr="00DA776F">
        <w:rPr>
          <w:b/>
          <w:bCs/>
          <w:i/>
          <w:iCs/>
          <w:sz w:val="24"/>
          <w:szCs w:val="24"/>
          <w:lang w:val="en-AU"/>
        </w:rPr>
        <w:t xml:space="preserve">IO </w:t>
      </w:r>
      <w:r w:rsidR="00EA0F09" w:rsidRPr="00DA776F">
        <w:rPr>
          <w:b/>
          <w:bCs/>
          <w:i/>
          <w:iCs/>
          <w:sz w:val="24"/>
          <w:szCs w:val="24"/>
          <w:lang w:val="en-AU"/>
        </w:rPr>
        <w:t>1</w:t>
      </w:r>
      <w:r w:rsidRPr="00DA776F">
        <w:rPr>
          <w:b/>
          <w:bCs/>
          <w:i/>
          <w:iCs/>
          <w:sz w:val="24"/>
          <w:szCs w:val="24"/>
          <w:lang w:val="en-AU"/>
        </w:rPr>
        <w:t xml:space="preserve"> – </w:t>
      </w:r>
      <w:r w:rsidR="00EA0F09" w:rsidRPr="00DA776F">
        <w:rPr>
          <w:b/>
          <w:bCs/>
          <w:i/>
          <w:iCs/>
          <w:sz w:val="24"/>
          <w:szCs w:val="24"/>
          <w:lang w:val="en-AU"/>
        </w:rPr>
        <w:t>Australian and Mekong subregion partners deepen and strengthen partnerships within MAP thematic areas</w:t>
      </w:r>
      <w:r w:rsidRPr="00DA776F">
        <w:rPr>
          <w:b/>
          <w:bCs/>
          <w:i/>
          <w:iCs/>
          <w:sz w:val="24"/>
          <w:szCs w:val="24"/>
          <w:lang w:val="en-AU"/>
        </w:rPr>
        <w:t>.</w:t>
      </w:r>
    </w:p>
    <w:p w14:paraId="3BE1853B" w14:textId="0C6197CA" w:rsidR="00555A20" w:rsidRPr="00DA776F" w:rsidRDefault="007A0032" w:rsidP="4C1C98D1">
      <w:pPr>
        <w:rPr>
          <w:rFonts w:cstheme="minorHAnsi"/>
          <w:sz w:val="24"/>
          <w:szCs w:val="24"/>
          <w:lang w:val="en-AU"/>
        </w:rPr>
      </w:pPr>
      <w:r w:rsidRPr="00DA776F">
        <w:rPr>
          <w:rFonts w:cstheme="minorHAnsi"/>
          <w:sz w:val="24"/>
          <w:szCs w:val="24"/>
          <w:lang w:val="en-AU"/>
        </w:rPr>
        <w:t>Partnerships between relevant Australian and Mekong partners in the thematic areas will be</w:t>
      </w:r>
      <w:r w:rsidR="00A06926" w:rsidRPr="00DA776F">
        <w:rPr>
          <w:rFonts w:cstheme="minorHAnsi"/>
          <w:sz w:val="24"/>
          <w:szCs w:val="24"/>
          <w:lang w:val="en-AU"/>
        </w:rPr>
        <w:t xml:space="preserve"> </w:t>
      </w:r>
      <w:r w:rsidR="00A06926" w:rsidRPr="00DA776F">
        <w:rPr>
          <w:sz w:val="24"/>
          <w:szCs w:val="24"/>
        </w:rPr>
        <w:t xml:space="preserve">strengthened and new relationships will be established, consolidated and sustained through collaboration based on </w:t>
      </w:r>
      <w:r w:rsidR="00E60E12" w:rsidRPr="00DA776F">
        <w:rPr>
          <w:sz w:val="24"/>
          <w:szCs w:val="24"/>
        </w:rPr>
        <w:t>MAP</w:t>
      </w:r>
      <w:r w:rsidR="00A06926" w:rsidRPr="00DA776F">
        <w:rPr>
          <w:sz w:val="24"/>
          <w:szCs w:val="24"/>
        </w:rPr>
        <w:t xml:space="preserve"> Phase 2 suppor</w:t>
      </w:r>
      <w:r w:rsidR="00E60E12" w:rsidRPr="00DA776F">
        <w:rPr>
          <w:sz w:val="24"/>
          <w:szCs w:val="24"/>
        </w:rPr>
        <w:t>t</w:t>
      </w:r>
      <w:r w:rsidRPr="00DA776F">
        <w:rPr>
          <w:rFonts w:cstheme="minorHAnsi"/>
          <w:sz w:val="24"/>
          <w:szCs w:val="24"/>
          <w:lang w:val="en-AU"/>
        </w:rPr>
        <w:t xml:space="preserve">. </w:t>
      </w:r>
      <w:r w:rsidR="7215FE56" w:rsidRPr="00DA776F">
        <w:rPr>
          <w:rFonts w:eastAsia="Calibri Light"/>
          <w:sz w:val="24"/>
          <w:szCs w:val="24"/>
          <w:lang w:val="en-AU"/>
        </w:rPr>
        <w:t xml:space="preserve">Under this outcome, MAP Phase 2 will </w:t>
      </w:r>
      <w:r w:rsidR="41A0776B" w:rsidRPr="00DA776F">
        <w:rPr>
          <w:rFonts w:eastAsia="Calibri Light"/>
          <w:sz w:val="24"/>
          <w:szCs w:val="24"/>
          <w:lang w:val="en-AU"/>
        </w:rPr>
        <w:t>nurture, develop and strengthen</w:t>
      </w:r>
      <w:r w:rsidR="41A0776B" w:rsidRPr="00DA776F">
        <w:rPr>
          <w:sz w:val="24"/>
          <w:szCs w:val="24"/>
          <w:lang w:val="en-AU"/>
        </w:rPr>
        <w:t xml:space="preserve"> partnerships with Mekong organisations</w:t>
      </w:r>
      <w:r w:rsidR="41A0776B" w:rsidRPr="00DA776F">
        <w:rPr>
          <w:b/>
          <w:bCs/>
          <w:sz w:val="24"/>
          <w:szCs w:val="24"/>
          <w:lang w:val="en-AU"/>
        </w:rPr>
        <w:t xml:space="preserve"> </w:t>
      </w:r>
      <w:r w:rsidR="41A0776B" w:rsidRPr="00DA776F">
        <w:rPr>
          <w:sz w:val="24"/>
          <w:szCs w:val="24"/>
          <w:lang w:val="en-AU"/>
        </w:rPr>
        <w:t>in the five key thematic areas</w:t>
      </w:r>
      <w:r w:rsidR="41A0776B" w:rsidRPr="00DA776F">
        <w:rPr>
          <w:rFonts w:eastAsia="Times New Roman" w:cs="Times New Roman"/>
          <w:sz w:val="24"/>
          <w:szCs w:val="24"/>
          <w:lang w:val="en-AU"/>
        </w:rPr>
        <w:t>. There is an option to continue, adapt and deepen successful partnerships supported under MAP Phase 1</w:t>
      </w:r>
      <w:r w:rsidR="0C105EEB" w:rsidRPr="00DA776F">
        <w:rPr>
          <w:rFonts w:eastAsia="Times New Roman" w:cs="Times New Roman"/>
          <w:sz w:val="24"/>
          <w:szCs w:val="24"/>
          <w:lang w:val="en-AU"/>
        </w:rPr>
        <w:t>. Selected partnerships have already been identified through an interim planning process for continuation or expansion</w:t>
      </w:r>
      <w:r w:rsidR="007D2079">
        <w:rPr>
          <w:rFonts w:eastAsia="Times New Roman" w:cs="Times New Roman"/>
          <w:sz w:val="24"/>
          <w:szCs w:val="24"/>
          <w:lang w:val="en-AU"/>
        </w:rPr>
        <w:t>.</w:t>
      </w:r>
    </w:p>
    <w:p w14:paraId="55C10C3D" w14:textId="49A5E5BB" w:rsidR="00555A20" w:rsidRPr="00DA776F" w:rsidRDefault="41A0776B" w:rsidP="00555A20">
      <w:pPr>
        <w:rPr>
          <w:sz w:val="24"/>
          <w:szCs w:val="24"/>
          <w:lang w:val="en-AU"/>
        </w:rPr>
      </w:pPr>
      <w:r w:rsidRPr="00DA776F">
        <w:rPr>
          <w:sz w:val="24"/>
          <w:szCs w:val="24"/>
          <w:lang w:val="en-AU"/>
        </w:rPr>
        <w:t xml:space="preserve">Australia will foster and support new partnerships. This may entail generating appetite for counterparts to engage in emerging policy spaces such as the care economy, inclusive leadership, </w:t>
      </w:r>
      <w:r w:rsidR="4994C861" w:rsidRPr="00DA776F">
        <w:rPr>
          <w:sz w:val="24"/>
          <w:szCs w:val="24"/>
          <w:lang w:val="en-AU"/>
        </w:rPr>
        <w:t>FDI</w:t>
      </w:r>
      <w:r w:rsidR="6B4E42A0" w:rsidRPr="00DA776F">
        <w:rPr>
          <w:sz w:val="24"/>
          <w:szCs w:val="24"/>
          <w:lang w:val="en-AU"/>
        </w:rPr>
        <w:t xml:space="preserve"> (Foreign Direct Investment)</w:t>
      </w:r>
      <w:r w:rsidR="4994C861" w:rsidRPr="00DA776F">
        <w:rPr>
          <w:sz w:val="24"/>
          <w:szCs w:val="24"/>
          <w:lang w:val="en-AU"/>
        </w:rPr>
        <w:t xml:space="preserve">, </w:t>
      </w:r>
      <w:r w:rsidRPr="00DA776F">
        <w:rPr>
          <w:sz w:val="24"/>
          <w:szCs w:val="24"/>
          <w:lang w:val="en-AU"/>
        </w:rPr>
        <w:t>and enhancing GEDSI focused civic spaces through policy dialogue, short courses and pe</w:t>
      </w:r>
      <w:r w:rsidR="0073391C">
        <w:rPr>
          <w:sz w:val="24"/>
          <w:szCs w:val="24"/>
          <w:lang w:val="en-AU"/>
        </w:rPr>
        <w:t>e</w:t>
      </w:r>
      <w:r w:rsidRPr="00DA776F">
        <w:rPr>
          <w:sz w:val="24"/>
          <w:szCs w:val="24"/>
          <w:lang w:val="en-AU"/>
        </w:rPr>
        <w:t>r-to-peer learning. As MAP Phase 1 demonstrated, investing in leadership, knowledge, and skills positions Australia as a credible, responsive, and valued partner, and fosters quality networks and long-term linkages between Australia and the Mekong subregion. It enhances the technical capability and skills</w:t>
      </w:r>
      <w:r w:rsidR="0E7C8313" w:rsidRPr="00DA776F">
        <w:rPr>
          <w:sz w:val="24"/>
          <w:szCs w:val="24"/>
          <w:lang w:val="en-AU"/>
        </w:rPr>
        <w:t xml:space="preserve">, </w:t>
      </w:r>
      <w:r w:rsidRPr="00DA776F">
        <w:rPr>
          <w:sz w:val="24"/>
          <w:szCs w:val="24"/>
          <w:lang w:val="en-AU"/>
        </w:rPr>
        <w:t>as well as</w:t>
      </w:r>
      <w:r w:rsidR="0E7C8313" w:rsidRPr="00DA776F">
        <w:rPr>
          <w:sz w:val="24"/>
          <w:szCs w:val="24"/>
          <w:lang w:val="en-AU"/>
        </w:rPr>
        <w:t xml:space="preserve"> influence</w:t>
      </w:r>
      <w:r w:rsidRPr="00DA776F">
        <w:rPr>
          <w:sz w:val="24"/>
          <w:szCs w:val="24"/>
          <w:lang w:val="en-AU"/>
        </w:rPr>
        <w:t xml:space="preserve"> tangential norms and values of individuals and organisations. </w:t>
      </w:r>
      <w:r w:rsidR="00417FDA">
        <w:rPr>
          <w:sz w:val="24"/>
          <w:szCs w:val="24"/>
          <w:lang w:val="en-AU"/>
        </w:rPr>
        <w:t>Existing</w:t>
      </w:r>
      <w:r w:rsidR="00417FDA" w:rsidRPr="00DA776F">
        <w:rPr>
          <w:sz w:val="24"/>
          <w:szCs w:val="24"/>
          <w:lang w:val="en-AU"/>
        </w:rPr>
        <w:t xml:space="preserve"> </w:t>
      </w:r>
      <w:r w:rsidRPr="00DA776F">
        <w:rPr>
          <w:sz w:val="24"/>
          <w:szCs w:val="24"/>
          <w:lang w:val="en-AU"/>
        </w:rPr>
        <w:t xml:space="preserve">partnerships will be leveraged to deliver short courses, policy dialogue and exchanges, and peer-to-peer learning to support outcomes across all thematic areas and other </w:t>
      </w:r>
      <w:r w:rsidR="43C35996" w:rsidRPr="00DA776F">
        <w:rPr>
          <w:sz w:val="24"/>
          <w:szCs w:val="24"/>
          <w:lang w:val="en-AU"/>
        </w:rPr>
        <w:t>I</w:t>
      </w:r>
      <w:r w:rsidRPr="00DA776F">
        <w:rPr>
          <w:sz w:val="24"/>
          <w:szCs w:val="24"/>
          <w:lang w:val="en-AU"/>
        </w:rPr>
        <w:t>Os. As counterparts demonstrate willingness to engage in new ways and in new policy areas, MAP Phase 2 will engag</w:t>
      </w:r>
      <w:r w:rsidR="0E7C8313" w:rsidRPr="00DA776F">
        <w:rPr>
          <w:sz w:val="24"/>
          <w:szCs w:val="24"/>
          <w:lang w:val="en-AU"/>
        </w:rPr>
        <w:t>e</w:t>
      </w:r>
      <w:r w:rsidRPr="00DA776F">
        <w:rPr>
          <w:sz w:val="24"/>
          <w:szCs w:val="24"/>
          <w:lang w:val="en-AU"/>
        </w:rPr>
        <w:t xml:space="preserve"> new implementing partners</w:t>
      </w:r>
      <w:r w:rsidR="7215FE56" w:rsidRPr="00DA776F">
        <w:rPr>
          <w:sz w:val="24"/>
          <w:szCs w:val="24"/>
          <w:lang w:val="en-AU"/>
        </w:rPr>
        <w:t xml:space="preserve"> as agreed with the Steering Committee</w:t>
      </w:r>
      <w:r w:rsidRPr="00DA776F">
        <w:rPr>
          <w:sz w:val="24"/>
          <w:szCs w:val="24"/>
          <w:lang w:val="en-AU"/>
        </w:rPr>
        <w:t>.</w:t>
      </w:r>
    </w:p>
    <w:p w14:paraId="20A5ACFF" w14:textId="7C41184A" w:rsidR="00DE1FFB" w:rsidRPr="00DA776F" w:rsidRDefault="00DE1FFB" w:rsidP="00DE1FFB">
      <w:pPr>
        <w:rPr>
          <w:b/>
          <w:bCs/>
          <w:i/>
          <w:iCs/>
          <w:sz w:val="24"/>
          <w:szCs w:val="24"/>
          <w:lang w:val="en-AU"/>
        </w:rPr>
      </w:pPr>
      <w:r w:rsidRPr="00DA776F">
        <w:rPr>
          <w:b/>
          <w:bCs/>
          <w:i/>
          <w:iCs/>
          <w:sz w:val="24"/>
          <w:szCs w:val="24"/>
          <w:lang w:val="en-AU"/>
        </w:rPr>
        <w:t>IO 2 – Mekong subregion partners improve evidence-based and inclusive policies and practices within MAP thematic areas.</w:t>
      </w:r>
    </w:p>
    <w:p w14:paraId="69FF57E6" w14:textId="6704062D" w:rsidR="00555A20" w:rsidRPr="00DA776F" w:rsidRDefault="47DAA465" w:rsidP="57FA071A">
      <w:pPr>
        <w:rPr>
          <w:i/>
          <w:iCs/>
          <w:sz w:val="24"/>
          <w:szCs w:val="24"/>
          <w:lang w:val="en-AU"/>
        </w:rPr>
      </w:pPr>
      <w:r w:rsidRPr="00DA776F">
        <w:rPr>
          <w:sz w:val="24"/>
          <w:szCs w:val="24"/>
          <w:lang w:val="en-AU"/>
        </w:rPr>
        <w:t xml:space="preserve">Mekong subregion partners will use more inclusive policies, systems and practices in thematic areas. Evidence will contribute to partners achieving policy and practice change in thematic </w:t>
      </w:r>
      <w:r w:rsidR="4C9BBD8D" w:rsidRPr="00DA776F">
        <w:rPr>
          <w:sz w:val="24"/>
          <w:szCs w:val="24"/>
          <w:lang w:val="en-AU"/>
        </w:rPr>
        <w:t>areas. Australia</w:t>
      </w:r>
      <w:r w:rsidR="5C030AD5" w:rsidRPr="00DA776F">
        <w:rPr>
          <w:rFonts w:eastAsia="Calibri Light"/>
          <w:sz w:val="24"/>
          <w:szCs w:val="24"/>
          <w:lang w:val="en-AU"/>
        </w:rPr>
        <w:t xml:space="preserve"> will invest in activities that </w:t>
      </w:r>
      <w:r w:rsidR="5C030AD5" w:rsidRPr="00DA776F">
        <w:rPr>
          <w:sz w:val="24"/>
          <w:szCs w:val="24"/>
          <w:lang w:val="en-AU"/>
        </w:rPr>
        <w:t xml:space="preserve">improve evidence-based and inclusive policies </w:t>
      </w:r>
      <w:r w:rsidR="373DC411" w:rsidRPr="00DA776F">
        <w:rPr>
          <w:sz w:val="24"/>
          <w:szCs w:val="24"/>
          <w:lang w:val="en-AU"/>
        </w:rPr>
        <w:t xml:space="preserve">and practices </w:t>
      </w:r>
      <w:r w:rsidR="5C030AD5" w:rsidRPr="00DA776F">
        <w:rPr>
          <w:sz w:val="24"/>
          <w:szCs w:val="24"/>
          <w:lang w:val="en-AU"/>
        </w:rPr>
        <w:t xml:space="preserve">for Mekong </w:t>
      </w:r>
      <w:r w:rsidR="5C030AD5" w:rsidRPr="00DA776F">
        <w:rPr>
          <w:sz w:val="24"/>
          <w:szCs w:val="24"/>
          <w:lang w:val="en-AU"/>
        </w:rPr>
        <w:lastRenderedPageBreak/>
        <w:t xml:space="preserve">counterparts across MAP thematic areas. Australia will leverage partnerships under </w:t>
      </w:r>
      <w:r w:rsidR="373DC411" w:rsidRPr="00DA776F">
        <w:rPr>
          <w:sz w:val="24"/>
          <w:szCs w:val="24"/>
          <w:lang w:val="en-AU"/>
        </w:rPr>
        <w:t>IO</w:t>
      </w:r>
      <w:r w:rsidR="5C030AD5" w:rsidRPr="00DA776F">
        <w:rPr>
          <w:sz w:val="24"/>
          <w:szCs w:val="24"/>
          <w:lang w:val="en-AU"/>
        </w:rPr>
        <w:t xml:space="preserve"> 1 to support Mekong government partners and </w:t>
      </w:r>
      <w:r w:rsidR="0DD82C54" w:rsidRPr="00DA776F">
        <w:rPr>
          <w:sz w:val="24"/>
          <w:szCs w:val="24"/>
          <w:lang w:val="en-AU"/>
        </w:rPr>
        <w:t>sub</w:t>
      </w:r>
      <w:r w:rsidR="5C030AD5" w:rsidRPr="00DA776F">
        <w:rPr>
          <w:sz w:val="24"/>
          <w:szCs w:val="24"/>
          <w:lang w:val="en-AU"/>
        </w:rPr>
        <w:t xml:space="preserve">regional bodies improve processes and practices for technically credible and inclusive policy and decision-making, and </w:t>
      </w:r>
      <w:r w:rsidR="0DD82C54" w:rsidRPr="00DA776F">
        <w:rPr>
          <w:sz w:val="24"/>
          <w:szCs w:val="24"/>
          <w:lang w:val="en-AU"/>
        </w:rPr>
        <w:t xml:space="preserve">support their </w:t>
      </w:r>
      <w:r w:rsidR="5C030AD5" w:rsidRPr="00DA776F">
        <w:rPr>
          <w:sz w:val="24"/>
          <w:szCs w:val="24"/>
          <w:lang w:val="en-AU"/>
        </w:rPr>
        <w:t>technical capacity for effective planning, design, implementation, and monitoring and evaluation</w:t>
      </w:r>
      <w:r w:rsidR="0DD82C54" w:rsidRPr="00DA776F">
        <w:rPr>
          <w:sz w:val="24"/>
          <w:szCs w:val="24"/>
          <w:lang w:val="en-AU"/>
        </w:rPr>
        <w:t xml:space="preserve"> of investments</w:t>
      </w:r>
      <w:r w:rsidR="5C030AD5" w:rsidRPr="00DA776F">
        <w:rPr>
          <w:sz w:val="24"/>
          <w:szCs w:val="24"/>
          <w:lang w:val="en-AU"/>
        </w:rPr>
        <w:t xml:space="preserve">. Investments in generation of data, evidence, research, advocacy, and analytics via implementing partners such as think tanks, universities, multilateral development banks and UN agencies and </w:t>
      </w:r>
      <w:r w:rsidR="358F2301" w:rsidRPr="00DA776F">
        <w:rPr>
          <w:sz w:val="24"/>
          <w:szCs w:val="24"/>
          <w:lang w:val="en-AU"/>
        </w:rPr>
        <w:t xml:space="preserve">NGOs </w:t>
      </w:r>
      <w:r w:rsidR="5C030AD5" w:rsidRPr="00DA776F">
        <w:rPr>
          <w:sz w:val="24"/>
          <w:szCs w:val="24"/>
          <w:lang w:val="en-AU"/>
        </w:rPr>
        <w:t xml:space="preserve">will be a priority under this </w:t>
      </w:r>
      <w:r w:rsidR="621EEDEB" w:rsidRPr="00DA776F">
        <w:rPr>
          <w:sz w:val="24"/>
          <w:szCs w:val="24"/>
          <w:lang w:val="en-AU"/>
        </w:rPr>
        <w:t>IO</w:t>
      </w:r>
      <w:r w:rsidR="5C030AD5" w:rsidRPr="00DA776F">
        <w:rPr>
          <w:sz w:val="24"/>
          <w:szCs w:val="24"/>
          <w:lang w:val="en-AU"/>
        </w:rPr>
        <w:t xml:space="preserve">. Accessing Australian technical capability will remain important – this will be realised through mobilising specialist technical capability of Australian </w:t>
      </w:r>
      <w:r w:rsidR="0808F039" w:rsidRPr="00DA776F">
        <w:rPr>
          <w:sz w:val="24"/>
          <w:szCs w:val="24"/>
          <w:lang w:val="en-AU"/>
        </w:rPr>
        <w:t>G</w:t>
      </w:r>
      <w:r w:rsidR="5C030AD5" w:rsidRPr="00DA776F">
        <w:rPr>
          <w:sz w:val="24"/>
          <w:szCs w:val="24"/>
          <w:lang w:val="en-AU"/>
        </w:rPr>
        <w:t xml:space="preserve">overnment </w:t>
      </w:r>
      <w:r w:rsidR="718B030C" w:rsidRPr="00DA776F">
        <w:rPr>
          <w:sz w:val="24"/>
          <w:szCs w:val="24"/>
          <w:lang w:val="en-AU"/>
        </w:rPr>
        <w:t>A</w:t>
      </w:r>
      <w:r w:rsidR="5C030AD5" w:rsidRPr="00DA776F">
        <w:rPr>
          <w:sz w:val="24"/>
          <w:szCs w:val="24"/>
          <w:lang w:val="en-AU"/>
        </w:rPr>
        <w:t xml:space="preserve">gencies and partners in the private and </w:t>
      </w:r>
      <w:bookmarkStart w:id="61" w:name="_Int_13AFLX43"/>
      <w:r w:rsidR="0D51EEC6" w:rsidRPr="00DA776F">
        <w:rPr>
          <w:sz w:val="24"/>
          <w:szCs w:val="24"/>
          <w:lang w:val="en-AU"/>
        </w:rPr>
        <w:t>NGO</w:t>
      </w:r>
      <w:bookmarkEnd w:id="61"/>
      <w:r w:rsidR="5C030AD5" w:rsidRPr="00DA776F">
        <w:rPr>
          <w:sz w:val="24"/>
          <w:szCs w:val="24"/>
          <w:lang w:val="en-AU"/>
        </w:rPr>
        <w:t xml:space="preserve"> sectors. By supporting more informed and inclusive policies and practices, Mekong partners will be better able to address shared and transboundary challenges.</w:t>
      </w:r>
    </w:p>
    <w:p w14:paraId="09BF5226" w14:textId="0AE03BF1" w:rsidR="00666726" w:rsidRPr="00DA776F" w:rsidRDefault="00666726" w:rsidP="00666726">
      <w:pPr>
        <w:rPr>
          <w:b/>
          <w:bCs/>
          <w:i/>
          <w:iCs/>
          <w:sz w:val="24"/>
          <w:szCs w:val="24"/>
          <w:lang w:val="en-AU"/>
        </w:rPr>
      </w:pPr>
      <w:r w:rsidRPr="00DA776F">
        <w:rPr>
          <w:b/>
          <w:bCs/>
          <w:i/>
          <w:iCs/>
          <w:sz w:val="24"/>
          <w:szCs w:val="24"/>
          <w:lang w:val="en-AU"/>
        </w:rPr>
        <w:t>IO 3 – Mekong subregion partners strengthen cooperation in areas of shared and transboundary challenges.</w:t>
      </w:r>
    </w:p>
    <w:p w14:paraId="6EB69A38" w14:textId="5B78C97C" w:rsidR="00384D57" w:rsidRPr="00DA776F" w:rsidRDefault="00F37879" w:rsidP="00384D57">
      <w:pPr>
        <w:rPr>
          <w:sz w:val="24"/>
          <w:szCs w:val="24"/>
          <w:lang w:val="en-AU"/>
        </w:rPr>
      </w:pPr>
      <w:r w:rsidRPr="00DA776F">
        <w:rPr>
          <w:sz w:val="24"/>
          <w:szCs w:val="24"/>
          <w:lang w:val="en-AU"/>
        </w:rPr>
        <w:t xml:space="preserve">Mekong countries strengthen cooperation in thematic areas, based on MAP Phase 2 support. Mekong countries coordinate on policy and practice in thematic areas. Cooperation between Mekong countries on shared and transboundary issues improves.  </w:t>
      </w:r>
      <w:r w:rsidR="41A0776B" w:rsidRPr="00DA776F">
        <w:rPr>
          <w:sz w:val="24"/>
          <w:szCs w:val="24"/>
          <w:lang w:val="en-AU"/>
        </w:rPr>
        <w:t xml:space="preserve">Under </w:t>
      </w:r>
      <w:r w:rsidR="3B654812" w:rsidRPr="00DA776F">
        <w:rPr>
          <w:sz w:val="24"/>
          <w:szCs w:val="24"/>
          <w:lang w:val="en-AU"/>
        </w:rPr>
        <w:t>this outcome</w:t>
      </w:r>
      <w:r w:rsidR="41A0776B" w:rsidRPr="00DA776F">
        <w:rPr>
          <w:sz w:val="24"/>
          <w:szCs w:val="24"/>
          <w:lang w:val="en-AU"/>
        </w:rPr>
        <w:t xml:space="preserve">, </w:t>
      </w:r>
      <w:r w:rsidR="41A0776B" w:rsidRPr="00DA776F">
        <w:rPr>
          <w:rFonts w:eastAsia="Calibri Light"/>
          <w:sz w:val="24"/>
          <w:szCs w:val="24"/>
          <w:lang w:val="en-AU"/>
        </w:rPr>
        <w:t xml:space="preserve">Australia will invest in activities that </w:t>
      </w:r>
      <w:r w:rsidR="41A0776B" w:rsidRPr="00DA776F">
        <w:rPr>
          <w:sz w:val="24"/>
          <w:szCs w:val="24"/>
          <w:lang w:val="en-AU"/>
        </w:rPr>
        <w:t xml:space="preserve">foster and strengthen cooperation between Mekong countries in areas of shared and transboundary challenges. Whereas activities under </w:t>
      </w:r>
      <w:r w:rsidR="3B654812" w:rsidRPr="00DA776F">
        <w:rPr>
          <w:sz w:val="24"/>
          <w:szCs w:val="24"/>
          <w:lang w:val="en-AU"/>
        </w:rPr>
        <w:t>IO</w:t>
      </w:r>
      <w:r w:rsidR="41A0776B" w:rsidRPr="00DA776F">
        <w:rPr>
          <w:sz w:val="24"/>
          <w:szCs w:val="24"/>
          <w:lang w:val="en-AU"/>
        </w:rPr>
        <w:t xml:space="preserve"> 1 and </w:t>
      </w:r>
      <w:r w:rsidR="3B654812" w:rsidRPr="00DA776F">
        <w:rPr>
          <w:sz w:val="24"/>
          <w:szCs w:val="24"/>
          <w:lang w:val="en-AU"/>
        </w:rPr>
        <w:t>IO</w:t>
      </w:r>
      <w:r w:rsidR="41A0776B" w:rsidRPr="00DA776F">
        <w:rPr>
          <w:sz w:val="24"/>
          <w:szCs w:val="24"/>
          <w:lang w:val="en-AU"/>
        </w:rPr>
        <w:t xml:space="preserve"> 2 may be focused bilaterally (</w:t>
      </w:r>
      <w:r w:rsidR="3B654812" w:rsidRPr="00DA776F">
        <w:rPr>
          <w:sz w:val="24"/>
          <w:szCs w:val="24"/>
          <w:lang w:val="en-AU"/>
        </w:rPr>
        <w:t>e</w:t>
      </w:r>
      <w:r w:rsidR="03732ADE" w:rsidRPr="00DA776F">
        <w:rPr>
          <w:sz w:val="24"/>
          <w:szCs w:val="24"/>
          <w:lang w:val="en-AU"/>
        </w:rPr>
        <w:t>.</w:t>
      </w:r>
      <w:r w:rsidR="00852CE3" w:rsidRPr="00DA776F">
        <w:rPr>
          <w:sz w:val="24"/>
          <w:szCs w:val="24"/>
          <w:lang w:val="en-AU"/>
        </w:rPr>
        <w:t>g</w:t>
      </w:r>
      <w:r w:rsidR="40DDF142" w:rsidRPr="00DA776F">
        <w:rPr>
          <w:sz w:val="24"/>
          <w:szCs w:val="24"/>
          <w:lang w:val="en-AU"/>
        </w:rPr>
        <w:t>.</w:t>
      </w:r>
      <w:r w:rsidR="3B654812" w:rsidRPr="00DA776F">
        <w:rPr>
          <w:sz w:val="24"/>
          <w:szCs w:val="24"/>
          <w:lang w:val="en-AU"/>
        </w:rPr>
        <w:t xml:space="preserve"> </w:t>
      </w:r>
      <w:r w:rsidR="41A0776B" w:rsidRPr="00DA776F">
        <w:rPr>
          <w:sz w:val="24"/>
          <w:szCs w:val="24"/>
          <w:lang w:val="en-AU"/>
        </w:rPr>
        <w:t xml:space="preserve">economic resilience and GEDSI being thematic areas often best tackled bilaterally), under </w:t>
      </w:r>
      <w:r w:rsidR="3B654812" w:rsidRPr="00DA776F">
        <w:rPr>
          <w:sz w:val="24"/>
          <w:szCs w:val="24"/>
          <w:lang w:val="en-AU"/>
        </w:rPr>
        <w:t>IO</w:t>
      </w:r>
      <w:r w:rsidR="41A0776B" w:rsidRPr="00DA776F">
        <w:rPr>
          <w:sz w:val="24"/>
          <w:szCs w:val="24"/>
          <w:lang w:val="en-AU"/>
        </w:rPr>
        <w:t xml:space="preserve"> 3 Australia will support investments that involve stakeholders from two or more Mekong countries in pursuit of shared or transboundary solutions to issues of mutual interest. The notion of shared challenges refers to issues that are common but not necessarily or uniquely transboundary, for example water management is a shared issue that involves transboundary and non-transboundary basins. Australia will continue to invest in important subregional cooperation </w:t>
      </w:r>
      <w:r w:rsidR="75B9E7B1" w:rsidRPr="00DA776F">
        <w:rPr>
          <w:sz w:val="24"/>
          <w:szCs w:val="24"/>
          <w:lang w:val="en-AU"/>
        </w:rPr>
        <w:t>frameworks</w:t>
      </w:r>
      <w:r w:rsidR="41A0776B" w:rsidRPr="00DA776F">
        <w:rPr>
          <w:sz w:val="24"/>
          <w:szCs w:val="24"/>
          <w:lang w:val="en-AU"/>
        </w:rPr>
        <w:t xml:space="preserve"> </w:t>
      </w:r>
      <w:r w:rsidR="41A0776B" w:rsidRPr="00276B9A">
        <w:rPr>
          <w:sz w:val="24"/>
          <w:szCs w:val="24"/>
          <w:lang w:val="en-AU"/>
        </w:rPr>
        <w:t xml:space="preserve">such as </w:t>
      </w:r>
      <w:r w:rsidR="69E967EE" w:rsidRPr="00276B9A">
        <w:rPr>
          <w:sz w:val="24"/>
          <w:szCs w:val="24"/>
          <w:lang w:val="en-AU"/>
        </w:rPr>
        <w:t xml:space="preserve">ACMECS and </w:t>
      </w:r>
      <w:r w:rsidR="41A0776B" w:rsidRPr="00276B9A">
        <w:rPr>
          <w:sz w:val="24"/>
          <w:szCs w:val="24"/>
          <w:lang w:val="en-AU"/>
        </w:rPr>
        <w:t>the MRC</w:t>
      </w:r>
      <w:r w:rsidR="00276B9A" w:rsidRPr="0000253E">
        <w:rPr>
          <w:sz w:val="24"/>
          <w:szCs w:val="24"/>
          <w:lang w:val="en-AU"/>
        </w:rPr>
        <w:t xml:space="preserve"> and will</w:t>
      </w:r>
      <w:r w:rsidR="41A0776B" w:rsidRPr="00276B9A">
        <w:rPr>
          <w:sz w:val="24"/>
          <w:szCs w:val="24"/>
          <w:lang w:val="en-AU"/>
        </w:rPr>
        <w:t xml:space="preserve"> pursue trilateral</w:t>
      </w:r>
      <w:r w:rsidR="00276B9A" w:rsidRPr="0000253E">
        <w:rPr>
          <w:sz w:val="24"/>
          <w:szCs w:val="24"/>
          <w:lang w:val="en-AU"/>
        </w:rPr>
        <w:t xml:space="preserve"> and minilateral</w:t>
      </w:r>
      <w:r w:rsidR="41A0776B" w:rsidRPr="00276B9A">
        <w:rPr>
          <w:sz w:val="24"/>
          <w:szCs w:val="24"/>
          <w:lang w:val="en-AU"/>
        </w:rPr>
        <w:t xml:space="preserve"> cooperation </w:t>
      </w:r>
      <w:r w:rsidR="00276B9A" w:rsidRPr="0000253E">
        <w:rPr>
          <w:sz w:val="24"/>
          <w:szCs w:val="24"/>
          <w:lang w:val="en-AU"/>
        </w:rPr>
        <w:t xml:space="preserve">in areas of shared interest. </w:t>
      </w:r>
    </w:p>
    <w:p w14:paraId="24417FF3" w14:textId="6903ECE9" w:rsidR="00384D57" w:rsidRPr="00CF0522" w:rsidRDefault="7EC52977" w:rsidP="2C480AEE">
      <w:pPr>
        <w:pStyle w:val="Heading3Numbered"/>
        <w:rPr>
          <w:lang w:val="en-AU"/>
        </w:rPr>
      </w:pPr>
      <w:r w:rsidRPr="00CF0522">
        <w:rPr>
          <w:lang w:val="en-AU"/>
        </w:rPr>
        <w:t xml:space="preserve">Indicative Thematic </w:t>
      </w:r>
      <w:r w:rsidR="00302C3C" w:rsidRPr="00CF0522">
        <w:rPr>
          <w:lang w:val="en-AU"/>
        </w:rPr>
        <w:t xml:space="preserve">Intermediate </w:t>
      </w:r>
      <w:r w:rsidRPr="00CF0522">
        <w:rPr>
          <w:lang w:val="en-AU"/>
        </w:rPr>
        <w:t>Outcomes</w:t>
      </w:r>
    </w:p>
    <w:p w14:paraId="6D35FA4A" w14:textId="5DE8B4DF" w:rsidR="00BF3B92" w:rsidRPr="00DA776F" w:rsidRDefault="73CFF88C" w:rsidP="00302C3C">
      <w:pPr>
        <w:rPr>
          <w:rFonts w:ascii="Calibri Light" w:eastAsia="Calibri Light" w:hAnsi="Calibri Light" w:cs="Calibri Light"/>
          <w:sz w:val="24"/>
          <w:szCs w:val="24"/>
          <w:lang w:val="en-AU"/>
        </w:rPr>
      </w:pPr>
      <w:r w:rsidRPr="00DA776F">
        <w:rPr>
          <w:rFonts w:ascii="Calibri Light" w:eastAsia="Calibri Light" w:hAnsi="Calibri Light" w:cs="Calibri Light"/>
          <w:sz w:val="24"/>
          <w:szCs w:val="24"/>
          <w:lang w:val="en-AU"/>
        </w:rPr>
        <w:t xml:space="preserve">MAP Phase 2 investments will cover one or more thematic area. Indicative outcomes for each thematic area are included in the Portfolio Logic for illustrative purpose. They build on the objectives of successful Phase 1 investments and may serve to </w:t>
      </w:r>
      <w:r w:rsidR="00BC4EEF">
        <w:rPr>
          <w:rFonts w:ascii="Calibri Light" w:eastAsia="Calibri Light" w:hAnsi="Calibri Light" w:cs="Calibri Light"/>
          <w:sz w:val="24"/>
          <w:szCs w:val="24"/>
          <w:lang w:val="en-AU"/>
        </w:rPr>
        <w:t>guide</w:t>
      </w:r>
      <w:r w:rsidRPr="00DA776F">
        <w:rPr>
          <w:rFonts w:ascii="Calibri Light" w:eastAsia="Calibri Light" w:hAnsi="Calibri Light" w:cs="Calibri Light"/>
          <w:sz w:val="24"/>
          <w:szCs w:val="24"/>
          <w:lang w:val="en-AU"/>
        </w:rPr>
        <w:t xml:space="preserve"> initial Phase 2 investments. They will be refined through the development of thematic strategies</w:t>
      </w:r>
      <w:r w:rsidR="51100ACF" w:rsidRPr="00DA776F">
        <w:rPr>
          <w:rFonts w:ascii="Calibri Light" w:eastAsia="Calibri Light" w:hAnsi="Calibri Light" w:cs="Calibri Light"/>
          <w:sz w:val="24"/>
          <w:szCs w:val="24"/>
          <w:lang w:val="en-AU"/>
        </w:rPr>
        <w:t xml:space="preserve"> (including a MAP-TNC sub-design update)</w:t>
      </w:r>
      <w:r w:rsidRPr="00DA776F">
        <w:rPr>
          <w:rFonts w:ascii="Calibri Light" w:eastAsia="Calibri Light" w:hAnsi="Calibri Light" w:cs="Calibri Light"/>
          <w:sz w:val="24"/>
          <w:szCs w:val="24"/>
          <w:lang w:val="en-AU"/>
        </w:rPr>
        <w:t xml:space="preserve"> during the inception period, based on discussions with relevant stakeholders. </w:t>
      </w:r>
    </w:p>
    <w:p w14:paraId="603FFDCA" w14:textId="43E86B62" w:rsidR="00B21D14" w:rsidRPr="00DA776F" w:rsidRDefault="00AA7404" w:rsidP="00302C3C">
      <w:pPr>
        <w:rPr>
          <w:rFonts w:ascii="Calibri Light" w:eastAsia="Calibri Light" w:hAnsi="Calibri Light" w:cs="Calibri Light"/>
          <w:sz w:val="24"/>
          <w:szCs w:val="24"/>
          <w:lang w:val="en-AU"/>
        </w:rPr>
      </w:pPr>
      <w:r w:rsidRPr="00DA776F">
        <w:rPr>
          <w:rFonts w:ascii="Calibri Light" w:eastAsia="Calibri Light" w:hAnsi="Calibri Light" w:cs="Calibri Light"/>
          <w:sz w:val="24"/>
          <w:szCs w:val="24"/>
          <w:lang w:val="en-AU"/>
        </w:rPr>
        <w:t xml:space="preserve">Indicative thematic intermediate outcomes </w:t>
      </w:r>
      <w:r w:rsidR="73CFF88C" w:rsidRPr="00DA776F">
        <w:rPr>
          <w:rFonts w:ascii="Calibri Light" w:eastAsia="Calibri Light" w:hAnsi="Calibri Light" w:cs="Calibri Light"/>
          <w:sz w:val="24"/>
          <w:szCs w:val="24"/>
          <w:lang w:val="en-AU"/>
        </w:rPr>
        <w:t>include:</w:t>
      </w:r>
    </w:p>
    <w:p w14:paraId="692A0DDE" w14:textId="3FABBD5A" w:rsidR="00384D57" w:rsidRPr="00DA776F" w:rsidRDefault="7EC52977" w:rsidP="00302C3C">
      <w:pPr>
        <w:pStyle w:val="ListParagraph"/>
        <w:numPr>
          <w:ilvl w:val="0"/>
          <w:numId w:val="2"/>
        </w:numPr>
        <w:spacing w:before="0" w:after="0"/>
        <w:rPr>
          <w:rFonts w:ascii="Calibri Light" w:eastAsia="Calibri Light" w:hAnsi="Calibri Light" w:cs="Calibri Light"/>
          <w:sz w:val="24"/>
          <w:szCs w:val="24"/>
          <w:lang w:val="en-AU"/>
        </w:rPr>
      </w:pPr>
      <w:r w:rsidRPr="00DA776F">
        <w:rPr>
          <w:rFonts w:ascii="Calibri Light" w:eastAsia="Calibri Light" w:hAnsi="Calibri Light" w:cs="Calibri Light"/>
          <w:sz w:val="24"/>
          <w:szCs w:val="24"/>
          <w:lang w:val="en-AU"/>
        </w:rPr>
        <w:t>Climate resilience:</w:t>
      </w:r>
    </w:p>
    <w:p w14:paraId="0E0473C8" w14:textId="06672942" w:rsidR="00493137" w:rsidRPr="00DA776F" w:rsidRDefault="697B2C98" w:rsidP="57FA071A">
      <w:pPr>
        <w:pStyle w:val="ListParagraph"/>
        <w:numPr>
          <w:ilvl w:val="1"/>
          <w:numId w:val="2"/>
        </w:numPr>
        <w:spacing w:before="0" w:after="0"/>
        <w:rPr>
          <w:rFonts w:ascii="Calibri Light" w:eastAsia="Calibri Light" w:hAnsi="Calibri Light" w:cs="Calibri Light"/>
          <w:i/>
          <w:iCs/>
          <w:sz w:val="24"/>
          <w:szCs w:val="24"/>
          <w:lang w:val="en-AU"/>
        </w:rPr>
      </w:pPr>
      <w:r w:rsidRPr="00DA776F">
        <w:rPr>
          <w:rFonts w:ascii="Calibri Light" w:eastAsia="Calibri Light" w:hAnsi="Calibri Light" w:cs="Calibri Light"/>
          <w:i/>
          <w:iCs/>
          <w:sz w:val="24"/>
          <w:szCs w:val="24"/>
          <w:lang w:val="en-AU"/>
        </w:rPr>
        <w:t>Increased adoption of inclusive and evidence-based mitigation and adaptation initiatives</w:t>
      </w:r>
      <w:r w:rsidR="5705E64D" w:rsidRPr="00DA776F">
        <w:rPr>
          <w:rFonts w:ascii="Calibri Light" w:eastAsia="Calibri Light" w:hAnsi="Calibri Light" w:cs="Calibri Light"/>
          <w:i/>
          <w:iCs/>
          <w:sz w:val="24"/>
          <w:szCs w:val="24"/>
          <w:lang w:val="en-AU"/>
        </w:rPr>
        <w:t>.</w:t>
      </w:r>
    </w:p>
    <w:p w14:paraId="5BDA8736" w14:textId="24541EA7" w:rsidR="00493137" w:rsidRPr="00DA776F" w:rsidRDefault="697B2C98" w:rsidP="57FA071A">
      <w:pPr>
        <w:pStyle w:val="ListParagraph"/>
        <w:numPr>
          <w:ilvl w:val="1"/>
          <w:numId w:val="2"/>
        </w:numPr>
        <w:spacing w:before="0" w:after="0"/>
        <w:rPr>
          <w:rFonts w:ascii="Calibri Light" w:eastAsia="Calibri Light" w:hAnsi="Calibri Light" w:cs="Calibri Light"/>
          <w:i/>
          <w:iCs/>
          <w:sz w:val="24"/>
          <w:szCs w:val="24"/>
          <w:lang w:val="en-AU"/>
        </w:rPr>
      </w:pPr>
      <w:r w:rsidRPr="00DA776F">
        <w:rPr>
          <w:rFonts w:ascii="Calibri Light" w:eastAsia="Calibri Light" w:hAnsi="Calibri Light" w:cs="Calibri Light"/>
          <w:i/>
          <w:iCs/>
          <w:sz w:val="24"/>
          <w:szCs w:val="24"/>
          <w:lang w:val="en-AU"/>
        </w:rPr>
        <w:t>Strengthened subregional cooperation to tackle transboundary climate change impacts</w:t>
      </w:r>
      <w:r w:rsidR="39A646BE" w:rsidRPr="00DA776F">
        <w:rPr>
          <w:rFonts w:ascii="Calibri Light" w:eastAsia="Calibri Light" w:hAnsi="Calibri Light" w:cs="Calibri Light"/>
          <w:i/>
          <w:iCs/>
          <w:sz w:val="24"/>
          <w:szCs w:val="24"/>
          <w:lang w:val="en-AU"/>
        </w:rPr>
        <w:t>.</w:t>
      </w:r>
    </w:p>
    <w:p w14:paraId="69820E5D" w14:textId="220B5457" w:rsidR="00493137" w:rsidRPr="00DA776F" w:rsidRDefault="697B2C98" w:rsidP="57FA071A">
      <w:pPr>
        <w:pStyle w:val="ListParagraph"/>
        <w:numPr>
          <w:ilvl w:val="1"/>
          <w:numId w:val="2"/>
        </w:numPr>
        <w:spacing w:before="0" w:after="0"/>
        <w:rPr>
          <w:rFonts w:ascii="Calibri Light" w:eastAsia="Calibri Light" w:hAnsi="Calibri Light" w:cs="Calibri Light"/>
          <w:i/>
          <w:iCs/>
          <w:sz w:val="24"/>
          <w:szCs w:val="24"/>
          <w:lang w:val="en-AU"/>
        </w:rPr>
      </w:pPr>
      <w:r w:rsidRPr="00DA776F">
        <w:rPr>
          <w:rFonts w:ascii="Calibri Light" w:eastAsia="Calibri Light" w:hAnsi="Calibri Light" w:cs="Calibri Light"/>
          <w:i/>
          <w:iCs/>
          <w:sz w:val="24"/>
          <w:szCs w:val="24"/>
          <w:lang w:val="en-AU"/>
        </w:rPr>
        <w:t>Enhanced collaboration between Australian and Mekong institutions to facilitate knowledge and technology sharing for climate resilience</w:t>
      </w:r>
      <w:r w:rsidR="39A646BE" w:rsidRPr="00DA776F">
        <w:rPr>
          <w:rFonts w:ascii="Calibri Light" w:eastAsia="Calibri Light" w:hAnsi="Calibri Light" w:cs="Calibri Light"/>
          <w:i/>
          <w:iCs/>
          <w:sz w:val="24"/>
          <w:szCs w:val="24"/>
          <w:lang w:val="en-AU"/>
        </w:rPr>
        <w:t>.</w:t>
      </w:r>
    </w:p>
    <w:p w14:paraId="3D6DE744" w14:textId="12726CB5" w:rsidR="00493137" w:rsidRPr="00DA776F" w:rsidRDefault="697B2C98" w:rsidP="57FA071A">
      <w:pPr>
        <w:pStyle w:val="ListParagraph"/>
        <w:numPr>
          <w:ilvl w:val="1"/>
          <w:numId w:val="2"/>
        </w:numPr>
        <w:spacing w:before="0" w:after="0"/>
        <w:rPr>
          <w:rFonts w:ascii="Calibri Light" w:eastAsia="Calibri Light" w:hAnsi="Calibri Light" w:cs="Calibri Light"/>
          <w:i/>
          <w:iCs/>
          <w:sz w:val="24"/>
          <w:szCs w:val="24"/>
          <w:lang w:val="en-AU"/>
        </w:rPr>
      </w:pPr>
      <w:r w:rsidRPr="00DA776F">
        <w:rPr>
          <w:rFonts w:ascii="Calibri Light" w:eastAsia="Calibri Light" w:hAnsi="Calibri Light" w:cs="Calibri Light"/>
          <w:i/>
          <w:iCs/>
          <w:sz w:val="24"/>
          <w:szCs w:val="24"/>
          <w:lang w:val="en-AU"/>
        </w:rPr>
        <w:t>Increased recognition of the voices of women, people with disabilities, and other marginalised groups in climate change policy and practice</w:t>
      </w:r>
      <w:r w:rsidR="5C7BD542" w:rsidRPr="00DA776F">
        <w:rPr>
          <w:rFonts w:ascii="Calibri Light" w:eastAsia="Calibri Light" w:hAnsi="Calibri Light" w:cs="Calibri Light"/>
          <w:i/>
          <w:iCs/>
          <w:sz w:val="24"/>
          <w:szCs w:val="24"/>
          <w:lang w:val="en-AU"/>
        </w:rPr>
        <w:t>.</w:t>
      </w:r>
    </w:p>
    <w:p w14:paraId="03A76F1E" w14:textId="1A2F9FA3" w:rsidR="00384D57" w:rsidRPr="00DA776F" w:rsidRDefault="7EC52977" w:rsidP="00302C3C">
      <w:pPr>
        <w:pStyle w:val="ListParagraph"/>
        <w:numPr>
          <w:ilvl w:val="0"/>
          <w:numId w:val="2"/>
        </w:numPr>
        <w:spacing w:before="0" w:after="0"/>
        <w:rPr>
          <w:rFonts w:ascii="Calibri Light" w:eastAsia="Calibri Light" w:hAnsi="Calibri Light" w:cs="Calibri Light"/>
          <w:i/>
          <w:iCs/>
          <w:sz w:val="24"/>
          <w:szCs w:val="24"/>
          <w:lang w:val="en-US"/>
        </w:rPr>
      </w:pPr>
      <w:r w:rsidRPr="00DA776F">
        <w:rPr>
          <w:rFonts w:ascii="Calibri Light" w:eastAsia="Calibri Light" w:hAnsi="Calibri Light" w:cs="Calibri Light"/>
          <w:sz w:val="24"/>
          <w:szCs w:val="24"/>
          <w:lang w:val="en-AU"/>
        </w:rPr>
        <w:t>Water security:</w:t>
      </w:r>
    </w:p>
    <w:p w14:paraId="00DF8042" w14:textId="0FBC9DDD" w:rsidR="006D11BE" w:rsidRPr="00DA776F" w:rsidRDefault="21605290" w:rsidP="57FA071A">
      <w:pPr>
        <w:pStyle w:val="ListParagraph"/>
        <w:numPr>
          <w:ilvl w:val="1"/>
          <w:numId w:val="2"/>
        </w:numPr>
        <w:spacing w:before="0" w:after="0"/>
        <w:rPr>
          <w:rFonts w:ascii="Calibri Light" w:hAnsi="Calibri Light" w:cs="Calibri Light"/>
          <w:i/>
          <w:iCs/>
          <w:sz w:val="24"/>
          <w:szCs w:val="24"/>
          <w:lang w:val="en-AU"/>
        </w:rPr>
      </w:pPr>
      <w:r w:rsidRPr="00DA776F">
        <w:rPr>
          <w:rFonts w:ascii="Calibri Light" w:hAnsi="Calibri Light" w:cs="Calibri Light"/>
          <w:i/>
          <w:iCs/>
          <w:sz w:val="24"/>
          <w:szCs w:val="24"/>
          <w:lang w:val="en-US"/>
        </w:rPr>
        <w:t>More effective and inclusive subregional and national water governance structures, mechanisms and processes</w:t>
      </w:r>
      <w:r w:rsidR="6CF0462F" w:rsidRPr="00DA776F">
        <w:rPr>
          <w:rFonts w:ascii="Calibri Light" w:hAnsi="Calibri Light" w:cs="Calibri Light"/>
          <w:i/>
          <w:iCs/>
          <w:sz w:val="24"/>
          <w:szCs w:val="24"/>
          <w:lang w:val="en-US"/>
        </w:rPr>
        <w:t>.</w:t>
      </w:r>
      <w:r w:rsidRPr="00DA776F">
        <w:rPr>
          <w:rFonts w:ascii="Calibri Light" w:hAnsi="Calibri Light" w:cs="Calibri Light"/>
          <w:i/>
          <w:iCs/>
          <w:sz w:val="24"/>
          <w:szCs w:val="24"/>
          <w:lang w:val="en-US"/>
        </w:rPr>
        <w:t xml:space="preserve"> </w:t>
      </w:r>
    </w:p>
    <w:p w14:paraId="19480BEB" w14:textId="4A28A1B8" w:rsidR="006D11BE" w:rsidRPr="00DA776F" w:rsidRDefault="21605290" w:rsidP="57FA071A">
      <w:pPr>
        <w:pStyle w:val="ListParagraph"/>
        <w:numPr>
          <w:ilvl w:val="1"/>
          <w:numId w:val="2"/>
        </w:numPr>
        <w:spacing w:before="0" w:after="0"/>
        <w:rPr>
          <w:rFonts w:ascii="Calibri Light" w:hAnsi="Calibri Light" w:cs="Calibri Light"/>
          <w:i/>
          <w:iCs/>
          <w:sz w:val="24"/>
          <w:szCs w:val="24"/>
          <w:lang w:val="en-US"/>
        </w:rPr>
      </w:pPr>
      <w:r w:rsidRPr="00DA776F">
        <w:rPr>
          <w:rFonts w:ascii="Calibri Light" w:hAnsi="Calibri Light" w:cs="Calibri Light"/>
          <w:i/>
          <w:iCs/>
          <w:sz w:val="24"/>
          <w:szCs w:val="24"/>
          <w:lang w:val="en-US"/>
        </w:rPr>
        <w:lastRenderedPageBreak/>
        <w:t>Improved data, information, and evidence production and sharing for informed decision-making</w:t>
      </w:r>
      <w:r w:rsidR="640A3034" w:rsidRPr="00DA776F">
        <w:rPr>
          <w:rFonts w:ascii="Calibri Light" w:hAnsi="Calibri Light" w:cs="Calibri Light"/>
          <w:i/>
          <w:iCs/>
          <w:sz w:val="24"/>
          <w:szCs w:val="24"/>
          <w:lang w:val="en-US"/>
        </w:rPr>
        <w:t>.</w:t>
      </w:r>
    </w:p>
    <w:p w14:paraId="7BFDE2BA" w14:textId="59721B96" w:rsidR="006D11BE" w:rsidRPr="00DA776F" w:rsidRDefault="21605290" w:rsidP="57FA071A">
      <w:pPr>
        <w:pStyle w:val="ListParagraph"/>
        <w:numPr>
          <w:ilvl w:val="1"/>
          <w:numId w:val="2"/>
        </w:numPr>
        <w:spacing w:before="0" w:after="0"/>
        <w:rPr>
          <w:rFonts w:ascii="Calibri Light" w:hAnsi="Calibri Light" w:cs="Calibri Light"/>
          <w:i/>
          <w:iCs/>
          <w:sz w:val="24"/>
          <w:szCs w:val="24"/>
          <w:lang w:val="en-AU"/>
        </w:rPr>
      </w:pPr>
      <w:r w:rsidRPr="00DA776F">
        <w:rPr>
          <w:rFonts w:ascii="Calibri Light" w:hAnsi="Calibri Light" w:cs="Calibri Light"/>
          <w:i/>
          <w:iCs/>
          <w:sz w:val="24"/>
          <w:szCs w:val="24"/>
          <w:lang w:val="en-US"/>
        </w:rPr>
        <w:t>Strengthened cross-border cooperation among Mekong subregion countries on water governance issues</w:t>
      </w:r>
      <w:r w:rsidR="596C1739" w:rsidRPr="00DA776F">
        <w:rPr>
          <w:rFonts w:ascii="Calibri Light" w:hAnsi="Calibri Light" w:cs="Calibri Light"/>
          <w:i/>
          <w:iCs/>
          <w:sz w:val="24"/>
          <w:szCs w:val="24"/>
          <w:lang w:val="en-US"/>
        </w:rPr>
        <w:t>.</w:t>
      </w:r>
    </w:p>
    <w:p w14:paraId="55EFF34A" w14:textId="7FA1B17A" w:rsidR="006D11BE" w:rsidRPr="00DA776F" w:rsidRDefault="21605290" w:rsidP="57FA071A">
      <w:pPr>
        <w:pStyle w:val="ListParagraph"/>
        <w:numPr>
          <w:ilvl w:val="1"/>
          <w:numId w:val="2"/>
        </w:numPr>
        <w:spacing w:before="0" w:after="0"/>
        <w:rPr>
          <w:rFonts w:ascii="Calibri Light" w:hAnsi="Calibri Light" w:cs="Calibri Light"/>
          <w:i/>
          <w:iCs/>
          <w:sz w:val="24"/>
          <w:szCs w:val="24"/>
          <w:lang w:val="en-AU"/>
        </w:rPr>
      </w:pPr>
      <w:r w:rsidRPr="00DA776F">
        <w:rPr>
          <w:rFonts w:ascii="Calibri Light" w:hAnsi="Calibri Light" w:cs="Calibri Light"/>
          <w:i/>
          <w:iCs/>
          <w:sz w:val="24"/>
          <w:szCs w:val="24"/>
          <w:lang w:val="en-US"/>
        </w:rPr>
        <w:t>Increased collaboration between Australian and Mekong institutions for shared learning in water governance</w:t>
      </w:r>
      <w:r w:rsidR="400139E2" w:rsidRPr="00DA776F">
        <w:rPr>
          <w:rFonts w:ascii="Calibri Light" w:hAnsi="Calibri Light" w:cs="Calibri Light"/>
          <w:i/>
          <w:iCs/>
          <w:sz w:val="24"/>
          <w:szCs w:val="24"/>
          <w:lang w:val="en-US"/>
        </w:rPr>
        <w:t>.</w:t>
      </w:r>
    </w:p>
    <w:p w14:paraId="5D76DD22" w14:textId="7BF12BA3" w:rsidR="00384D57" w:rsidRPr="00DA776F" w:rsidRDefault="54D8CB53" w:rsidP="00302C3C">
      <w:pPr>
        <w:pStyle w:val="ListParagraph"/>
        <w:numPr>
          <w:ilvl w:val="0"/>
          <w:numId w:val="2"/>
        </w:numPr>
        <w:spacing w:before="0" w:after="0"/>
        <w:rPr>
          <w:rFonts w:ascii="Calibri Light" w:eastAsia="Calibri Light" w:hAnsi="Calibri Light" w:cs="Calibri Light"/>
          <w:sz w:val="24"/>
          <w:szCs w:val="24"/>
          <w:lang w:val="en-AU"/>
        </w:rPr>
      </w:pPr>
      <w:r w:rsidRPr="00DA776F">
        <w:rPr>
          <w:rFonts w:ascii="Calibri Light" w:eastAsia="Calibri Light" w:hAnsi="Calibri Light" w:cs="Calibri Light"/>
          <w:sz w:val="24"/>
          <w:szCs w:val="24"/>
          <w:lang w:val="en-AU"/>
        </w:rPr>
        <w:t>Gender equality, disability and social inclusion:</w:t>
      </w:r>
    </w:p>
    <w:p w14:paraId="21837446" w14:textId="6D03E991" w:rsidR="00276E90" w:rsidRPr="00DA776F" w:rsidRDefault="3CF61B2F" w:rsidP="57FA071A">
      <w:pPr>
        <w:pStyle w:val="ListParagraph"/>
        <w:numPr>
          <w:ilvl w:val="1"/>
          <w:numId w:val="2"/>
        </w:numPr>
        <w:spacing w:before="0" w:after="0"/>
        <w:rPr>
          <w:rFonts w:ascii="Calibri Light" w:eastAsia="Calibri Light" w:hAnsi="Calibri Light" w:cs="Calibri Light"/>
          <w:i/>
          <w:iCs/>
          <w:sz w:val="24"/>
          <w:szCs w:val="24"/>
          <w:lang w:val="en-US"/>
        </w:rPr>
      </w:pPr>
      <w:r w:rsidRPr="00DA776F">
        <w:rPr>
          <w:rFonts w:ascii="Calibri Light" w:eastAsia="Calibri Light" w:hAnsi="Calibri Light" w:cs="Calibri Light"/>
          <w:i/>
          <w:iCs/>
          <w:sz w:val="24"/>
          <w:szCs w:val="24"/>
          <w:lang w:val="en-US"/>
        </w:rPr>
        <w:t>Improved use of GEDSI analysis and evidence in targeted GEDSI policy areas</w:t>
      </w:r>
      <w:r w:rsidR="1DA1703E" w:rsidRPr="00DA776F">
        <w:rPr>
          <w:rFonts w:ascii="Calibri Light" w:eastAsia="Calibri Light" w:hAnsi="Calibri Light" w:cs="Calibri Light"/>
          <w:i/>
          <w:iCs/>
          <w:sz w:val="24"/>
          <w:szCs w:val="24"/>
          <w:lang w:val="en-US"/>
        </w:rPr>
        <w:t>.</w:t>
      </w:r>
    </w:p>
    <w:p w14:paraId="4B105DF9" w14:textId="13D0DA67" w:rsidR="00276E90" w:rsidRPr="00DA776F" w:rsidRDefault="3CF61B2F" w:rsidP="57FA071A">
      <w:pPr>
        <w:pStyle w:val="ListParagraph"/>
        <w:numPr>
          <w:ilvl w:val="1"/>
          <w:numId w:val="2"/>
        </w:numPr>
        <w:spacing w:before="0" w:after="0"/>
        <w:rPr>
          <w:rFonts w:ascii="Calibri Light" w:eastAsia="Calibri Light" w:hAnsi="Calibri Light" w:cs="Calibri Light"/>
          <w:i/>
          <w:iCs/>
          <w:sz w:val="24"/>
          <w:szCs w:val="24"/>
          <w:lang w:val="en-US"/>
        </w:rPr>
      </w:pPr>
      <w:r w:rsidRPr="00DA776F">
        <w:rPr>
          <w:rFonts w:ascii="Calibri Light" w:eastAsia="Calibri Light" w:hAnsi="Calibri Light" w:cs="Calibri Light"/>
          <w:i/>
          <w:iCs/>
          <w:sz w:val="24"/>
          <w:szCs w:val="24"/>
          <w:lang w:val="en-US"/>
        </w:rPr>
        <w:t>Increased participation of women, people with disabilities, and other marginalised groups in decision-making and leadership roles</w:t>
      </w:r>
      <w:r w:rsidR="4154A2F2" w:rsidRPr="00DA776F">
        <w:rPr>
          <w:rFonts w:ascii="Calibri Light" w:eastAsia="Calibri Light" w:hAnsi="Calibri Light" w:cs="Calibri Light"/>
          <w:i/>
          <w:iCs/>
          <w:sz w:val="24"/>
          <w:szCs w:val="24"/>
          <w:lang w:val="en-US"/>
        </w:rPr>
        <w:t>.</w:t>
      </w:r>
    </w:p>
    <w:p w14:paraId="4DF1EA4E" w14:textId="0BAC2381" w:rsidR="00276E90" w:rsidRPr="00DA776F" w:rsidRDefault="3CF61B2F" w:rsidP="57FA071A">
      <w:pPr>
        <w:pStyle w:val="ListParagraph"/>
        <w:numPr>
          <w:ilvl w:val="1"/>
          <w:numId w:val="2"/>
        </w:numPr>
        <w:spacing w:before="0" w:after="0"/>
        <w:rPr>
          <w:rFonts w:ascii="Calibri Light" w:eastAsia="Calibri Light" w:hAnsi="Calibri Light" w:cs="Calibri Light"/>
          <w:i/>
          <w:iCs/>
          <w:sz w:val="24"/>
          <w:szCs w:val="24"/>
          <w:lang w:val="en-US"/>
        </w:rPr>
      </w:pPr>
      <w:r w:rsidRPr="00DA776F">
        <w:rPr>
          <w:rFonts w:ascii="Calibri Light" w:eastAsia="Calibri Light" w:hAnsi="Calibri Light" w:cs="Calibri Light"/>
          <w:i/>
          <w:iCs/>
          <w:sz w:val="24"/>
          <w:szCs w:val="24"/>
          <w:lang w:val="en-US"/>
        </w:rPr>
        <w:t>Better economic opportunities for women, people with disabilities, and other marginalised groups</w:t>
      </w:r>
      <w:r w:rsidR="41198E63" w:rsidRPr="00DA776F">
        <w:rPr>
          <w:rFonts w:ascii="Calibri Light" w:eastAsia="Calibri Light" w:hAnsi="Calibri Light" w:cs="Calibri Light"/>
          <w:i/>
          <w:iCs/>
          <w:sz w:val="24"/>
          <w:szCs w:val="24"/>
          <w:lang w:val="en-US"/>
        </w:rPr>
        <w:t>.</w:t>
      </w:r>
    </w:p>
    <w:p w14:paraId="54B68BCD" w14:textId="2B0B773C" w:rsidR="00276E90" w:rsidRPr="00DA776F" w:rsidRDefault="3CF61B2F" w:rsidP="00276E90">
      <w:pPr>
        <w:pStyle w:val="ListParagraph"/>
        <w:numPr>
          <w:ilvl w:val="1"/>
          <w:numId w:val="2"/>
        </w:numPr>
        <w:spacing w:before="0" w:after="0"/>
        <w:rPr>
          <w:rFonts w:ascii="Calibri Light" w:eastAsia="Calibri Light" w:hAnsi="Calibri Light" w:cs="Calibri Light"/>
          <w:sz w:val="24"/>
          <w:szCs w:val="24"/>
          <w:lang w:val="en-AU"/>
        </w:rPr>
      </w:pPr>
      <w:r w:rsidRPr="00DA776F">
        <w:rPr>
          <w:rFonts w:ascii="Calibri Light" w:eastAsia="Calibri Light" w:hAnsi="Calibri Light" w:cs="Calibri Light"/>
          <w:i/>
          <w:iCs/>
          <w:sz w:val="24"/>
          <w:szCs w:val="24"/>
          <w:lang w:val="en-US"/>
        </w:rPr>
        <w:t>Increased opportunities for regional exchange on gender equality and women and inclusive leadership</w:t>
      </w:r>
      <w:r w:rsidR="3EBDD864" w:rsidRPr="00DA776F">
        <w:rPr>
          <w:rFonts w:ascii="Calibri Light" w:eastAsia="Calibri Light" w:hAnsi="Calibri Light" w:cs="Calibri Light"/>
          <w:i/>
          <w:iCs/>
          <w:sz w:val="24"/>
          <w:szCs w:val="24"/>
          <w:lang w:val="en-US"/>
        </w:rPr>
        <w:t>.</w:t>
      </w:r>
    </w:p>
    <w:p w14:paraId="2CE43130" w14:textId="5381F4DC" w:rsidR="00384D57" w:rsidRPr="00DA776F" w:rsidRDefault="1E104AFD" w:rsidP="00302C3C">
      <w:pPr>
        <w:pStyle w:val="ListParagraph"/>
        <w:numPr>
          <w:ilvl w:val="0"/>
          <w:numId w:val="2"/>
        </w:numPr>
        <w:spacing w:before="0" w:after="0"/>
        <w:rPr>
          <w:rFonts w:ascii="Calibri Light" w:eastAsia="Calibri Light" w:hAnsi="Calibri Light" w:cs="Calibri Light"/>
          <w:sz w:val="24"/>
          <w:szCs w:val="24"/>
          <w:lang w:val="en-AU"/>
        </w:rPr>
      </w:pPr>
      <w:r w:rsidRPr="00DA776F">
        <w:rPr>
          <w:rFonts w:ascii="Calibri Light" w:eastAsia="Calibri Light" w:hAnsi="Calibri Light" w:cs="Calibri Light"/>
          <w:sz w:val="24"/>
          <w:szCs w:val="24"/>
          <w:lang w:val="en-AU"/>
        </w:rPr>
        <w:t>Economic resilience and subregional integration</w:t>
      </w:r>
      <w:r w:rsidR="6E2E4566" w:rsidRPr="00DA776F">
        <w:rPr>
          <w:rFonts w:ascii="Calibri Light" w:eastAsia="Calibri Light" w:hAnsi="Calibri Light" w:cs="Calibri Light"/>
          <w:sz w:val="24"/>
          <w:szCs w:val="24"/>
          <w:lang w:val="en-AU"/>
        </w:rPr>
        <w:t>:</w:t>
      </w:r>
    </w:p>
    <w:p w14:paraId="61E4B24A" w14:textId="0F4DDBB4" w:rsidR="00667D7B" w:rsidRPr="00DA776F" w:rsidRDefault="2BAB646F" w:rsidP="57FA071A">
      <w:pPr>
        <w:pStyle w:val="ListParagraph"/>
        <w:numPr>
          <w:ilvl w:val="1"/>
          <w:numId w:val="2"/>
        </w:numPr>
        <w:spacing w:before="0" w:after="0"/>
        <w:rPr>
          <w:rFonts w:ascii="Calibri Light" w:eastAsia="Calibri Light" w:hAnsi="Calibri Light" w:cs="Calibri Light"/>
          <w:i/>
          <w:iCs/>
          <w:sz w:val="24"/>
          <w:szCs w:val="24"/>
          <w:lang w:val="en-US"/>
        </w:rPr>
      </w:pPr>
      <w:r w:rsidRPr="00DA776F">
        <w:rPr>
          <w:rFonts w:ascii="Calibri Light" w:eastAsia="Calibri Light" w:hAnsi="Calibri Light" w:cs="Calibri Light"/>
          <w:i/>
          <w:iCs/>
          <w:sz w:val="24"/>
          <w:szCs w:val="24"/>
          <w:lang w:val="en-US"/>
        </w:rPr>
        <w:t>Increased use of evidence and analysis to address external economic shocks and pressures and promote sustainable economic growth</w:t>
      </w:r>
      <w:r w:rsidR="248E8A56" w:rsidRPr="00DA776F">
        <w:rPr>
          <w:rFonts w:ascii="Calibri Light" w:eastAsia="Calibri Light" w:hAnsi="Calibri Light" w:cs="Calibri Light"/>
          <w:i/>
          <w:iCs/>
          <w:sz w:val="24"/>
          <w:szCs w:val="24"/>
          <w:lang w:val="en-US"/>
        </w:rPr>
        <w:t>.</w:t>
      </w:r>
    </w:p>
    <w:p w14:paraId="1D98A045" w14:textId="1F5DCA7B" w:rsidR="00667D7B" w:rsidRPr="00DA776F" w:rsidRDefault="2BAB646F" w:rsidP="57FA071A">
      <w:pPr>
        <w:pStyle w:val="ListParagraph"/>
        <w:numPr>
          <w:ilvl w:val="1"/>
          <w:numId w:val="2"/>
        </w:numPr>
        <w:spacing w:before="0" w:after="0"/>
        <w:rPr>
          <w:rFonts w:ascii="Calibri Light" w:eastAsia="Calibri Light" w:hAnsi="Calibri Light" w:cs="Calibri Light"/>
          <w:i/>
          <w:iCs/>
          <w:sz w:val="24"/>
          <w:szCs w:val="24"/>
          <w:lang w:val="en-US"/>
        </w:rPr>
      </w:pPr>
      <w:r w:rsidRPr="00DA776F">
        <w:rPr>
          <w:rFonts w:ascii="Calibri Light" w:eastAsia="Calibri Light" w:hAnsi="Calibri Light" w:cs="Calibri Light"/>
          <w:i/>
          <w:iCs/>
          <w:sz w:val="24"/>
          <w:szCs w:val="24"/>
          <w:lang w:val="en-US"/>
        </w:rPr>
        <w:t>Strengthened collaboration among Mekong subregional countries to address shared economic challenges</w:t>
      </w:r>
      <w:r w:rsidR="78D8CC2A" w:rsidRPr="00DA776F">
        <w:rPr>
          <w:rFonts w:ascii="Calibri Light" w:eastAsia="Calibri Light" w:hAnsi="Calibri Light" w:cs="Calibri Light"/>
          <w:i/>
          <w:iCs/>
          <w:sz w:val="24"/>
          <w:szCs w:val="24"/>
          <w:lang w:val="en-US"/>
        </w:rPr>
        <w:t>.</w:t>
      </w:r>
    </w:p>
    <w:p w14:paraId="03493350" w14:textId="17D00E6B" w:rsidR="00667D7B" w:rsidRPr="00DA776F" w:rsidRDefault="2BAB646F" w:rsidP="00667D7B">
      <w:pPr>
        <w:pStyle w:val="ListParagraph"/>
        <w:numPr>
          <w:ilvl w:val="1"/>
          <w:numId w:val="2"/>
        </w:numPr>
        <w:spacing w:before="0" w:after="0"/>
        <w:rPr>
          <w:rFonts w:ascii="Calibri Light" w:eastAsia="Calibri Light" w:hAnsi="Calibri Light" w:cs="Calibri Light"/>
          <w:sz w:val="24"/>
          <w:szCs w:val="24"/>
          <w:lang w:val="en-AU"/>
        </w:rPr>
      </w:pPr>
      <w:r w:rsidRPr="00DA776F">
        <w:rPr>
          <w:rFonts w:ascii="Calibri Light" w:eastAsia="Calibri Light" w:hAnsi="Calibri Light" w:cs="Calibri Light"/>
          <w:i/>
          <w:iCs/>
          <w:sz w:val="24"/>
          <w:szCs w:val="24"/>
          <w:lang w:val="en-US"/>
        </w:rPr>
        <w:t>Increased opportunities for vulnerable groups and at-risk communities to become more resilient to economic shocks and pressures</w:t>
      </w:r>
      <w:r w:rsidR="69E5D4D5" w:rsidRPr="00DA776F">
        <w:rPr>
          <w:rFonts w:ascii="Calibri Light" w:eastAsia="Calibri Light" w:hAnsi="Calibri Light" w:cs="Calibri Light"/>
          <w:i/>
          <w:iCs/>
          <w:sz w:val="24"/>
          <w:szCs w:val="24"/>
          <w:lang w:val="en-US"/>
        </w:rPr>
        <w:t>.</w:t>
      </w:r>
    </w:p>
    <w:p w14:paraId="5759BD71" w14:textId="2FDD566D" w:rsidR="00384D57" w:rsidRPr="00DA776F" w:rsidRDefault="7EC52977" w:rsidP="00302C3C">
      <w:pPr>
        <w:pStyle w:val="ListParagraph"/>
        <w:numPr>
          <w:ilvl w:val="0"/>
          <w:numId w:val="2"/>
        </w:numPr>
        <w:spacing w:before="0" w:after="0"/>
        <w:rPr>
          <w:rFonts w:ascii="Calibri Light" w:eastAsia="Calibri Light" w:hAnsi="Calibri Light" w:cs="Calibri Light"/>
          <w:sz w:val="24"/>
          <w:szCs w:val="24"/>
          <w:lang w:val="en-AU"/>
        </w:rPr>
      </w:pPr>
      <w:r w:rsidRPr="00DA776F">
        <w:rPr>
          <w:rFonts w:ascii="Calibri Light" w:eastAsia="Calibri Light" w:hAnsi="Calibri Light" w:cs="Calibri Light"/>
          <w:sz w:val="24"/>
          <w:szCs w:val="24"/>
          <w:lang w:val="en-AU"/>
        </w:rPr>
        <w:t>Transnational crime:</w:t>
      </w:r>
    </w:p>
    <w:p w14:paraId="09B7D20F" w14:textId="39953B92" w:rsidR="005E0C42" w:rsidRPr="00DA776F" w:rsidRDefault="320DE03F" w:rsidP="57FA071A">
      <w:pPr>
        <w:pStyle w:val="ListParagraph"/>
        <w:numPr>
          <w:ilvl w:val="1"/>
          <w:numId w:val="2"/>
        </w:numPr>
        <w:spacing w:before="0" w:after="0"/>
        <w:rPr>
          <w:rFonts w:ascii="Calibri Light" w:eastAsia="Calibri Light" w:hAnsi="Calibri Light" w:cs="Calibri Light"/>
          <w:i/>
          <w:iCs/>
          <w:sz w:val="24"/>
          <w:szCs w:val="24"/>
          <w:lang w:val="en-US"/>
        </w:rPr>
      </w:pPr>
      <w:r w:rsidRPr="00DA776F">
        <w:rPr>
          <w:rFonts w:ascii="Calibri Light" w:eastAsia="Calibri Light" w:hAnsi="Calibri Light" w:cs="Calibri Light"/>
          <w:i/>
          <w:iCs/>
          <w:sz w:val="24"/>
          <w:szCs w:val="24"/>
          <w:lang w:val="en-US"/>
        </w:rPr>
        <w:t>Strengthened collaboration on TNC national and regional policies and legislation</w:t>
      </w:r>
      <w:r w:rsidR="75FF6A0D" w:rsidRPr="00DA776F">
        <w:rPr>
          <w:rFonts w:ascii="Calibri Light" w:eastAsia="Calibri Light" w:hAnsi="Calibri Light" w:cs="Calibri Light"/>
          <w:i/>
          <w:iCs/>
          <w:sz w:val="24"/>
          <w:szCs w:val="24"/>
          <w:lang w:val="en-US"/>
        </w:rPr>
        <w:t>.</w:t>
      </w:r>
    </w:p>
    <w:p w14:paraId="6C0232E2" w14:textId="7EA14560" w:rsidR="005E0C42" w:rsidRPr="00DA776F" w:rsidRDefault="320DE03F" w:rsidP="57FA071A">
      <w:pPr>
        <w:pStyle w:val="ListParagraph"/>
        <w:numPr>
          <w:ilvl w:val="1"/>
          <w:numId w:val="2"/>
        </w:numPr>
        <w:spacing w:before="0" w:after="0"/>
        <w:rPr>
          <w:rFonts w:ascii="Calibri Light" w:eastAsia="Calibri Light" w:hAnsi="Calibri Light" w:cs="Calibri Light"/>
          <w:i/>
          <w:iCs/>
          <w:sz w:val="24"/>
          <w:szCs w:val="24"/>
          <w:lang w:val="en-US"/>
        </w:rPr>
      </w:pPr>
      <w:r w:rsidRPr="00DA776F">
        <w:rPr>
          <w:rFonts w:ascii="Calibri Light" w:eastAsia="Calibri Light" w:hAnsi="Calibri Light" w:cs="Calibri Light"/>
          <w:i/>
          <w:iCs/>
          <w:sz w:val="24"/>
          <w:szCs w:val="24"/>
          <w:lang w:val="en-US"/>
        </w:rPr>
        <w:t>Increased use of evidence and analysis in TNC policy and legislation</w:t>
      </w:r>
      <w:r w:rsidR="05ECD1E9" w:rsidRPr="00DA776F">
        <w:rPr>
          <w:rFonts w:ascii="Calibri Light" w:eastAsia="Calibri Light" w:hAnsi="Calibri Light" w:cs="Calibri Light"/>
          <w:i/>
          <w:iCs/>
          <w:sz w:val="24"/>
          <w:szCs w:val="24"/>
          <w:lang w:val="en-US"/>
        </w:rPr>
        <w:t>.</w:t>
      </w:r>
    </w:p>
    <w:p w14:paraId="2B66F31A" w14:textId="45F87A89" w:rsidR="005E0C42" w:rsidRPr="00DA776F" w:rsidRDefault="320DE03F" w:rsidP="57FA071A">
      <w:pPr>
        <w:pStyle w:val="ListParagraph"/>
        <w:numPr>
          <w:ilvl w:val="1"/>
          <w:numId w:val="2"/>
        </w:numPr>
        <w:spacing w:before="0" w:after="0"/>
        <w:rPr>
          <w:rFonts w:ascii="Calibri Light" w:eastAsia="Calibri Light" w:hAnsi="Calibri Light" w:cs="Calibri Light"/>
          <w:i/>
          <w:iCs/>
          <w:sz w:val="24"/>
          <w:szCs w:val="24"/>
          <w:lang w:val="en-US"/>
        </w:rPr>
      </w:pPr>
      <w:r w:rsidRPr="00DA776F">
        <w:rPr>
          <w:rFonts w:ascii="Calibri Light" w:eastAsia="Calibri Light" w:hAnsi="Calibri Light" w:cs="Calibri Light"/>
          <w:i/>
          <w:iCs/>
          <w:sz w:val="24"/>
          <w:szCs w:val="24"/>
          <w:lang w:val="en-US"/>
        </w:rPr>
        <w:t>Improved implementation of measures to strategically address TNC and border security issues at the national and subregional levels</w:t>
      </w:r>
      <w:r w:rsidR="759AE46C" w:rsidRPr="00DA776F">
        <w:rPr>
          <w:rFonts w:ascii="Calibri Light" w:eastAsia="Calibri Light" w:hAnsi="Calibri Light" w:cs="Calibri Light"/>
          <w:i/>
          <w:iCs/>
          <w:sz w:val="24"/>
          <w:szCs w:val="24"/>
          <w:lang w:val="en-US"/>
        </w:rPr>
        <w:t>.</w:t>
      </w:r>
    </w:p>
    <w:p w14:paraId="2788EE9C" w14:textId="4E574AA1" w:rsidR="005E0C42" w:rsidRPr="00DA776F" w:rsidRDefault="320DE03F" w:rsidP="57FA071A">
      <w:pPr>
        <w:pStyle w:val="ListParagraph"/>
        <w:numPr>
          <w:ilvl w:val="1"/>
          <w:numId w:val="2"/>
        </w:numPr>
        <w:spacing w:before="0" w:after="0"/>
        <w:rPr>
          <w:rFonts w:ascii="Calibri Light" w:eastAsia="Calibri Light" w:hAnsi="Calibri Light" w:cs="Calibri Light"/>
          <w:i/>
          <w:iCs/>
          <w:sz w:val="24"/>
          <w:szCs w:val="24"/>
          <w:lang w:val="en-US"/>
        </w:rPr>
      </w:pPr>
      <w:r w:rsidRPr="00DA776F">
        <w:rPr>
          <w:rFonts w:ascii="Calibri Light" w:eastAsia="Calibri Light" w:hAnsi="Calibri Light" w:cs="Calibri Light"/>
          <w:i/>
          <w:iCs/>
          <w:sz w:val="24"/>
          <w:szCs w:val="24"/>
          <w:lang w:val="en-US"/>
        </w:rPr>
        <w:t>Enhanced capacity for information gathering, analysis and information sharing on TNC</w:t>
      </w:r>
      <w:r w:rsidR="470DA879" w:rsidRPr="00DA776F">
        <w:rPr>
          <w:rFonts w:ascii="Calibri Light" w:eastAsia="Calibri Light" w:hAnsi="Calibri Light" w:cs="Calibri Light"/>
          <w:i/>
          <w:iCs/>
          <w:sz w:val="24"/>
          <w:szCs w:val="24"/>
          <w:lang w:val="en-US"/>
        </w:rPr>
        <w:t>.</w:t>
      </w:r>
    </w:p>
    <w:p w14:paraId="4B36990F" w14:textId="1ECBB8BA" w:rsidR="005E0C42" w:rsidRPr="00DA776F" w:rsidRDefault="320DE03F" w:rsidP="57FA071A">
      <w:pPr>
        <w:pStyle w:val="ListParagraph"/>
        <w:numPr>
          <w:ilvl w:val="1"/>
          <w:numId w:val="2"/>
        </w:numPr>
        <w:spacing w:before="0" w:after="0"/>
        <w:rPr>
          <w:rFonts w:ascii="Calibri Light" w:eastAsia="Calibri Light" w:hAnsi="Calibri Light" w:cs="Calibri Light"/>
          <w:i/>
          <w:iCs/>
          <w:sz w:val="24"/>
          <w:szCs w:val="24"/>
          <w:lang w:val="en-US"/>
        </w:rPr>
      </w:pPr>
      <w:r w:rsidRPr="00DA776F">
        <w:rPr>
          <w:rFonts w:ascii="Calibri Light" w:eastAsia="Calibri Light" w:hAnsi="Calibri Light" w:cs="Calibri Light"/>
          <w:i/>
          <w:iCs/>
          <w:sz w:val="24"/>
          <w:szCs w:val="24"/>
          <w:lang w:val="en-US"/>
        </w:rPr>
        <w:t>Better GEDSI integration in policies and practices to address TNC</w:t>
      </w:r>
      <w:r w:rsidR="412FE48D" w:rsidRPr="00DA776F">
        <w:rPr>
          <w:rFonts w:ascii="Calibri Light" w:eastAsia="Calibri Light" w:hAnsi="Calibri Light" w:cs="Calibri Light"/>
          <w:i/>
          <w:iCs/>
          <w:sz w:val="24"/>
          <w:szCs w:val="24"/>
          <w:lang w:val="en-US"/>
        </w:rPr>
        <w:t>.</w:t>
      </w:r>
    </w:p>
    <w:p w14:paraId="6E473C05" w14:textId="17C0360A" w:rsidR="00384D57" w:rsidRPr="001F14E7" w:rsidRDefault="00024BD5" w:rsidP="00513789">
      <w:pPr>
        <w:pStyle w:val="Heading3Numbered"/>
        <w:rPr>
          <w:lang w:val="en-AU"/>
        </w:rPr>
      </w:pPr>
      <w:r w:rsidRPr="2C480AEE">
        <w:rPr>
          <w:lang w:val="en-AU"/>
        </w:rPr>
        <w:t>Immediate Outcomes</w:t>
      </w:r>
    </w:p>
    <w:p w14:paraId="3DD67863" w14:textId="2BA77F31" w:rsidR="00384D57" w:rsidRPr="00DA776F" w:rsidRDefault="001D3895" w:rsidP="00384D57">
      <w:pPr>
        <w:rPr>
          <w:sz w:val="24"/>
          <w:szCs w:val="24"/>
          <w:lang w:val="en-AU"/>
        </w:rPr>
      </w:pPr>
      <w:r w:rsidRPr="00DA776F">
        <w:rPr>
          <w:sz w:val="24"/>
          <w:szCs w:val="24"/>
          <w:lang w:val="en-AU"/>
        </w:rPr>
        <w:t>To achieve</w:t>
      </w:r>
      <w:r w:rsidR="00384D57" w:rsidRPr="00DA776F">
        <w:rPr>
          <w:sz w:val="24"/>
          <w:szCs w:val="24"/>
          <w:lang w:val="en-AU"/>
        </w:rPr>
        <w:t xml:space="preserve"> the </w:t>
      </w:r>
      <w:r w:rsidR="09302489" w:rsidRPr="00DA776F">
        <w:rPr>
          <w:sz w:val="24"/>
          <w:szCs w:val="24"/>
          <w:lang w:val="en-AU"/>
        </w:rPr>
        <w:t>outcomes described above</w:t>
      </w:r>
      <w:r w:rsidRPr="00DA776F">
        <w:rPr>
          <w:sz w:val="24"/>
          <w:szCs w:val="24"/>
          <w:lang w:val="en-AU"/>
        </w:rPr>
        <w:t xml:space="preserve">, individual investments will </w:t>
      </w:r>
      <w:r w:rsidR="00EA0F09" w:rsidRPr="00DA776F">
        <w:rPr>
          <w:sz w:val="24"/>
          <w:szCs w:val="24"/>
          <w:lang w:val="en-AU"/>
        </w:rPr>
        <w:t xml:space="preserve">contribute to </w:t>
      </w:r>
      <w:r w:rsidR="00384D57" w:rsidRPr="00DA776F">
        <w:rPr>
          <w:sz w:val="24"/>
          <w:szCs w:val="24"/>
          <w:lang w:val="en-AU"/>
        </w:rPr>
        <w:t>five immediate outcomes</w:t>
      </w:r>
      <w:r w:rsidR="00666726" w:rsidRPr="00DA776F">
        <w:rPr>
          <w:sz w:val="24"/>
          <w:szCs w:val="24"/>
          <w:lang w:val="en-AU"/>
        </w:rPr>
        <w:t xml:space="preserve"> (ImO)</w:t>
      </w:r>
      <w:r w:rsidR="00EA0F09" w:rsidRPr="00DA776F">
        <w:rPr>
          <w:sz w:val="24"/>
          <w:szCs w:val="24"/>
          <w:lang w:val="en-AU"/>
        </w:rPr>
        <w:t xml:space="preserve">, </w:t>
      </w:r>
      <w:r w:rsidR="00384D57" w:rsidRPr="00DA776F">
        <w:rPr>
          <w:sz w:val="24"/>
          <w:szCs w:val="24"/>
          <w:lang w:val="en-AU"/>
        </w:rPr>
        <w:t>each describing complementary approach</w:t>
      </w:r>
      <w:r w:rsidR="0096577B" w:rsidRPr="00DA776F">
        <w:rPr>
          <w:sz w:val="24"/>
          <w:szCs w:val="24"/>
          <w:lang w:val="en-AU"/>
        </w:rPr>
        <w:t xml:space="preserve">es </w:t>
      </w:r>
      <w:r w:rsidR="00EA0F09" w:rsidRPr="00DA776F">
        <w:rPr>
          <w:sz w:val="24"/>
          <w:szCs w:val="24"/>
          <w:lang w:val="en-AU"/>
        </w:rPr>
        <w:t>to affect changes</w:t>
      </w:r>
      <w:r w:rsidR="0096577B" w:rsidRPr="00DA776F">
        <w:rPr>
          <w:sz w:val="24"/>
          <w:szCs w:val="24"/>
          <w:lang w:val="en-AU"/>
        </w:rPr>
        <w:t xml:space="preserve"> </w:t>
      </w:r>
      <w:r w:rsidR="00384D57" w:rsidRPr="00DA776F">
        <w:rPr>
          <w:sz w:val="24"/>
          <w:szCs w:val="24"/>
          <w:lang w:val="en-AU"/>
        </w:rPr>
        <w:t xml:space="preserve">in MAP Phase 2 </w:t>
      </w:r>
      <w:r w:rsidR="00A11430" w:rsidRPr="00DA776F">
        <w:rPr>
          <w:sz w:val="24"/>
          <w:szCs w:val="24"/>
          <w:lang w:val="en-AU"/>
        </w:rPr>
        <w:t>thematic</w:t>
      </w:r>
      <w:r w:rsidR="00384D57" w:rsidRPr="00DA776F">
        <w:rPr>
          <w:sz w:val="24"/>
          <w:szCs w:val="24"/>
          <w:lang w:val="en-AU"/>
        </w:rPr>
        <w:t xml:space="preserve"> areas. </w:t>
      </w:r>
      <w:r w:rsidR="7D152291" w:rsidRPr="00DA776F">
        <w:rPr>
          <w:sz w:val="24"/>
          <w:szCs w:val="24"/>
          <w:lang w:val="en-AU"/>
        </w:rPr>
        <w:t>Immediate outcomes are</w:t>
      </w:r>
      <w:r w:rsidR="0DF0FC1D" w:rsidRPr="00DA776F">
        <w:rPr>
          <w:sz w:val="24"/>
          <w:szCs w:val="24"/>
          <w:lang w:val="en-AU"/>
        </w:rPr>
        <w:t xml:space="preserve"> also</w:t>
      </w:r>
      <w:r w:rsidR="7D152291" w:rsidRPr="00DA776F">
        <w:rPr>
          <w:sz w:val="24"/>
          <w:szCs w:val="24"/>
          <w:lang w:val="en-AU"/>
        </w:rPr>
        <w:t xml:space="preserve"> likely to be refreshed during the development of the thematic delivery strategies to further tighten the framing of support to each thematic area. </w:t>
      </w:r>
      <w:r w:rsidR="00384D57" w:rsidRPr="00DA776F">
        <w:rPr>
          <w:sz w:val="24"/>
          <w:szCs w:val="24"/>
          <w:lang w:val="en-AU"/>
        </w:rPr>
        <w:t xml:space="preserve">These are: </w:t>
      </w:r>
    </w:p>
    <w:p w14:paraId="2B90EFC9" w14:textId="77777777" w:rsidR="002C373C" w:rsidRPr="00DA776F" w:rsidRDefault="002C373C" w:rsidP="002C373C">
      <w:pPr>
        <w:numPr>
          <w:ilvl w:val="0"/>
          <w:numId w:val="53"/>
        </w:numPr>
        <w:rPr>
          <w:sz w:val="24"/>
          <w:szCs w:val="24"/>
          <w:lang w:val="en-AU"/>
        </w:rPr>
      </w:pPr>
      <w:r w:rsidRPr="00DA776F">
        <w:rPr>
          <w:i/>
          <w:iCs/>
          <w:sz w:val="24"/>
          <w:szCs w:val="24"/>
          <w:lang w:val="en-AU"/>
        </w:rPr>
        <w:t>ImO 1 – Improved networks, coalitions, and dialogue for locally-led and inclusive policy making:</w:t>
      </w:r>
      <w:r w:rsidRPr="00DA776F">
        <w:rPr>
          <w:sz w:val="24"/>
          <w:szCs w:val="24"/>
          <w:lang w:val="en-AU"/>
        </w:rPr>
        <w:t xml:space="preserve"> Strengthening connections and communication channels among relevant Mekong stakeholders, fostering collaboration and wide inclusion in policy-making processes. </w:t>
      </w:r>
    </w:p>
    <w:p w14:paraId="724BCC3B" w14:textId="05D6D896" w:rsidR="002C373C" w:rsidRPr="00DA776F" w:rsidRDefault="002C373C" w:rsidP="002C373C">
      <w:pPr>
        <w:numPr>
          <w:ilvl w:val="0"/>
          <w:numId w:val="53"/>
        </w:numPr>
        <w:rPr>
          <w:sz w:val="24"/>
          <w:szCs w:val="24"/>
          <w:lang w:val="en-AU"/>
        </w:rPr>
      </w:pPr>
      <w:r w:rsidRPr="00DA776F">
        <w:rPr>
          <w:i/>
          <w:iCs/>
          <w:sz w:val="24"/>
          <w:szCs w:val="24"/>
          <w:lang w:val="en-AU"/>
        </w:rPr>
        <w:t>ImO 2 – Increased technical skills and leadership capacity in partner organisations</w:t>
      </w:r>
      <w:r w:rsidRPr="00DA776F">
        <w:rPr>
          <w:sz w:val="24"/>
          <w:szCs w:val="24"/>
          <w:lang w:val="en-AU"/>
        </w:rPr>
        <w:t xml:space="preserve">: Investing in technical support for targeted staff members of partner organisations to improve their technical and leadership capacities. They can in turn improve relevant organisational structure, systems and processes.  </w:t>
      </w:r>
    </w:p>
    <w:p w14:paraId="60E6E7F2" w14:textId="1E3F9AA8" w:rsidR="002C373C" w:rsidRPr="00DA776F" w:rsidRDefault="06C8765B" w:rsidP="002C373C">
      <w:pPr>
        <w:numPr>
          <w:ilvl w:val="0"/>
          <w:numId w:val="53"/>
        </w:numPr>
        <w:rPr>
          <w:sz w:val="24"/>
          <w:szCs w:val="24"/>
          <w:lang w:val="en-AU"/>
        </w:rPr>
      </w:pPr>
      <w:r w:rsidRPr="00DA776F">
        <w:rPr>
          <w:i/>
          <w:iCs/>
          <w:sz w:val="24"/>
          <w:szCs w:val="24"/>
          <w:lang w:val="en-AU"/>
        </w:rPr>
        <w:lastRenderedPageBreak/>
        <w:t>ImO 3 – Enhanced production and use of evidence and knowledge for policy and advocacy:</w:t>
      </w:r>
      <w:r w:rsidRPr="00DA776F">
        <w:rPr>
          <w:sz w:val="24"/>
          <w:szCs w:val="24"/>
          <w:lang w:val="en-AU"/>
        </w:rPr>
        <w:t xml:space="preserve"> </w:t>
      </w:r>
      <w:r w:rsidR="493AAD3E" w:rsidRPr="00DA776F">
        <w:rPr>
          <w:sz w:val="24"/>
          <w:szCs w:val="24"/>
          <w:lang w:val="en-AU"/>
        </w:rPr>
        <w:t>I</w:t>
      </w:r>
      <w:r w:rsidRPr="00DA776F">
        <w:rPr>
          <w:sz w:val="24"/>
          <w:szCs w:val="24"/>
          <w:lang w:val="en-AU"/>
        </w:rPr>
        <w:t xml:space="preserve">nvesting in the availability and utilisation of credible data and evidence to inform policy formulation and advocacy efforts. </w:t>
      </w:r>
    </w:p>
    <w:p w14:paraId="155D1A24" w14:textId="091CE04C" w:rsidR="002C373C" w:rsidRPr="00DA776F" w:rsidRDefault="06C8765B" w:rsidP="002C373C">
      <w:pPr>
        <w:numPr>
          <w:ilvl w:val="0"/>
          <w:numId w:val="53"/>
        </w:numPr>
        <w:rPr>
          <w:sz w:val="24"/>
          <w:szCs w:val="24"/>
          <w:lang w:val="en-AU"/>
        </w:rPr>
      </w:pPr>
      <w:r w:rsidRPr="00DA776F">
        <w:rPr>
          <w:i/>
          <w:iCs/>
          <w:sz w:val="24"/>
          <w:szCs w:val="24"/>
          <w:lang w:val="en-AU"/>
        </w:rPr>
        <w:t>ImO 4 – New and enhanced partnerships between Australian and Mekong organisations:</w:t>
      </w:r>
      <w:r w:rsidRPr="00DA776F">
        <w:rPr>
          <w:sz w:val="24"/>
          <w:szCs w:val="24"/>
          <w:lang w:val="en-AU"/>
        </w:rPr>
        <w:t xml:space="preserve"> </w:t>
      </w:r>
      <w:r w:rsidR="2CDB6640" w:rsidRPr="00DA776F">
        <w:rPr>
          <w:sz w:val="24"/>
          <w:szCs w:val="24"/>
          <w:lang w:val="en-AU"/>
        </w:rPr>
        <w:t>I</w:t>
      </w:r>
      <w:r w:rsidRPr="00DA776F">
        <w:rPr>
          <w:sz w:val="24"/>
          <w:szCs w:val="24"/>
          <w:lang w:val="en-AU"/>
        </w:rPr>
        <w:t>nvesting in cooperation and collaborations between relevant Australian and Mekong</w:t>
      </w:r>
      <w:r w:rsidRPr="00DA776F">
        <w:rPr>
          <w:i/>
          <w:iCs/>
          <w:sz w:val="24"/>
          <w:szCs w:val="24"/>
          <w:lang w:val="en-AU"/>
        </w:rPr>
        <w:t xml:space="preserve"> </w:t>
      </w:r>
      <w:r w:rsidRPr="00DA776F">
        <w:rPr>
          <w:sz w:val="24"/>
          <w:szCs w:val="24"/>
          <w:lang w:val="en-AU"/>
        </w:rPr>
        <w:t>organisations, facilitating collective action in addressing common issues with complementary expertise and resources.</w:t>
      </w:r>
    </w:p>
    <w:p w14:paraId="2FC087C8" w14:textId="33D57F1A" w:rsidR="002C373C" w:rsidRPr="00DA776F" w:rsidRDefault="06C8765B" w:rsidP="002C373C">
      <w:pPr>
        <w:numPr>
          <w:ilvl w:val="0"/>
          <w:numId w:val="53"/>
        </w:numPr>
        <w:rPr>
          <w:sz w:val="24"/>
          <w:szCs w:val="24"/>
          <w:lang w:val="en-AU"/>
        </w:rPr>
      </w:pPr>
      <w:r w:rsidRPr="00DA776F">
        <w:rPr>
          <w:i/>
          <w:iCs/>
          <w:sz w:val="24"/>
          <w:szCs w:val="24"/>
          <w:lang w:val="en-AU"/>
        </w:rPr>
        <w:t>ImO 5 – Influential participation of women, people with disabilities and other marginalised groups across the MAP portfolio:</w:t>
      </w:r>
      <w:r w:rsidRPr="00DA776F">
        <w:rPr>
          <w:sz w:val="24"/>
          <w:szCs w:val="24"/>
          <w:lang w:val="en-AU"/>
        </w:rPr>
        <w:t xml:space="preserve"> </w:t>
      </w:r>
      <w:r w:rsidR="23153FC6" w:rsidRPr="00DA776F">
        <w:rPr>
          <w:sz w:val="24"/>
          <w:szCs w:val="24"/>
          <w:lang w:val="en-AU"/>
        </w:rPr>
        <w:t>I</w:t>
      </w:r>
      <w:r w:rsidRPr="00DA776F">
        <w:rPr>
          <w:sz w:val="24"/>
          <w:szCs w:val="24"/>
          <w:lang w:val="en-AU"/>
        </w:rPr>
        <w:t>nvesting in initiatives that raise voices and perspectives of marginalised groups and ensure they are incorporated into relevant decision-making processes.</w:t>
      </w:r>
    </w:p>
    <w:p w14:paraId="4CCCC939" w14:textId="36B778E4" w:rsidR="007C042E" w:rsidRPr="001F14E7" w:rsidRDefault="007C042E" w:rsidP="00401F6F">
      <w:pPr>
        <w:pStyle w:val="Heading3Numbered"/>
        <w:rPr>
          <w:lang w:val="en-AU"/>
        </w:rPr>
      </w:pPr>
      <w:r w:rsidRPr="218F81E5">
        <w:rPr>
          <w:lang w:val="en-AU"/>
        </w:rPr>
        <w:t>Outputs</w:t>
      </w:r>
    </w:p>
    <w:p w14:paraId="5F88D221" w14:textId="77777777" w:rsidR="00A379AB" w:rsidRPr="00DA776F" w:rsidRDefault="00A379AB" w:rsidP="00A379AB">
      <w:pPr>
        <w:rPr>
          <w:sz w:val="24"/>
          <w:szCs w:val="24"/>
          <w:lang w:val="en-AU"/>
        </w:rPr>
      </w:pPr>
      <w:r w:rsidRPr="00DA776F">
        <w:rPr>
          <w:sz w:val="24"/>
          <w:szCs w:val="24"/>
          <w:lang w:val="en-AU"/>
        </w:rPr>
        <w:t>The list below provides generic examples of outputs, is illustrative, and includes deliverables that are directly linked to the management and coordination of the portfolio (i.e. enabling outputs).</w:t>
      </w:r>
    </w:p>
    <w:p w14:paraId="1EF23693" w14:textId="77777777" w:rsidR="00A379AB" w:rsidRPr="00DA776F" w:rsidRDefault="00A379AB" w:rsidP="00A379AB">
      <w:pPr>
        <w:rPr>
          <w:sz w:val="24"/>
          <w:szCs w:val="24"/>
          <w:lang w:val="en-AU"/>
        </w:rPr>
      </w:pPr>
      <w:r w:rsidRPr="00DA776F">
        <w:rPr>
          <w:sz w:val="24"/>
          <w:szCs w:val="24"/>
          <w:lang w:val="en-AU"/>
        </w:rPr>
        <w:t>Activity outputs:</w:t>
      </w:r>
    </w:p>
    <w:p w14:paraId="4D245F2C" w14:textId="77777777" w:rsidR="00A379AB" w:rsidRPr="00DA776F" w:rsidRDefault="00A379AB" w:rsidP="00A379AB">
      <w:pPr>
        <w:numPr>
          <w:ilvl w:val="0"/>
          <w:numId w:val="54"/>
        </w:numPr>
        <w:rPr>
          <w:i/>
          <w:iCs/>
          <w:sz w:val="24"/>
          <w:szCs w:val="24"/>
          <w:lang w:val="en-AU"/>
        </w:rPr>
      </w:pPr>
      <w:r w:rsidRPr="00DA776F">
        <w:rPr>
          <w:i/>
          <w:iCs/>
          <w:sz w:val="24"/>
          <w:szCs w:val="24"/>
          <w:lang w:val="en-AU"/>
        </w:rPr>
        <w:t xml:space="preserve">Research studies and knowledge products </w:t>
      </w:r>
      <w:r w:rsidRPr="00DA776F">
        <w:rPr>
          <w:sz w:val="24"/>
          <w:szCs w:val="24"/>
          <w:lang w:val="en-AU"/>
        </w:rPr>
        <w:t>including datasets, knowledge repositories, analyses, assessments and policy briefs to inform decision-making.</w:t>
      </w:r>
    </w:p>
    <w:p w14:paraId="0763F68D" w14:textId="2079EAD4" w:rsidR="00A379AB" w:rsidRPr="00DA776F" w:rsidRDefault="00A379AB">
      <w:pPr>
        <w:numPr>
          <w:ilvl w:val="0"/>
          <w:numId w:val="54"/>
        </w:numPr>
        <w:rPr>
          <w:sz w:val="24"/>
          <w:szCs w:val="24"/>
          <w:lang w:val="en-AU"/>
        </w:rPr>
      </w:pPr>
      <w:r w:rsidRPr="00DA776F">
        <w:rPr>
          <w:i/>
          <w:iCs/>
          <w:sz w:val="24"/>
          <w:szCs w:val="24"/>
          <w:lang w:val="en-AU"/>
        </w:rPr>
        <w:t xml:space="preserve">Policy dialogue and networking events </w:t>
      </w:r>
      <w:r w:rsidRPr="00DA776F">
        <w:rPr>
          <w:sz w:val="24"/>
          <w:szCs w:val="24"/>
          <w:lang w:val="en-AU"/>
        </w:rPr>
        <w:t xml:space="preserve">including tailored </w:t>
      </w:r>
      <w:r w:rsidR="77D77B21" w:rsidRPr="00DA776F">
        <w:rPr>
          <w:sz w:val="24"/>
          <w:szCs w:val="24"/>
          <w:lang w:val="en-AU"/>
        </w:rPr>
        <w:t>forum</w:t>
      </w:r>
      <w:r w:rsidR="00F63617" w:rsidRPr="00DA776F">
        <w:rPr>
          <w:sz w:val="24"/>
          <w:szCs w:val="24"/>
          <w:lang w:val="en-AU"/>
        </w:rPr>
        <w:t>s</w:t>
      </w:r>
      <w:r w:rsidR="77D77B21" w:rsidRPr="00DA776F">
        <w:rPr>
          <w:sz w:val="24"/>
          <w:szCs w:val="24"/>
          <w:lang w:val="en-AU"/>
        </w:rPr>
        <w:t xml:space="preserve"> </w:t>
      </w:r>
      <w:r w:rsidRPr="00DA776F">
        <w:rPr>
          <w:sz w:val="24"/>
          <w:szCs w:val="24"/>
          <w:lang w:val="en-AU"/>
        </w:rPr>
        <w:t>and platforms for stakeholders to engage, collaborate and cooperate.</w:t>
      </w:r>
    </w:p>
    <w:p w14:paraId="20F6315A" w14:textId="177E6625" w:rsidR="00A379AB" w:rsidRPr="00DA776F" w:rsidRDefault="00A379AB" w:rsidP="00A379AB">
      <w:pPr>
        <w:numPr>
          <w:ilvl w:val="0"/>
          <w:numId w:val="54"/>
        </w:numPr>
        <w:rPr>
          <w:sz w:val="24"/>
          <w:szCs w:val="24"/>
          <w:lang w:val="en-AU"/>
        </w:rPr>
      </w:pPr>
      <w:r w:rsidRPr="00DA776F">
        <w:rPr>
          <w:i/>
          <w:iCs/>
          <w:sz w:val="24"/>
          <w:szCs w:val="24"/>
          <w:lang w:val="en-AU"/>
        </w:rPr>
        <w:t xml:space="preserve">Technical and </w:t>
      </w:r>
      <w:r w:rsidR="00F63617" w:rsidRPr="00DA776F">
        <w:rPr>
          <w:i/>
          <w:iCs/>
          <w:sz w:val="24"/>
          <w:szCs w:val="24"/>
          <w:lang w:val="en-AU"/>
        </w:rPr>
        <w:t>advisory</w:t>
      </w:r>
      <w:r w:rsidRPr="00DA776F">
        <w:rPr>
          <w:i/>
          <w:iCs/>
          <w:sz w:val="24"/>
          <w:szCs w:val="24"/>
          <w:lang w:val="en-AU"/>
        </w:rPr>
        <w:t xml:space="preserve"> services</w:t>
      </w:r>
      <w:r w:rsidRPr="00DA776F">
        <w:rPr>
          <w:sz w:val="24"/>
          <w:szCs w:val="24"/>
          <w:lang w:val="en-AU"/>
        </w:rPr>
        <w:t xml:space="preserve"> including provision of technical assistance, coaching, mentoring, guidance and expert advice.</w:t>
      </w:r>
    </w:p>
    <w:p w14:paraId="1FD01108" w14:textId="77777777" w:rsidR="00A379AB" w:rsidRPr="00DA776F" w:rsidRDefault="00A379AB" w:rsidP="00A379AB">
      <w:pPr>
        <w:numPr>
          <w:ilvl w:val="0"/>
          <w:numId w:val="54"/>
        </w:numPr>
        <w:rPr>
          <w:sz w:val="24"/>
          <w:szCs w:val="24"/>
          <w:lang w:val="en-AU"/>
        </w:rPr>
      </w:pPr>
      <w:r w:rsidRPr="00DA776F">
        <w:rPr>
          <w:i/>
          <w:iCs/>
          <w:sz w:val="24"/>
          <w:szCs w:val="24"/>
          <w:lang w:val="en-AU"/>
        </w:rPr>
        <w:t xml:space="preserve">Short courses and alumni engagement </w:t>
      </w:r>
      <w:r w:rsidRPr="00DA776F">
        <w:rPr>
          <w:sz w:val="24"/>
          <w:szCs w:val="24"/>
          <w:lang w:val="en-AU"/>
        </w:rPr>
        <w:t>including training and capacity building opportunities, and collaborative events and ongoing support for graduates.</w:t>
      </w:r>
    </w:p>
    <w:p w14:paraId="0C2A1063" w14:textId="77777777" w:rsidR="00A379AB" w:rsidRPr="00DA776F" w:rsidRDefault="00A379AB" w:rsidP="00A379AB">
      <w:pPr>
        <w:rPr>
          <w:sz w:val="24"/>
          <w:szCs w:val="24"/>
          <w:lang w:val="en-AU"/>
        </w:rPr>
      </w:pPr>
      <w:r w:rsidRPr="00DA776F">
        <w:rPr>
          <w:sz w:val="24"/>
          <w:szCs w:val="24"/>
          <w:lang w:val="en-AU"/>
        </w:rPr>
        <w:t xml:space="preserve">Enabling outputs: </w:t>
      </w:r>
    </w:p>
    <w:p w14:paraId="44C36D72" w14:textId="77777777" w:rsidR="00A379AB" w:rsidRPr="00DA776F" w:rsidRDefault="00A379AB" w:rsidP="00A379AB">
      <w:pPr>
        <w:numPr>
          <w:ilvl w:val="0"/>
          <w:numId w:val="34"/>
        </w:numPr>
        <w:rPr>
          <w:sz w:val="24"/>
          <w:szCs w:val="24"/>
          <w:lang w:val="en-AU"/>
        </w:rPr>
      </w:pPr>
      <w:r w:rsidRPr="00DA776F">
        <w:rPr>
          <w:i/>
          <w:iCs/>
          <w:sz w:val="24"/>
          <w:szCs w:val="24"/>
          <w:lang w:val="en-AU"/>
        </w:rPr>
        <w:t xml:space="preserve">Portfolio delivery strategies and pipeline plans </w:t>
      </w:r>
      <w:r w:rsidRPr="00DA776F">
        <w:rPr>
          <w:sz w:val="24"/>
          <w:szCs w:val="24"/>
          <w:lang w:val="en-AU"/>
        </w:rPr>
        <w:t>including thematic delivery strategies and concise country plans, a pipeline plan of investments, a MEL Plan and a Communications strategy.</w:t>
      </w:r>
    </w:p>
    <w:p w14:paraId="184A9332" w14:textId="77777777" w:rsidR="00A379AB" w:rsidRPr="00DA776F" w:rsidRDefault="00A379AB" w:rsidP="00A379AB">
      <w:pPr>
        <w:numPr>
          <w:ilvl w:val="0"/>
          <w:numId w:val="34"/>
        </w:numPr>
        <w:rPr>
          <w:i/>
          <w:iCs/>
          <w:sz w:val="24"/>
          <w:szCs w:val="24"/>
          <w:lang w:val="en-AU"/>
        </w:rPr>
      </w:pPr>
      <w:r w:rsidRPr="00DA776F">
        <w:rPr>
          <w:i/>
          <w:iCs/>
          <w:sz w:val="24"/>
          <w:szCs w:val="24"/>
          <w:lang w:val="en-AU"/>
        </w:rPr>
        <w:t xml:space="preserve">Investment concepts, designs, and reports </w:t>
      </w:r>
      <w:r w:rsidRPr="00DA776F">
        <w:rPr>
          <w:sz w:val="24"/>
          <w:szCs w:val="24"/>
          <w:lang w:val="en-AU"/>
        </w:rPr>
        <w:t>including details on individual investment logic and intent, and financial, technical, and operational needs and achievements.</w:t>
      </w:r>
      <w:r w:rsidRPr="00DA776F">
        <w:rPr>
          <w:i/>
          <w:iCs/>
          <w:sz w:val="24"/>
          <w:szCs w:val="24"/>
          <w:lang w:val="en-AU"/>
        </w:rPr>
        <w:t xml:space="preserve"> </w:t>
      </w:r>
    </w:p>
    <w:p w14:paraId="7FFDA466" w14:textId="77777777" w:rsidR="00A379AB" w:rsidRPr="00DA776F" w:rsidRDefault="00A379AB" w:rsidP="00A379AB">
      <w:pPr>
        <w:numPr>
          <w:ilvl w:val="0"/>
          <w:numId w:val="34"/>
        </w:numPr>
        <w:rPr>
          <w:i/>
          <w:iCs/>
          <w:sz w:val="24"/>
          <w:szCs w:val="24"/>
          <w:lang w:val="en-AU"/>
        </w:rPr>
      </w:pPr>
      <w:r w:rsidRPr="00DA776F">
        <w:rPr>
          <w:i/>
          <w:iCs/>
          <w:sz w:val="24"/>
          <w:szCs w:val="24"/>
          <w:lang w:val="en-AU"/>
        </w:rPr>
        <w:t xml:space="preserve">Registry of local suppliers and service providers </w:t>
      </w:r>
      <w:r w:rsidRPr="00DA776F">
        <w:rPr>
          <w:sz w:val="24"/>
          <w:szCs w:val="24"/>
          <w:lang w:val="en-AU"/>
        </w:rPr>
        <w:t>including a process for tracking increased localisation of suppliers and service providers.</w:t>
      </w:r>
    </w:p>
    <w:p w14:paraId="6892932E" w14:textId="41627522" w:rsidR="00A32858" w:rsidRPr="001F14E7" w:rsidRDefault="00A32858" w:rsidP="00401F6F">
      <w:pPr>
        <w:pStyle w:val="Heading2Numbered"/>
        <w:rPr>
          <w:lang w:val="en-AU"/>
        </w:rPr>
      </w:pPr>
      <w:bookmarkStart w:id="62" w:name="_Toc162287866"/>
      <w:bookmarkStart w:id="63" w:name="_Toc163539151"/>
      <w:bookmarkStart w:id="64" w:name="_Toc174029034"/>
      <w:r w:rsidRPr="2C480AEE">
        <w:rPr>
          <w:lang w:val="en-AU"/>
        </w:rPr>
        <w:t>Delivery Approach</w:t>
      </w:r>
      <w:bookmarkEnd w:id="62"/>
      <w:bookmarkEnd w:id="63"/>
      <w:bookmarkEnd w:id="64"/>
    </w:p>
    <w:p w14:paraId="58301B6E" w14:textId="774992AA" w:rsidR="009A147B" w:rsidRPr="00DA776F" w:rsidRDefault="008A3BE7" w:rsidP="008A3BE7">
      <w:pPr>
        <w:tabs>
          <w:tab w:val="left" w:pos="284"/>
        </w:tabs>
        <w:suppressAutoHyphens w:val="0"/>
        <w:spacing w:before="0" w:line="280" w:lineRule="exact"/>
        <w:rPr>
          <w:sz w:val="24"/>
          <w:szCs w:val="24"/>
          <w:lang w:val="en-AU"/>
        </w:rPr>
      </w:pPr>
      <w:r w:rsidRPr="00DA776F">
        <w:rPr>
          <w:sz w:val="24"/>
          <w:szCs w:val="24"/>
          <w:lang w:val="en-AU"/>
        </w:rPr>
        <w:t>MAP Phase 2 will be delivered under the s</w:t>
      </w:r>
      <w:r w:rsidR="00373AF3" w:rsidRPr="00DA776F">
        <w:rPr>
          <w:sz w:val="24"/>
          <w:szCs w:val="24"/>
          <w:lang w:val="en-AU"/>
        </w:rPr>
        <w:t xml:space="preserve">trategic and technical leadership of </w:t>
      </w:r>
      <w:r w:rsidR="009A147B" w:rsidRPr="00DA776F">
        <w:rPr>
          <w:sz w:val="24"/>
          <w:szCs w:val="24"/>
          <w:lang w:val="en-AU"/>
        </w:rPr>
        <w:t>DFAT.</w:t>
      </w:r>
      <w:r w:rsidRPr="00DA776F">
        <w:rPr>
          <w:sz w:val="24"/>
          <w:szCs w:val="24"/>
          <w:lang w:val="en-AU"/>
        </w:rPr>
        <w:t xml:space="preserve"> Australia will fund </w:t>
      </w:r>
      <w:r w:rsidR="00CA5C5B" w:rsidRPr="00DA776F">
        <w:rPr>
          <w:sz w:val="24"/>
          <w:szCs w:val="24"/>
          <w:lang w:val="en-AU"/>
        </w:rPr>
        <w:t xml:space="preserve">mutually reinforcing </w:t>
      </w:r>
      <w:r w:rsidR="4015C971" w:rsidRPr="00DA776F">
        <w:rPr>
          <w:sz w:val="24"/>
          <w:szCs w:val="24"/>
          <w:lang w:val="en-AU"/>
        </w:rPr>
        <w:t xml:space="preserve">regional, </w:t>
      </w:r>
      <w:r w:rsidRPr="00DA776F">
        <w:rPr>
          <w:sz w:val="24"/>
          <w:szCs w:val="24"/>
          <w:lang w:val="en-AU"/>
        </w:rPr>
        <w:t xml:space="preserve">multi-country </w:t>
      </w:r>
      <w:r w:rsidR="5897F535" w:rsidRPr="00DA776F">
        <w:rPr>
          <w:sz w:val="24"/>
          <w:szCs w:val="24"/>
          <w:lang w:val="en-AU"/>
        </w:rPr>
        <w:t xml:space="preserve">and </w:t>
      </w:r>
      <w:r w:rsidR="41357F35" w:rsidRPr="00DA776F">
        <w:rPr>
          <w:sz w:val="24"/>
          <w:szCs w:val="24"/>
          <w:lang w:val="en-AU"/>
        </w:rPr>
        <w:t xml:space="preserve">bilateral </w:t>
      </w:r>
      <w:r w:rsidR="00655039" w:rsidRPr="00DA776F">
        <w:rPr>
          <w:sz w:val="24"/>
          <w:szCs w:val="24"/>
          <w:lang w:val="en-AU"/>
        </w:rPr>
        <w:t xml:space="preserve">partnerships </w:t>
      </w:r>
      <w:r w:rsidRPr="00DA776F">
        <w:rPr>
          <w:sz w:val="24"/>
          <w:szCs w:val="24"/>
          <w:lang w:val="en-AU"/>
        </w:rPr>
        <w:t xml:space="preserve">that </w:t>
      </w:r>
      <w:r w:rsidR="00CA5C5B" w:rsidRPr="00DA776F">
        <w:rPr>
          <w:sz w:val="24"/>
          <w:szCs w:val="24"/>
          <w:lang w:val="en-AU"/>
        </w:rPr>
        <w:t>pursue</w:t>
      </w:r>
      <w:r w:rsidRPr="00DA776F">
        <w:rPr>
          <w:sz w:val="24"/>
          <w:szCs w:val="24"/>
          <w:lang w:val="en-AU"/>
        </w:rPr>
        <w:t xml:space="preserve"> common objectives. </w:t>
      </w:r>
      <w:r w:rsidR="00655039" w:rsidRPr="00DA776F">
        <w:rPr>
          <w:sz w:val="24"/>
          <w:szCs w:val="24"/>
          <w:lang w:val="en-AU"/>
        </w:rPr>
        <w:t>Responding to</w:t>
      </w:r>
      <w:r w:rsidRPr="00DA776F">
        <w:rPr>
          <w:sz w:val="24"/>
          <w:szCs w:val="24"/>
          <w:lang w:val="en-AU"/>
        </w:rPr>
        <w:t xml:space="preserve"> lessons from MAP Phase 1, portfolio planning, budgeting and </w:t>
      </w:r>
      <w:r w:rsidR="00655039" w:rsidRPr="00DA776F">
        <w:rPr>
          <w:sz w:val="24"/>
          <w:szCs w:val="24"/>
          <w:lang w:val="en-AU"/>
        </w:rPr>
        <w:t>investment</w:t>
      </w:r>
      <w:r w:rsidRPr="00DA776F">
        <w:rPr>
          <w:sz w:val="24"/>
          <w:szCs w:val="24"/>
          <w:lang w:val="en-AU"/>
        </w:rPr>
        <w:t xml:space="preserve"> design processes wil</w:t>
      </w:r>
      <w:r w:rsidR="00230522" w:rsidRPr="00DA776F">
        <w:rPr>
          <w:sz w:val="24"/>
          <w:szCs w:val="24"/>
          <w:lang w:val="en-AU"/>
        </w:rPr>
        <w:t>l ensure</w:t>
      </w:r>
      <w:r w:rsidRPr="00DA776F">
        <w:rPr>
          <w:sz w:val="24"/>
          <w:szCs w:val="24"/>
          <w:lang w:val="en-AU"/>
        </w:rPr>
        <w:t xml:space="preserve"> administrative efficiency</w:t>
      </w:r>
      <w:r w:rsidR="00664CEA" w:rsidRPr="00DA776F">
        <w:rPr>
          <w:sz w:val="24"/>
          <w:szCs w:val="24"/>
          <w:lang w:val="en-AU"/>
        </w:rPr>
        <w:t xml:space="preserve"> (see Section 4)</w:t>
      </w:r>
      <w:r w:rsidRPr="00DA776F">
        <w:rPr>
          <w:sz w:val="24"/>
          <w:szCs w:val="24"/>
          <w:lang w:val="en-AU"/>
        </w:rPr>
        <w:t>. This includes leveraging other DFAT investments, and working alongside likeminded partners where it makes sense to do so.</w:t>
      </w:r>
    </w:p>
    <w:p w14:paraId="2388B1F4" w14:textId="5B5DA9D3" w:rsidR="00F64138" w:rsidRPr="00DA776F" w:rsidRDefault="00F64138" w:rsidP="008A3BE7">
      <w:pPr>
        <w:tabs>
          <w:tab w:val="left" w:pos="284"/>
        </w:tabs>
        <w:suppressAutoHyphens w:val="0"/>
        <w:spacing w:before="0" w:line="280" w:lineRule="exact"/>
        <w:rPr>
          <w:sz w:val="24"/>
          <w:szCs w:val="24"/>
          <w:lang w:val="en-AU"/>
        </w:rPr>
      </w:pPr>
      <w:r w:rsidRPr="00DA776F">
        <w:rPr>
          <w:sz w:val="24"/>
          <w:szCs w:val="24"/>
          <w:lang w:val="en-AU"/>
        </w:rPr>
        <w:t xml:space="preserve">The Investment Concept Note for MAP Phase 2 proposed that </w:t>
      </w:r>
      <w:r w:rsidR="007F29AE" w:rsidRPr="00DA776F">
        <w:rPr>
          <w:sz w:val="24"/>
          <w:szCs w:val="24"/>
          <w:lang w:val="en-AU"/>
        </w:rPr>
        <w:t>DFAT would continue to manage the portfolio as a whole,</w:t>
      </w:r>
      <w:r w:rsidR="00C14C39" w:rsidRPr="00DA776F">
        <w:rPr>
          <w:sz w:val="24"/>
          <w:szCs w:val="24"/>
          <w:lang w:val="en-AU"/>
        </w:rPr>
        <w:t xml:space="preserve"> given the need for </w:t>
      </w:r>
      <w:r w:rsidR="008922C0" w:rsidRPr="00DA776F">
        <w:rPr>
          <w:sz w:val="24"/>
          <w:szCs w:val="24"/>
          <w:lang w:val="en-AU"/>
        </w:rPr>
        <w:t>DFAT strategic oversight and leadership in a complex multi-</w:t>
      </w:r>
      <w:r w:rsidR="008922C0" w:rsidRPr="00DA776F">
        <w:rPr>
          <w:sz w:val="24"/>
          <w:szCs w:val="24"/>
          <w:lang w:val="en-AU"/>
        </w:rPr>
        <w:lastRenderedPageBreak/>
        <w:t>country operating environment,</w:t>
      </w:r>
      <w:r w:rsidR="007F29AE" w:rsidRPr="00DA776F">
        <w:rPr>
          <w:sz w:val="24"/>
          <w:szCs w:val="24"/>
          <w:lang w:val="en-AU"/>
        </w:rPr>
        <w:t xml:space="preserve"> but with </w:t>
      </w:r>
      <w:r w:rsidR="00725381" w:rsidRPr="00DA776F">
        <w:rPr>
          <w:sz w:val="24"/>
          <w:szCs w:val="24"/>
          <w:lang w:val="en-AU"/>
        </w:rPr>
        <w:t xml:space="preserve">the addition of </w:t>
      </w:r>
      <w:r w:rsidR="007F29AE" w:rsidRPr="00DA776F">
        <w:rPr>
          <w:sz w:val="24"/>
          <w:szCs w:val="24"/>
          <w:lang w:val="en-AU"/>
        </w:rPr>
        <w:t>a</w:t>
      </w:r>
      <w:r w:rsidR="00C21636" w:rsidRPr="00DA776F">
        <w:rPr>
          <w:sz w:val="24"/>
          <w:szCs w:val="24"/>
          <w:lang w:val="en-AU"/>
        </w:rPr>
        <w:t xml:space="preserve"> </w:t>
      </w:r>
      <w:r w:rsidR="007F29AE" w:rsidRPr="00DA776F">
        <w:rPr>
          <w:sz w:val="24"/>
          <w:szCs w:val="24"/>
          <w:lang w:val="en-AU"/>
        </w:rPr>
        <w:t xml:space="preserve">support services contractor </w:t>
      </w:r>
      <w:r w:rsidR="00704162" w:rsidRPr="00DA776F">
        <w:rPr>
          <w:sz w:val="24"/>
          <w:szCs w:val="24"/>
          <w:lang w:val="en-AU"/>
        </w:rPr>
        <w:t>to enable more operational efficiency.</w:t>
      </w:r>
      <w:r w:rsidR="00C14C39" w:rsidRPr="00DA776F">
        <w:rPr>
          <w:sz w:val="24"/>
          <w:szCs w:val="24"/>
          <w:lang w:val="en-AU"/>
        </w:rPr>
        <w:t xml:space="preserve"> </w:t>
      </w:r>
    </w:p>
    <w:p w14:paraId="6FB35622" w14:textId="6422B161" w:rsidR="00EA450A" w:rsidRPr="00DA776F" w:rsidRDefault="6F15081C">
      <w:pPr>
        <w:tabs>
          <w:tab w:val="left" w:pos="284"/>
        </w:tabs>
        <w:spacing w:before="0" w:line="280" w:lineRule="exact"/>
        <w:rPr>
          <w:sz w:val="24"/>
          <w:szCs w:val="24"/>
          <w:lang w:val="en-AU"/>
        </w:rPr>
      </w:pPr>
      <w:r w:rsidRPr="00DA776F">
        <w:rPr>
          <w:sz w:val="24"/>
          <w:szCs w:val="24"/>
          <w:lang w:val="en-AU"/>
        </w:rPr>
        <w:t>MAP Phase 2 is planned as an ODA</w:t>
      </w:r>
      <w:r w:rsidR="290E2405" w:rsidRPr="00DA776F">
        <w:rPr>
          <w:sz w:val="24"/>
          <w:szCs w:val="24"/>
          <w:lang w:val="en-AU"/>
        </w:rPr>
        <w:t xml:space="preserve"> </w:t>
      </w:r>
      <w:r w:rsidR="004A5BE1">
        <w:rPr>
          <w:sz w:val="24"/>
          <w:szCs w:val="24"/>
          <w:lang w:val="en-AU"/>
        </w:rPr>
        <w:t>portfolio</w:t>
      </w:r>
      <w:r w:rsidR="290E2405" w:rsidRPr="00DA776F">
        <w:rPr>
          <w:sz w:val="24"/>
          <w:szCs w:val="24"/>
          <w:lang w:val="en-AU"/>
        </w:rPr>
        <w:t xml:space="preserve">, with ODA funding approved and no non-ODA component planned at present. </w:t>
      </w:r>
      <w:r w:rsidR="5971697E" w:rsidRPr="00DA776F">
        <w:rPr>
          <w:sz w:val="24"/>
          <w:szCs w:val="24"/>
          <w:lang w:val="en-AU"/>
        </w:rPr>
        <w:t xml:space="preserve">Scoping and consultations for MAP Phase 2 </w:t>
      </w:r>
      <w:r w:rsidR="1148DB5B" w:rsidRPr="00DA776F">
        <w:rPr>
          <w:sz w:val="24"/>
          <w:szCs w:val="24"/>
          <w:lang w:val="en-AU"/>
        </w:rPr>
        <w:t>confirmed that most high-value activities funded under previous non-ODA component</w:t>
      </w:r>
      <w:r w:rsidR="00D541A2">
        <w:rPr>
          <w:sz w:val="24"/>
          <w:szCs w:val="24"/>
          <w:lang w:val="en-AU"/>
        </w:rPr>
        <w:t>s</w:t>
      </w:r>
      <w:r w:rsidR="1F12BA77" w:rsidRPr="00DA776F">
        <w:rPr>
          <w:sz w:val="24"/>
          <w:szCs w:val="24"/>
          <w:lang w:val="en-AU"/>
        </w:rPr>
        <w:t xml:space="preserve"> (</w:t>
      </w:r>
      <w:r w:rsidR="1148DB5B" w:rsidRPr="00DA776F">
        <w:rPr>
          <w:sz w:val="24"/>
          <w:szCs w:val="24"/>
          <w:lang w:val="en-AU"/>
        </w:rPr>
        <w:t>e</w:t>
      </w:r>
      <w:r w:rsidR="6C0D12C2" w:rsidRPr="00DA776F">
        <w:rPr>
          <w:sz w:val="24"/>
          <w:szCs w:val="24"/>
          <w:lang w:val="en-AU"/>
        </w:rPr>
        <w:t>.</w:t>
      </w:r>
      <w:r w:rsidR="1148DB5B" w:rsidRPr="00DA776F">
        <w:rPr>
          <w:sz w:val="24"/>
          <w:szCs w:val="24"/>
          <w:lang w:val="en-AU"/>
        </w:rPr>
        <w:t>g</w:t>
      </w:r>
      <w:r w:rsidR="2ECD6CAD" w:rsidRPr="00DA776F">
        <w:rPr>
          <w:sz w:val="24"/>
          <w:szCs w:val="24"/>
          <w:lang w:val="en-AU"/>
        </w:rPr>
        <w:t>.</w:t>
      </w:r>
      <w:r w:rsidR="1148DB5B" w:rsidRPr="00DA776F">
        <w:rPr>
          <w:sz w:val="24"/>
          <w:szCs w:val="24"/>
          <w:lang w:val="en-AU"/>
        </w:rPr>
        <w:t xml:space="preserve"> support to dialogue on informed management of foreign direct investment risks) could be delivered as ODA-funded components in Phase 2 with </w:t>
      </w:r>
      <w:r w:rsidR="002D1451">
        <w:rPr>
          <w:sz w:val="24"/>
          <w:szCs w:val="24"/>
          <w:lang w:val="en-AU"/>
        </w:rPr>
        <w:t>some</w:t>
      </w:r>
      <w:r w:rsidR="002D1451" w:rsidRPr="00DA776F">
        <w:rPr>
          <w:sz w:val="24"/>
          <w:szCs w:val="24"/>
          <w:lang w:val="en-AU"/>
        </w:rPr>
        <w:t xml:space="preserve"> </w:t>
      </w:r>
      <w:r w:rsidR="1148DB5B" w:rsidRPr="00DA776F">
        <w:rPr>
          <w:sz w:val="24"/>
          <w:szCs w:val="24"/>
          <w:lang w:val="en-AU"/>
        </w:rPr>
        <w:t>adjustments.</w:t>
      </w:r>
    </w:p>
    <w:p w14:paraId="02D6BF66" w14:textId="7C129EDA" w:rsidR="00642D48" w:rsidRDefault="00642D48" w:rsidP="008A3BE7">
      <w:pPr>
        <w:tabs>
          <w:tab w:val="left" w:pos="284"/>
        </w:tabs>
        <w:suppressAutoHyphens w:val="0"/>
        <w:spacing w:before="0" w:line="280" w:lineRule="exact"/>
        <w:rPr>
          <w:sz w:val="24"/>
          <w:szCs w:val="24"/>
          <w:lang w:val="en-AU"/>
        </w:rPr>
      </w:pPr>
      <w:r w:rsidRPr="00DA776F">
        <w:rPr>
          <w:sz w:val="24"/>
          <w:szCs w:val="24"/>
          <w:lang w:val="en-AU"/>
        </w:rPr>
        <w:t>MAP Phase 2 delivery mechanisms will retain flexibility to consider incorporating non-ODA arrangements in future years if circumstances change.</w:t>
      </w:r>
    </w:p>
    <w:p w14:paraId="1D9B366D" w14:textId="56487865" w:rsidR="00683E5B" w:rsidRPr="00DA776F" w:rsidRDefault="00683E5B" w:rsidP="008A3BE7">
      <w:pPr>
        <w:tabs>
          <w:tab w:val="left" w:pos="284"/>
        </w:tabs>
        <w:suppressAutoHyphens w:val="0"/>
        <w:spacing w:before="0" w:line="280" w:lineRule="exact"/>
        <w:rPr>
          <w:sz w:val="24"/>
          <w:szCs w:val="24"/>
          <w:lang w:val="en-AU"/>
        </w:rPr>
      </w:pPr>
      <w:r>
        <w:rPr>
          <w:sz w:val="24"/>
          <w:szCs w:val="24"/>
          <w:lang w:val="en-AU"/>
        </w:rPr>
        <w:t>DFAT will consider a possible third phase of MAP commencing 2029-30</w:t>
      </w:r>
      <w:r w:rsidR="00664AA1">
        <w:rPr>
          <w:sz w:val="24"/>
          <w:szCs w:val="24"/>
          <w:lang w:val="en-AU"/>
        </w:rPr>
        <w:t xml:space="preserve"> after undertaking a mid-term review in 2027.</w:t>
      </w:r>
    </w:p>
    <w:p w14:paraId="00DB449D" w14:textId="77777777" w:rsidR="008A3BE7" w:rsidRPr="001F14E7" w:rsidRDefault="008A3BE7" w:rsidP="008A3BE7">
      <w:pPr>
        <w:pStyle w:val="Heading3Numbered"/>
        <w:rPr>
          <w:lang w:val="en-AU"/>
        </w:rPr>
      </w:pPr>
      <w:r w:rsidRPr="2C480AEE">
        <w:rPr>
          <w:lang w:val="en-AU"/>
        </w:rPr>
        <w:t>Partnerships approach</w:t>
      </w:r>
    </w:p>
    <w:p w14:paraId="19F3582C" w14:textId="772F14C8" w:rsidR="00DB46CD" w:rsidRPr="00DA776F" w:rsidRDefault="00230522" w:rsidP="00343468">
      <w:pPr>
        <w:rPr>
          <w:sz w:val="24"/>
          <w:szCs w:val="24"/>
          <w:lang w:val="en-AU"/>
        </w:rPr>
      </w:pPr>
      <w:r w:rsidRPr="00DA776F">
        <w:rPr>
          <w:sz w:val="24"/>
          <w:szCs w:val="24"/>
          <w:lang w:val="en-AU"/>
        </w:rPr>
        <w:t xml:space="preserve">The portfolio’s identity is intentionally centred on the partnership approach and MAP Phase 2 will be a platform to support a range of </w:t>
      </w:r>
      <w:r w:rsidR="001F14E7" w:rsidRPr="00DA776F">
        <w:rPr>
          <w:sz w:val="24"/>
          <w:szCs w:val="24"/>
          <w:lang w:val="en-AU"/>
        </w:rPr>
        <w:t xml:space="preserve">scaled up and new </w:t>
      </w:r>
      <w:r w:rsidRPr="00DA776F">
        <w:rPr>
          <w:sz w:val="24"/>
          <w:szCs w:val="24"/>
          <w:lang w:val="en-AU"/>
        </w:rPr>
        <w:t xml:space="preserve">partnerships that can progress outcomes within the thematic areas. </w:t>
      </w:r>
      <w:r w:rsidR="00DB46CD" w:rsidRPr="00DA776F">
        <w:rPr>
          <w:sz w:val="24"/>
          <w:szCs w:val="24"/>
          <w:lang w:val="en-AU"/>
        </w:rPr>
        <w:t xml:space="preserve">MAP </w:t>
      </w:r>
      <w:r w:rsidRPr="00DA776F">
        <w:rPr>
          <w:sz w:val="24"/>
          <w:szCs w:val="24"/>
          <w:lang w:val="en-AU"/>
        </w:rPr>
        <w:t xml:space="preserve">Phase </w:t>
      </w:r>
      <w:r w:rsidR="00DB46CD" w:rsidRPr="00DA776F">
        <w:rPr>
          <w:sz w:val="24"/>
          <w:szCs w:val="24"/>
          <w:lang w:val="en-AU"/>
        </w:rPr>
        <w:t xml:space="preserve">2 </w:t>
      </w:r>
      <w:r w:rsidRPr="00DA776F">
        <w:rPr>
          <w:sz w:val="24"/>
          <w:szCs w:val="24"/>
          <w:lang w:val="en-AU"/>
        </w:rPr>
        <w:t xml:space="preserve">will invest in </w:t>
      </w:r>
      <w:r w:rsidR="72866557" w:rsidRPr="00DA776F">
        <w:rPr>
          <w:sz w:val="24"/>
          <w:szCs w:val="24"/>
          <w:lang w:val="en-AU"/>
        </w:rPr>
        <w:t>scaling up</w:t>
      </w:r>
      <w:r w:rsidRPr="00DA776F">
        <w:rPr>
          <w:sz w:val="24"/>
          <w:szCs w:val="24"/>
          <w:lang w:val="en-AU"/>
        </w:rPr>
        <w:t xml:space="preserve"> </w:t>
      </w:r>
      <w:r w:rsidR="00DB46CD" w:rsidRPr="00DA776F">
        <w:rPr>
          <w:sz w:val="24"/>
          <w:szCs w:val="24"/>
          <w:lang w:val="en-AU"/>
        </w:rPr>
        <w:t xml:space="preserve">successful </w:t>
      </w:r>
      <w:r w:rsidR="001F14E7" w:rsidRPr="00DA776F">
        <w:rPr>
          <w:sz w:val="24"/>
          <w:szCs w:val="24"/>
          <w:lang w:val="en-AU"/>
        </w:rPr>
        <w:t>partnerships</w:t>
      </w:r>
      <w:r w:rsidR="33D9A62F" w:rsidRPr="00DA776F">
        <w:rPr>
          <w:sz w:val="24"/>
          <w:szCs w:val="24"/>
          <w:lang w:val="en-AU"/>
        </w:rPr>
        <w:t>,</w:t>
      </w:r>
      <w:r w:rsidR="00666726" w:rsidRPr="00DA776F">
        <w:rPr>
          <w:sz w:val="24"/>
          <w:szCs w:val="24"/>
          <w:lang w:val="en-AU"/>
        </w:rPr>
        <w:t xml:space="preserve"> </w:t>
      </w:r>
      <w:r w:rsidR="2E098C1A" w:rsidRPr="00DA776F">
        <w:rPr>
          <w:sz w:val="24"/>
          <w:szCs w:val="24"/>
          <w:lang w:val="en-AU"/>
        </w:rPr>
        <w:t>develop</w:t>
      </w:r>
      <w:r w:rsidR="5FDD506B" w:rsidRPr="00DA776F">
        <w:rPr>
          <w:sz w:val="24"/>
          <w:szCs w:val="24"/>
          <w:lang w:val="en-AU"/>
        </w:rPr>
        <w:t>ing</w:t>
      </w:r>
      <w:r w:rsidR="00DB46CD" w:rsidRPr="00DA776F">
        <w:rPr>
          <w:sz w:val="24"/>
          <w:szCs w:val="24"/>
          <w:lang w:val="en-AU"/>
        </w:rPr>
        <w:t xml:space="preserve"> other </w:t>
      </w:r>
      <w:r w:rsidR="54503B0E" w:rsidRPr="00DA776F">
        <w:rPr>
          <w:sz w:val="24"/>
          <w:szCs w:val="24"/>
          <w:lang w:val="en-AU"/>
        </w:rPr>
        <w:t>longer-term</w:t>
      </w:r>
      <w:r w:rsidR="00E07C35" w:rsidRPr="00DA776F">
        <w:rPr>
          <w:sz w:val="24"/>
          <w:szCs w:val="24"/>
          <w:lang w:val="en-AU"/>
        </w:rPr>
        <w:t xml:space="preserve"> </w:t>
      </w:r>
      <w:r w:rsidR="00DB46CD" w:rsidRPr="00DA776F">
        <w:rPr>
          <w:sz w:val="24"/>
          <w:szCs w:val="24"/>
          <w:lang w:val="en-AU"/>
        </w:rPr>
        <w:t xml:space="preserve">partnerships, while also flexibly identifying small pilots </w:t>
      </w:r>
      <w:r w:rsidR="001F14E7" w:rsidRPr="00DA776F">
        <w:rPr>
          <w:sz w:val="24"/>
          <w:szCs w:val="24"/>
          <w:lang w:val="en-AU"/>
        </w:rPr>
        <w:t xml:space="preserve">of for new approaches and partners </w:t>
      </w:r>
      <w:r w:rsidR="00DB46CD" w:rsidRPr="00DA776F">
        <w:rPr>
          <w:sz w:val="24"/>
          <w:szCs w:val="24"/>
          <w:lang w:val="en-AU"/>
        </w:rPr>
        <w:t>through flexible funding mechanisms</w:t>
      </w:r>
      <w:r w:rsidRPr="00DA776F">
        <w:rPr>
          <w:sz w:val="24"/>
          <w:szCs w:val="24"/>
          <w:lang w:val="en-AU"/>
        </w:rPr>
        <w:t xml:space="preserve">. </w:t>
      </w:r>
    </w:p>
    <w:p w14:paraId="4FC9B20E" w14:textId="1D2078BF" w:rsidR="004F0566" w:rsidRPr="00DA776F" w:rsidRDefault="00A40BDC" w:rsidP="00343468">
      <w:pPr>
        <w:rPr>
          <w:sz w:val="24"/>
          <w:szCs w:val="24"/>
          <w:lang w:val="en-AU"/>
        </w:rPr>
      </w:pPr>
      <w:r w:rsidRPr="00DA776F">
        <w:rPr>
          <w:sz w:val="24"/>
          <w:szCs w:val="24"/>
          <w:lang w:val="en-AU"/>
        </w:rPr>
        <w:t>Partnerships in the context of MAP Phase 2 are understood broadly as initiatives that gather different partners to work jointly on issues of common interest.</w:t>
      </w:r>
      <w:r w:rsidR="003816BF" w:rsidRPr="00DA776F">
        <w:rPr>
          <w:rStyle w:val="FootnoteReference"/>
          <w:sz w:val="24"/>
          <w:szCs w:val="24"/>
          <w:lang w:val="en-AU"/>
        </w:rPr>
        <w:footnoteReference w:id="23"/>
      </w:r>
      <w:r w:rsidRPr="00DA776F">
        <w:rPr>
          <w:sz w:val="24"/>
          <w:szCs w:val="24"/>
          <w:vertAlign w:val="superscript"/>
          <w:lang w:val="en-AU"/>
        </w:rPr>
        <w:t xml:space="preserve"> </w:t>
      </w:r>
      <w:r w:rsidRPr="00DA776F">
        <w:rPr>
          <w:sz w:val="24"/>
          <w:szCs w:val="24"/>
          <w:lang w:val="en-AU"/>
        </w:rPr>
        <w:t>It is assumed</w:t>
      </w:r>
      <w:r w:rsidR="008A3BE7" w:rsidRPr="00DA776F">
        <w:rPr>
          <w:sz w:val="24"/>
          <w:szCs w:val="24"/>
          <w:lang w:val="en-AU"/>
        </w:rPr>
        <w:t xml:space="preserve"> that collaboration (</w:t>
      </w:r>
      <w:r w:rsidR="2262113F" w:rsidRPr="00DA776F">
        <w:rPr>
          <w:sz w:val="24"/>
          <w:szCs w:val="24"/>
          <w:lang w:val="en-AU"/>
        </w:rPr>
        <w:t>i.e.</w:t>
      </w:r>
      <w:r w:rsidR="008A3BE7" w:rsidRPr="00DA776F">
        <w:rPr>
          <w:sz w:val="24"/>
          <w:szCs w:val="24"/>
          <w:lang w:val="en-AU"/>
        </w:rPr>
        <w:t xml:space="preserve"> working together towards a common objective) and cooperation (</w:t>
      </w:r>
      <w:r w:rsidR="0FC4BB66" w:rsidRPr="00DA776F">
        <w:rPr>
          <w:sz w:val="24"/>
          <w:szCs w:val="24"/>
          <w:lang w:val="en-AU"/>
        </w:rPr>
        <w:t>i.e.</w:t>
      </w:r>
      <w:r w:rsidR="008A3BE7" w:rsidRPr="00DA776F">
        <w:rPr>
          <w:sz w:val="24"/>
          <w:szCs w:val="24"/>
          <w:lang w:val="en-AU"/>
        </w:rPr>
        <w:t xml:space="preserve"> working side-by-side towards a common objectives) are optimal if not </w:t>
      </w:r>
      <w:r w:rsidR="00640E50" w:rsidRPr="00DA776F">
        <w:rPr>
          <w:sz w:val="24"/>
          <w:szCs w:val="24"/>
          <w:lang w:val="en-AU"/>
        </w:rPr>
        <w:t>essential</w:t>
      </w:r>
      <w:r w:rsidR="008A3BE7" w:rsidRPr="00DA776F">
        <w:rPr>
          <w:sz w:val="24"/>
          <w:szCs w:val="24"/>
          <w:lang w:val="en-AU"/>
        </w:rPr>
        <w:t xml:space="preserve"> for </w:t>
      </w:r>
      <w:r w:rsidRPr="00DA776F">
        <w:rPr>
          <w:sz w:val="24"/>
          <w:szCs w:val="24"/>
          <w:lang w:val="en-AU"/>
        </w:rPr>
        <w:t xml:space="preserve">identifying challenges and progressing solutions to </w:t>
      </w:r>
      <w:r w:rsidR="008A3BE7" w:rsidRPr="00DA776F">
        <w:rPr>
          <w:sz w:val="24"/>
          <w:szCs w:val="24"/>
          <w:lang w:val="en-AU"/>
        </w:rPr>
        <w:t xml:space="preserve">shared and transboundary </w:t>
      </w:r>
      <w:r w:rsidRPr="00DA776F">
        <w:rPr>
          <w:sz w:val="24"/>
          <w:szCs w:val="24"/>
          <w:lang w:val="en-AU"/>
        </w:rPr>
        <w:t>issues</w:t>
      </w:r>
      <w:r w:rsidR="008A3BE7" w:rsidRPr="00DA776F">
        <w:rPr>
          <w:sz w:val="24"/>
          <w:szCs w:val="24"/>
          <w:lang w:val="en-AU"/>
        </w:rPr>
        <w:t xml:space="preserve">. </w:t>
      </w:r>
      <w:r w:rsidR="00BE5A45" w:rsidRPr="00DA776F">
        <w:rPr>
          <w:sz w:val="24"/>
          <w:szCs w:val="24"/>
          <w:lang w:val="en-AU"/>
        </w:rPr>
        <w:t xml:space="preserve"> </w:t>
      </w:r>
    </w:p>
    <w:p w14:paraId="71706B8F" w14:textId="313322CB" w:rsidR="008A3BE7" w:rsidRPr="00DA776F" w:rsidRDefault="008A3BE7" w:rsidP="00343468">
      <w:pPr>
        <w:rPr>
          <w:sz w:val="24"/>
          <w:szCs w:val="24"/>
          <w:lang w:val="en-AU"/>
        </w:rPr>
      </w:pPr>
      <w:r w:rsidRPr="00DA776F">
        <w:rPr>
          <w:sz w:val="24"/>
          <w:szCs w:val="24"/>
          <w:lang w:val="en-AU"/>
        </w:rPr>
        <w:t xml:space="preserve">MAP Phase 2 will </w:t>
      </w:r>
      <w:r w:rsidR="00795740">
        <w:rPr>
          <w:sz w:val="24"/>
          <w:szCs w:val="24"/>
          <w:lang w:val="en-AU"/>
        </w:rPr>
        <w:t xml:space="preserve">primarily </w:t>
      </w:r>
      <w:r w:rsidR="00A40BDC" w:rsidRPr="00DA776F">
        <w:rPr>
          <w:sz w:val="24"/>
          <w:szCs w:val="24"/>
          <w:lang w:val="en-AU"/>
        </w:rPr>
        <w:t xml:space="preserve">fund larger long-term strategic </w:t>
      </w:r>
      <w:r w:rsidR="00BE3CC8" w:rsidRPr="00DA776F">
        <w:rPr>
          <w:sz w:val="24"/>
          <w:szCs w:val="24"/>
          <w:lang w:val="en-AU"/>
        </w:rPr>
        <w:t xml:space="preserve">multi-country and regional </w:t>
      </w:r>
      <w:r w:rsidR="00A40BDC" w:rsidRPr="00DA776F">
        <w:rPr>
          <w:sz w:val="24"/>
          <w:szCs w:val="24"/>
          <w:lang w:val="en-AU"/>
        </w:rPr>
        <w:t>partnershi</w:t>
      </w:r>
      <w:r w:rsidR="001A6D56" w:rsidRPr="00DA776F">
        <w:rPr>
          <w:sz w:val="24"/>
          <w:szCs w:val="24"/>
          <w:lang w:val="en-AU"/>
        </w:rPr>
        <w:t>ps</w:t>
      </w:r>
      <w:r w:rsidR="008B4DA3" w:rsidRPr="00DA776F">
        <w:rPr>
          <w:sz w:val="24"/>
          <w:szCs w:val="24"/>
          <w:lang w:val="en-AU"/>
        </w:rPr>
        <w:t xml:space="preserve">, with additional long-term partnerships </w:t>
      </w:r>
      <w:r w:rsidR="00BE3CC8" w:rsidRPr="00DA776F">
        <w:rPr>
          <w:sz w:val="24"/>
          <w:szCs w:val="24"/>
          <w:lang w:val="en-AU"/>
        </w:rPr>
        <w:t xml:space="preserve">potentially also </w:t>
      </w:r>
      <w:r w:rsidR="008B4DA3" w:rsidRPr="00DA776F">
        <w:rPr>
          <w:sz w:val="24"/>
          <w:szCs w:val="24"/>
          <w:lang w:val="en-AU"/>
        </w:rPr>
        <w:t>funded through bilateral allocations</w:t>
      </w:r>
      <w:r w:rsidR="00795740">
        <w:rPr>
          <w:sz w:val="24"/>
          <w:szCs w:val="24"/>
          <w:lang w:val="en-AU"/>
        </w:rPr>
        <w:t>.</w:t>
      </w:r>
      <w:r w:rsidR="47820F63" w:rsidRPr="00DA776F">
        <w:rPr>
          <w:sz w:val="24"/>
          <w:szCs w:val="24"/>
          <w:lang w:val="en-AU"/>
        </w:rPr>
        <w:t xml:space="preserve"> </w:t>
      </w:r>
      <w:r w:rsidR="39798CBF" w:rsidRPr="00DA776F">
        <w:rPr>
          <w:sz w:val="24"/>
          <w:szCs w:val="24"/>
          <w:lang w:val="en-AU"/>
        </w:rPr>
        <w:t xml:space="preserve"> There</w:t>
      </w:r>
      <w:r w:rsidR="00BE3CC8" w:rsidRPr="00DA776F">
        <w:rPr>
          <w:sz w:val="24"/>
          <w:szCs w:val="24"/>
          <w:lang w:val="en-AU"/>
        </w:rPr>
        <w:t xml:space="preserve"> will also be an </w:t>
      </w:r>
      <w:r w:rsidR="00AF3CC6">
        <w:rPr>
          <w:sz w:val="24"/>
          <w:szCs w:val="24"/>
          <w:lang w:val="en-AU"/>
        </w:rPr>
        <w:t xml:space="preserve">allocation </w:t>
      </w:r>
      <w:r w:rsidR="00BE3CC8" w:rsidRPr="00DA776F">
        <w:rPr>
          <w:sz w:val="24"/>
          <w:szCs w:val="24"/>
          <w:lang w:val="en-AU"/>
        </w:rPr>
        <w:t xml:space="preserve">for </w:t>
      </w:r>
      <w:r w:rsidR="00A40BDC" w:rsidRPr="00DA776F">
        <w:rPr>
          <w:sz w:val="24"/>
          <w:szCs w:val="24"/>
          <w:lang w:val="en-AU"/>
        </w:rPr>
        <w:t>the incubation of potential</w:t>
      </w:r>
      <w:r w:rsidRPr="00DA776F">
        <w:rPr>
          <w:sz w:val="24"/>
          <w:szCs w:val="24"/>
          <w:lang w:val="en-AU"/>
        </w:rPr>
        <w:t xml:space="preserve"> new partnerships</w:t>
      </w:r>
      <w:r w:rsidR="008B4DA3" w:rsidRPr="00DA776F">
        <w:rPr>
          <w:sz w:val="24"/>
          <w:szCs w:val="24"/>
          <w:lang w:val="en-AU"/>
        </w:rPr>
        <w:t xml:space="preserve"> </w:t>
      </w:r>
      <w:r w:rsidR="00BE3CC8" w:rsidRPr="00DA776F">
        <w:rPr>
          <w:sz w:val="24"/>
          <w:szCs w:val="24"/>
          <w:lang w:val="en-AU"/>
        </w:rPr>
        <w:t>and delivery of outcomes through a limited number of s</w:t>
      </w:r>
      <w:r w:rsidR="008B4DA3" w:rsidRPr="00DA776F">
        <w:rPr>
          <w:sz w:val="24"/>
          <w:szCs w:val="24"/>
          <w:lang w:val="en-AU"/>
        </w:rPr>
        <w:t>maller initiatives</w:t>
      </w:r>
      <w:r w:rsidRPr="00DA776F">
        <w:rPr>
          <w:sz w:val="24"/>
          <w:szCs w:val="24"/>
          <w:lang w:val="en-AU"/>
        </w:rPr>
        <w:t xml:space="preserve">. </w:t>
      </w:r>
      <w:r w:rsidR="00BE3CC8" w:rsidRPr="00DA776F">
        <w:rPr>
          <w:sz w:val="24"/>
          <w:szCs w:val="24"/>
          <w:lang w:val="en-AU"/>
        </w:rPr>
        <w:t>This will allow Australia to test interest and capacity of counterparts to engage in new areas of cooperation and trial new partnership approaches that may lead to a larger engagement and</w:t>
      </w:r>
      <w:r w:rsidR="002F099A" w:rsidRPr="00DA776F">
        <w:rPr>
          <w:sz w:val="24"/>
          <w:szCs w:val="24"/>
          <w:lang w:val="en-AU"/>
        </w:rPr>
        <w:t>/</w:t>
      </w:r>
      <w:r w:rsidR="00BE3CC8" w:rsidRPr="00DA776F">
        <w:rPr>
          <w:sz w:val="24"/>
          <w:szCs w:val="24"/>
          <w:lang w:val="en-AU"/>
        </w:rPr>
        <w:t>or in whole new portfolios and programs in bilateral programs.</w:t>
      </w:r>
    </w:p>
    <w:p w14:paraId="4FF58349" w14:textId="7FD1AE29" w:rsidR="00C24DF2" w:rsidRPr="001F14E7" w:rsidRDefault="00C24DF2" w:rsidP="00D82646">
      <w:pPr>
        <w:pStyle w:val="Heading3Numbered"/>
        <w:rPr>
          <w:lang w:val="en-AU"/>
        </w:rPr>
      </w:pPr>
      <w:r w:rsidRPr="2C480AEE">
        <w:rPr>
          <w:lang w:val="en-AU"/>
        </w:rPr>
        <w:t>Investing in leadership</w:t>
      </w:r>
    </w:p>
    <w:p w14:paraId="0299C700" w14:textId="1F8F6DFE" w:rsidR="00F150B2" w:rsidRPr="00DA776F" w:rsidRDefault="4B3726EA" w:rsidP="003816BF">
      <w:pPr>
        <w:rPr>
          <w:sz w:val="24"/>
          <w:szCs w:val="24"/>
          <w:lang w:val="en-AU"/>
        </w:rPr>
      </w:pPr>
      <w:r w:rsidRPr="00DA776F">
        <w:rPr>
          <w:sz w:val="24"/>
          <w:szCs w:val="24"/>
          <w:lang w:val="en-AU"/>
        </w:rPr>
        <w:t xml:space="preserve">Australia’s </w:t>
      </w:r>
      <w:r w:rsidRPr="00DA776F">
        <w:rPr>
          <w:i/>
          <w:iCs/>
          <w:sz w:val="24"/>
          <w:szCs w:val="24"/>
          <w:lang w:val="en-AU"/>
        </w:rPr>
        <w:t>International Development Policy</w:t>
      </w:r>
      <w:r w:rsidRPr="00DA776F">
        <w:rPr>
          <w:sz w:val="24"/>
          <w:szCs w:val="24"/>
          <w:lang w:val="en-AU"/>
        </w:rPr>
        <w:t xml:space="preserve"> notes the importance of strong, effective leadership from governments, the private sector and civil society to tackle complex structural reform</w:t>
      </w:r>
      <w:r w:rsidR="00E7413D" w:rsidRPr="00DA776F">
        <w:rPr>
          <w:sz w:val="24"/>
          <w:szCs w:val="24"/>
          <w:lang w:val="en-AU"/>
        </w:rPr>
        <w:t>. It</w:t>
      </w:r>
      <w:r w:rsidRPr="00DA776F">
        <w:rPr>
          <w:sz w:val="24"/>
          <w:szCs w:val="24"/>
          <w:lang w:val="en-AU"/>
        </w:rPr>
        <w:t xml:space="preserve"> prioritises supporting partners to build effective, accountable states that drive their own development, connect with Australia and regional architecture and generate collective action on challenges that </w:t>
      </w:r>
      <w:r w:rsidR="5B5C3C1E" w:rsidRPr="00DA776F">
        <w:rPr>
          <w:sz w:val="24"/>
          <w:szCs w:val="24"/>
          <w:lang w:val="en-AU"/>
        </w:rPr>
        <w:t xml:space="preserve">effect </w:t>
      </w:r>
      <w:r w:rsidRPr="00DA776F">
        <w:rPr>
          <w:sz w:val="24"/>
          <w:szCs w:val="24"/>
          <w:lang w:val="en-AU"/>
        </w:rPr>
        <w:t>our region. Enhancing leadership and skills in the Mekong subregion is in Australia’s national interest</w:t>
      </w:r>
      <w:r w:rsidR="00566800" w:rsidRPr="00DA776F">
        <w:rPr>
          <w:sz w:val="24"/>
          <w:szCs w:val="24"/>
          <w:lang w:val="en-AU"/>
        </w:rPr>
        <w:t>; t</w:t>
      </w:r>
      <w:r w:rsidR="009D7CFD" w:rsidRPr="00DA776F">
        <w:rPr>
          <w:sz w:val="24"/>
          <w:szCs w:val="24"/>
          <w:lang w:val="en-AU"/>
        </w:rPr>
        <w:t>he Mekong sub</w:t>
      </w:r>
      <w:r w:rsidR="002D210C" w:rsidRPr="00DA776F">
        <w:rPr>
          <w:sz w:val="24"/>
          <w:szCs w:val="24"/>
          <w:lang w:val="en-AU"/>
        </w:rPr>
        <w:t>-</w:t>
      </w:r>
      <w:r w:rsidR="009D7CFD" w:rsidRPr="00DA776F">
        <w:rPr>
          <w:sz w:val="24"/>
          <w:szCs w:val="24"/>
          <w:lang w:val="en-AU"/>
        </w:rPr>
        <w:t>region’s future depends on the quality of its leadership</w:t>
      </w:r>
      <w:r w:rsidR="001D2FB4" w:rsidRPr="00DA776F">
        <w:rPr>
          <w:sz w:val="24"/>
          <w:szCs w:val="24"/>
          <w:lang w:val="en-AU"/>
        </w:rPr>
        <w:t>.</w:t>
      </w:r>
      <w:r w:rsidRPr="00DA776F">
        <w:rPr>
          <w:sz w:val="24"/>
          <w:szCs w:val="24"/>
          <w:lang w:val="en-AU"/>
        </w:rPr>
        <w:t xml:space="preserve"> </w:t>
      </w:r>
      <w:r w:rsidR="00566800" w:rsidRPr="00DA776F">
        <w:rPr>
          <w:sz w:val="24"/>
          <w:szCs w:val="24"/>
          <w:lang w:val="en-AU"/>
        </w:rPr>
        <w:t>T</w:t>
      </w:r>
      <w:r w:rsidRPr="00DA776F">
        <w:rPr>
          <w:sz w:val="24"/>
          <w:szCs w:val="24"/>
          <w:lang w:val="en-AU"/>
        </w:rPr>
        <w:t xml:space="preserve">he portfolio will support </w:t>
      </w:r>
      <w:r w:rsidR="00566800" w:rsidRPr="00DA776F">
        <w:rPr>
          <w:sz w:val="24"/>
          <w:szCs w:val="24"/>
          <w:lang w:val="en-AU"/>
        </w:rPr>
        <w:t xml:space="preserve">a </w:t>
      </w:r>
      <w:r w:rsidRPr="00DA776F">
        <w:rPr>
          <w:sz w:val="24"/>
          <w:szCs w:val="24"/>
          <w:lang w:val="en-AU"/>
        </w:rPr>
        <w:t xml:space="preserve">strategically coherent approach to investing in leadership via short courses, training, twinning and policy dialogue where </w:t>
      </w:r>
      <w:r w:rsidR="775BDC25" w:rsidRPr="00DA776F">
        <w:rPr>
          <w:sz w:val="24"/>
          <w:szCs w:val="24"/>
          <w:lang w:val="en-AU"/>
        </w:rPr>
        <w:t>they</w:t>
      </w:r>
      <w:r w:rsidRPr="00DA776F">
        <w:rPr>
          <w:sz w:val="24"/>
          <w:szCs w:val="24"/>
          <w:lang w:val="en-AU"/>
        </w:rPr>
        <w:t xml:space="preserve">: </w:t>
      </w:r>
    </w:p>
    <w:p w14:paraId="1845B126" w14:textId="2B88AD38" w:rsidR="00F150B2" w:rsidRPr="00DA776F" w:rsidRDefault="00F150B2" w:rsidP="002E677B">
      <w:pPr>
        <w:numPr>
          <w:ilvl w:val="0"/>
          <w:numId w:val="56"/>
        </w:numPr>
        <w:rPr>
          <w:sz w:val="24"/>
          <w:szCs w:val="24"/>
          <w:lang w:val="en-AU"/>
        </w:rPr>
      </w:pPr>
      <w:r w:rsidRPr="00DA776F">
        <w:rPr>
          <w:sz w:val="24"/>
          <w:szCs w:val="24"/>
          <w:lang w:val="en-AU"/>
        </w:rPr>
        <w:t>Link to strategic priorities of bilateral programs and regional initiatives. Regional courses should complement bilateral initiatives to foster deeper bilateral engagement and ongoing regional networking.</w:t>
      </w:r>
    </w:p>
    <w:p w14:paraId="44A9B281" w14:textId="77777777" w:rsidR="00F150B2" w:rsidRPr="00DA776F" w:rsidRDefault="00F150B2" w:rsidP="002E677B">
      <w:pPr>
        <w:numPr>
          <w:ilvl w:val="0"/>
          <w:numId w:val="56"/>
        </w:numPr>
        <w:rPr>
          <w:sz w:val="24"/>
          <w:szCs w:val="24"/>
          <w:lang w:val="en-AU"/>
        </w:rPr>
      </w:pPr>
      <w:r w:rsidRPr="00DA776F">
        <w:rPr>
          <w:sz w:val="24"/>
          <w:szCs w:val="24"/>
          <w:lang w:val="en-AU"/>
        </w:rPr>
        <w:lastRenderedPageBreak/>
        <w:t>Promote women in leadership and inclusive leadership.</w:t>
      </w:r>
    </w:p>
    <w:p w14:paraId="3D31E571" w14:textId="32BD7940" w:rsidR="00F150B2" w:rsidRPr="00DA776F" w:rsidRDefault="00F150B2" w:rsidP="002E677B">
      <w:pPr>
        <w:numPr>
          <w:ilvl w:val="0"/>
          <w:numId w:val="56"/>
        </w:numPr>
        <w:rPr>
          <w:sz w:val="24"/>
          <w:szCs w:val="24"/>
          <w:lang w:val="en-AU"/>
        </w:rPr>
      </w:pPr>
      <w:r w:rsidRPr="00DA776F">
        <w:rPr>
          <w:sz w:val="24"/>
          <w:szCs w:val="24"/>
          <w:lang w:val="en-AU"/>
        </w:rPr>
        <w:t>Forge partnerships and foster collaboration in areas of mutual interest and where there may be appetite and capacity to invest over the medium and longer term.</w:t>
      </w:r>
    </w:p>
    <w:p w14:paraId="3E3BED14" w14:textId="3B938C80" w:rsidR="00F150B2" w:rsidRPr="00DA776F" w:rsidRDefault="00F150B2" w:rsidP="002E677B">
      <w:pPr>
        <w:numPr>
          <w:ilvl w:val="0"/>
          <w:numId w:val="56"/>
        </w:numPr>
        <w:rPr>
          <w:sz w:val="24"/>
          <w:szCs w:val="24"/>
          <w:lang w:val="en-AU"/>
        </w:rPr>
      </w:pPr>
      <w:r w:rsidRPr="00DA776F">
        <w:rPr>
          <w:sz w:val="24"/>
          <w:szCs w:val="24"/>
          <w:lang w:val="en-AU"/>
        </w:rPr>
        <w:t xml:space="preserve">Support participative and inclusive leadership, policy dialogue and decision-making by bringing together representatives from government, </w:t>
      </w:r>
      <w:r w:rsidR="00C25C9A" w:rsidRPr="00DA776F">
        <w:rPr>
          <w:sz w:val="24"/>
          <w:szCs w:val="24"/>
          <w:lang w:val="en-AU"/>
        </w:rPr>
        <w:t>NGOs</w:t>
      </w:r>
      <w:r w:rsidR="0057356D" w:rsidRPr="00DA776F">
        <w:rPr>
          <w:sz w:val="24"/>
          <w:szCs w:val="24"/>
          <w:lang w:val="en-AU"/>
        </w:rPr>
        <w:t>,</w:t>
      </w:r>
      <w:r w:rsidRPr="00DA776F">
        <w:rPr>
          <w:sz w:val="24"/>
          <w:szCs w:val="24"/>
          <w:lang w:val="en-AU"/>
        </w:rPr>
        <w:t xml:space="preserve"> and the private sector, providing safe (neutral) spaces for policy dialogue between government and </w:t>
      </w:r>
      <w:r w:rsidR="00C25C9A" w:rsidRPr="00DA776F">
        <w:rPr>
          <w:sz w:val="24"/>
          <w:szCs w:val="24"/>
          <w:lang w:val="en-AU"/>
        </w:rPr>
        <w:t>communities</w:t>
      </w:r>
      <w:r w:rsidRPr="00DA776F">
        <w:rPr>
          <w:sz w:val="24"/>
          <w:szCs w:val="24"/>
          <w:lang w:val="en-AU"/>
        </w:rPr>
        <w:t xml:space="preserve"> within and across countries.</w:t>
      </w:r>
    </w:p>
    <w:p w14:paraId="1C02E79E" w14:textId="2681DA00" w:rsidR="00F150B2" w:rsidRPr="00DA776F" w:rsidRDefault="00F150B2" w:rsidP="002E677B">
      <w:pPr>
        <w:numPr>
          <w:ilvl w:val="0"/>
          <w:numId w:val="56"/>
        </w:numPr>
        <w:rPr>
          <w:sz w:val="24"/>
          <w:szCs w:val="24"/>
          <w:lang w:val="en-AU"/>
        </w:rPr>
      </w:pPr>
      <w:r w:rsidRPr="00DA776F">
        <w:rPr>
          <w:sz w:val="24"/>
          <w:szCs w:val="24"/>
          <w:lang w:val="en-AU"/>
        </w:rPr>
        <w:t xml:space="preserve">Contribute to improved governance and integrity of political and administrative leaders, as well as leaders from the private sector and </w:t>
      </w:r>
      <w:r w:rsidR="00C25C9A" w:rsidRPr="00DA776F">
        <w:rPr>
          <w:sz w:val="24"/>
          <w:szCs w:val="24"/>
          <w:lang w:val="en-AU"/>
        </w:rPr>
        <w:t>non-government sector</w:t>
      </w:r>
      <w:r w:rsidRPr="00DA776F">
        <w:rPr>
          <w:sz w:val="24"/>
          <w:szCs w:val="24"/>
          <w:lang w:val="en-AU"/>
        </w:rPr>
        <w:t>.</w:t>
      </w:r>
    </w:p>
    <w:p w14:paraId="367C5996" w14:textId="77777777" w:rsidR="00F150B2" w:rsidRPr="00DA776F" w:rsidRDefault="00F150B2" w:rsidP="002E677B">
      <w:pPr>
        <w:numPr>
          <w:ilvl w:val="0"/>
          <w:numId w:val="56"/>
        </w:numPr>
        <w:rPr>
          <w:sz w:val="24"/>
          <w:szCs w:val="24"/>
          <w:lang w:val="en-AU"/>
        </w:rPr>
      </w:pPr>
      <w:r w:rsidRPr="00DA776F">
        <w:rPr>
          <w:sz w:val="24"/>
          <w:szCs w:val="24"/>
          <w:lang w:val="en-AU"/>
        </w:rPr>
        <w:t>Provide an opportunity for Australia to offer responsive technical solutions to pressing issues of mutual interest.</w:t>
      </w:r>
    </w:p>
    <w:p w14:paraId="5B85AA61" w14:textId="5D1D31E3" w:rsidR="00F150B2" w:rsidRPr="00DA776F" w:rsidRDefault="00F150B2" w:rsidP="002E677B">
      <w:pPr>
        <w:numPr>
          <w:ilvl w:val="0"/>
          <w:numId w:val="56"/>
        </w:numPr>
        <w:rPr>
          <w:sz w:val="24"/>
          <w:szCs w:val="24"/>
          <w:lang w:val="en-AU"/>
        </w:rPr>
      </w:pPr>
      <w:r w:rsidRPr="00DA776F">
        <w:rPr>
          <w:sz w:val="24"/>
          <w:szCs w:val="24"/>
          <w:lang w:val="en-AU"/>
        </w:rPr>
        <w:t>Provide an opportunity to include Myanmar</w:t>
      </w:r>
      <w:r w:rsidR="00220BB8" w:rsidRPr="00DA776F">
        <w:rPr>
          <w:sz w:val="24"/>
          <w:szCs w:val="24"/>
          <w:lang w:val="en-AU"/>
        </w:rPr>
        <w:t xml:space="preserve"> participants</w:t>
      </w:r>
      <w:r w:rsidRPr="00DA776F">
        <w:rPr>
          <w:sz w:val="24"/>
          <w:szCs w:val="24"/>
          <w:lang w:val="en-AU"/>
        </w:rPr>
        <w:t>.</w:t>
      </w:r>
    </w:p>
    <w:p w14:paraId="294BF4C1" w14:textId="7F5E8A4B" w:rsidR="00202FB6" w:rsidRPr="00DA776F" w:rsidRDefault="2A0C8F5D" w:rsidP="009A62E5">
      <w:pPr>
        <w:rPr>
          <w:sz w:val="24"/>
          <w:szCs w:val="24"/>
          <w:lang w:val="en-AU"/>
        </w:rPr>
      </w:pPr>
      <w:r w:rsidRPr="00DA776F">
        <w:rPr>
          <w:sz w:val="24"/>
          <w:szCs w:val="24"/>
          <w:lang w:val="en-AU"/>
        </w:rPr>
        <w:t>Building on</w:t>
      </w:r>
      <w:r w:rsidR="00566800" w:rsidRPr="00DA776F">
        <w:rPr>
          <w:sz w:val="24"/>
          <w:szCs w:val="24"/>
          <w:lang w:val="en-AU"/>
        </w:rPr>
        <w:t xml:space="preserve"> the success of</w:t>
      </w:r>
      <w:r w:rsidRPr="00DA776F">
        <w:rPr>
          <w:sz w:val="24"/>
          <w:szCs w:val="24"/>
          <w:lang w:val="en-AU"/>
        </w:rPr>
        <w:t xml:space="preserve"> MAP Phase 1’s human capacity </w:t>
      </w:r>
      <w:r w:rsidR="775BDC25" w:rsidRPr="00DA776F">
        <w:rPr>
          <w:sz w:val="24"/>
          <w:szCs w:val="24"/>
          <w:lang w:val="en-AU"/>
        </w:rPr>
        <w:t>pillar</w:t>
      </w:r>
      <w:r w:rsidRPr="00DA776F">
        <w:rPr>
          <w:sz w:val="24"/>
          <w:szCs w:val="24"/>
          <w:lang w:val="en-AU"/>
        </w:rPr>
        <w:t xml:space="preserve">, MAP Phase 2 will continue to engage with and leverage the skills and networks of MAP Masters and short course alumni. </w:t>
      </w:r>
      <w:r w:rsidR="0E7C8313" w:rsidRPr="00DA776F">
        <w:rPr>
          <w:sz w:val="24"/>
          <w:szCs w:val="24"/>
          <w:lang w:val="en-AU"/>
        </w:rPr>
        <w:t>A</w:t>
      </w:r>
      <w:r w:rsidRPr="00DA776F">
        <w:rPr>
          <w:sz w:val="24"/>
          <w:szCs w:val="24"/>
          <w:lang w:val="en-AU"/>
        </w:rPr>
        <w:t xml:space="preserve">lumni engagement mechanisms </w:t>
      </w:r>
      <w:r w:rsidR="0E7C8313" w:rsidRPr="00DA776F">
        <w:rPr>
          <w:sz w:val="24"/>
          <w:szCs w:val="24"/>
          <w:lang w:val="en-AU"/>
        </w:rPr>
        <w:t>will be developed in line with</w:t>
      </w:r>
      <w:r w:rsidRPr="00DA776F">
        <w:rPr>
          <w:sz w:val="24"/>
          <w:szCs w:val="24"/>
          <w:lang w:val="en-AU"/>
        </w:rPr>
        <w:t xml:space="preserve"> broader </w:t>
      </w:r>
      <w:r w:rsidRPr="00DA776F">
        <w:rPr>
          <w:i/>
          <w:iCs/>
          <w:sz w:val="24"/>
          <w:szCs w:val="24"/>
          <w:lang w:val="en-AU"/>
        </w:rPr>
        <w:t>Southeast Asia Economic Strategy</w:t>
      </w:r>
      <w:r w:rsidRPr="00DA776F">
        <w:rPr>
          <w:sz w:val="24"/>
          <w:szCs w:val="24"/>
          <w:lang w:val="en-AU"/>
        </w:rPr>
        <w:t xml:space="preserve"> recommendations</w:t>
      </w:r>
      <w:r w:rsidR="0E7C8313" w:rsidRPr="00DA776F">
        <w:rPr>
          <w:sz w:val="24"/>
          <w:szCs w:val="24"/>
          <w:lang w:val="en-AU"/>
        </w:rPr>
        <w:t>,</w:t>
      </w:r>
      <w:r w:rsidRPr="00DA776F">
        <w:rPr>
          <w:sz w:val="24"/>
          <w:szCs w:val="24"/>
          <w:lang w:val="en-AU"/>
        </w:rPr>
        <w:t xml:space="preserve"> to enhance alumni engagement across ASEAN countries. </w:t>
      </w:r>
      <w:r w:rsidR="0E7C8313" w:rsidRPr="00DA776F">
        <w:rPr>
          <w:sz w:val="24"/>
          <w:szCs w:val="24"/>
          <w:lang w:val="en-AU"/>
        </w:rPr>
        <w:t>MAP Phase 2</w:t>
      </w:r>
      <w:r w:rsidRPr="00DA776F">
        <w:rPr>
          <w:sz w:val="24"/>
          <w:szCs w:val="24"/>
          <w:lang w:val="en-AU"/>
        </w:rPr>
        <w:t xml:space="preserve"> will continue to </w:t>
      </w:r>
      <w:r w:rsidR="0E7C8313" w:rsidRPr="00DA776F">
        <w:rPr>
          <w:sz w:val="24"/>
          <w:szCs w:val="24"/>
          <w:lang w:val="en-AU"/>
        </w:rPr>
        <w:t>include</w:t>
      </w:r>
      <w:r w:rsidRPr="00DA776F">
        <w:rPr>
          <w:sz w:val="24"/>
          <w:szCs w:val="24"/>
          <w:lang w:val="en-AU"/>
        </w:rPr>
        <w:t xml:space="preserve"> </w:t>
      </w:r>
      <w:r w:rsidR="00566800" w:rsidRPr="00DA776F">
        <w:rPr>
          <w:sz w:val="24"/>
          <w:szCs w:val="24"/>
          <w:lang w:val="en-AU"/>
        </w:rPr>
        <w:t xml:space="preserve">demand-driven </w:t>
      </w:r>
      <w:r w:rsidRPr="00DA776F">
        <w:rPr>
          <w:sz w:val="24"/>
          <w:szCs w:val="24"/>
          <w:lang w:val="en-AU"/>
        </w:rPr>
        <w:t>short courses, exchanges and dialogues</w:t>
      </w:r>
      <w:r w:rsidR="29E118E2" w:rsidRPr="00DA776F">
        <w:rPr>
          <w:sz w:val="24"/>
          <w:szCs w:val="24"/>
          <w:lang w:val="en-AU"/>
        </w:rPr>
        <w:t>, and potentially longer-term awards,</w:t>
      </w:r>
      <w:r w:rsidRPr="00DA776F">
        <w:rPr>
          <w:sz w:val="24"/>
          <w:szCs w:val="24"/>
          <w:lang w:val="en-AU"/>
        </w:rPr>
        <w:t xml:space="preserve"> to foster deeper and broader networks between the next generation of the Mekong leaders </w:t>
      </w:r>
      <w:r w:rsidR="0E7C8313" w:rsidRPr="00DA776F">
        <w:rPr>
          <w:sz w:val="24"/>
          <w:szCs w:val="24"/>
          <w:lang w:val="en-AU"/>
        </w:rPr>
        <w:t>and Australia, and among themselves</w:t>
      </w:r>
      <w:r w:rsidRPr="00DA776F">
        <w:rPr>
          <w:sz w:val="24"/>
          <w:szCs w:val="24"/>
          <w:lang w:val="en-AU"/>
        </w:rPr>
        <w:t>. Leadership activities will</w:t>
      </w:r>
      <w:r w:rsidR="10C1A1F2" w:rsidRPr="00DA776F">
        <w:rPr>
          <w:sz w:val="24"/>
          <w:szCs w:val="24"/>
          <w:lang w:val="en-AU"/>
        </w:rPr>
        <w:t xml:space="preserve"> contribute to outcomes across all thematic </w:t>
      </w:r>
      <w:r w:rsidR="0E7C8313" w:rsidRPr="00DA776F">
        <w:rPr>
          <w:sz w:val="24"/>
          <w:szCs w:val="24"/>
          <w:lang w:val="en-AU"/>
        </w:rPr>
        <w:t>area</w:t>
      </w:r>
      <w:r w:rsidR="10C1A1F2" w:rsidRPr="00DA776F">
        <w:rPr>
          <w:sz w:val="24"/>
          <w:szCs w:val="24"/>
          <w:lang w:val="en-AU"/>
        </w:rPr>
        <w:t>s, with a likely continued focus on regional short courses and exchanges on water security, climate change, transnational crime</w:t>
      </w:r>
      <w:r w:rsidR="00940532" w:rsidRPr="00DA776F">
        <w:rPr>
          <w:sz w:val="24"/>
          <w:szCs w:val="24"/>
          <w:lang w:val="en-AU"/>
        </w:rPr>
        <w:t>,</w:t>
      </w:r>
      <w:r w:rsidR="10C1A1F2" w:rsidRPr="00DA776F">
        <w:rPr>
          <w:sz w:val="24"/>
          <w:szCs w:val="24"/>
          <w:lang w:val="en-AU"/>
        </w:rPr>
        <w:t xml:space="preserve"> gender equality</w:t>
      </w:r>
      <w:r w:rsidR="00905011" w:rsidRPr="00DA776F">
        <w:rPr>
          <w:sz w:val="24"/>
          <w:szCs w:val="24"/>
          <w:lang w:val="en-AU"/>
        </w:rPr>
        <w:t xml:space="preserve"> and public policy</w:t>
      </w:r>
      <w:r w:rsidR="10C1A1F2" w:rsidRPr="00DA776F">
        <w:rPr>
          <w:sz w:val="24"/>
          <w:szCs w:val="24"/>
          <w:lang w:val="en-AU"/>
        </w:rPr>
        <w:t xml:space="preserve">. </w:t>
      </w:r>
      <w:r w:rsidR="0361D126" w:rsidRPr="00DA776F">
        <w:rPr>
          <w:sz w:val="24"/>
          <w:szCs w:val="24"/>
          <w:lang w:val="en-AU"/>
        </w:rPr>
        <w:t>A dedicated stream of trilateral short courses and exchanges will advance subregional integration and dialogue.</w:t>
      </w:r>
    </w:p>
    <w:p w14:paraId="5F853DEA" w14:textId="0856261A" w:rsidR="009A147B" w:rsidRPr="001F14E7" w:rsidRDefault="56393E54" w:rsidP="00D82646">
      <w:pPr>
        <w:pStyle w:val="Heading3Numbered"/>
        <w:rPr>
          <w:lang w:val="en-AU"/>
        </w:rPr>
      </w:pPr>
      <w:r w:rsidRPr="4C1C98D1">
        <w:rPr>
          <w:lang w:val="en-AU"/>
        </w:rPr>
        <w:t xml:space="preserve">Complementary </w:t>
      </w:r>
      <w:r w:rsidR="06508775" w:rsidRPr="4C1C98D1">
        <w:rPr>
          <w:lang w:val="en-AU"/>
        </w:rPr>
        <w:t xml:space="preserve">regional, multi-country and </w:t>
      </w:r>
      <w:r w:rsidRPr="4C1C98D1">
        <w:rPr>
          <w:lang w:val="en-AU"/>
        </w:rPr>
        <w:t xml:space="preserve">bilateral investments </w:t>
      </w:r>
    </w:p>
    <w:p w14:paraId="509AFCF9" w14:textId="3E204182" w:rsidR="00C10047" w:rsidRPr="00DA776F" w:rsidRDefault="09D81650" w:rsidP="003816BF">
      <w:pPr>
        <w:rPr>
          <w:sz w:val="24"/>
          <w:szCs w:val="24"/>
          <w:lang w:val="en-AU"/>
        </w:rPr>
      </w:pPr>
      <w:r w:rsidRPr="00DA776F">
        <w:rPr>
          <w:sz w:val="24"/>
          <w:szCs w:val="24"/>
          <w:lang w:val="en-AU"/>
        </w:rPr>
        <w:t xml:space="preserve">MAP Phase 2 will drive increased investment on cooperation between Mekong countries on shared and transboundary challenges, noting that solutions can be pursued at </w:t>
      </w:r>
      <w:r w:rsidR="16E7CA66" w:rsidRPr="00DA776F">
        <w:rPr>
          <w:sz w:val="24"/>
          <w:szCs w:val="24"/>
          <w:lang w:val="en-AU"/>
        </w:rPr>
        <w:t xml:space="preserve">subregional, multi-country and </w:t>
      </w:r>
      <w:r w:rsidRPr="00DA776F">
        <w:rPr>
          <w:sz w:val="24"/>
          <w:szCs w:val="24"/>
          <w:lang w:val="en-AU"/>
        </w:rPr>
        <w:t xml:space="preserve">national levels. </w:t>
      </w:r>
      <w:r w:rsidR="7B2F09BD" w:rsidRPr="00DA776F">
        <w:rPr>
          <w:sz w:val="24"/>
          <w:szCs w:val="24"/>
          <w:lang w:val="en-AU"/>
        </w:rPr>
        <w:t>Partnerships may be formed at</w:t>
      </w:r>
      <w:r w:rsidR="28878906" w:rsidRPr="00DA776F">
        <w:rPr>
          <w:sz w:val="24"/>
          <w:szCs w:val="24"/>
          <w:lang w:val="en-AU"/>
        </w:rPr>
        <w:t xml:space="preserve"> </w:t>
      </w:r>
      <w:r w:rsidR="4B60871A" w:rsidRPr="00DA776F">
        <w:rPr>
          <w:sz w:val="24"/>
          <w:szCs w:val="24"/>
          <w:lang w:val="en-AU"/>
        </w:rPr>
        <w:t>subregional, multi-country and national</w:t>
      </w:r>
      <w:r w:rsidR="7B2F09BD" w:rsidRPr="00DA776F">
        <w:rPr>
          <w:sz w:val="24"/>
          <w:szCs w:val="24"/>
          <w:lang w:val="en-AU"/>
        </w:rPr>
        <w:t xml:space="preserve"> levels depending on the nature of the issues and outcomes sought. Partnerships will be single country focused where the challenges are important to the </w:t>
      </w:r>
      <w:r w:rsidR="57DA7E6E" w:rsidRPr="00DA776F">
        <w:rPr>
          <w:sz w:val="24"/>
          <w:szCs w:val="24"/>
          <w:lang w:val="en-AU"/>
        </w:rPr>
        <w:t>region,</w:t>
      </w:r>
      <w:r w:rsidR="7B2F09BD" w:rsidRPr="00DA776F">
        <w:rPr>
          <w:sz w:val="24"/>
          <w:szCs w:val="24"/>
          <w:lang w:val="en-AU"/>
        </w:rPr>
        <w:t xml:space="preserve"> but the solutions may be best prosecuted at the national level</w:t>
      </w:r>
      <w:r w:rsidR="09087256" w:rsidRPr="00DA776F">
        <w:rPr>
          <w:sz w:val="24"/>
          <w:szCs w:val="24"/>
          <w:lang w:val="en-AU"/>
        </w:rPr>
        <w:t xml:space="preserve"> such as public financial management</w:t>
      </w:r>
      <w:r w:rsidR="7B2F09BD" w:rsidRPr="00DA776F">
        <w:rPr>
          <w:sz w:val="24"/>
          <w:szCs w:val="24"/>
          <w:lang w:val="en-AU"/>
        </w:rPr>
        <w:t xml:space="preserve">. </w:t>
      </w:r>
      <w:r w:rsidR="0DCDC6B7" w:rsidRPr="00DA776F">
        <w:rPr>
          <w:sz w:val="24"/>
          <w:szCs w:val="24"/>
          <w:lang w:val="en-AU"/>
        </w:rPr>
        <w:t xml:space="preserve">Multi-country investments will </w:t>
      </w:r>
      <w:r w:rsidR="56393E54" w:rsidRPr="00DA776F">
        <w:rPr>
          <w:sz w:val="24"/>
          <w:szCs w:val="24"/>
          <w:lang w:val="en-AU"/>
        </w:rPr>
        <w:t>complement and augment DFAT bilateral programs in a mutually reinforcing effort towards common objectives</w:t>
      </w:r>
      <w:r w:rsidR="68549A55" w:rsidRPr="00DA776F">
        <w:rPr>
          <w:sz w:val="24"/>
          <w:szCs w:val="24"/>
          <w:lang w:val="en-AU"/>
        </w:rPr>
        <w:t xml:space="preserve">, working </w:t>
      </w:r>
      <w:r w:rsidR="775BDC25" w:rsidRPr="00DA776F">
        <w:rPr>
          <w:sz w:val="24"/>
          <w:szCs w:val="24"/>
          <w:lang w:val="en-AU"/>
        </w:rPr>
        <w:t xml:space="preserve">in parallel </w:t>
      </w:r>
      <w:r w:rsidR="68549A55" w:rsidRPr="00DA776F">
        <w:rPr>
          <w:sz w:val="24"/>
          <w:szCs w:val="24"/>
          <w:lang w:val="en-AU"/>
        </w:rPr>
        <w:t xml:space="preserve">on </w:t>
      </w:r>
      <w:r w:rsidR="37FF77B2" w:rsidRPr="00DA776F">
        <w:rPr>
          <w:sz w:val="24"/>
          <w:szCs w:val="24"/>
          <w:lang w:val="en-AU"/>
        </w:rPr>
        <w:t xml:space="preserve">similar themes in more than one Mekong country, with cross-country </w:t>
      </w:r>
      <w:r w:rsidR="6F7EFFA5" w:rsidRPr="00DA776F">
        <w:rPr>
          <w:sz w:val="24"/>
          <w:szCs w:val="24"/>
          <w:lang w:val="en-AU"/>
        </w:rPr>
        <w:t>exchanges and learning where possible</w:t>
      </w:r>
      <w:r w:rsidR="56393E54" w:rsidRPr="00DA776F">
        <w:rPr>
          <w:sz w:val="24"/>
          <w:szCs w:val="24"/>
          <w:lang w:val="en-AU"/>
        </w:rPr>
        <w:t>.</w:t>
      </w:r>
      <w:r w:rsidR="6F7EFFA5" w:rsidRPr="00DA776F">
        <w:rPr>
          <w:sz w:val="24"/>
          <w:szCs w:val="24"/>
          <w:lang w:val="en-AU"/>
        </w:rPr>
        <w:t xml:space="preserve"> Subregional </w:t>
      </w:r>
      <w:r w:rsidR="64045684" w:rsidRPr="00DA776F">
        <w:rPr>
          <w:sz w:val="24"/>
          <w:szCs w:val="24"/>
          <w:lang w:val="en-AU"/>
        </w:rPr>
        <w:t>initiatives will focus on working through subregional institutions</w:t>
      </w:r>
      <w:r w:rsidR="44344358" w:rsidRPr="00DA776F">
        <w:rPr>
          <w:sz w:val="24"/>
          <w:szCs w:val="24"/>
          <w:lang w:val="en-AU"/>
        </w:rPr>
        <w:t xml:space="preserve"> or architecture</w:t>
      </w:r>
      <w:r w:rsidR="0716D175" w:rsidRPr="00DA776F">
        <w:rPr>
          <w:sz w:val="24"/>
          <w:szCs w:val="24"/>
          <w:lang w:val="en-AU"/>
        </w:rPr>
        <w:t>, such as the MRC, ACMECS</w:t>
      </w:r>
      <w:r w:rsidR="52D85A8E" w:rsidRPr="00DA776F">
        <w:rPr>
          <w:sz w:val="24"/>
          <w:szCs w:val="24"/>
          <w:lang w:val="en-AU"/>
        </w:rPr>
        <w:t xml:space="preserve"> </w:t>
      </w:r>
      <w:r w:rsidR="058BC2E2" w:rsidRPr="00DA776F">
        <w:rPr>
          <w:sz w:val="24"/>
          <w:szCs w:val="24"/>
          <w:lang w:val="en-AU"/>
        </w:rPr>
        <w:t>and the Initiative for ASEAN Integration.</w:t>
      </w:r>
      <w:r w:rsidR="44344358" w:rsidRPr="00DA776F">
        <w:rPr>
          <w:sz w:val="24"/>
          <w:szCs w:val="24"/>
          <w:lang w:val="en-AU"/>
        </w:rPr>
        <w:t xml:space="preserve"> </w:t>
      </w:r>
    </w:p>
    <w:p w14:paraId="5DB4FD54" w14:textId="39D0614A" w:rsidR="009A147B" w:rsidRPr="00DA776F" w:rsidRDefault="0DCDC6B7" w:rsidP="003816BF">
      <w:pPr>
        <w:rPr>
          <w:sz w:val="24"/>
          <w:szCs w:val="24"/>
          <w:lang w:val="en-AU"/>
        </w:rPr>
      </w:pPr>
      <w:r w:rsidRPr="00DA776F">
        <w:rPr>
          <w:sz w:val="24"/>
          <w:szCs w:val="24"/>
          <w:lang w:val="en-AU"/>
        </w:rPr>
        <w:t xml:space="preserve">Multi-country </w:t>
      </w:r>
      <w:r w:rsidR="56393E54" w:rsidRPr="00DA776F">
        <w:rPr>
          <w:sz w:val="24"/>
          <w:szCs w:val="24"/>
          <w:lang w:val="en-AU"/>
        </w:rPr>
        <w:t>investments</w:t>
      </w:r>
      <w:r w:rsidRPr="00DA776F">
        <w:rPr>
          <w:sz w:val="24"/>
          <w:szCs w:val="24"/>
          <w:lang w:val="en-AU"/>
        </w:rPr>
        <w:t xml:space="preserve"> will be managed by the Mekong Hub, or by a lead </w:t>
      </w:r>
      <w:r w:rsidR="21D31FD3" w:rsidRPr="00DA776F">
        <w:rPr>
          <w:sz w:val="24"/>
          <w:szCs w:val="24"/>
          <w:lang w:val="en-AU"/>
        </w:rPr>
        <w:t>Post</w:t>
      </w:r>
      <w:r w:rsidRPr="00DA776F">
        <w:rPr>
          <w:sz w:val="24"/>
          <w:szCs w:val="24"/>
          <w:lang w:val="en-AU"/>
        </w:rPr>
        <w:t xml:space="preserve"> where it makes sense to do so</w:t>
      </w:r>
      <w:r w:rsidR="6C56D729" w:rsidRPr="00DA776F">
        <w:rPr>
          <w:sz w:val="24"/>
          <w:szCs w:val="24"/>
          <w:lang w:val="en-AU"/>
        </w:rPr>
        <w:t xml:space="preserve"> (</w:t>
      </w:r>
      <w:r w:rsidR="00C7082D" w:rsidRPr="00DA776F">
        <w:rPr>
          <w:sz w:val="24"/>
          <w:szCs w:val="24"/>
          <w:lang w:val="en-AU"/>
        </w:rPr>
        <w:t>e</w:t>
      </w:r>
      <w:r w:rsidR="3206BBBF" w:rsidRPr="00DA776F">
        <w:rPr>
          <w:sz w:val="24"/>
          <w:szCs w:val="24"/>
          <w:lang w:val="en-AU"/>
        </w:rPr>
        <w:t>.</w:t>
      </w:r>
      <w:r w:rsidR="00C7082D" w:rsidRPr="00DA776F">
        <w:rPr>
          <w:sz w:val="24"/>
          <w:szCs w:val="24"/>
          <w:lang w:val="en-AU"/>
        </w:rPr>
        <w:t>g</w:t>
      </w:r>
      <w:r w:rsidR="29792CB3" w:rsidRPr="00DA776F">
        <w:rPr>
          <w:sz w:val="24"/>
          <w:szCs w:val="24"/>
          <w:lang w:val="en-AU"/>
        </w:rPr>
        <w:t>.</w:t>
      </w:r>
      <w:r w:rsidR="00C7082D" w:rsidRPr="00DA776F">
        <w:rPr>
          <w:sz w:val="24"/>
          <w:szCs w:val="24"/>
          <w:lang w:val="en-AU"/>
        </w:rPr>
        <w:t xml:space="preserve"> </w:t>
      </w:r>
      <w:r w:rsidRPr="00DA776F">
        <w:rPr>
          <w:sz w:val="24"/>
          <w:szCs w:val="24"/>
          <w:lang w:val="en-AU"/>
        </w:rPr>
        <w:t xml:space="preserve">Vientiane </w:t>
      </w:r>
      <w:r w:rsidR="21D31FD3" w:rsidRPr="00DA776F">
        <w:rPr>
          <w:sz w:val="24"/>
          <w:szCs w:val="24"/>
          <w:lang w:val="en-AU"/>
        </w:rPr>
        <w:t>Post</w:t>
      </w:r>
      <w:r w:rsidRPr="00DA776F">
        <w:rPr>
          <w:sz w:val="24"/>
          <w:szCs w:val="24"/>
          <w:lang w:val="en-AU"/>
        </w:rPr>
        <w:t xml:space="preserve"> continuing to lead on the partnership with the MRC</w:t>
      </w:r>
      <w:r w:rsidR="6C56D729" w:rsidRPr="00DA776F">
        <w:rPr>
          <w:sz w:val="24"/>
          <w:szCs w:val="24"/>
          <w:lang w:val="en-AU"/>
        </w:rPr>
        <w:t>), and a</w:t>
      </w:r>
      <w:r w:rsidR="56393E54" w:rsidRPr="00DA776F">
        <w:rPr>
          <w:sz w:val="24"/>
          <w:szCs w:val="24"/>
          <w:lang w:val="en-AU"/>
        </w:rPr>
        <w:t>chievements will be reported through the S</w:t>
      </w:r>
      <w:r w:rsidRPr="00DA776F">
        <w:rPr>
          <w:sz w:val="24"/>
          <w:szCs w:val="24"/>
          <w:lang w:val="en-AU"/>
        </w:rPr>
        <w:t xml:space="preserve">outheast Asia </w:t>
      </w:r>
      <w:r w:rsidR="00BE660E">
        <w:rPr>
          <w:sz w:val="24"/>
          <w:szCs w:val="24"/>
          <w:lang w:val="en-AU"/>
        </w:rPr>
        <w:t xml:space="preserve">Regional </w:t>
      </w:r>
      <w:r w:rsidR="56393E54" w:rsidRPr="00DA776F">
        <w:rPr>
          <w:sz w:val="24"/>
          <w:szCs w:val="24"/>
          <w:lang w:val="en-AU"/>
        </w:rPr>
        <w:t>DPP reporting process</w:t>
      </w:r>
      <w:r w:rsidR="1997D1FB" w:rsidRPr="00DA776F">
        <w:rPr>
          <w:sz w:val="24"/>
          <w:szCs w:val="24"/>
          <w:lang w:val="en-AU"/>
        </w:rPr>
        <w:t xml:space="preserve"> and other </w:t>
      </w:r>
      <w:r w:rsidR="56B5E1A9" w:rsidRPr="00DA776F">
        <w:rPr>
          <w:sz w:val="24"/>
          <w:szCs w:val="24"/>
          <w:lang w:val="en-AU"/>
        </w:rPr>
        <w:t xml:space="preserve">internal DFAT </w:t>
      </w:r>
      <w:r w:rsidR="3DEEA566" w:rsidRPr="00DA776F">
        <w:rPr>
          <w:sz w:val="24"/>
          <w:szCs w:val="24"/>
          <w:lang w:val="en-AU"/>
        </w:rPr>
        <w:t xml:space="preserve">reporting </w:t>
      </w:r>
      <w:r w:rsidR="1997D1FB" w:rsidRPr="00DA776F">
        <w:rPr>
          <w:sz w:val="24"/>
          <w:szCs w:val="24"/>
          <w:lang w:val="en-AU"/>
        </w:rPr>
        <w:t>mechanism</w:t>
      </w:r>
      <w:r w:rsidR="1ADCE1DE" w:rsidRPr="00DA776F">
        <w:rPr>
          <w:sz w:val="24"/>
          <w:szCs w:val="24"/>
          <w:lang w:val="en-AU"/>
        </w:rPr>
        <w:t>s</w:t>
      </w:r>
      <w:r w:rsidR="1997D1FB" w:rsidRPr="00DA776F">
        <w:rPr>
          <w:sz w:val="24"/>
          <w:szCs w:val="24"/>
          <w:lang w:val="en-AU"/>
        </w:rPr>
        <w:t xml:space="preserve"> where appropriate</w:t>
      </w:r>
      <w:r w:rsidR="56393E54" w:rsidRPr="00DA776F">
        <w:rPr>
          <w:sz w:val="24"/>
          <w:szCs w:val="24"/>
          <w:lang w:val="en-AU"/>
        </w:rPr>
        <w:t xml:space="preserve">. </w:t>
      </w:r>
    </w:p>
    <w:p w14:paraId="302C8F4B" w14:textId="4A96965D" w:rsidR="008B3192" w:rsidRPr="002962AC" w:rsidRDefault="008B3192" w:rsidP="003816BF">
      <w:pPr>
        <w:rPr>
          <w:sz w:val="24"/>
          <w:szCs w:val="24"/>
          <w:lang w:val="en-AU"/>
        </w:rPr>
      </w:pPr>
      <w:r w:rsidRPr="002962AC">
        <w:rPr>
          <w:sz w:val="24"/>
          <w:szCs w:val="24"/>
          <w:lang w:val="en-AU"/>
        </w:rPr>
        <w:t xml:space="preserve">Subject to Steering Committee and HOM agreement, </w:t>
      </w:r>
      <w:r w:rsidR="007839AA" w:rsidRPr="002962AC">
        <w:rPr>
          <w:sz w:val="24"/>
          <w:szCs w:val="24"/>
          <w:lang w:val="en-AU"/>
        </w:rPr>
        <w:t xml:space="preserve">MAP </w:t>
      </w:r>
      <w:r w:rsidR="001A6D56" w:rsidRPr="002962AC">
        <w:rPr>
          <w:sz w:val="24"/>
          <w:szCs w:val="24"/>
          <w:lang w:val="en-AU"/>
        </w:rPr>
        <w:t xml:space="preserve">Phase 2 </w:t>
      </w:r>
      <w:r w:rsidR="007839AA" w:rsidRPr="002962AC">
        <w:rPr>
          <w:sz w:val="24"/>
          <w:szCs w:val="24"/>
          <w:lang w:val="en-AU"/>
        </w:rPr>
        <w:t xml:space="preserve">will </w:t>
      </w:r>
      <w:r w:rsidR="001A6D56" w:rsidRPr="002962AC">
        <w:rPr>
          <w:sz w:val="24"/>
          <w:szCs w:val="24"/>
          <w:lang w:val="en-AU"/>
        </w:rPr>
        <w:t xml:space="preserve">include </w:t>
      </w:r>
      <w:r w:rsidR="005D3599" w:rsidRPr="0000253E">
        <w:rPr>
          <w:sz w:val="24"/>
          <w:szCs w:val="24"/>
          <w:lang w:val="en-AU"/>
        </w:rPr>
        <w:t>some</w:t>
      </w:r>
      <w:r w:rsidR="007839AA" w:rsidRPr="002962AC">
        <w:rPr>
          <w:sz w:val="24"/>
          <w:szCs w:val="24"/>
          <w:lang w:val="en-AU"/>
        </w:rPr>
        <w:t xml:space="preserve"> bilateral allocation</w:t>
      </w:r>
      <w:r w:rsidR="005D3599" w:rsidRPr="0000253E">
        <w:rPr>
          <w:sz w:val="24"/>
          <w:szCs w:val="24"/>
          <w:lang w:val="en-AU"/>
        </w:rPr>
        <w:t>s</w:t>
      </w:r>
      <w:r w:rsidR="007839AA" w:rsidRPr="002962AC">
        <w:rPr>
          <w:sz w:val="24"/>
          <w:szCs w:val="24"/>
          <w:lang w:val="en-AU"/>
        </w:rPr>
        <w:t xml:space="preserve"> </w:t>
      </w:r>
      <w:r w:rsidR="003A261E" w:rsidRPr="002962AC">
        <w:rPr>
          <w:sz w:val="24"/>
          <w:szCs w:val="24"/>
          <w:lang w:val="en-AU"/>
        </w:rPr>
        <w:t xml:space="preserve">for bilateral activities that are strategically aligned with this design and Australia’s Mekong subregion </w:t>
      </w:r>
      <w:r w:rsidR="00A669AE" w:rsidRPr="002962AC">
        <w:rPr>
          <w:sz w:val="24"/>
          <w:szCs w:val="24"/>
          <w:lang w:val="en-AU"/>
        </w:rPr>
        <w:t>st</w:t>
      </w:r>
      <w:r w:rsidR="007043D8" w:rsidRPr="002962AC">
        <w:rPr>
          <w:sz w:val="24"/>
          <w:szCs w:val="24"/>
          <w:lang w:val="en-AU"/>
        </w:rPr>
        <w:t xml:space="preserve">rategic priorities. </w:t>
      </w:r>
      <w:r w:rsidR="00973CDE" w:rsidRPr="002962AC">
        <w:rPr>
          <w:sz w:val="24"/>
          <w:szCs w:val="24"/>
          <w:lang w:val="en-AU"/>
        </w:rPr>
        <w:t xml:space="preserve">This also aligns with DFAT’s </w:t>
      </w:r>
      <w:r w:rsidR="003C2C97">
        <w:rPr>
          <w:sz w:val="24"/>
          <w:szCs w:val="24"/>
          <w:lang w:val="en-AU"/>
        </w:rPr>
        <w:t>p</w:t>
      </w:r>
      <w:r w:rsidR="00466B1E" w:rsidRPr="0000253E">
        <w:rPr>
          <w:sz w:val="24"/>
          <w:szCs w:val="24"/>
          <w:lang w:val="en-AU"/>
        </w:rPr>
        <w:t xml:space="preserve">rinciples for </w:t>
      </w:r>
      <w:r w:rsidR="003C2C97">
        <w:rPr>
          <w:sz w:val="24"/>
          <w:szCs w:val="24"/>
          <w:lang w:val="en-AU"/>
        </w:rPr>
        <w:t>r</w:t>
      </w:r>
      <w:r w:rsidR="00466B1E" w:rsidRPr="0000253E">
        <w:rPr>
          <w:sz w:val="24"/>
          <w:szCs w:val="24"/>
          <w:lang w:val="en-AU"/>
        </w:rPr>
        <w:t xml:space="preserve">egional and </w:t>
      </w:r>
      <w:r w:rsidR="003C2C97">
        <w:rPr>
          <w:sz w:val="24"/>
          <w:szCs w:val="24"/>
          <w:lang w:val="en-AU"/>
        </w:rPr>
        <w:t>g</w:t>
      </w:r>
      <w:r w:rsidR="00466B1E" w:rsidRPr="0000253E">
        <w:rPr>
          <w:sz w:val="24"/>
          <w:szCs w:val="24"/>
          <w:lang w:val="en-AU"/>
        </w:rPr>
        <w:t xml:space="preserve">lobal </w:t>
      </w:r>
      <w:r w:rsidR="003C2C97">
        <w:rPr>
          <w:sz w:val="24"/>
          <w:szCs w:val="24"/>
          <w:lang w:val="en-AU"/>
        </w:rPr>
        <w:lastRenderedPageBreak/>
        <w:t>p</w:t>
      </w:r>
      <w:r w:rsidR="00466B1E" w:rsidRPr="0000253E">
        <w:rPr>
          <w:sz w:val="24"/>
          <w:szCs w:val="24"/>
          <w:lang w:val="en-AU"/>
        </w:rPr>
        <w:t>rogramming</w:t>
      </w:r>
      <w:r w:rsidR="00005C31" w:rsidRPr="002962AC">
        <w:rPr>
          <w:sz w:val="24"/>
          <w:szCs w:val="24"/>
          <w:lang w:val="en-AU"/>
        </w:rPr>
        <w:t xml:space="preserve"> which give priority in regional funding allocations to activities aligned with bi</w:t>
      </w:r>
      <w:r w:rsidR="00E3317D" w:rsidRPr="002962AC">
        <w:rPr>
          <w:sz w:val="24"/>
          <w:szCs w:val="24"/>
          <w:lang w:val="en-AU"/>
        </w:rPr>
        <w:t>lateral priorities.</w:t>
      </w:r>
      <w:r w:rsidR="00973CDE" w:rsidRPr="002962AC">
        <w:rPr>
          <w:sz w:val="24"/>
          <w:szCs w:val="24"/>
          <w:lang w:val="en-AU"/>
        </w:rPr>
        <w:t xml:space="preserve"> </w:t>
      </w:r>
    </w:p>
    <w:p w14:paraId="2A944876" w14:textId="58DF94D5" w:rsidR="00E41256" w:rsidRPr="002962AC" w:rsidRDefault="00E41256" w:rsidP="00E41256">
      <w:pPr>
        <w:pStyle w:val="Heading3Numbered"/>
        <w:rPr>
          <w:lang w:val="en-AU"/>
        </w:rPr>
      </w:pPr>
      <w:r w:rsidRPr="002962AC">
        <w:rPr>
          <w:lang w:val="en-AU"/>
        </w:rPr>
        <w:t xml:space="preserve">Leveraging other DFAT investments </w:t>
      </w:r>
    </w:p>
    <w:p w14:paraId="789D2F4B" w14:textId="4EF3BA9E" w:rsidR="001C1332" w:rsidRPr="00DA776F" w:rsidRDefault="023A4710" w:rsidP="001C1332">
      <w:pPr>
        <w:rPr>
          <w:sz w:val="24"/>
          <w:szCs w:val="24"/>
          <w:lang w:val="en-AU"/>
        </w:rPr>
      </w:pPr>
      <w:r w:rsidRPr="00DA776F">
        <w:rPr>
          <w:sz w:val="24"/>
          <w:szCs w:val="24"/>
          <w:lang w:val="en-AU"/>
        </w:rPr>
        <w:t>MAP Phase 2 participates in an ecosystem of other DFAT-funded investments that are active in the Mekong subregion</w:t>
      </w:r>
      <w:r w:rsidR="55C3C717" w:rsidRPr="00DA776F">
        <w:rPr>
          <w:sz w:val="24"/>
          <w:szCs w:val="24"/>
          <w:lang w:val="en-AU"/>
        </w:rPr>
        <w:t xml:space="preserve"> and wider Southeast Asia</w:t>
      </w:r>
      <w:r w:rsidR="0EC72168" w:rsidRPr="00DA776F">
        <w:rPr>
          <w:sz w:val="24"/>
          <w:szCs w:val="24"/>
          <w:lang w:val="en-AU"/>
        </w:rPr>
        <w:t>.</w:t>
      </w:r>
      <w:r w:rsidRPr="00DA776F">
        <w:rPr>
          <w:sz w:val="24"/>
          <w:szCs w:val="24"/>
          <w:lang w:val="en-AU"/>
        </w:rPr>
        <w:t xml:space="preserve"> This includes a range of regional and global investments with their own program logic, modalities</w:t>
      </w:r>
      <w:r w:rsidR="5BDD6FE7" w:rsidRPr="00DA776F">
        <w:rPr>
          <w:sz w:val="24"/>
          <w:szCs w:val="24"/>
          <w:lang w:val="en-AU"/>
        </w:rPr>
        <w:t>,</w:t>
      </w:r>
      <w:r w:rsidRPr="00DA776F">
        <w:rPr>
          <w:sz w:val="24"/>
          <w:szCs w:val="24"/>
          <w:lang w:val="en-AU"/>
        </w:rPr>
        <w:t xml:space="preserve"> governance</w:t>
      </w:r>
      <w:r w:rsidR="5BDD6FE7" w:rsidRPr="00DA776F">
        <w:rPr>
          <w:sz w:val="24"/>
          <w:szCs w:val="24"/>
          <w:lang w:val="en-AU"/>
        </w:rPr>
        <w:t>,</w:t>
      </w:r>
      <w:r w:rsidRPr="00DA776F">
        <w:rPr>
          <w:sz w:val="24"/>
          <w:szCs w:val="24"/>
          <w:lang w:val="en-AU"/>
        </w:rPr>
        <w:t xml:space="preserve"> management</w:t>
      </w:r>
      <w:r w:rsidR="5BDD6FE7" w:rsidRPr="00DA776F">
        <w:rPr>
          <w:sz w:val="24"/>
          <w:szCs w:val="24"/>
          <w:lang w:val="en-AU"/>
        </w:rPr>
        <w:t>, MEL and reporting arrangements</w:t>
      </w:r>
      <w:r w:rsidRPr="00DA776F">
        <w:rPr>
          <w:sz w:val="24"/>
          <w:szCs w:val="24"/>
          <w:lang w:val="en-AU"/>
        </w:rPr>
        <w:t xml:space="preserve">. To maximise efficiency, MAP Phase 2 will be delivered in a complementary </w:t>
      </w:r>
      <w:r w:rsidR="5BDD6FE7" w:rsidRPr="00DA776F">
        <w:rPr>
          <w:sz w:val="24"/>
          <w:szCs w:val="24"/>
          <w:lang w:val="en-AU"/>
        </w:rPr>
        <w:t xml:space="preserve">manner, and where relevant, may </w:t>
      </w:r>
      <w:r w:rsidR="40B88C6A" w:rsidRPr="00DA776F">
        <w:rPr>
          <w:sz w:val="24"/>
          <w:szCs w:val="24"/>
          <w:lang w:val="en-AU"/>
        </w:rPr>
        <w:t xml:space="preserve">co-invest with or </w:t>
      </w:r>
      <w:r w:rsidR="5BDD6FE7" w:rsidRPr="00DA776F">
        <w:rPr>
          <w:sz w:val="24"/>
          <w:szCs w:val="24"/>
          <w:lang w:val="en-AU"/>
        </w:rPr>
        <w:t>contribute funds to investments such as</w:t>
      </w:r>
      <w:r w:rsidRPr="00DA776F">
        <w:rPr>
          <w:sz w:val="24"/>
          <w:szCs w:val="24"/>
          <w:lang w:val="en-AU"/>
        </w:rPr>
        <w:t>:</w:t>
      </w:r>
    </w:p>
    <w:p w14:paraId="588D8F33" w14:textId="0508495A" w:rsidR="0025286E" w:rsidRPr="00DA776F" w:rsidRDefault="00E41256" w:rsidP="002E677B">
      <w:pPr>
        <w:pStyle w:val="ListParagraph"/>
        <w:numPr>
          <w:ilvl w:val="0"/>
          <w:numId w:val="57"/>
        </w:numPr>
        <w:rPr>
          <w:sz w:val="24"/>
          <w:szCs w:val="24"/>
          <w:lang w:val="en-AU" w:eastAsia="en-AU"/>
        </w:rPr>
      </w:pPr>
      <w:r w:rsidRPr="00DA776F">
        <w:rPr>
          <w:b/>
          <w:bCs/>
          <w:sz w:val="24"/>
          <w:szCs w:val="24"/>
          <w:lang w:val="en-AU"/>
        </w:rPr>
        <w:t>Australian Water Partnership</w:t>
      </w:r>
      <w:r w:rsidR="0046402D" w:rsidRPr="00DA776F">
        <w:rPr>
          <w:sz w:val="24"/>
          <w:szCs w:val="24"/>
          <w:lang w:val="en-AU"/>
        </w:rPr>
        <w:t xml:space="preserve"> </w:t>
      </w:r>
      <w:r w:rsidR="0025286E" w:rsidRPr="00DA776F">
        <w:rPr>
          <w:sz w:val="24"/>
          <w:szCs w:val="24"/>
          <w:lang w:val="en-AU"/>
        </w:rPr>
        <w:t xml:space="preserve">(AWP) </w:t>
      </w:r>
      <w:r w:rsidR="0046402D" w:rsidRPr="00DA776F">
        <w:rPr>
          <w:sz w:val="24"/>
          <w:szCs w:val="24"/>
          <w:lang w:val="en-AU"/>
        </w:rPr>
        <w:t xml:space="preserve">is a global program that </w:t>
      </w:r>
      <w:r w:rsidR="0025286E" w:rsidRPr="00DA776F">
        <w:rPr>
          <w:sz w:val="24"/>
          <w:szCs w:val="24"/>
          <w:lang w:val="en-AU"/>
        </w:rPr>
        <w:t xml:space="preserve">draws on Australian expertise to respond to </w:t>
      </w:r>
      <w:r w:rsidR="00A4708A" w:rsidRPr="00DA776F">
        <w:rPr>
          <w:sz w:val="24"/>
          <w:szCs w:val="24"/>
          <w:lang w:val="en-AU"/>
        </w:rPr>
        <w:t xml:space="preserve">in-country partner </w:t>
      </w:r>
      <w:r w:rsidR="0025286E" w:rsidRPr="00DA776F">
        <w:rPr>
          <w:sz w:val="24"/>
          <w:szCs w:val="24"/>
          <w:lang w:val="en-AU"/>
        </w:rPr>
        <w:t>requests for assistance in areas related to managing water scarcity and security</w:t>
      </w:r>
      <w:r w:rsidR="0046402D" w:rsidRPr="00DA776F">
        <w:rPr>
          <w:sz w:val="24"/>
          <w:szCs w:val="24"/>
          <w:lang w:val="en-AU" w:eastAsia="en-AU"/>
        </w:rPr>
        <w:t xml:space="preserve">. </w:t>
      </w:r>
    </w:p>
    <w:p w14:paraId="4BEB3999" w14:textId="7A1020BD" w:rsidR="00A4708A" w:rsidRPr="00DA776F" w:rsidRDefault="00E41256" w:rsidP="002E677B">
      <w:pPr>
        <w:pStyle w:val="ListParagraph"/>
        <w:numPr>
          <w:ilvl w:val="0"/>
          <w:numId w:val="57"/>
        </w:numPr>
        <w:rPr>
          <w:sz w:val="24"/>
          <w:szCs w:val="24"/>
          <w:lang w:val="en-AU" w:eastAsia="en-AU"/>
        </w:rPr>
      </w:pPr>
      <w:r w:rsidRPr="00DA776F">
        <w:rPr>
          <w:b/>
          <w:bCs/>
          <w:sz w:val="24"/>
          <w:szCs w:val="24"/>
          <w:lang w:val="en-AU" w:eastAsia="en-AU"/>
        </w:rPr>
        <w:t>Climate Resilient Communities</w:t>
      </w:r>
      <w:r w:rsidRPr="00DA776F">
        <w:rPr>
          <w:sz w:val="24"/>
          <w:szCs w:val="24"/>
          <w:lang w:val="en-AU" w:eastAsia="en-AU"/>
        </w:rPr>
        <w:t xml:space="preserve"> </w:t>
      </w:r>
      <w:r w:rsidR="00A4708A" w:rsidRPr="00DA776F">
        <w:rPr>
          <w:sz w:val="24"/>
          <w:szCs w:val="24"/>
          <w:lang w:val="en-AU" w:eastAsia="en-AU"/>
        </w:rPr>
        <w:t xml:space="preserve">(CRC) is a new Indo-Pacific wide investment focused on addressing the systemic barriers and reform needed to drive progress towards climate-resilient water, </w:t>
      </w:r>
      <w:r w:rsidR="00535B5E" w:rsidRPr="00DA776F">
        <w:rPr>
          <w:sz w:val="24"/>
          <w:szCs w:val="24"/>
          <w:lang w:val="en-AU" w:eastAsia="en-AU"/>
        </w:rPr>
        <w:t>food,</w:t>
      </w:r>
      <w:r w:rsidR="00A4708A" w:rsidRPr="00DA776F">
        <w:rPr>
          <w:sz w:val="24"/>
          <w:szCs w:val="24"/>
          <w:lang w:val="en-AU" w:eastAsia="en-AU"/>
        </w:rPr>
        <w:t xml:space="preserve"> and energy systems to positively affect communities, </w:t>
      </w:r>
      <w:r w:rsidR="00535B5E" w:rsidRPr="00DA776F">
        <w:rPr>
          <w:sz w:val="24"/>
          <w:szCs w:val="24"/>
          <w:lang w:val="en-AU" w:eastAsia="en-AU"/>
        </w:rPr>
        <w:t>businesses</w:t>
      </w:r>
      <w:r w:rsidR="00A4708A" w:rsidRPr="00DA776F">
        <w:rPr>
          <w:sz w:val="24"/>
          <w:szCs w:val="24"/>
          <w:lang w:val="en-AU" w:eastAsia="en-AU"/>
        </w:rPr>
        <w:t xml:space="preserve"> and economies. It support</w:t>
      </w:r>
      <w:r w:rsidR="00535B5E" w:rsidRPr="00DA776F">
        <w:rPr>
          <w:sz w:val="24"/>
          <w:szCs w:val="24"/>
          <w:lang w:val="en-AU" w:eastAsia="en-AU"/>
        </w:rPr>
        <w:t>s</w:t>
      </w:r>
      <w:r w:rsidR="00A4708A" w:rsidRPr="00DA776F">
        <w:rPr>
          <w:sz w:val="24"/>
          <w:szCs w:val="24"/>
          <w:lang w:val="en-AU" w:eastAsia="en-AU"/>
        </w:rPr>
        <w:t xml:space="preserve"> local solutions</w:t>
      </w:r>
      <w:r w:rsidR="00535B5E" w:rsidRPr="00DA776F">
        <w:rPr>
          <w:sz w:val="24"/>
          <w:szCs w:val="24"/>
          <w:lang w:val="en-AU" w:eastAsia="en-AU"/>
        </w:rPr>
        <w:t xml:space="preserve"> and</w:t>
      </w:r>
      <w:r w:rsidR="00A4708A" w:rsidRPr="00DA776F">
        <w:rPr>
          <w:sz w:val="24"/>
          <w:szCs w:val="24"/>
          <w:lang w:val="en-AU" w:eastAsia="en-AU"/>
        </w:rPr>
        <w:t xml:space="preserve"> local engagement and leadership to drive policy, regulatory and institutional reform</w:t>
      </w:r>
      <w:r w:rsidR="00535B5E" w:rsidRPr="00DA776F">
        <w:rPr>
          <w:sz w:val="24"/>
          <w:szCs w:val="24"/>
          <w:lang w:val="en-AU" w:eastAsia="en-AU"/>
        </w:rPr>
        <w:t xml:space="preserve">. </w:t>
      </w:r>
    </w:p>
    <w:p w14:paraId="7FC56AB5" w14:textId="57C4E214" w:rsidR="00E41256" w:rsidRPr="00DA776F" w:rsidRDefault="00E41256" w:rsidP="002E677B">
      <w:pPr>
        <w:pStyle w:val="ListParagraph"/>
        <w:numPr>
          <w:ilvl w:val="0"/>
          <w:numId w:val="57"/>
        </w:numPr>
        <w:rPr>
          <w:sz w:val="24"/>
          <w:szCs w:val="24"/>
          <w:lang w:val="en-AU" w:eastAsia="en-AU"/>
        </w:rPr>
      </w:pPr>
      <w:r w:rsidRPr="00DA776F">
        <w:rPr>
          <w:b/>
          <w:bCs/>
          <w:sz w:val="24"/>
          <w:szCs w:val="24"/>
          <w:lang w:val="en-AU" w:eastAsia="en-AU"/>
        </w:rPr>
        <w:t>S</w:t>
      </w:r>
      <w:r w:rsidR="00535B5E" w:rsidRPr="00DA776F">
        <w:rPr>
          <w:b/>
          <w:bCs/>
          <w:sz w:val="24"/>
          <w:szCs w:val="24"/>
          <w:lang w:val="en-AU" w:eastAsia="en-AU"/>
        </w:rPr>
        <w:t xml:space="preserve">outheast Asia </w:t>
      </w:r>
      <w:r w:rsidRPr="00DA776F">
        <w:rPr>
          <w:b/>
          <w:bCs/>
          <w:sz w:val="24"/>
          <w:szCs w:val="24"/>
          <w:lang w:val="en-AU" w:eastAsia="en-AU"/>
        </w:rPr>
        <w:t>Government-to-Government</w:t>
      </w:r>
      <w:r w:rsidR="002254EA" w:rsidRPr="00DA776F">
        <w:rPr>
          <w:b/>
          <w:bCs/>
          <w:sz w:val="24"/>
          <w:szCs w:val="24"/>
          <w:lang w:val="en-AU" w:eastAsia="en-AU"/>
        </w:rPr>
        <w:t xml:space="preserve"> (G2G)</w:t>
      </w:r>
      <w:r w:rsidR="00535B5E" w:rsidRPr="00DA776F">
        <w:rPr>
          <w:sz w:val="24"/>
          <w:szCs w:val="24"/>
          <w:lang w:val="en-AU" w:eastAsia="en-AU"/>
        </w:rPr>
        <w:t xml:space="preserve"> program will provide multi-year funding and support to select Australian Government Agencies to engage with their counterparts across Southeast Asia. Some thematic priorities align with MAP such as c</w:t>
      </w:r>
      <w:r w:rsidRPr="00DA776F">
        <w:rPr>
          <w:sz w:val="24"/>
          <w:szCs w:val="24"/>
          <w:lang w:val="en-AU" w:eastAsia="en-AU"/>
        </w:rPr>
        <w:t xml:space="preserve">limate </w:t>
      </w:r>
      <w:r w:rsidR="00535B5E" w:rsidRPr="00DA776F">
        <w:rPr>
          <w:sz w:val="24"/>
          <w:szCs w:val="24"/>
          <w:lang w:val="en-AU" w:eastAsia="en-AU"/>
        </w:rPr>
        <w:t>resilience, food security and agriculture; and e</w:t>
      </w:r>
      <w:r w:rsidRPr="00DA776F">
        <w:rPr>
          <w:sz w:val="24"/>
          <w:szCs w:val="24"/>
          <w:lang w:val="en-AU" w:eastAsia="en-AU"/>
        </w:rPr>
        <w:t>quitable and inclusive public institutions includ</w:t>
      </w:r>
      <w:r w:rsidR="00535B5E" w:rsidRPr="00DA776F">
        <w:rPr>
          <w:sz w:val="24"/>
          <w:szCs w:val="24"/>
          <w:lang w:val="en-AU" w:eastAsia="en-AU"/>
        </w:rPr>
        <w:t xml:space="preserve">ing for </w:t>
      </w:r>
      <w:r w:rsidRPr="00DA776F">
        <w:rPr>
          <w:sz w:val="24"/>
          <w:szCs w:val="24"/>
          <w:lang w:val="en-AU" w:eastAsia="en-AU"/>
        </w:rPr>
        <w:t>economic governance</w:t>
      </w:r>
      <w:r w:rsidR="00535B5E" w:rsidRPr="00DA776F">
        <w:rPr>
          <w:sz w:val="24"/>
          <w:szCs w:val="24"/>
          <w:lang w:val="en-AU" w:eastAsia="en-AU"/>
        </w:rPr>
        <w:t>.</w:t>
      </w:r>
      <w:r w:rsidR="003771AD" w:rsidRPr="00DA776F">
        <w:rPr>
          <w:sz w:val="24"/>
          <w:szCs w:val="24"/>
          <w:lang w:val="en-AU" w:eastAsia="en-AU"/>
        </w:rPr>
        <w:t xml:space="preserve"> </w:t>
      </w:r>
      <w:r w:rsidR="002254EA" w:rsidRPr="00DA776F">
        <w:rPr>
          <w:sz w:val="24"/>
          <w:szCs w:val="24"/>
          <w:lang w:val="en-AU" w:eastAsia="en-AU"/>
        </w:rPr>
        <w:t xml:space="preserve">Where </w:t>
      </w:r>
      <w:r w:rsidR="00323C93" w:rsidRPr="00DA776F">
        <w:rPr>
          <w:sz w:val="24"/>
          <w:szCs w:val="24"/>
          <w:lang w:val="en-AU" w:eastAsia="en-AU"/>
        </w:rPr>
        <w:t xml:space="preserve">appropriate, MAP </w:t>
      </w:r>
      <w:r w:rsidR="005A2DB8">
        <w:rPr>
          <w:sz w:val="24"/>
          <w:szCs w:val="24"/>
          <w:lang w:val="en-AU" w:eastAsia="en-AU"/>
        </w:rPr>
        <w:t>may</w:t>
      </w:r>
      <w:r w:rsidR="005A2DB8" w:rsidRPr="00DA776F">
        <w:rPr>
          <w:sz w:val="24"/>
          <w:szCs w:val="24"/>
          <w:lang w:val="en-AU" w:eastAsia="en-AU"/>
        </w:rPr>
        <w:t xml:space="preserve"> </w:t>
      </w:r>
      <w:r w:rsidR="00323C93" w:rsidRPr="00DA776F">
        <w:rPr>
          <w:sz w:val="24"/>
          <w:szCs w:val="24"/>
          <w:lang w:val="en-AU" w:eastAsia="en-AU"/>
        </w:rPr>
        <w:t>utilise</w:t>
      </w:r>
      <w:r w:rsidR="00535B5E" w:rsidRPr="00DA776F">
        <w:rPr>
          <w:sz w:val="24"/>
          <w:szCs w:val="24"/>
          <w:lang w:val="en-AU" w:eastAsia="en-AU"/>
        </w:rPr>
        <w:t xml:space="preserve"> </w:t>
      </w:r>
      <w:r w:rsidR="00323C93" w:rsidRPr="00DA776F">
        <w:rPr>
          <w:sz w:val="24"/>
          <w:szCs w:val="24"/>
          <w:lang w:val="en-AU" w:eastAsia="en-AU"/>
        </w:rPr>
        <w:t xml:space="preserve">and provide funding through </w:t>
      </w:r>
      <w:r w:rsidR="00535B5E" w:rsidRPr="00DA776F">
        <w:rPr>
          <w:sz w:val="24"/>
          <w:szCs w:val="24"/>
          <w:lang w:val="en-AU" w:eastAsia="en-AU"/>
        </w:rPr>
        <w:t xml:space="preserve">this facility to extend and deepen </w:t>
      </w:r>
      <w:r w:rsidR="00323C93" w:rsidRPr="00DA776F">
        <w:rPr>
          <w:sz w:val="24"/>
          <w:szCs w:val="24"/>
          <w:lang w:val="en-AU" w:eastAsia="en-AU"/>
        </w:rPr>
        <w:t xml:space="preserve">G2G </w:t>
      </w:r>
      <w:r w:rsidR="00535B5E" w:rsidRPr="00DA776F">
        <w:rPr>
          <w:sz w:val="24"/>
          <w:szCs w:val="24"/>
          <w:lang w:val="en-AU" w:eastAsia="en-AU"/>
        </w:rPr>
        <w:t xml:space="preserve">partnerships with Mekong countries. </w:t>
      </w:r>
      <w:r w:rsidR="00C36C09" w:rsidRPr="00DA776F">
        <w:rPr>
          <w:sz w:val="24"/>
          <w:szCs w:val="24"/>
          <w:lang w:val="en-AU" w:eastAsia="en-AU"/>
        </w:rPr>
        <w:t xml:space="preserve">This includes where an Australian agency has policy leadership and expertise in a relevant theme but does not necessarily have the capacity or resources to engage with Mekong counterparts. The G2G mechanism (with MAP funding) would </w:t>
      </w:r>
      <w:r w:rsidR="00357BD3" w:rsidRPr="00DA776F">
        <w:rPr>
          <w:sz w:val="24"/>
          <w:szCs w:val="24"/>
          <w:lang w:val="en-AU" w:eastAsia="en-AU"/>
        </w:rPr>
        <w:t>help to bridge this gap.</w:t>
      </w:r>
    </w:p>
    <w:p w14:paraId="0684E820" w14:textId="55EF013C" w:rsidR="00535B5E" w:rsidRPr="00DA776F" w:rsidRDefault="00535B5E" w:rsidP="002E677B">
      <w:pPr>
        <w:pStyle w:val="ListParagraph"/>
        <w:numPr>
          <w:ilvl w:val="0"/>
          <w:numId w:val="57"/>
        </w:numPr>
        <w:rPr>
          <w:sz w:val="24"/>
          <w:szCs w:val="24"/>
          <w:lang w:val="en-AU" w:eastAsia="en-AU"/>
        </w:rPr>
      </w:pPr>
      <w:r w:rsidRPr="00DA776F">
        <w:rPr>
          <w:b/>
          <w:bCs/>
          <w:sz w:val="24"/>
          <w:szCs w:val="24"/>
          <w:lang w:val="en-AU" w:eastAsia="en-AU"/>
        </w:rPr>
        <w:t>Partnership</w:t>
      </w:r>
      <w:r w:rsidR="00AB68DE" w:rsidRPr="00DA776F">
        <w:rPr>
          <w:b/>
          <w:bCs/>
          <w:sz w:val="24"/>
          <w:szCs w:val="24"/>
          <w:lang w:val="en-AU" w:eastAsia="en-AU"/>
        </w:rPr>
        <w:t>s</w:t>
      </w:r>
      <w:r w:rsidRPr="00DA776F">
        <w:rPr>
          <w:b/>
          <w:bCs/>
          <w:sz w:val="24"/>
          <w:szCs w:val="24"/>
          <w:lang w:val="en-AU" w:eastAsia="en-AU"/>
        </w:rPr>
        <w:t xml:space="preserve"> for Infrastructure (P4I) </w:t>
      </w:r>
      <w:r w:rsidR="00AB68DE" w:rsidRPr="00DA776F">
        <w:rPr>
          <w:sz w:val="24"/>
          <w:szCs w:val="24"/>
          <w:lang w:val="en-AU" w:eastAsia="en-AU"/>
        </w:rPr>
        <w:t>provides flexible, innovative services tailored to the distinct needs of Southeast Asian governments and ASEAN to foster inclusive growth through sustainable infrastructure. Coordination and possible collaboration with P4I could be considered to enhance investments in Mekong countries, particularly on climate related energy transition.</w:t>
      </w:r>
    </w:p>
    <w:p w14:paraId="067D5490" w14:textId="16B30E94" w:rsidR="00462485" w:rsidRPr="00DA776F" w:rsidRDefault="00AB68DE" w:rsidP="002E677B">
      <w:pPr>
        <w:pStyle w:val="ListParagraph"/>
        <w:numPr>
          <w:ilvl w:val="0"/>
          <w:numId w:val="57"/>
        </w:numPr>
        <w:rPr>
          <w:sz w:val="24"/>
          <w:szCs w:val="24"/>
          <w:lang w:val="en-AU" w:eastAsia="en-AU"/>
        </w:rPr>
      </w:pPr>
      <w:r w:rsidRPr="00DA776F">
        <w:rPr>
          <w:b/>
          <w:bCs/>
          <w:sz w:val="24"/>
          <w:szCs w:val="24"/>
          <w:lang w:val="en-AU" w:eastAsia="en-AU"/>
        </w:rPr>
        <w:t xml:space="preserve">Investing in Women </w:t>
      </w:r>
      <w:r w:rsidR="00565D65" w:rsidRPr="00DA776F">
        <w:rPr>
          <w:sz w:val="24"/>
          <w:szCs w:val="24"/>
          <w:lang w:val="en-AU" w:eastAsia="en-AU"/>
        </w:rPr>
        <w:t xml:space="preserve">supports women’s economic empowerment in Southeast Asia by </w:t>
      </w:r>
      <w:r w:rsidR="00565D65" w:rsidRPr="00DA776F">
        <w:rPr>
          <w:rFonts w:eastAsia="Times New Roman" w:cs="Times New Roman"/>
          <w:sz w:val="24"/>
          <w:szCs w:val="24"/>
          <w:lang w:val="en-AU"/>
        </w:rPr>
        <w:t xml:space="preserve">enabling policy reforms around the care economy, workplace gender equality organisational change, working with private sector partners and government to support gender norm change and gender lens investing. It is operational in Vietnam, </w:t>
      </w:r>
      <w:r w:rsidR="00CD1541" w:rsidRPr="00DA776F">
        <w:rPr>
          <w:rFonts w:eastAsia="Times New Roman" w:cs="Times New Roman"/>
          <w:sz w:val="24"/>
          <w:szCs w:val="24"/>
          <w:lang w:val="en-AU"/>
        </w:rPr>
        <w:t>Philippines</w:t>
      </w:r>
      <w:r w:rsidR="00565D65" w:rsidRPr="00DA776F">
        <w:rPr>
          <w:rFonts w:eastAsia="Times New Roman" w:cs="Times New Roman"/>
          <w:sz w:val="24"/>
          <w:szCs w:val="24"/>
          <w:lang w:val="en-AU"/>
        </w:rPr>
        <w:t xml:space="preserve"> and Indonesia with an open door for other Southeast Asian countries. </w:t>
      </w:r>
    </w:p>
    <w:p w14:paraId="6C8179B1" w14:textId="378A024E" w:rsidR="009367FC" w:rsidRPr="00DA776F" w:rsidRDefault="009367FC" w:rsidP="002E677B">
      <w:pPr>
        <w:pStyle w:val="ListParagraph"/>
        <w:numPr>
          <w:ilvl w:val="0"/>
          <w:numId w:val="57"/>
        </w:numPr>
        <w:rPr>
          <w:sz w:val="24"/>
          <w:szCs w:val="24"/>
          <w:lang w:val="en-AU" w:eastAsia="en-AU"/>
        </w:rPr>
      </w:pPr>
      <w:r w:rsidRPr="00DA776F">
        <w:rPr>
          <w:b/>
          <w:bCs/>
          <w:sz w:val="24"/>
          <w:szCs w:val="24"/>
          <w:lang w:val="en-AU" w:eastAsia="en-AU"/>
        </w:rPr>
        <w:t xml:space="preserve">Australia Awards </w:t>
      </w:r>
      <w:r w:rsidRPr="00DA776F">
        <w:rPr>
          <w:sz w:val="24"/>
          <w:szCs w:val="24"/>
          <w:lang w:val="en-AU" w:eastAsia="en-AU"/>
        </w:rPr>
        <w:t>initiatives in Southeast Asia, including bilateral and ASEAN programs</w:t>
      </w:r>
      <w:r w:rsidR="00E10FF9">
        <w:rPr>
          <w:sz w:val="24"/>
          <w:szCs w:val="24"/>
          <w:lang w:val="en-AU" w:eastAsia="en-AU"/>
        </w:rPr>
        <w:t>.</w:t>
      </w:r>
    </w:p>
    <w:p w14:paraId="386BC197" w14:textId="77777777" w:rsidR="00C24DF2" w:rsidRPr="001F14E7" w:rsidRDefault="00C24DF2" w:rsidP="00C24DF2">
      <w:pPr>
        <w:pStyle w:val="Heading3Numbered"/>
        <w:rPr>
          <w:lang w:val="en-AU"/>
        </w:rPr>
      </w:pPr>
      <w:r w:rsidRPr="2C480AEE">
        <w:rPr>
          <w:lang w:val="en-AU"/>
        </w:rPr>
        <w:t xml:space="preserve">Flexible fund </w:t>
      </w:r>
    </w:p>
    <w:p w14:paraId="55704262" w14:textId="6EA0658E" w:rsidR="00740979" w:rsidRPr="00EC236E" w:rsidRDefault="00C24DF2" w:rsidP="003816BF">
      <w:pPr>
        <w:rPr>
          <w:sz w:val="24"/>
          <w:szCs w:val="24"/>
          <w:lang w:val="en-AU"/>
        </w:rPr>
      </w:pPr>
      <w:r w:rsidRPr="00EC236E">
        <w:rPr>
          <w:sz w:val="24"/>
          <w:szCs w:val="24"/>
          <w:lang w:val="en-AU"/>
        </w:rPr>
        <w:t xml:space="preserve">Based on the findings from MAP Phase 1, </w:t>
      </w:r>
      <w:r w:rsidR="00462485" w:rsidRPr="00EC236E">
        <w:rPr>
          <w:sz w:val="24"/>
          <w:szCs w:val="24"/>
          <w:lang w:val="en-AU"/>
        </w:rPr>
        <w:t xml:space="preserve">Mekong </w:t>
      </w:r>
      <w:r w:rsidRPr="00EC236E">
        <w:rPr>
          <w:sz w:val="24"/>
          <w:szCs w:val="24"/>
          <w:lang w:val="en-AU"/>
        </w:rPr>
        <w:t xml:space="preserve">counterparts value Australia’s flexible and responsive approach as a development partner. MAP Phase 2 will retain some flexibility to be responsive to sensible requests for support that contribute to portfolio outcomes broadly but may be beyond the scope of current thematic areas. </w:t>
      </w:r>
      <w:r w:rsidRPr="00E844A1">
        <w:rPr>
          <w:sz w:val="24"/>
          <w:szCs w:val="24"/>
          <w:lang w:val="en-AU"/>
        </w:rPr>
        <w:t xml:space="preserve">A small proportion of the portfolio budget will remain unallocated and available for responsive support and broader policy engagement. </w:t>
      </w:r>
      <w:r w:rsidR="006004DE" w:rsidRPr="00E844A1">
        <w:rPr>
          <w:sz w:val="24"/>
          <w:szCs w:val="24"/>
          <w:lang w:val="en-AU"/>
        </w:rPr>
        <w:t>Allocations from t</w:t>
      </w:r>
      <w:r w:rsidR="00697B3C" w:rsidRPr="00E844A1">
        <w:rPr>
          <w:sz w:val="24"/>
          <w:szCs w:val="24"/>
          <w:lang w:val="en-AU"/>
        </w:rPr>
        <w:t xml:space="preserve">he flexible component of the budget will be </w:t>
      </w:r>
      <w:r w:rsidR="00682533" w:rsidRPr="00E844A1">
        <w:rPr>
          <w:sz w:val="24"/>
          <w:szCs w:val="24"/>
          <w:lang w:val="en-AU"/>
        </w:rPr>
        <w:t xml:space="preserve">overseen </w:t>
      </w:r>
      <w:r w:rsidR="006004DE" w:rsidRPr="00E844A1">
        <w:rPr>
          <w:sz w:val="24"/>
          <w:szCs w:val="24"/>
          <w:lang w:val="en-AU"/>
        </w:rPr>
        <w:t xml:space="preserve">by the </w:t>
      </w:r>
      <w:r w:rsidR="786EFD0E" w:rsidRPr="00E844A1">
        <w:rPr>
          <w:sz w:val="24"/>
          <w:szCs w:val="24"/>
          <w:lang w:val="en-AU"/>
        </w:rPr>
        <w:t xml:space="preserve">MAP </w:t>
      </w:r>
      <w:r w:rsidR="006004DE" w:rsidRPr="00E844A1">
        <w:rPr>
          <w:sz w:val="24"/>
          <w:szCs w:val="24"/>
          <w:lang w:val="en-AU"/>
        </w:rPr>
        <w:t>Steering Committee.</w:t>
      </w:r>
      <w:r w:rsidR="00F16A7F" w:rsidRPr="00E844A1">
        <w:rPr>
          <w:sz w:val="24"/>
          <w:szCs w:val="24"/>
          <w:lang w:val="en-AU"/>
        </w:rPr>
        <w:t xml:space="preserve"> The delegate </w:t>
      </w:r>
      <w:r w:rsidR="00F16A7F" w:rsidRPr="00E844A1">
        <w:rPr>
          <w:sz w:val="24"/>
          <w:szCs w:val="24"/>
          <w:lang w:val="en-AU"/>
        </w:rPr>
        <w:lastRenderedPageBreak/>
        <w:t>for this funding will be Canberra unless agreed by the Steering Committee for specific activities.</w:t>
      </w:r>
      <w:r w:rsidR="003816BF" w:rsidRPr="00E844A1">
        <w:rPr>
          <w:sz w:val="24"/>
          <w:szCs w:val="24"/>
          <w:lang w:val="en-AU"/>
        </w:rPr>
        <w:t xml:space="preserve"> </w:t>
      </w:r>
      <w:r w:rsidR="00740979" w:rsidRPr="00E844A1">
        <w:rPr>
          <w:sz w:val="24"/>
          <w:szCs w:val="24"/>
          <w:lang w:val="en-AU"/>
        </w:rPr>
        <w:t>The flexible fund will als</w:t>
      </w:r>
      <w:r w:rsidR="00712B00" w:rsidRPr="00E844A1">
        <w:rPr>
          <w:sz w:val="24"/>
          <w:szCs w:val="24"/>
          <w:lang w:val="en-AU"/>
        </w:rPr>
        <w:t xml:space="preserve">o provide incubator/pilot funds for new partnerships that have potential </w:t>
      </w:r>
      <w:r w:rsidR="00F851DF" w:rsidRPr="00E844A1">
        <w:rPr>
          <w:sz w:val="24"/>
          <w:szCs w:val="24"/>
          <w:lang w:val="en-AU"/>
        </w:rPr>
        <w:t xml:space="preserve">for expansion in later years. </w:t>
      </w:r>
    </w:p>
    <w:p w14:paraId="7CABA810" w14:textId="77777777" w:rsidR="00E41256" w:rsidRPr="00CD6544" w:rsidRDefault="00E41256" w:rsidP="00A17833">
      <w:pPr>
        <w:pStyle w:val="Heading3Numbered"/>
        <w:rPr>
          <w:lang w:val="en-AU"/>
        </w:rPr>
      </w:pPr>
      <w:r w:rsidRPr="00CD6544">
        <w:rPr>
          <w:lang w:val="en-AU"/>
        </w:rPr>
        <w:t>Working with other development partners</w:t>
      </w:r>
    </w:p>
    <w:p w14:paraId="47E64593" w14:textId="617BA030" w:rsidR="00933298" w:rsidRPr="00EC236E" w:rsidRDefault="00567E56" w:rsidP="000410CE">
      <w:pPr>
        <w:rPr>
          <w:sz w:val="24"/>
          <w:szCs w:val="24"/>
          <w:lang w:val="en-AU" w:eastAsia="en-AU"/>
        </w:rPr>
      </w:pPr>
      <w:r>
        <w:rPr>
          <w:sz w:val="24"/>
          <w:szCs w:val="24"/>
          <w:lang w:val="en-AU"/>
        </w:rPr>
        <w:t>Exploring opportunities to w</w:t>
      </w:r>
      <w:r w:rsidR="00C82125" w:rsidRPr="00EC236E">
        <w:rPr>
          <w:sz w:val="24"/>
          <w:szCs w:val="24"/>
          <w:lang w:val="en-AU"/>
        </w:rPr>
        <w:t>ork with likeminded development partners such as USAID</w:t>
      </w:r>
      <w:r w:rsidR="00031A72">
        <w:rPr>
          <w:sz w:val="24"/>
          <w:szCs w:val="24"/>
          <w:lang w:val="en-AU"/>
        </w:rPr>
        <w:t>,</w:t>
      </w:r>
      <w:r w:rsidR="00BA1767" w:rsidRPr="00EC236E">
        <w:rPr>
          <w:sz w:val="24"/>
          <w:szCs w:val="24"/>
          <w:lang w:val="en-AU"/>
        </w:rPr>
        <w:t xml:space="preserve"> </w:t>
      </w:r>
      <w:r w:rsidR="003816BF" w:rsidRPr="00EC236E">
        <w:rPr>
          <w:sz w:val="24"/>
          <w:szCs w:val="24"/>
          <w:lang w:val="en-AU"/>
        </w:rPr>
        <w:t xml:space="preserve">European </w:t>
      </w:r>
      <w:r w:rsidR="00BA1767" w:rsidRPr="00EC236E">
        <w:rPr>
          <w:sz w:val="24"/>
          <w:szCs w:val="24"/>
          <w:lang w:val="en-AU"/>
        </w:rPr>
        <w:t>U</w:t>
      </w:r>
      <w:r w:rsidR="003816BF" w:rsidRPr="00EC236E">
        <w:rPr>
          <w:sz w:val="24"/>
          <w:szCs w:val="24"/>
          <w:lang w:val="en-AU"/>
        </w:rPr>
        <w:t>nion</w:t>
      </w:r>
      <w:r w:rsidR="00C82125" w:rsidRPr="00EC236E">
        <w:rPr>
          <w:sz w:val="24"/>
          <w:szCs w:val="24"/>
          <w:lang w:val="en-AU"/>
        </w:rPr>
        <w:t xml:space="preserve"> Japan and </w:t>
      </w:r>
      <w:r w:rsidR="041E5B8B" w:rsidRPr="00EC236E">
        <w:rPr>
          <w:sz w:val="24"/>
          <w:szCs w:val="24"/>
          <w:lang w:val="en-AU"/>
        </w:rPr>
        <w:t xml:space="preserve">the Republic of </w:t>
      </w:r>
      <w:r w:rsidR="00C82125" w:rsidRPr="00EC236E">
        <w:rPr>
          <w:sz w:val="24"/>
          <w:szCs w:val="24"/>
          <w:lang w:val="en-AU"/>
        </w:rPr>
        <w:t xml:space="preserve">Korea will be important. </w:t>
      </w:r>
      <w:r w:rsidR="00BA1767" w:rsidRPr="00EC236E">
        <w:rPr>
          <w:sz w:val="24"/>
          <w:szCs w:val="24"/>
          <w:lang w:val="en-AU"/>
        </w:rPr>
        <w:t>C</w:t>
      </w:r>
      <w:r w:rsidR="00C82125" w:rsidRPr="00EC236E">
        <w:rPr>
          <w:sz w:val="24"/>
          <w:szCs w:val="24"/>
          <w:lang w:val="en-AU"/>
        </w:rPr>
        <w:t xml:space="preserve">ollaborative endeavours that play to </w:t>
      </w:r>
      <w:r w:rsidR="00C82125" w:rsidRPr="00EC236E">
        <w:rPr>
          <w:sz w:val="24"/>
          <w:szCs w:val="24"/>
          <w:lang w:val="en-AU" w:eastAsia="en-AU"/>
        </w:rPr>
        <w:t xml:space="preserve">Australia’s niche value add capabilities and that allow Australia to </w:t>
      </w:r>
      <w:r w:rsidR="00E41256" w:rsidRPr="00EC236E">
        <w:rPr>
          <w:sz w:val="24"/>
          <w:szCs w:val="24"/>
          <w:lang w:val="en-AU" w:eastAsia="en-AU"/>
        </w:rPr>
        <w:t xml:space="preserve">retain </w:t>
      </w:r>
      <w:r w:rsidR="00C82125" w:rsidRPr="00EC236E">
        <w:rPr>
          <w:sz w:val="24"/>
          <w:szCs w:val="24"/>
          <w:lang w:val="en-AU" w:eastAsia="en-AU"/>
        </w:rPr>
        <w:t xml:space="preserve">relationships, policy </w:t>
      </w:r>
      <w:r w:rsidR="000410CE" w:rsidRPr="00EC236E">
        <w:rPr>
          <w:sz w:val="24"/>
          <w:szCs w:val="24"/>
          <w:lang w:val="en-AU" w:eastAsia="en-AU"/>
        </w:rPr>
        <w:t xml:space="preserve">engagement and </w:t>
      </w:r>
      <w:r w:rsidR="00C82125" w:rsidRPr="00EC236E">
        <w:rPr>
          <w:sz w:val="24"/>
          <w:szCs w:val="24"/>
          <w:lang w:val="en-AU" w:eastAsia="en-AU"/>
        </w:rPr>
        <w:t xml:space="preserve">influence, </w:t>
      </w:r>
      <w:r w:rsidR="00E41256" w:rsidRPr="00EC236E">
        <w:rPr>
          <w:sz w:val="24"/>
          <w:szCs w:val="24"/>
          <w:lang w:val="en-AU" w:eastAsia="en-AU"/>
        </w:rPr>
        <w:t>and profile</w:t>
      </w:r>
      <w:r w:rsidR="00BA1767" w:rsidRPr="00EC236E">
        <w:rPr>
          <w:sz w:val="24"/>
          <w:szCs w:val="24"/>
          <w:lang w:val="en-AU" w:eastAsia="en-AU"/>
        </w:rPr>
        <w:t xml:space="preserve"> will be prioritised. Establishing coherent policy engagement between likeminded </w:t>
      </w:r>
      <w:r w:rsidR="00BA1767" w:rsidRPr="00EC236E">
        <w:rPr>
          <w:sz w:val="24"/>
          <w:szCs w:val="24"/>
          <w:lang w:val="en-AU"/>
        </w:rPr>
        <w:t xml:space="preserve">development </w:t>
      </w:r>
      <w:r w:rsidR="00BA1767" w:rsidRPr="00EC236E">
        <w:rPr>
          <w:sz w:val="24"/>
          <w:szCs w:val="24"/>
          <w:lang w:val="en-AU" w:eastAsia="en-AU"/>
        </w:rPr>
        <w:t>partners for prosecuting with Mekong counterparts is encouraged</w:t>
      </w:r>
      <w:r w:rsidR="00E41256" w:rsidRPr="00EC236E">
        <w:rPr>
          <w:sz w:val="24"/>
          <w:szCs w:val="24"/>
          <w:lang w:val="en-AU" w:eastAsia="en-AU"/>
        </w:rPr>
        <w:t xml:space="preserve">. </w:t>
      </w:r>
    </w:p>
    <w:p w14:paraId="52C248E0" w14:textId="3E738C55" w:rsidR="009A147B" w:rsidRPr="00CD6544" w:rsidRDefault="00D724C5" w:rsidP="00E71F14">
      <w:pPr>
        <w:pStyle w:val="Heading3Numbered"/>
        <w:rPr>
          <w:lang w:val="en-AU"/>
        </w:rPr>
      </w:pPr>
      <w:bookmarkStart w:id="65" w:name="_Toc162287867"/>
      <w:r w:rsidRPr="00CD6544">
        <w:rPr>
          <w:lang w:val="en-AU"/>
        </w:rPr>
        <w:t>Working with Myanmar</w:t>
      </w:r>
      <w:bookmarkEnd w:id="65"/>
    </w:p>
    <w:p w14:paraId="0442CCCA" w14:textId="1B404850" w:rsidR="005530BF" w:rsidRPr="00EC236E" w:rsidRDefault="00C061E9" w:rsidP="003816BF">
      <w:pPr>
        <w:rPr>
          <w:sz w:val="24"/>
          <w:szCs w:val="24"/>
          <w:lang w:val="en-AU"/>
        </w:rPr>
      </w:pPr>
      <w:r w:rsidRPr="00EC236E">
        <w:rPr>
          <w:sz w:val="24"/>
          <w:szCs w:val="24"/>
          <w:lang w:val="en-AU"/>
        </w:rPr>
        <w:t xml:space="preserve">The current political context in Myanmar makes it difficult for MAP Phase 2 to include </w:t>
      </w:r>
      <w:r w:rsidR="00004AB9" w:rsidRPr="00EC236E">
        <w:rPr>
          <w:sz w:val="24"/>
          <w:szCs w:val="24"/>
          <w:lang w:val="en-AU"/>
        </w:rPr>
        <w:t>it</w:t>
      </w:r>
      <w:r w:rsidRPr="00EC236E">
        <w:rPr>
          <w:sz w:val="24"/>
          <w:szCs w:val="24"/>
          <w:lang w:val="en-AU"/>
        </w:rPr>
        <w:t xml:space="preserve"> in </w:t>
      </w:r>
      <w:r w:rsidR="00DA603D" w:rsidRPr="00EC236E">
        <w:rPr>
          <w:sz w:val="24"/>
          <w:szCs w:val="24"/>
          <w:lang w:val="en-AU"/>
        </w:rPr>
        <w:t xml:space="preserve">many </w:t>
      </w:r>
      <w:r w:rsidR="00BA1767" w:rsidRPr="00EC236E">
        <w:rPr>
          <w:sz w:val="24"/>
          <w:szCs w:val="24"/>
          <w:lang w:val="en-AU"/>
        </w:rPr>
        <w:t xml:space="preserve">portfolio </w:t>
      </w:r>
      <w:r w:rsidR="003771AD" w:rsidRPr="00EC236E">
        <w:rPr>
          <w:sz w:val="24"/>
          <w:szCs w:val="24"/>
          <w:lang w:val="en-AU"/>
        </w:rPr>
        <w:t>investments</w:t>
      </w:r>
      <w:r w:rsidRPr="00EC236E">
        <w:rPr>
          <w:sz w:val="24"/>
          <w:szCs w:val="24"/>
          <w:lang w:val="en-AU"/>
        </w:rPr>
        <w:t>. As much as possible</w:t>
      </w:r>
      <w:r w:rsidR="003722E7" w:rsidRPr="00EC236E">
        <w:rPr>
          <w:sz w:val="24"/>
          <w:szCs w:val="24"/>
          <w:lang w:val="en-AU"/>
        </w:rPr>
        <w:t xml:space="preserve"> and appropriate</w:t>
      </w:r>
      <w:r w:rsidRPr="00EC236E">
        <w:rPr>
          <w:sz w:val="24"/>
          <w:szCs w:val="24"/>
          <w:lang w:val="en-AU"/>
        </w:rPr>
        <w:t xml:space="preserve">, </w:t>
      </w:r>
      <w:r w:rsidR="3E6E6AF8" w:rsidRPr="00EC236E">
        <w:rPr>
          <w:sz w:val="24"/>
          <w:szCs w:val="24"/>
          <w:lang w:val="en-AU"/>
        </w:rPr>
        <w:t>s</w:t>
      </w:r>
      <w:r w:rsidR="3E6E6AF8" w:rsidRPr="00EC236E">
        <w:rPr>
          <w:rFonts w:ascii="Calibri Light" w:eastAsia="Calibri Light" w:hAnsi="Calibri Light" w:cs="Calibri Light"/>
          <w:sz w:val="24"/>
          <w:szCs w:val="24"/>
          <w:lang w:val="en-AU"/>
        </w:rPr>
        <w:t xml:space="preserve">ubregional activities will be open for participation by Myanmar nationals and/or organisations. </w:t>
      </w:r>
      <w:r w:rsidR="003722E7" w:rsidRPr="00EC236E">
        <w:rPr>
          <w:rFonts w:ascii="Calibri Light" w:eastAsia="Calibri Light" w:hAnsi="Calibri Light" w:cs="Calibri Light"/>
          <w:sz w:val="24"/>
          <w:szCs w:val="24"/>
          <w:lang w:val="en-AU"/>
        </w:rPr>
        <w:t xml:space="preserve">Further investments </w:t>
      </w:r>
      <w:r w:rsidR="3E6E6AF8" w:rsidRPr="00EC236E">
        <w:rPr>
          <w:rFonts w:ascii="Calibri Light" w:eastAsia="Calibri Light" w:hAnsi="Calibri Light" w:cs="Calibri Light"/>
          <w:sz w:val="24"/>
          <w:szCs w:val="24"/>
          <w:lang w:val="en-AU"/>
        </w:rPr>
        <w:t>in Myanmar may be considered if the political situation and security environment allows in the future</w:t>
      </w:r>
      <w:r w:rsidR="00A95DA1" w:rsidRPr="00EC236E">
        <w:rPr>
          <w:rFonts w:ascii="Calibri Light" w:eastAsia="Calibri Light" w:hAnsi="Calibri Light" w:cs="Calibri Light"/>
          <w:sz w:val="24"/>
          <w:szCs w:val="24"/>
          <w:lang w:val="en-AU"/>
        </w:rPr>
        <w:t>.</w:t>
      </w:r>
      <w:r w:rsidR="3E6E6AF8" w:rsidRPr="00EC236E">
        <w:rPr>
          <w:sz w:val="24"/>
          <w:szCs w:val="24"/>
          <w:lang w:val="en-AU"/>
        </w:rPr>
        <w:t xml:space="preserve"> </w:t>
      </w:r>
      <w:r w:rsidRPr="00EC236E">
        <w:rPr>
          <w:sz w:val="24"/>
          <w:szCs w:val="24"/>
          <w:lang w:val="en-AU"/>
        </w:rPr>
        <w:t xml:space="preserve">Any inclusion of Myanmar </w:t>
      </w:r>
      <w:r w:rsidR="00DE225D" w:rsidRPr="00EC236E">
        <w:rPr>
          <w:sz w:val="24"/>
          <w:szCs w:val="24"/>
          <w:lang w:val="en-AU"/>
        </w:rPr>
        <w:t xml:space="preserve">will </w:t>
      </w:r>
      <w:r w:rsidR="003722E7" w:rsidRPr="00EC236E">
        <w:rPr>
          <w:sz w:val="24"/>
          <w:szCs w:val="24"/>
          <w:lang w:val="en-AU"/>
        </w:rPr>
        <w:t>need to be carefully considered and</w:t>
      </w:r>
      <w:r w:rsidRPr="00EC236E">
        <w:rPr>
          <w:sz w:val="24"/>
          <w:szCs w:val="24"/>
          <w:lang w:val="en-AU"/>
        </w:rPr>
        <w:t xml:space="preserve"> </w:t>
      </w:r>
      <w:r w:rsidR="00C236C7">
        <w:rPr>
          <w:sz w:val="24"/>
          <w:szCs w:val="24"/>
          <w:lang w:val="en-AU"/>
        </w:rPr>
        <w:t>approved by DFAT</w:t>
      </w:r>
      <w:r w:rsidR="00E96998" w:rsidRPr="00EC236E">
        <w:rPr>
          <w:sz w:val="24"/>
          <w:szCs w:val="24"/>
          <w:lang w:val="en-AU"/>
        </w:rPr>
        <w:t>.</w:t>
      </w:r>
    </w:p>
    <w:p w14:paraId="11386081" w14:textId="2A4D562D" w:rsidR="00941C8F" w:rsidRPr="00EC236E" w:rsidRDefault="00941C8F" w:rsidP="003816BF">
      <w:pPr>
        <w:rPr>
          <w:sz w:val="24"/>
          <w:szCs w:val="24"/>
          <w:lang w:val="en-AU"/>
        </w:rPr>
      </w:pPr>
      <w:r w:rsidRPr="00EC236E">
        <w:rPr>
          <w:sz w:val="24"/>
          <w:szCs w:val="24"/>
          <w:lang w:val="en-AU"/>
        </w:rPr>
        <w:t xml:space="preserve">Recognising the </w:t>
      </w:r>
      <w:r w:rsidR="00E3154F" w:rsidRPr="00EC236E">
        <w:rPr>
          <w:sz w:val="24"/>
          <w:szCs w:val="24"/>
          <w:lang w:val="en-AU"/>
        </w:rPr>
        <w:t xml:space="preserve">complex environment in Myanmar with respect to transnational crime issues that affect the whole Mekong subregion and beyond, the </w:t>
      </w:r>
      <w:r w:rsidR="005E17F3" w:rsidRPr="00EC236E">
        <w:rPr>
          <w:sz w:val="24"/>
          <w:szCs w:val="24"/>
          <w:lang w:val="en-AU"/>
        </w:rPr>
        <w:t xml:space="preserve">MAP transnational crime </w:t>
      </w:r>
      <w:r w:rsidR="00E3154F" w:rsidRPr="00EC236E">
        <w:rPr>
          <w:sz w:val="24"/>
          <w:szCs w:val="24"/>
          <w:lang w:val="en-AU"/>
        </w:rPr>
        <w:t xml:space="preserve">design update </w:t>
      </w:r>
      <w:r w:rsidR="00DA0EC5" w:rsidRPr="00EC236E">
        <w:rPr>
          <w:sz w:val="24"/>
          <w:szCs w:val="24"/>
          <w:lang w:val="en-AU"/>
        </w:rPr>
        <w:t xml:space="preserve">will </w:t>
      </w:r>
      <w:r w:rsidR="00B170D4" w:rsidRPr="00EC236E">
        <w:rPr>
          <w:sz w:val="24"/>
          <w:szCs w:val="24"/>
          <w:lang w:val="en-AU"/>
        </w:rPr>
        <w:t xml:space="preserve">address </w:t>
      </w:r>
      <w:r w:rsidR="00241780" w:rsidRPr="00EC236E">
        <w:rPr>
          <w:sz w:val="24"/>
          <w:szCs w:val="24"/>
          <w:lang w:val="en-AU"/>
        </w:rPr>
        <w:t xml:space="preserve">Myanmar issues in more detail. This will include </w:t>
      </w:r>
      <w:r w:rsidR="00DF4445" w:rsidRPr="00EC236E">
        <w:rPr>
          <w:sz w:val="24"/>
          <w:szCs w:val="24"/>
          <w:lang w:val="en-AU"/>
        </w:rPr>
        <w:t xml:space="preserve">analysis, suggested </w:t>
      </w:r>
      <w:r w:rsidR="00874942" w:rsidRPr="00EC236E">
        <w:rPr>
          <w:sz w:val="24"/>
          <w:szCs w:val="24"/>
          <w:lang w:val="en-AU"/>
        </w:rPr>
        <w:t xml:space="preserve">areas of engagement and </w:t>
      </w:r>
      <w:r w:rsidR="003276FE" w:rsidRPr="00EC236E">
        <w:rPr>
          <w:sz w:val="24"/>
          <w:szCs w:val="24"/>
          <w:lang w:val="en-AU"/>
        </w:rPr>
        <w:t>how Myanmar engagement will inform MEL and risk management approaches.</w:t>
      </w:r>
    </w:p>
    <w:p w14:paraId="2EDB71F9" w14:textId="3307251B" w:rsidR="00A32858" w:rsidRPr="00CD6544" w:rsidRDefault="00A32858" w:rsidP="00CD6544">
      <w:pPr>
        <w:pStyle w:val="Heading1Numbered"/>
        <w:rPr>
          <w:szCs w:val="22"/>
          <w:lang w:val="en-AU"/>
        </w:rPr>
      </w:pPr>
      <w:bookmarkStart w:id="66" w:name="_Toc162287868"/>
      <w:bookmarkStart w:id="67" w:name="_Toc163539152"/>
      <w:bookmarkStart w:id="68" w:name="_Toc174029035"/>
      <w:r w:rsidRPr="00CD6544">
        <w:rPr>
          <w:lang w:val="en-AU"/>
        </w:rPr>
        <w:t>Implementation Arrangements</w:t>
      </w:r>
      <w:bookmarkEnd w:id="66"/>
      <w:bookmarkEnd w:id="67"/>
      <w:bookmarkEnd w:id="68"/>
    </w:p>
    <w:p w14:paraId="5A021D33" w14:textId="41F17179" w:rsidR="00664CEA" w:rsidRPr="00EC236E" w:rsidRDefault="00676F48" w:rsidP="003816BF">
      <w:pPr>
        <w:rPr>
          <w:sz w:val="24"/>
          <w:szCs w:val="24"/>
          <w:lang w:val="en-AU"/>
        </w:rPr>
      </w:pPr>
      <w:r w:rsidRPr="00EC236E">
        <w:rPr>
          <w:sz w:val="24"/>
          <w:szCs w:val="24"/>
          <w:lang w:val="en-AU"/>
        </w:rPr>
        <w:t>DFAT will lead on strategic governance, technical direction setting</w:t>
      </w:r>
      <w:r w:rsidR="00212D8D" w:rsidRPr="00EC236E">
        <w:rPr>
          <w:sz w:val="24"/>
          <w:szCs w:val="24"/>
          <w:lang w:val="en-AU"/>
        </w:rPr>
        <w:t>, management and oversight</w:t>
      </w:r>
      <w:r w:rsidRPr="00EC236E">
        <w:rPr>
          <w:sz w:val="24"/>
          <w:szCs w:val="24"/>
          <w:lang w:val="en-AU"/>
        </w:rPr>
        <w:t xml:space="preserve"> of the </w:t>
      </w:r>
      <w:r w:rsidR="00FE3B40" w:rsidRPr="00EC236E">
        <w:rPr>
          <w:sz w:val="24"/>
          <w:szCs w:val="24"/>
          <w:lang w:val="en-AU"/>
        </w:rPr>
        <w:t xml:space="preserve">MAP Phase 2 </w:t>
      </w:r>
      <w:r w:rsidRPr="00EC236E">
        <w:rPr>
          <w:sz w:val="24"/>
          <w:szCs w:val="24"/>
          <w:lang w:val="en-AU"/>
        </w:rPr>
        <w:t xml:space="preserve">portfolio. DFAT </w:t>
      </w:r>
      <w:r w:rsidR="00002812" w:rsidRPr="00EC236E">
        <w:rPr>
          <w:sz w:val="24"/>
          <w:szCs w:val="24"/>
          <w:lang w:val="en-AU"/>
        </w:rPr>
        <w:t xml:space="preserve">departmental MAP </w:t>
      </w:r>
      <w:r w:rsidRPr="00EC236E">
        <w:rPr>
          <w:sz w:val="24"/>
          <w:szCs w:val="24"/>
          <w:lang w:val="en-AU"/>
        </w:rPr>
        <w:t xml:space="preserve">capability will be augmented by </w:t>
      </w:r>
      <w:r w:rsidR="00002812" w:rsidRPr="00EC236E">
        <w:rPr>
          <w:sz w:val="24"/>
          <w:szCs w:val="24"/>
          <w:lang w:val="en-AU"/>
        </w:rPr>
        <w:t xml:space="preserve">a complement of </w:t>
      </w:r>
      <w:r w:rsidR="00600C27" w:rsidRPr="00EC236E">
        <w:rPr>
          <w:sz w:val="24"/>
          <w:szCs w:val="24"/>
          <w:lang w:val="en-AU"/>
        </w:rPr>
        <w:t>locally engaged</w:t>
      </w:r>
      <w:r w:rsidR="00002812" w:rsidRPr="00EC236E">
        <w:rPr>
          <w:sz w:val="24"/>
          <w:szCs w:val="24"/>
          <w:lang w:val="en-AU"/>
        </w:rPr>
        <w:t xml:space="preserve"> staff, s</w:t>
      </w:r>
      <w:r w:rsidRPr="00EC236E">
        <w:rPr>
          <w:sz w:val="24"/>
          <w:szCs w:val="24"/>
          <w:lang w:val="en-AU"/>
        </w:rPr>
        <w:t xml:space="preserve">elect </w:t>
      </w:r>
      <w:r w:rsidR="00BB2501" w:rsidRPr="00EC236E">
        <w:rPr>
          <w:sz w:val="24"/>
          <w:szCs w:val="24"/>
          <w:lang w:val="en-AU"/>
        </w:rPr>
        <w:t>in-source</w:t>
      </w:r>
      <w:r w:rsidRPr="00EC236E">
        <w:rPr>
          <w:sz w:val="24"/>
          <w:szCs w:val="24"/>
          <w:lang w:val="en-AU"/>
        </w:rPr>
        <w:t>d advisers</w:t>
      </w:r>
      <w:r w:rsidR="00002812" w:rsidRPr="00EC236E">
        <w:rPr>
          <w:sz w:val="24"/>
          <w:szCs w:val="24"/>
          <w:lang w:val="en-AU"/>
        </w:rPr>
        <w:t>, and access to a pool of short-term advisers</w:t>
      </w:r>
      <w:r w:rsidRPr="00EC236E">
        <w:rPr>
          <w:sz w:val="24"/>
          <w:szCs w:val="24"/>
          <w:lang w:val="en-AU"/>
        </w:rPr>
        <w:t xml:space="preserve">. </w:t>
      </w:r>
      <w:r w:rsidR="0040169E" w:rsidRPr="00EC236E">
        <w:rPr>
          <w:sz w:val="24"/>
          <w:szCs w:val="24"/>
          <w:lang w:val="en-AU"/>
        </w:rPr>
        <w:t>Portfolio</w:t>
      </w:r>
      <w:r w:rsidRPr="00EC236E">
        <w:rPr>
          <w:sz w:val="24"/>
          <w:szCs w:val="24"/>
          <w:lang w:val="en-AU"/>
        </w:rPr>
        <w:t xml:space="preserve"> implementation will be </w:t>
      </w:r>
      <w:r w:rsidR="00212D8D" w:rsidRPr="00EC236E">
        <w:rPr>
          <w:sz w:val="24"/>
          <w:szCs w:val="24"/>
          <w:lang w:val="en-AU"/>
        </w:rPr>
        <w:t>supported by a</w:t>
      </w:r>
      <w:r w:rsidR="00A95DA1" w:rsidRPr="00EC236E">
        <w:rPr>
          <w:sz w:val="24"/>
          <w:szCs w:val="24"/>
          <w:lang w:val="en-AU"/>
        </w:rPr>
        <w:t xml:space="preserve"> </w:t>
      </w:r>
      <w:r w:rsidR="5F7EA4FD" w:rsidRPr="00EC236E">
        <w:rPr>
          <w:sz w:val="24"/>
          <w:szCs w:val="24"/>
          <w:lang w:val="en-AU"/>
        </w:rPr>
        <w:t xml:space="preserve">Support Services </w:t>
      </w:r>
      <w:r w:rsidR="00212D8D" w:rsidRPr="00EC236E">
        <w:rPr>
          <w:sz w:val="24"/>
          <w:szCs w:val="24"/>
          <w:lang w:val="en-AU"/>
        </w:rPr>
        <w:t xml:space="preserve">Contractor that can </w:t>
      </w:r>
      <w:r w:rsidR="00002812" w:rsidRPr="00EC236E">
        <w:rPr>
          <w:sz w:val="24"/>
          <w:szCs w:val="24"/>
          <w:lang w:val="en-AU"/>
        </w:rPr>
        <w:t>mobilise</w:t>
      </w:r>
      <w:r w:rsidR="00212D8D" w:rsidRPr="00EC236E">
        <w:rPr>
          <w:sz w:val="24"/>
          <w:szCs w:val="24"/>
          <w:lang w:val="en-AU"/>
        </w:rPr>
        <w:t xml:space="preserve"> advisers</w:t>
      </w:r>
      <w:r w:rsidR="00A059D4">
        <w:rPr>
          <w:sz w:val="24"/>
          <w:szCs w:val="24"/>
          <w:lang w:val="en-AU"/>
        </w:rPr>
        <w:t>,</w:t>
      </w:r>
      <w:r w:rsidR="00002812" w:rsidRPr="00EC236E">
        <w:rPr>
          <w:sz w:val="24"/>
          <w:szCs w:val="24"/>
          <w:lang w:val="en-AU"/>
        </w:rPr>
        <w:t xml:space="preserve"> provide</w:t>
      </w:r>
      <w:r w:rsidR="00212D8D" w:rsidRPr="00EC236E">
        <w:rPr>
          <w:sz w:val="24"/>
          <w:szCs w:val="24"/>
          <w:lang w:val="en-AU"/>
        </w:rPr>
        <w:t xml:space="preserve"> logistical, </w:t>
      </w:r>
      <w:r w:rsidR="00FE3B40" w:rsidRPr="00EC236E">
        <w:rPr>
          <w:sz w:val="24"/>
          <w:szCs w:val="24"/>
          <w:lang w:val="en-AU"/>
        </w:rPr>
        <w:t>operational</w:t>
      </w:r>
      <w:r w:rsidR="00212D8D" w:rsidRPr="00EC236E">
        <w:rPr>
          <w:sz w:val="24"/>
          <w:szCs w:val="24"/>
          <w:lang w:val="en-AU"/>
        </w:rPr>
        <w:t xml:space="preserve"> and administrative support</w:t>
      </w:r>
      <w:r w:rsidR="00A059D4">
        <w:rPr>
          <w:sz w:val="24"/>
          <w:szCs w:val="24"/>
          <w:lang w:val="en-AU"/>
        </w:rPr>
        <w:t xml:space="preserve"> and deliver selected activities as directed</w:t>
      </w:r>
      <w:r w:rsidR="00212D8D" w:rsidRPr="00EC236E">
        <w:rPr>
          <w:sz w:val="24"/>
          <w:szCs w:val="24"/>
          <w:lang w:val="en-AU"/>
        </w:rPr>
        <w:t>.</w:t>
      </w:r>
    </w:p>
    <w:p w14:paraId="0F195FAE" w14:textId="360BE9E0" w:rsidR="00462421" w:rsidRPr="001F14E7" w:rsidRDefault="001A2061" w:rsidP="00872C0D">
      <w:pPr>
        <w:pStyle w:val="Heading2Numbered"/>
        <w:rPr>
          <w:lang w:val="en-AU"/>
        </w:rPr>
      </w:pPr>
      <w:bookmarkStart w:id="69" w:name="_Toc162287869"/>
      <w:bookmarkStart w:id="70" w:name="_Toc163539153"/>
      <w:bookmarkStart w:id="71" w:name="_Toc174029036"/>
      <w:r w:rsidRPr="2C480AEE">
        <w:rPr>
          <w:lang w:val="en-AU"/>
        </w:rPr>
        <w:t xml:space="preserve">DFAT </w:t>
      </w:r>
      <w:r w:rsidR="00872C0D" w:rsidRPr="2C480AEE">
        <w:rPr>
          <w:lang w:val="en-AU"/>
        </w:rPr>
        <w:t>Governance arrangements</w:t>
      </w:r>
      <w:bookmarkEnd w:id="69"/>
      <w:bookmarkEnd w:id="70"/>
      <w:bookmarkEnd w:id="71"/>
    </w:p>
    <w:p w14:paraId="493628CE" w14:textId="2BF6748F" w:rsidR="002F690F" w:rsidRPr="00187A81" w:rsidRDefault="00674B20" w:rsidP="003122BA">
      <w:pPr>
        <w:rPr>
          <w:sz w:val="24"/>
          <w:szCs w:val="24"/>
          <w:lang w:val="en-AU"/>
        </w:rPr>
      </w:pPr>
      <w:r w:rsidRPr="00EC236E">
        <w:rPr>
          <w:sz w:val="24"/>
          <w:szCs w:val="24"/>
          <w:lang w:val="en-AU"/>
        </w:rPr>
        <w:t xml:space="preserve">MAP Phase 2 will be governed </w:t>
      </w:r>
      <w:r w:rsidR="00AF15E7" w:rsidRPr="00EC236E">
        <w:rPr>
          <w:sz w:val="24"/>
          <w:szCs w:val="24"/>
          <w:lang w:val="en-AU"/>
        </w:rPr>
        <w:t>by a</w:t>
      </w:r>
      <w:r w:rsidRPr="00EC236E">
        <w:rPr>
          <w:sz w:val="24"/>
          <w:szCs w:val="24"/>
          <w:lang w:val="en-AU"/>
        </w:rPr>
        <w:t xml:space="preserve"> MAP Steering Committee</w:t>
      </w:r>
      <w:r w:rsidR="00535B80" w:rsidRPr="00EC236E">
        <w:rPr>
          <w:sz w:val="24"/>
          <w:szCs w:val="24"/>
          <w:lang w:val="en-AU"/>
        </w:rPr>
        <w:t xml:space="preserve">, chaired by </w:t>
      </w:r>
      <w:r w:rsidR="00FE3B40" w:rsidRPr="00EC236E">
        <w:rPr>
          <w:sz w:val="24"/>
          <w:szCs w:val="24"/>
          <w:lang w:val="en-AU"/>
        </w:rPr>
        <w:t>Assistant Secretary</w:t>
      </w:r>
      <w:r w:rsidR="62EDF5F3" w:rsidRPr="00EC236E">
        <w:rPr>
          <w:sz w:val="24"/>
          <w:szCs w:val="24"/>
          <w:lang w:val="en-AU"/>
        </w:rPr>
        <w:t>, Vietnam and Mekong Strategy Branch</w:t>
      </w:r>
      <w:r w:rsidR="04DBF2E2" w:rsidRPr="00EC236E">
        <w:rPr>
          <w:sz w:val="24"/>
          <w:szCs w:val="24"/>
          <w:lang w:val="en-AU"/>
        </w:rPr>
        <w:t xml:space="preserve"> (AS VMB) in the</w:t>
      </w:r>
      <w:r w:rsidR="62EDF5F3" w:rsidRPr="00EC236E">
        <w:rPr>
          <w:sz w:val="24"/>
          <w:szCs w:val="24"/>
          <w:lang w:val="en-AU"/>
        </w:rPr>
        <w:t xml:space="preserve"> </w:t>
      </w:r>
      <w:r w:rsidR="00535B80" w:rsidRPr="00EC236E">
        <w:rPr>
          <w:sz w:val="24"/>
          <w:szCs w:val="24"/>
          <w:lang w:val="en-AU"/>
        </w:rPr>
        <w:t xml:space="preserve">Office of Southeast Asia. </w:t>
      </w:r>
      <w:r w:rsidR="00FD5D01" w:rsidRPr="00EC236E">
        <w:rPr>
          <w:sz w:val="24"/>
          <w:szCs w:val="24"/>
          <w:lang w:val="en-AU"/>
        </w:rPr>
        <w:t>The Steering Committee will provide strategic direction, accountability and senior oversight for MAP, building on an interim Steering Committee established in late 2023 to oversee the transition from Phase 1 to Phase 2</w:t>
      </w:r>
      <w:r w:rsidR="00FD270B" w:rsidRPr="00EC236E">
        <w:rPr>
          <w:sz w:val="24"/>
          <w:szCs w:val="24"/>
          <w:lang w:val="en-AU"/>
        </w:rPr>
        <w:t xml:space="preserve">, and replacing </w:t>
      </w:r>
      <w:r w:rsidR="00AA7002" w:rsidRPr="00EC236E">
        <w:rPr>
          <w:sz w:val="24"/>
          <w:szCs w:val="24"/>
          <w:lang w:val="en-AU"/>
        </w:rPr>
        <w:t xml:space="preserve">governance arrangements </w:t>
      </w:r>
      <w:r w:rsidR="00B5020B" w:rsidRPr="00EC236E">
        <w:rPr>
          <w:sz w:val="24"/>
          <w:szCs w:val="24"/>
          <w:lang w:val="en-AU"/>
        </w:rPr>
        <w:t>established under Phase 1</w:t>
      </w:r>
      <w:r w:rsidR="00FD5D01" w:rsidRPr="00EC236E">
        <w:rPr>
          <w:sz w:val="24"/>
          <w:szCs w:val="24"/>
          <w:lang w:val="en-AU"/>
        </w:rPr>
        <w:t xml:space="preserve">. </w:t>
      </w:r>
    </w:p>
    <w:p w14:paraId="230B5F56" w14:textId="48A3BA50" w:rsidR="00F47E11" w:rsidRPr="00EC236E" w:rsidRDefault="008C5615" w:rsidP="003816BF">
      <w:pPr>
        <w:rPr>
          <w:sz w:val="24"/>
          <w:szCs w:val="24"/>
          <w:lang w:val="en-AU"/>
        </w:rPr>
      </w:pPr>
      <w:r w:rsidRPr="00EC236E">
        <w:rPr>
          <w:sz w:val="24"/>
          <w:szCs w:val="24"/>
          <w:lang w:val="en-AU"/>
        </w:rPr>
        <w:t xml:space="preserve">The </w:t>
      </w:r>
      <w:r w:rsidR="00F47E11" w:rsidRPr="00EC236E">
        <w:rPr>
          <w:sz w:val="24"/>
          <w:szCs w:val="24"/>
          <w:lang w:val="en-AU"/>
        </w:rPr>
        <w:t>function</w:t>
      </w:r>
      <w:r w:rsidRPr="00EC236E">
        <w:rPr>
          <w:sz w:val="24"/>
          <w:szCs w:val="24"/>
          <w:lang w:val="en-AU"/>
        </w:rPr>
        <w:t xml:space="preserve"> of the </w:t>
      </w:r>
      <w:r w:rsidR="00D5115B" w:rsidRPr="00EC236E">
        <w:rPr>
          <w:sz w:val="24"/>
          <w:szCs w:val="24"/>
          <w:lang w:val="en-AU"/>
        </w:rPr>
        <w:t>MAP Steering Committee is to:</w:t>
      </w:r>
    </w:p>
    <w:p w14:paraId="46406B4C" w14:textId="3EBDF64D" w:rsidR="000046E0" w:rsidRPr="00EC236E" w:rsidRDefault="00D5115B" w:rsidP="002E677B">
      <w:pPr>
        <w:pStyle w:val="ListParagraph"/>
        <w:numPr>
          <w:ilvl w:val="0"/>
          <w:numId w:val="58"/>
        </w:numPr>
        <w:spacing w:before="60" w:line="240" w:lineRule="auto"/>
        <w:ind w:left="714" w:hanging="357"/>
        <w:contextualSpacing w:val="0"/>
        <w:rPr>
          <w:sz w:val="24"/>
          <w:szCs w:val="24"/>
          <w:lang w:val="en-AU"/>
        </w:rPr>
      </w:pPr>
      <w:r w:rsidRPr="00EC236E">
        <w:rPr>
          <w:sz w:val="24"/>
          <w:szCs w:val="24"/>
          <w:lang w:val="en-AU"/>
        </w:rPr>
        <w:t xml:space="preserve">Ensure the MAP portfolio is strategically coherent and </w:t>
      </w:r>
      <w:r w:rsidR="000046E0" w:rsidRPr="00EC236E">
        <w:rPr>
          <w:sz w:val="24"/>
          <w:szCs w:val="24"/>
          <w:lang w:val="en-AU"/>
        </w:rPr>
        <w:t>delivers on the strategic objective and purpose of the portfolio.</w:t>
      </w:r>
    </w:p>
    <w:p w14:paraId="1576892B" w14:textId="366EA93B" w:rsidR="564ABC88" w:rsidRPr="00EC236E" w:rsidRDefault="564ABC88" w:rsidP="002E677B">
      <w:pPr>
        <w:pStyle w:val="ListParagraph"/>
        <w:numPr>
          <w:ilvl w:val="0"/>
          <w:numId w:val="58"/>
        </w:numPr>
        <w:spacing w:before="60" w:line="240" w:lineRule="auto"/>
        <w:ind w:left="714" w:hanging="357"/>
        <w:contextualSpacing w:val="0"/>
        <w:rPr>
          <w:rFonts w:ascii="Calibri Light" w:eastAsia="Calibri Light" w:hAnsi="Calibri Light" w:cs="Calibri Light"/>
          <w:sz w:val="24"/>
          <w:szCs w:val="24"/>
          <w:lang w:val="en-AU"/>
        </w:rPr>
      </w:pPr>
      <w:r w:rsidRPr="00EC236E">
        <w:rPr>
          <w:rFonts w:ascii="Calibri Light" w:eastAsia="Calibri Light" w:hAnsi="Calibri Light" w:cs="Calibri Light"/>
          <w:sz w:val="24"/>
          <w:szCs w:val="24"/>
          <w:lang w:val="en-AU"/>
        </w:rPr>
        <w:t>E</w:t>
      </w:r>
      <w:r w:rsidR="7B34B964" w:rsidRPr="00EC236E">
        <w:rPr>
          <w:rFonts w:ascii="Calibri Light" w:eastAsia="Calibri Light" w:hAnsi="Calibri Light" w:cs="Calibri Light"/>
          <w:sz w:val="24"/>
          <w:szCs w:val="24"/>
          <w:lang w:val="en-AU"/>
        </w:rPr>
        <w:t>nsures MAP alignment with host country policies</w:t>
      </w:r>
      <w:r w:rsidR="6FFE1E68" w:rsidRPr="00EC236E">
        <w:rPr>
          <w:rFonts w:ascii="Calibri Light" w:eastAsia="Calibri Light" w:hAnsi="Calibri Light" w:cs="Calibri Light"/>
          <w:sz w:val="24"/>
          <w:szCs w:val="24"/>
          <w:lang w:val="en-AU"/>
        </w:rPr>
        <w:t xml:space="preserve"> and considers papers on relevant policy issues and corporate processes</w:t>
      </w:r>
      <w:r w:rsidR="02CD90D1" w:rsidRPr="00EC236E">
        <w:rPr>
          <w:rFonts w:ascii="Calibri Light" w:eastAsia="Calibri Light" w:hAnsi="Calibri Light" w:cs="Calibri Light"/>
          <w:sz w:val="24"/>
          <w:szCs w:val="24"/>
          <w:lang w:val="en-AU"/>
        </w:rPr>
        <w:t>.</w:t>
      </w:r>
    </w:p>
    <w:p w14:paraId="591146A0" w14:textId="7216E4E7" w:rsidR="000046E0" w:rsidRPr="00EC236E" w:rsidRDefault="34A7DCC6" w:rsidP="06744E17">
      <w:pPr>
        <w:pStyle w:val="ListParagraph"/>
        <w:numPr>
          <w:ilvl w:val="0"/>
          <w:numId w:val="58"/>
        </w:numPr>
        <w:spacing w:before="60" w:line="240" w:lineRule="auto"/>
        <w:ind w:left="714" w:hanging="357"/>
        <w:rPr>
          <w:sz w:val="24"/>
          <w:szCs w:val="24"/>
          <w:lang w:val="en-AU"/>
        </w:rPr>
      </w:pPr>
      <w:r w:rsidRPr="00EC236E">
        <w:rPr>
          <w:sz w:val="24"/>
          <w:szCs w:val="24"/>
          <w:lang w:val="en-AU"/>
        </w:rPr>
        <w:t>Approv</w:t>
      </w:r>
      <w:r w:rsidR="00053843">
        <w:rPr>
          <w:sz w:val="24"/>
          <w:szCs w:val="24"/>
          <w:lang w:val="en-AU"/>
        </w:rPr>
        <w:t>e</w:t>
      </w:r>
      <w:r w:rsidR="45B4C491" w:rsidRPr="00EC236E">
        <w:rPr>
          <w:rFonts w:eastAsia="Times New Roman" w:cs="Times New Roman"/>
          <w:sz w:val="24"/>
          <w:szCs w:val="24"/>
          <w:lang w:val="en-AU"/>
        </w:rPr>
        <w:t xml:space="preserve"> annual</w:t>
      </w:r>
      <w:r w:rsidR="0FCFDBD5" w:rsidRPr="00EC236E">
        <w:rPr>
          <w:rFonts w:eastAsia="Times New Roman" w:cs="Times New Roman"/>
          <w:sz w:val="24"/>
          <w:szCs w:val="24"/>
          <w:lang w:val="en-AU"/>
        </w:rPr>
        <w:t xml:space="preserve"> allocations, </w:t>
      </w:r>
      <w:r w:rsidRPr="00EC236E">
        <w:rPr>
          <w:sz w:val="24"/>
          <w:szCs w:val="24"/>
          <w:lang w:val="en-AU"/>
        </w:rPr>
        <w:t xml:space="preserve">ensuring budget allocations are strategic, support </w:t>
      </w:r>
      <w:r w:rsidR="448FB437" w:rsidRPr="00EC236E">
        <w:rPr>
          <w:sz w:val="24"/>
          <w:szCs w:val="24"/>
          <w:lang w:val="en-AU"/>
        </w:rPr>
        <w:t>effective</w:t>
      </w:r>
      <w:r w:rsidRPr="00EC236E">
        <w:rPr>
          <w:sz w:val="24"/>
          <w:szCs w:val="24"/>
          <w:lang w:val="en-AU"/>
        </w:rPr>
        <w:t xml:space="preserve"> </w:t>
      </w:r>
      <w:r w:rsidR="448FB437" w:rsidRPr="00EC236E">
        <w:rPr>
          <w:sz w:val="24"/>
          <w:szCs w:val="24"/>
          <w:lang w:val="en-AU"/>
        </w:rPr>
        <w:t>partnerships</w:t>
      </w:r>
      <w:r w:rsidRPr="00EC236E">
        <w:rPr>
          <w:sz w:val="24"/>
          <w:szCs w:val="24"/>
          <w:lang w:val="en-AU"/>
        </w:rPr>
        <w:t xml:space="preserve"> and reduce fragmentation. </w:t>
      </w:r>
    </w:p>
    <w:p w14:paraId="7DBC5629" w14:textId="118C6B11" w:rsidR="00F47E11" w:rsidRPr="00EC236E" w:rsidRDefault="00F47E11" w:rsidP="06744E17">
      <w:pPr>
        <w:pStyle w:val="ListParagraph"/>
        <w:numPr>
          <w:ilvl w:val="0"/>
          <w:numId w:val="58"/>
        </w:numPr>
        <w:spacing w:before="60" w:line="240" w:lineRule="auto"/>
        <w:ind w:left="714" w:hanging="357"/>
        <w:rPr>
          <w:sz w:val="24"/>
          <w:szCs w:val="24"/>
          <w:lang w:val="en-AU"/>
        </w:rPr>
      </w:pPr>
      <w:r w:rsidRPr="00EC236E">
        <w:rPr>
          <w:sz w:val="24"/>
          <w:szCs w:val="24"/>
          <w:lang w:val="en-AU"/>
        </w:rPr>
        <w:lastRenderedPageBreak/>
        <w:t>Approv</w:t>
      </w:r>
      <w:r w:rsidR="000046E0" w:rsidRPr="00EC236E">
        <w:rPr>
          <w:sz w:val="24"/>
          <w:szCs w:val="24"/>
          <w:lang w:val="en-AU"/>
        </w:rPr>
        <w:t xml:space="preserve">e </w:t>
      </w:r>
      <w:r w:rsidR="00D5115B" w:rsidRPr="00EC236E">
        <w:rPr>
          <w:sz w:val="24"/>
          <w:szCs w:val="24"/>
          <w:lang w:val="en-AU"/>
        </w:rPr>
        <w:t xml:space="preserve">key </w:t>
      </w:r>
      <w:r w:rsidR="000046E0" w:rsidRPr="00EC236E">
        <w:rPr>
          <w:sz w:val="24"/>
          <w:szCs w:val="24"/>
          <w:lang w:val="en-AU"/>
        </w:rPr>
        <w:t xml:space="preserve">portfolio </w:t>
      </w:r>
      <w:r w:rsidR="00D5115B" w:rsidRPr="00EC236E">
        <w:rPr>
          <w:sz w:val="24"/>
          <w:szCs w:val="24"/>
          <w:lang w:val="en-AU"/>
        </w:rPr>
        <w:t>strategies and</w:t>
      </w:r>
      <w:r w:rsidR="00986D9E" w:rsidRPr="00EC236E">
        <w:rPr>
          <w:sz w:val="24"/>
          <w:szCs w:val="24"/>
          <w:lang w:val="en-AU"/>
        </w:rPr>
        <w:t xml:space="preserve"> provide oversight of</w:t>
      </w:r>
      <w:r w:rsidR="00D5115B" w:rsidRPr="00EC236E">
        <w:rPr>
          <w:sz w:val="24"/>
          <w:szCs w:val="24"/>
          <w:lang w:val="en-AU"/>
        </w:rPr>
        <w:t xml:space="preserve"> </w:t>
      </w:r>
      <w:r w:rsidR="000046E0" w:rsidRPr="00EC236E">
        <w:rPr>
          <w:sz w:val="24"/>
          <w:szCs w:val="24"/>
          <w:lang w:val="en-AU"/>
        </w:rPr>
        <w:t>high value</w:t>
      </w:r>
      <w:r w:rsidR="002F099A" w:rsidRPr="00EC236E">
        <w:rPr>
          <w:sz w:val="24"/>
          <w:szCs w:val="24"/>
          <w:lang w:val="en-AU"/>
        </w:rPr>
        <w:t>/</w:t>
      </w:r>
      <w:r w:rsidR="000046E0" w:rsidRPr="00EC236E">
        <w:rPr>
          <w:sz w:val="24"/>
          <w:szCs w:val="24"/>
          <w:lang w:val="en-AU"/>
        </w:rPr>
        <w:t xml:space="preserve">high risk activity </w:t>
      </w:r>
      <w:r w:rsidR="00D5115B" w:rsidRPr="00EC236E">
        <w:rPr>
          <w:sz w:val="24"/>
          <w:szCs w:val="24"/>
          <w:lang w:val="en-AU"/>
        </w:rPr>
        <w:t xml:space="preserve">designs </w:t>
      </w:r>
      <w:r w:rsidR="000046E0" w:rsidRPr="00EC236E">
        <w:rPr>
          <w:sz w:val="24"/>
          <w:szCs w:val="24"/>
          <w:lang w:val="en-AU"/>
        </w:rPr>
        <w:t>(where</w:t>
      </w:r>
      <w:r w:rsidR="00D5115B" w:rsidRPr="00EC236E">
        <w:rPr>
          <w:sz w:val="24"/>
          <w:szCs w:val="24"/>
          <w:lang w:val="en-AU"/>
        </w:rPr>
        <w:t xml:space="preserve"> relevant</w:t>
      </w:r>
      <w:r w:rsidR="000046E0" w:rsidRPr="00EC236E">
        <w:rPr>
          <w:sz w:val="24"/>
          <w:szCs w:val="24"/>
          <w:lang w:val="en-AU"/>
        </w:rPr>
        <w:t>).</w:t>
      </w:r>
    </w:p>
    <w:p w14:paraId="0BA1A32D" w14:textId="68A174B0" w:rsidR="00F47E11" w:rsidRPr="00EC236E" w:rsidRDefault="3DB140C7" w:rsidP="06744E17">
      <w:pPr>
        <w:pStyle w:val="ListParagraph"/>
        <w:numPr>
          <w:ilvl w:val="0"/>
          <w:numId w:val="58"/>
        </w:numPr>
        <w:spacing w:before="60" w:line="240" w:lineRule="auto"/>
        <w:ind w:left="714" w:hanging="357"/>
        <w:rPr>
          <w:rFonts w:ascii="Calibri Light" w:eastAsia="Calibri Light" w:hAnsi="Calibri Light" w:cs="Calibri Light"/>
          <w:sz w:val="24"/>
          <w:szCs w:val="24"/>
          <w:lang w:val="en-AU"/>
        </w:rPr>
      </w:pPr>
      <w:r w:rsidRPr="00EC236E">
        <w:rPr>
          <w:sz w:val="24"/>
          <w:szCs w:val="24"/>
          <w:lang w:val="en-AU"/>
        </w:rPr>
        <w:t>Approv</w:t>
      </w:r>
      <w:r w:rsidR="00053843">
        <w:rPr>
          <w:sz w:val="24"/>
          <w:szCs w:val="24"/>
          <w:lang w:val="en-AU"/>
        </w:rPr>
        <w:t>e</w:t>
      </w:r>
      <w:r w:rsidRPr="00EC236E">
        <w:rPr>
          <w:sz w:val="24"/>
          <w:szCs w:val="24"/>
          <w:lang w:val="en-AU"/>
        </w:rPr>
        <w:t xml:space="preserve"> </w:t>
      </w:r>
      <w:r w:rsidRPr="00EC236E">
        <w:rPr>
          <w:rFonts w:ascii="Calibri Light" w:eastAsia="Calibri Light" w:hAnsi="Calibri Light" w:cs="Calibri Light"/>
          <w:sz w:val="24"/>
          <w:szCs w:val="24"/>
          <w:lang w:val="en-AU"/>
        </w:rPr>
        <w:t xml:space="preserve">flexible interim arrangements, including </w:t>
      </w:r>
      <w:r w:rsidR="5DC55A43" w:rsidRPr="00EC236E">
        <w:rPr>
          <w:rFonts w:ascii="Calibri Light" w:eastAsia="Calibri Light" w:hAnsi="Calibri Light" w:cs="Calibri Light"/>
          <w:sz w:val="24"/>
          <w:szCs w:val="24"/>
          <w:lang w:val="en-AU"/>
        </w:rPr>
        <w:t>allocations</w:t>
      </w:r>
      <w:r w:rsidRPr="00EC236E">
        <w:rPr>
          <w:rFonts w:ascii="Calibri Light" w:eastAsia="Calibri Light" w:hAnsi="Calibri Light" w:cs="Calibri Light"/>
          <w:sz w:val="24"/>
          <w:szCs w:val="24"/>
          <w:lang w:val="en-AU"/>
        </w:rPr>
        <w:t xml:space="preserve"> for high priority activities for the transition period between MAP Phases 1 and 2</w:t>
      </w:r>
      <w:r w:rsidR="00600C27" w:rsidRPr="00EC236E">
        <w:rPr>
          <w:rFonts w:ascii="Calibri Light" w:eastAsia="Calibri Light" w:hAnsi="Calibri Light" w:cs="Calibri Light"/>
          <w:sz w:val="24"/>
          <w:szCs w:val="24"/>
          <w:lang w:val="en-AU"/>
        </w:rPr>
        <w:t>.</w:t>
      </w:r>
    </w:p>
    <w:p w14:paraId="35BB5505" w14:textId="5601B14C" w:rsidR="00F47E11" w:rsidRPr="00EC236E" w:rsidRDefault="0017443F" w:rsidP="002E677B">
      <w:pPr>
        <w:pStyle w:val="ListParagraph"/>
        <w:numPr>
          <w:ilvl w:val="0"/>
          <w:numId w:val="58"/>
        </w:numPr>
        <w:spacing w:before="60" w:line="240" w:lineRule="auto"/>
        <w:ind w:left="714" w:hanging="357"/>
        <w:contextualSpacing w:val="0"/>
        <w:rPr>
          <w:sz w:val="24"/>
          <w:szCs w:val="24"/>
          <w:lang w:val="en-AU"/>
        </w:rPr>
      </w:pPr>
      <w:r w:rsidRPr="00EC236E">
        <w:rPr>
          <w:rFonts w:eastAsia="Times New Roman" w:cs="Times New Roman"/>
          <w:sz w:val="24"/>
          <w:szCs w:val="24"/>
          <w:lang w:val="en-AU"/>
        </w:rPr>
        <w:t xml:space="preserve">Review and endorse </w:t>
      </w:r>
      <w:r w:rsidR="00216790">
        <w:rPr>
          <w:rFonts w:eastAsia="Times New Roman" w:cs="Times New Roman"/>
          <w:sz w:val="24"/>
          <w:szCs w:val="24"/>
          <w:lang w:val="en-AU"/>
        </w:rPr>
        <w:t>high-</w:t>
      </w:r>
      <w:r w:rsidR="00B33A87" w:rsidRPr="00EC236E">
        <w:rPr>
          <w:rFonts w:eastAsia="Times New Roman" w:cs="Times New Roman"/>
          <w:sz w:val="24"/>
          <w:szCs w:val="24"/>
          <w:lang w:val="en-AU"/>
        </w:rPr>
        <w:t xml:space="preserve">level performance management and quality assurance, and utilising reporting, </w:t>
      </w:r>
      <w:r w:rsidR="00FE3B40" w:rsidRPr="00EC236E">
        <w:rPr>
          <w:sz w:val="24"/>
          <w:szCs w:val="24"/>
          <w:lang w:val="en-AU"/>
        </w:rPr>
        <w:t>reviews,</w:t>
      </w:r>
      <w:r w:rsidR="000046E0" w:rsidRPr="00EC236E">
        <w:rPr>
          <w:sz w:val="24"/>
          <w:szCs w:val="24"/>
          <w:lang w:val="en-AU"/>
        </w:rPr>
        <w:t xml:space="preserve"> </w:t>
      </w:r>
      <w:r w:rsidR="00B33A87" w:rsidRPr="00EC236E">
        <w:rPr>
          <w:sz w:val="24"/>
          <w:szCs w:val="24"/>
          <w:lang w:val="en-AU"/>
        </w:rPr>
        <w:t xml:space="preserve">and evaluations </w:t>
      </w:r>
      <w:r w:rsidR="000046E0" w:rsidRPr="00EC236E">
        <w:rPr>
          <w:sz w:val="24"/>
          <w:szCs w:val="24"/>
          <w:lang w:val="en-AU"/>
        </w:rPr>
        <w:t>to foster evidence-based learning and improvement of the portfolio.</w:t>
      </w:r>
    </w:p>
    <w:p w14:paraId="6EB97F86" w14:textId="3A0CCF71" w:rsidR="00F47E11" w:rsidRPr="00EC236E" w:rsidRDefault="00A642EE" w:rsidP="002E677B">
      <w:pPr>
        <w:pStyle w:val="ListParagraph"/>
        <w:numPr>
          <w:ilvl w:val="0"/>
          <w:numId w:val="58"/>
        </w:numPr>
        <w:spacing w:before="60" w:line="240" w:lineRule="auto"/>
        <w:ind w:left="714" w:hanging="357"/>
        <w:contextualSpacing w:val="0"/>
        <w:rPr>
          <w:sz w:val="24"/>
          <w:szCs w:val="24"/>
          <w:lang w:val="en-AU"/>
        </w:rPr>
      </w:pPr>
      <w:r w:rsidRPr="00EC236E">
        <w:rPr>
          <w:sz w:val="24"/>
          <w:szCs w:val="24"/>
          <w:lang w:val="en-AU"/>
        </w:rPr>
        <w:t>Oversee strategic communication approaches across the portfolio.</w:t>
      </w:r>
      <w:r w:rsidR="000046E0" w:rsidRPr="00EC236E">
        <w:rPr>
          <w:sz w:val="24"/>
          <w:szCs w:val="24"/>
          <w:lang w:val="en-AU"/>
        </w:rPr>
        <w:t xml:space="preserve"> </w:t>
      </w:r>
    </w:p>
    <w:p w14:paraId="6FDD5E1B" w14:textId="01A1CF7D" w:rsidR="16E207A9" w:rsidRPr="00EC236E" w:rsidRDefault="00265B08" w:rsidP="002E677B">
      <w:pPr>
        <w:pStyle w:val="ListParagraph"/>
        <w:numPr>
          <w:ilvl w:val="0"/>
          <w:numId w:val="58"/>
        </w:numPr>
        <w:spacing w:before="60" w:line="240" w:lineRule="auto"/>
        <w:ind w:left="714" w:hanging="357"/>
        <w:contextualSpacing w:val="0"/>
        <w:rPr>
          <w:rFonts w:ascii="Calibri Light" w:eastAsia="Calibri Light" w:hAnsi="Calibri Light" w:cs="Calibri Light"/>
          <w:sz w:val="24"/>
          <w:szCs w:val="24"/>
          <w:lang w:val="en-AU"/>
        </w:rPr>
      </w:pPr>
      <w:r>
        <w:rPr>
          <w:sz w:val="24"/>
          <w:szCs w:val="24"/>
          <w:lang w:val="en-AU"/>
        </w:rPr>
        <w:t>Provide o</w:t>
      </w:r>
      <w:r w:rsidR="000046E0" w:rsidRPr="00EC236E">
        <w:rPr>
          <w:sz w:val="24"/>
          <w:szCs w:val="24"/>
          <w:lang w:val="en-AU"/>
        </w:rPr>
        <w:t xml:space="preserve">versight </w:t>
      </w:r>
      <w:r>
        <w:rPr>
          <w:sz w:val="24"/>
          <w:szCs w:val="24"/>
          <w:lang w:val="en-AU"/>
        </w:rPr>
        <w:t xml:space="preserve">of </w:t>
      </w:r>
      <w:r w:rsidR="000046E0" w:rsidRPr="00EC236E">
        <w:rPr>
          <w:sz w:val="24"/>
          <w:szCs w:val="24"/>
          <w:lang w:val="en-AU"/>
        </w:rPr>
        <w:t>and</w:t>
      </w:r>
      <w:r>
        <w:rPr>
          <w:sz w:val="24"/>
          <w:szCs w:val="24"/>
          <w:lang w:val="en-AU"/>
        </w:rPr>
        <w:t xml:space="preserve"> take</w:t>
      </w:r>
      <w:r w:rsidR="000046E0" w:rsidRPr="00EC236E">
        <w:rPr>
          <w:sz w:val="24"/>
          <w:szCs w:val="24"/>
          <w:lang w:val="en-AU"/>
        </w:rPr>
        <w:t xml:space="preserve"> responsibility </w:t>
      </w:r>
      <w:r>
        <w:rPr>
          <w:sz w:val="24"/>
          <w:szCs w:val="24"/>
          <w:lang w:val="en-AU"/>
        </w:rPr>
        <w:t>for</w:t>
      </w:r>
      <w:r w:rsidRPr="00EC236E">
        <w:rPr>
          <w:sz w:val="24"/>
          <w:szCs w:val="24"/>
          <w:lang w:val="en-AU"/>
        </w:rPr>
        <w:t xml:space="preserve"> </w:t>
      </w:r>
      <w:r w:rsidR="00B33A87" w:rsidRPr="00EC236E">
        <w:rPr>
          <w:sz w:val="24"/>
          <w:szCs w:val="24"/>
          <w:lang w:val="en-AU"/>
        </w:rPr>
        <w:t xml:space="preserve">strategic risk and </w:t>
      </w:r>
      <w:r w:rsidR="000046E0" w:rsidRPr="00EC236E">
        <w:rPr>
          <w:sz w:val="24"/>
          <w:szCs w:val="24"/>
          <w:lang w:val="en-AU"/>
        </w:rPr>
        <w:t>portfolio level risk management</w:t>
      </w:r>
      <w:r w:rsidR="1CBAC69C" w:rsidRPr="00EC236E">
        <w:rPr>
          <w:sz w:val="24"/>
          <w:szCs w:val="24"/>
          <w:lang w:val="en-AU"/>
        </w:rPr>
        <w:t xml:space="preserve"> in addition to wider issues that have a </w:t>
      </w:r>
      <w:r w:rsidR="23CA5B9B" w:rsidRPr="00EC236E">
        <w:rPr>
          <w:rFonts w:ascii="Calibri Light" w:eastAsia="Calibri Light" w:hAnsi="Calibri Light" w:cs="Calibri Light"/>
          <w:sz w:val="24"/>
          <w:szCs w:val="24"/>
          <w:lang w:val="en-AU"/>
        </w:rPr>
        <w:t>have a strategic impact on DFAT’s engagement in the Mekong subregion or are potentially high-risk.</w:t>
      </w:r>
    </w:p>
    <w:p w14:paraId="1702F015" w14:textId="19573355" w:rsidR="00F47E11" w:rsidRPr="00EC236E" w:rsidRDefault="008C5615" w:rsidP="00A95DA1">
      <w:pPr>
        <w:rPr>
          <w:sz w:val="24"/>
          <w:szCs w:val="24"/>
          <w:lang w:val="en-AU"/>
        </w:rPr>
      </w:pPr>
      <w:r w:rsidRPr="00EC236E">
        <w:rPr>
          <w:rFonts w:eastAsia="Times New Roman" w:cs="Times New Roman"/>
          <w:sz w:val="24"/>
          <w:szCs w:val="24"/>
          <w:lang w:val="en-AU"/>
        </w:rPr>
        <w:t>The Steering Committee will m</w:t>
      </w:r>
      <w:r w:rsidRPr="00EC236E">
        <w:rPr>
          <w:sz w:val="24"/>
          <w:szCs w:val="24"/>
          <w:lang w:val="en-AU"/>
        </w:rPr>
        <w:t>eet quarterly</w:t>
      </w:r>
      <w:r w:rsidR="00A642EE" w:rsidRPr="00EC236E">
        <w:rPr>
          <w:sz w:val="24"/>
          <w:szCs w:val="24"/>
          <w:lang w:val="en-AU"/>
        </w:rPr>
        <w:t xml:space="preserve"> in</w:t>
      </w:r>
      <w:r w:rsidRPr="00EC236E">
        <w:rPr>
          <w:sz w:val="24"/>
          <w:szCs w:val="24"/>
          <w:lang w:val="en-AU"/>
        </w:rPr>
        <w:t xml:space="preserve"> </w:t>
      </w:r>
      <w:r w:rsidR="00A02CBE" w:rsidRPr="00EC236E">
        <w:rPr>
          <w:sz w:val="24"/>
          <w:szCs w:val="24"/>
          <w:lang w:val="en-AU"/>
        </w:rPr>
        <w:t>2024</w:t>
      </w:r>
      <w:r w:rsidR="00A642EE" w:rsidRPr="00EC236E">
        <w:rPr>
          <w:sz w:val="24"/>
          <w:szCs w:val="24"/>
          <w:lang w:val="en-AU"/>
        </w:rPr>
        <w:t>-</w:t>
      </w:r>
      <w:r w:rsidR="00A02CBE" w:rsidRPr="00EC236E">
        <w:rPr>
          <w:sz w:val="24"/>
          <w:szCs w:val="24"/>
          <w:lang w:val="en-AU"/>
        </w:rPr>
        <w:t>25</w:t>
      </w:r>
      <w:r w:rsidRPr="00EC236E">
        <w:rPr>
          <w:sz w:val="24"/>
          <w:szCs w:val="24"/>
          <w:lang w:val="en-AU"/>
        </w:rPr>
        <w:t xml:space="preserve">, and then six monthly thereafter. </w:t>
      </w:r>
      <w:r w:rsidR="009026BA" w:rsidRPr="00EC236E">
        <w:rPr>
          <w:sz w:val="24"/>
          <w:szCs w:val="24"/>
          <w:lang w:val="en-AU"/>
        </w:rPr>
        <w:t>Important and time-sensitive matters may be coordinated for o</w:t>
      </w:r>
      <w:r w:rsidR="000F014A" w:rsidRPr="00EC236E">
        <w:rPr>
          <w:sz w:val="24"/>
          <w:szCs w:val="24"/>
          <w:lang w:val="en-AU"/>
        </w:rPr>
        <w:t xml:space="preserve">ut-of-session approval </w:t>
      </w:r>
      <w:r w:rsidR="009026BA" w:rsidRPr="00EC236E">
        <w:rPr>
          <w:sz w:val="24"/>
          <w:szCs w:val="24"/>
          <w:lang w:val="en-AU"/>
        </w:rPr>
        <w:t>where necessary.</w:t>
      </w:r>
      <w:r w:rsidR="000F014A" w:rsidRPr="00EC236E">
        <w:rPr>
          <w:sz w:val="24"/>
          <w:szCs w:val="24"/>
          <w:lang w:val="en-AU"/>
        </w:rPr>
        <w:t xml:space="preserve"> </w:t>
      </w:r>
      <w:r w:rsidRPr="00EC236E">
        <w:rPr>
          <w:rFonts w:eastAsia="Times New Roman" w:cs="Times New Roman"/>
          <w:sz w:val="24"/>
          <w:szCs w:val="24"/>
          <w:lang w:val="en-AU"/>
        </w:rPr>
        <w:t xml:space="preserve">MKS will provide Secretariat support to the Steering Committee. </w:t>
      </w:r>
    </w:p>
    <w:p w14:paraId="1A4DFB74" w14:textId="77777777" w:rsidR="00230E5A" w:rsidRPr="001F14E7" w:rsidRDefault="00230E5A" w:rsidP="00230E5A">
      <w:pPr>
        <w:pStyle w:val="Heading2Numbered"/>
        <w:rPr>
          <w:lang w:val="en-AU"/>
        </w:rPr>
      </w:pPr>
      <w:bookmarkStart w:id="72" w:name="_Toc162852543"/>
      <w:bookmarkStart w:id="73" w:name="_Toc163539154"/>
      <w:bookmarkStart w:id="74" w:name="_Toc174029037"/>
      <w:r w:rsidRPr="2C480AEE">
        <w:rPr>
          <w:lang w:val="en-AU"/>
        </w:rPr>
        <w:t>Engagement with counterparts and policy dialogue</w:t>
      </w:r>
      <w:bookmarkEnd w:id="72"/>
      <w:bookmarkEnd w:id="73"/>
      <w:bookmarkEnd w:id="74"/>
    </w:p>
    <w:p w14:paraId="5B7101A6" w14:textId="493EE4E1" w:rsidR="008925AB" w:rsidRPr="00EC236E" w:rsidRDefault="00CE12A1" w:rsidP="003816BF">
      <w:pPr>
        <w:rPr>
          <w:sz w:val="24"/>
          <w:szCs w:val="24"/>
          <w:lang w:val="en-AU"/>
        </w:rPr>
      </w:pPr>
      <w:r w:rsidRPr="00EC236E">
        <w:rPr>
          <w:sz w:val="24"/>
          <w:szCs w:val="24"/>
          <w:lang w:val="en-AU"/>
        </w:rPr>
        <w:t>Policy dialogue and engagement with counterparts will happen on multiple levels given t</w:t>
      </w:r>
      <w:r w:rsidR="00807243" w:rsidRPr="00EC236E">
        <w:rPr>
          <w:sz w:val="24"/>
          <w:szCs w:val="24"/>
          <w:lang w:val="en-AU"/>
        </w:rPr>
        <w:t xml:space="preserve">he thematic breadth of MAP Phase 2 and </w:t>
      </w:r>
      <w:r w:rsidRPr="00EC236E">
        <w:rPr>
          <w:sz w:val="24"/>
          <w:szCs w:val="24"/>
          <w:lang w:val="en-AU"/>
        </w:rPr>
        <w:t>the limited</w:t>
      </w:r>
      <w:r w:rsidR="00807243" w:rsidRPr="00EC236E">
        <w:rPr>
          <w:sz w:val="24"/>
          <w:szCs w:val="24"/>
          <w:lang w:val="en-AU"/>
        </w:rPr>
        <w:t xml:space="preserve"> Mekong subregional architecture to engage with directly.</w:t>
      </w:r>
      <w:r w:rsidR="008925AB" w:rsidRPr="00EC236E">
        <w:rPr>
          <w:sz w:val="24"/>
          <w:szCs w:val="24"/>
          <w:lang w:val="en-AU"/>
        </w:rPr>
        <w:t xml:space="preserve"> DFAT Canberra and </w:t>
      </w:r>
      <w:r w:rsidR="00BB2501" w:rsidRPr="00EC236E">
        <w:rPr>
          <w:sz w:val="24"/>
          <w:szCs w:val="24"/>
          <w:lang w:val="en-AU"/>
        </w:rPr>
        <w:t>Post</w:t>
      </w:r>
      <w:r w:rsidR="008925AB" w:rsidRPr="00EC236E">
        <w:rPr>
          <w:sz w:val="24"/>
          <w:szCs w:val="24"/>
          <w:lang w:val="en-AU"/>
        </w:rPr>
        <w:t xml:space="preserve">s routinely engage with relevant </w:t>
      </w:r>
      <w:r w:rsidR="00047748" w:rsidRPr="00EC236E">
        <w:rPr>
          <w:sz w:val="24"/>
          <w:szCs w:val="24"/>
          <w:lang w:val="en-AU"/>
        </w:rPr>
        <w:t xml:space="preserve">government </w:t>
      </w:r>
      <w:r w:rsidR="008925AB" w:rsidRPr="00EC236E">
        <w:rPr>
          <w:sz w:val="24"/>
          <w:szCs w:val="24"/>
          <w:lang w:val="en-AU"/>
        </w:rPr>
        <w:t>counterparts in multiple forums including ASEAN meetings</w:t>
      </w:r>
      <w:r w:rsidR="00047748" w:rsidRPr="00EC236E">
        <w:rPr>
          <w:sz w:val="24"/>
          <w:szCs w:val="24"/>
          <w:lang w:val="en-AU"/>
        </w:rPr>
        <w:t xml:space="preserve"> and</w:t>
      </w:r>
      <w:r w:rsidR="008925AB" w:rsidRPr="00EC236E">
        <w:rPr>
          <w:sz w:val="24"/>
          <w:szCs w:val="24"/>
          <w:lang w:val="en-AU"/>
        </w:rPr>
        <w:t xml:space="preserve"> </w:t>
      </w:r>
      <w:r w:rsidR="00E95133" w:rsidRPr="00EC236E">
        <w:rPr>
          <w:sz w:val="24"/>
          <w:szCs w:val="24"/>
          <w:lang w:val="en-AU"/>
        </w:rPr>
        <w:t>bilateral dialogues</w:t>
      </w:r>
      <w:r w:rsidR="00047748" w:rsidRPr="00EC236E">
        <w:rPr>
          <w:sz w:val="24"/>
          <w:szCs w:val="24"/>
          <w:lang w:val="en-AU"/>
        </w:rPr>
        <w:t xml:space="preserve"> and</w:t>
      </w:r>
      <w:r w:rsidRPr="00EC236E">
        <w:rPr>
          <w:sz w:val="24"/>
          <w:szCs w:val="24"/>
          <w:lang w:val="en-AU"/>
        </w:rPr>
        <w:t xml:space="preserve"> </w:t>
      </w:r>
      <w:r w:rsidR="00047748" w:rsidRPr="00EC236E">
        <w:rPr>
          <w:sz w:val="24"/>
          <w:szCs w:val="24"/>
          <w:lang w:val="en-AU"/>
        </w:rPr>
        <w:t xml:space="preserve">relevant DFAT policies and strategies (e.g. Southeast Asia and bilateral DPPs) already </w:t>
      </w:r>
      <w:r w:rsidR="00EA18ED" w:rsidRPr="00EC236E">
        <w:rPr>
          <w:sz w:val="24"/>
          <w:szCs w:val="24"/>
          <w:lang w:val="en-AU"/>
        </w:rPr>
        <w:t xml:space="preserve">consider and reflect </w:t>
      </w:r>
      <w:r w:rsidR="008925AB" w:rsidRPr="00EC236E">
        <w:rPr>
          <w:sz w:val="24"/>
          <w:szCs w:val="24"/>
          <w:lang w:val="en-AU"/>
        </w:rPr>
        <w:t>counterpart policy priorities</w:t>
      </w:r>
      <w:r w:rsidR="00E95133" w:rsidRPr="00EC236E">
        <w:rPr>
          <w:sz w:val="24"/>
          <w:szCs w:val="24"/>
          <w:lang w:val="en-AU"/>
        </w:rPr>
        <w:t>.</w:t>
      </w:r>
      <w:r w:rsidR="00807C5C" w:rsidRPr="00EC236E">
        <w:rPr>
          <w:sz w:val="24"/>
          <w:szCs w:val="24"/>
          <w:lang w:val="en-AU"/>
        </w:rPr>
        <w:t xml:space="preserve"> Specific streams of work may have multi-country oversight mechanisms.</w:t>
      </w:r>
      <w:r w:rsidR="002871EC" w:rsidRPr="00EC236E">
        <w:rPr>
          <w:sz w:val="24"/>
          <w:szCs w:val="24"/>
          <w:lang w:val="en-AU"/>
        </w:rPr>
        <w:t xml:space="preserve"> Bilateral activities will be expected to </w:t>
      </w:r>
      <w:r w:rsidR="00B17B4A" w:rsidRPr="00EC236E">
        <w:rPr>
          <w:sz w:val="24"/>
          <w:szCs w:val="24"/>
          <w:lang w:val="en-AU"/>
        </w:rPr>
        <w:t>involve partner government consultation and participation in line with the</w:t>
      </w:r>
      <w:r w:rsidR="00934383" w:rsidRPr="00EC236E">
        <w:rPr>
          <w:sz w:val="24"/>
          <w:szCs w:val="24"/>
          <w:lang w:val="en-AU"/>
        </w:rPr>
        <w:t>ir bilateral DPPs.</w:t>
      </w:r>
    </w:p>
    <w:p w14:paraId="7B9A45FB" w14:textId="5D4196EE" w:rsidR="00E93247" w:rsidRPr="00EC236E" w:rsidRDefault="00E93247" w:rsidP="003816BF">
      <w:pPr>
        <w:rPr>
          <w:sz w:val="24"/>
          <w:szCs w:val="24"/>
          <w:lang w:val="en-AU"/>
        </w:rPr>
      </w:pPr>
      <w:r w:rsidRPr="00EC236E">
        <w:rPr>
          <w:sz w:val="24"/>
          <w:szCs w:val="24"/>
          <w:lang w:val="en-AU"/>
        </w:rPr>
        <w:t xml:space="preserve">Due to the portfolio nature of this design, further work is required to develop </w:t>
      </w:r>
      <w:r w:rsidR="00F62EE8" w:rsidRPr="00EC236E">
        <w:rPr>
          <w:sz w:val="24"/>
          <w:szCs w:val="24"/>
          <w:lang w:val="en-AU"/>
        </w:rPr>
        <w:t>more detailed and specific policy dialogue matrices for each thematic area. Detailed policy dialogue matrices will form part of thematic delivery strategies.</w:t>
      </w:r>
    </w:p>
    <w:p w14:paraId="240C62E3" w14:textId="43D67CBA" w:rsidR="007D573A" w:rsidRPr="00EC236E" w:rsidRDefault="00B33A87" w:rsidP="469ADDC0">
      <w:pPr>
        <w:rPr>
          <w:sz w:val="24"/>
          <w:szCs w:val="24"/>
        </w:rPr>
      </w:pPr>
      <w:r w:rsidRPr="00EC236E">
        <w:rPr>
          <w:sz w:val="24"/>
          <w:szCs w:val="24"/>
        </w:rPr>
        <w:t xml:space="preserve">At the highest level, </w:t>
      </w:r>
      <w:r w:rsidR="00807243" w:rsidRPr="00EC236E">
        <w:rPr>
          <w:sz w:val="24"/>
          <w:szCs w:val="24"/>
        </w:rPr>
        <w:t xml:space="preserve">the Steering Committee will </w:t>
      </w:r>
      <w:r w:rsidR="00646E71" w:rsidRPr="00EC236E">
        <w:rPr>
          <w:sz w:val="24"/>
          <w:szCs w:val="24"/>
        </w:rPr>
        <w:t>ensure alignment with</w:t>
      </w:r>
      <w:r w:rsidR="00807243" w:rsidRPr="00EC236E">
        <w:rPr>
          <w:sz w:val="24"/>
          <w:szCs w:val="24"/>
        </w:rPr>
        <w:t xml:space="preserve"> policy priorities</w:t>
      </w:r>
      <w:r w:rsidR="00646E71" w:rsidRPr="00EC236E">
        <w:rPr>
          <w:sz w:val="24"/>
          <w:szCs w:val="24"/>
        </w:rPr>
        <w:t xml:space="preserve"> set out in the Southeast Asia </w:t>
      </w:r>
      <w:r w:rsidR="150E4B76" w:rsidRPr="00EC236E">
        <w:rPr>
          <w:sz w:val="24"/>
          <w:szCs w:val="24"/>
        </w:rPr>
        <w:t xml:space="preserve">regional </w:t>
      </w:r>
      <w:r w:rsidR="00646E71" w:rsidRPr="00EC236E">
        <w:rPr>
          <w:sz w:val="24"/>
          <w:szCs w:val="24"/>
        </w:rPr>
        <w:t>and bilateral DPPs</w:t>
      </w:r>
      <w:r w:rsidR="00807243" w:rsidRPr="00EC236E">
        <w:rPr>
          <w:sz w:val="24"/>
          <w:szCs w:val="24"/>
        </w:rPr>
        <w:t xml:space="preserve">, and </w:t>
      </w:r>
      <w:r w:rsidR="00782A77" w:rsidRPr="00EC236E">
        <w:rPr>
          <w:sz w:val="24"/>
          <w:szCs w:val="24"/>
        </w:rPr>
        <w:t xml:space="preserve">relevant </w:t>
      </w:r>
      <w:r w:rsidR="00CE12A1" w:rsidRPr="00EC236E">
        <w:rPr>
          <w:sz w:val="24"/>
          <w:szCs w:val="24"/>
        </w:rPr>
        <w:t>DFAT officers</w:t>
      </w:r>
      <w:r w:rsidR="00782A77" w:rsidRPr="00EC236E">
        <w:rPr>
          <w:sz w:val="24"/>
          <w:szCs w:val="24"/>
        </w:rPr>
        <w:t xml:space="preserve"> will pursue dialogue as part of their routine interaction</w:t>
      </w:r>
      <w:r w:rsidR="00047748" w:rsidRPr="00EC236E">
        <w:rPr>
          <w:sz w:val="24"/>
          <w:szCs w:val="24"/>
        </w:rPr>
        <w:t xml:space="preserve">s </w:t>
      </w:r>
      <w:r w:rsidR="00782A77" w:rsidRPr="00EC236E">
        <w:rPr>
          <w:sz w:val="24"/>
          <w:szCs w:val="24"/>
        </w:rPr>
        <w:t>with counterparts.</w:t>
      </w:r>
      <w:r w:rsidR="005D7501" w:rsidRPr="00EC236E">
        <w:rPr>
          <w:sz w:val="24"/>
          <w:szCs w:val="24"/>
        </w:rPr>
        <w:t xml:space="preserve"> </w:t>
      </w:r>
      <w:r w:rsidR="00DB70A7" w:rsidRPr="00EC236E">
        <w:rPr>
          <w:sz w:val="24"/>
          <w:szCs w:val="24"/>
        </w:rPr>
        <w:t>Short course,</w:t>
      </w:r>
      <w:r w:rsidR="00CE12A1" w:rsidRPr="00EC236E">
        <w:rPr>
          <w:sz w:val="24"/>
          <w:szCs w:val="24"/>
        </w:rPr>
        <w:t xml:space="preserve"> technical</w:t>
      </w:r>
      <w:r w:rsidR="00DB70A7" w:rsidRPr="00EC236E">
        <w:rPr>
          <w:sz w:val="24"/>
          <w:szCs w:val="24"/>
        </w:rPr>
        <w:t xml:space="preserve"> policy dialogue, </w:t>
      </w:r>
      <w:r w:rsidR="001B0FAF" w:rsidRPr="00EC236E">
        <w:rPr>
          <w:sz w:val="24"/>
          <w:szCs w:val="24"/>
        </w:rPr>
        <w:t xml:space="preserve">research, </w:t>
      </w:r>
      <w:r w:rsidR="00DB70A7" w:rsidRPr="00EC236E">
        <w:rPr>
          <w:sz w:val="24"/>
          <w:szCs w:val="24"/>
        </w:rPr>
        <w:t>peer-to-peer learning events and twin</w:t>
      </w:r>
      <w:r w:rsidR="00852CA9" w:rsidRPr="00EC236E">
        <w:rPr>
          <w:sz w:val="24"/>
          <w:szCs w:val="24"/>
        </w:rPr>
        <w:t>n</w:t>
      </w:r>
      <w:r w:rsidR="00DB70A7" w:rsidRPr="00EC236E">
        <w:rPr>
          <w:sz w:val="24"/>
          <w:szCs w:val="24"/>
        </w:rPr>
        <w:t>ing arrangements</w:t>
      </w:r>
      <w:r w:rsidR="579E336B" w:rsidRPr="00EC236E">
        <w:rPr>
          <w:sz w:val="24"/>
          <w:szCs w:val="24"/>
        </w:rPr>
        <w:t xml:space="preserve"> </w:t>
      </w:r>
      <w:r w:rsidR="00212D8D" w:rsidRPr="00EC236E">
        <w:rPr>
          <w:sz w:val="24"/>
          <w:szCs w:val="24"/>
        </w:rPr>
        <w:t>will be key pathway</w:t>
      </w:r>
      <w:r w:rsidR="00047748" w:rsidRPr="00EC236E">
        <w:rPr>
          <w:sz w:val="24"/>
          <w:szCs w:val="24"/>
        </w:rPr>
        <w:t>s</w:t>
      </w:r>
      <w:r w:rsidR="00212D8D" w:rsidRPr="00EC236E">
        <w:rPr>
          <w:sz w:val="24"/>
          <w:szCs w:val="24"/>
        </w:rPr>
        <w:t xml:space="preserve"> for pursuing portfolio and investment level policy dialogue and engagement.</w:t>
      </w:r>
    </w:p>
    <w:p w14:paraId="67E7360B" w14:textId="5A023A88" w:rsidR="009D08BC" w:rsidRPr="00EC236E" w:rsidRDefault="00BB2501" w:rsidP="003816BF">
      <w:pPr>
        <w:rPr>
          <w:sz w:val="24"/>
          <w:szCs w:val="24"/>
          <w:lang w:val="en-AU"/>
        </w:rPr>
      </w:pPr>
      <w:r w:rsidRPr="00EC236E">
        <w:rPr>
          <w:sz w:val="24"/>
          <w:szCs w:val="24"/>
          <w:lang w:val="en-AU"/>
        </w:rPr>
        <w:t>Post</w:t>
      </w:r>
      <w:r w:rsidR="006D57AE" w:rsidRPr="00EC236E">
        <w:rPr>
          <w:sz w:val="24"/>
          <w:szCs w:val="24"/>
          <w:lang w:val="en-AU"/>
        </w:rPr>
        <w:t>s</w:t>
      </w:r>
      <w:r w:rsidR="00A95DA1" w:rsidRPr="00EC236E">
        <w:rPr>
          <w:sz w:val="24"/>
          <w:szCs w:val="24"/>
          <w:lang w:val="en-AU"/>
        </w:rPr>
        <w:t xml:space="preserve"> may</w:t>
      </w:r>
      <w:r w:rsidR="006D57AE" w:rsidRPr="00EC236E">
        <w:rPr>
          <w:sz w:val="24"/>
          <w:szCs w:val="24"/>
          <w:lang w:val="en-AU"/>
        </w:rPr>
        <w:t xml:space="preserve"> engage with partners in </w:t>
      </w:r>
      <w:r w:rsidR="00CE12A1" w:rsidRPr="00EC236E">
        <w:rPr>
          <w:sz w:val="24"/>
          <w:szCs w:val="24"/>
          <w:lang w:val="en-AU"/>
        </w:rPr>
        <w:t>determining</w:t>
      </w:r>
      <w:r w:rsidR="006D57AE" w:rsidRPr="00EC236E">
        <w:rPr>
          <w:sz w:val="24"/>
          <w:szCs w:val="24"/>
          <w:lang w:val="en-AU"/>
        </w:rPr>
        <w:t xml:space="preserve"> MAP country plans, which align with DPPs. </w:t>
      </w:r>
      <w:r w:rsidR="00CE12A1" w:rsidRPr="00EC236E">
        <w:rPr>
          <w:sz w:val="24"/>
          <w:szCs w:val="24"/>
          <w:lang w:val="en-AU"/>
        </w:rPr>
        <w:t>Additionally,</w:t>
      </w:r>
      <w:r w:rsidR="005D7501" w:rsidRPr="00EC236E">
        <w:rPr>
          <w:sz w:val="24"/>
          <w:szCs w:val="24"/>
          <w:lang w:val="en-AU"/>
        </w:rPr>
        <w:t xml:space="preserve"> </w:t>
      </w:r>
      <w:r w:rsidR="00CE12A1" w:rsidRPr="00EC236E">
        <w:rPr>
          <w:sz w:val="24"/>
          <w:szCs w:val="24"/>
          <w:lang w:val="en-AU"/>
        </w:rPr>
        <w:t xml:space="preserve">larger </w:t>
      </w:r>
      <w:r w:rsidR="00B33A87" w:rsidRPr="00EC236E">
        <w:rPr>
          <w:sz w:val="24"/>
          <w:szCs w:val="24"/>
          <w:lang w:val="en-AU"/>
        </w:rPr>
        <w:t xml:space="preserve">MAP funded investments will </w:t>
      </w:r>
      <w:r w:rsidR="006D57AE" w:rsidRPr="00EC236E">
        <w:rPr>
          <w:sz w:val="24"/>
          <w:szCs w:val="24"/>
          <w:lang w:val="en-AU"/>
        </w:rPr>
        <w:t xml:space="preserve">include investment level governance </w:t>
      </w:r>
      <w:r w:rsidR="00CE12A1" w:rsidRPr="00EC236E">
        <w:rPr>
          <w:sz w:val="24"/>
          <w:szCs w:val="24"/>
          <w:lang w:val="en-AU"/>
        </w:rPr>
        <w:t xml:space="preserve">and policy dialogue </w:t>
      </w:r>
      <w:r w:rsidR="006D57AE" w:rsidRPr="00EC236E">
        <w:rPr>
          <w:sz w:val="24"/>
          <w:szCs w:val="24"/>
          <w:lang w:val="en-AU"/>
        </w:rPr>
        <w:t xml:space="preserve">arrangements </w:t>
      </w:r>
      <w:r w:rsidR="00CE12A1" w:rsidRPr="00EC236E">
        <w:rPr>
          <w:sz w:val="24"/>
          <w:szCs w:val="24"/>
          <w:lang w:val="en-AU"/>
        </w:rPr>
        <w:t>with</w:t>
      </w:r>
      <w:r w:rsidR="006D57AE" w:rsidRPr="00EC236E">
        <w:rPr>
          <w:sz w:val="24"/>
          <w:szCs w:val="24"/>
          <w:lang w:val="en-AU"/>
        </w:rPr>
        <w:t xml:space="preserve"> counterparts</w:t>
      </w:r>
      <w:r w:rsidR="00047748" w:rsidRPr="00EC236E">
        <w:rPr>
          <w:sz w:val="24"/>
          <w:szCs w:val="24"/>
          <w:lang w:val="en-AU"/>
        </w:rPr>
        <w:t>, on a needs basis</w:t>
      </w:r>
      <w:r w:rsidR="006D57AE" w:rsidRPr="00EC236E">
        <w:rPr>
          <w:sz w:val="24"/>
          <w:szCs w:val="24"/>
          <w:lang w:val="en-AU"/>
        </w:rPr>
        <w:t xml:space="preserve">. </w:t>
      </w:r>
    </w:p>
    <w:p w14:paraId="19285BB7" w14:textId="54AB0BDC" w:rsidR="009D08BC" w:rsidRPr="001F14E7" w:rsidRDefault="009D08BC" w:rsidP="00113F17">
      <w:pPr>
        <w:pStyle w:val="Heading2Numbered"/>
        <w:rPr>
          <w:lang w:val="en-AU"/>
        </w:rPr>
      </w:pPr>
      <w:bookmarkStart w:id="75" w:name="_Toc174029038"/>
      <w:r w:rsidRPr="2C480AEE">
        <w:rPr>
          <w:lang w:val="en-AU"/>
        </w:rPr>
        <w:t>Investment Selection</w:t>
      </w:r>
      <w:bookmarkEnd w:id="75"/>
    </w:p>
    <w:p w14:paraId="6DAE5977" w14:textId="046F2A78" w:rsidR="009D08BC" w:rsidRPr="00E31876" w:rsidRDefault="00A3423C" w:rsidP="003816BF">
      <w:pPr>
        <w:rPr>
          <w:sz w:val="24"/>
          <w:szCs w:val="24"/>
          <w:lang w:val="en-AU"/>
        </w:rPr>
      </w:pPr>
      <w:r w:rsidRPr="00EC236E">
        <w:rPr>
          <w:sz w:val="24"/>
          <w:szCs w:val="24"/>
          <w:lang w:val="en-AU"/>
        </w:rPr>
        <w:t>Ideas for MAP activities may be generated in a top-down (</w:t>
      </w:r>
      <w:r w:rsidR="00D30F31" w:rsidRPr="00EC236E">
        <w:rPr>
          <w:sz w:val="24"/>
          <w:szCs w:val="24"/>
          <w:lang w:val="en-AU"/>
        </w:rPr>
        <w:t>i</w:t>
      </w:r>
      <w:r w:rsidR="37F82CEB" w:rsidRPr="00EC236E">
        <w:rPr>
          <w:sz w:val="24"/>
          <w:szCs w:val="24"/>
          <w:lang w:val="en-AU"/>
        </w:rPr>
        <w:t>.</w:t>
      </w:r>
      <w:r w:rsidR="00D30F31" w:rsidRPr="00EC236E">
        <w:rPr>
          <w:sz w:val="24"/>
          <w:szCs w:val="24"/>
          <w:lang w:val="en-AU"/>
        </w:rPr>
        <w:t>e</w:t>
      </w:r>
      <w:r w:rsidR="0C1513F5" w:rsidRPr="00EC236E">
        <w:rPr>
          <w:sz w:val="24"/>
          <w:szCs w:val="24"/>
          <w:lang w:val="en-AU"/>
        </w:rPr>
        <w:t>.</w:t>
      </w:r>
      <w:r w:rsidRPr="00EC236E">
        <w:rPr>
          <w:sz w:val="24"/>
          <w:szCs w:val="24"/>
          <w:lang w:val="en-AU"/>
        </w:rPr>
        <w:t xml:space="preserve"> the Steering Committee advises teams to pursue new ideas) or in a bottom-up </w:t>
      </w:r>
      <w:r w:rsidR="00D30F31" w:rsidRPr="00EC236E">
        <w:rPr>
          <w:sz w:val="24"/>
          <w:szCs w:val="24"/>
          <w:lang w:val="en-AU"/>
        </w:rPr>
        <w:t xml:space="preserve">manner </w:t>
      </w:r>
      <w:r w:rsidRPr="00EC236E">
        <w:rPr>
          <w:sz w:val="24"/>
          <w:szCs w:val="24"/>
          <w:lang w:val="en-AU"/>
        </w:rPr>
        <w:t>(</w:t>
      </w:r>
      <w:r w:rsidR="00D30F31" w:rsidRPr="00EC236E">
        <w:rPr>
          <w:sz w:val="24"/>
          <w:szCs w:val="24"/>
          <w:lang w:val="en-AU"/>
        </w:rPr>
        <w:t>i</w:t>
      </w:r>
      <w:r w:rsidR="3D903EE5" w:rsidRPr="00EC236E">
        <w:rPr>
          <w:sz w:val="24"/>
          <w:szCs w:val="24"/>
          <w:lang w:val="en-AU"/>
        </w:rPr>
        <w:t>.</w:t>
      </w:r>
      <w:r w:rsidR="00D30F31" w:rsidRPr="00EC236E">
        <w:rPr>
          <w:sz w:val="24"/>
          <w:szCs w:val="24"/>
          <w:lang w:val="en-AU"/>
        </w:rPr>
        <w:t>e</w:t>
      </w:r>
      <w:r w:rsidR="7A9D6863" w:rsidRPr="00EC236E">
        <w:rPr>
          <w:sz w:val="24"/>
          <w:szCs w:val="24"/>
          <w:lang w:val="en-AU"/>
        </w:rPr>
        <w:t>.</w:t>
      </w:r>
      <w:r w:rsidRPr="00EC236E">
        <w:rPr>
          <w:sz w:val="24"/>
          <w:szCs w:val="24"/>
          <w:lang w:val="en-AU"/>
        </w:rPr>
        <w:t xml:space="preserve"> posts present new ideas to the Steering Committee based on advice from partner governments and/or external stakeholders). Ultimately, the Steering Committee will make decisions on strategic direction setting and programming, considering </w:t>
      </w:r>
      <w:r w:rsidRPr="00E31876">
        <w:rPr>
          <w:sz w:val="24"/>
          <w:szCs w:val="24"/>
          <w:lang w:val="en-AU"/>
        </w:rPr>
        <w:t xml:space="preserve">the relative merits of funding proposals against </w:t>
      </w:r>
      <w:r w:rsidR="003816BF" w:rsidRPr="00E31876">
        <w:rPr>
          <w:sz w:val="24"/>
          <w:szCs w:val="24"/>
          <w:lang w:val="en-AU"/>
        </w:rPr>
        <w:t xml:space="preserve">portfolio </w:t>
      </w:r>
      <w:r w:rsidRPr="00E31876">
        <w:rPr>
          <w:sz w:val="24"/>
          <w:szCs w:val="24"/>
          <w:lang w:val="en-AU"/>
        </w:rPr>
        <w:t>EOPOs and other considerations.</w:t>
      </w:r>
    </w:p>
    <w:p w14:paraId="658E7863" w14:textId="21C4D2CC" w:rsidR="009D08BC" w:rsidRPr="00F24EDB" w:rsidRDefault="24D9FEC7" w:rsidP="003816BF">
      <w:pPr>
        <w:rPr>
          <w:sz w:val="24"/>
          <w:szCs w:val="24"/>
          <w:lang w:val="en-AU"/>
        </w:rPr>
      </w:pPr>
      <w:r w:rsidRPr="00F24EDB">
        <w:rPr>
          <w:sz w:val="24"/>
          <w:szCs w:val="24"/>
          <w:lang w:val="en-AU"/>
        </w:rPr>
        <w:t xml:space="preserve">The </w:t>
      </w:r>
      <w:r w:rsidR="00E31876" w:rsidRPr="00F24EDB">
        <w:rPr>
          <w:sz w:val="24"/>
          <w:szCs w:val="24"/>
          <w:lang w:val="en-AU"/>
        </w:rPr>
        <w:t>following</w:t>
      </w:r>
      <w:r w:rsidRPr="00F24EDB">
        <w:rPr>
          <w:sz w:val="24"/>
          <w:szCs w:val="24"/>
          <w:lang w:val="en-AU"/>
        </w:rPr>
        <w:t xml:space="preserve"> suggested selection criteria will guide MAP Phase 2 spending: </w:t>
      </w:r>
    </w:p>
    <w:p w14:paraId="25AD5AFD" w14:textId="34F66A19" w:rsidR="009D08BC" w:rsidRPr="00F24EDB" w:rsidRDefault="24D9FEC7" w:rsidP="002E677B">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lastRenderedPageBreak/>
        <w:t>Investments must be ODA eligible</w:t>
      </w:r>
      <w:r w:rsidR="36A3B7C3" w:rsidRPr="00F24EDB">
        <w:rPr>
          <w:sz w:val="24"/>
          <w:szCs w:val="24"/>
          <w:lang w:val="en-AU"/>
        </w:rPr>
        <w:t>.</w:t>
      </w:r>
      <w:r w:rsidRPr="00F24EDB">
        <w:rPr>
          <w:sz w:val="24"/>
          <w:szCs w:val="24"/>
          <w:lang w:val="en-AU"/>
        </w:rPr>
        <w:t xml:space="preserve"> </w:t>
      </w:r>
    </w:p>
    <w:p w14:paraId="06885A67" w14:textId="7BA0B1A8" w:rsidR="009D08BC" w:rsidRPr="00F24EDB" w:rsidRDefault="24D9FEC7" w:rsidP="002E677B">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t>Investments must align with the International Development Policy and other overarching Australian Government and relevant Departmental goals and strategies</w:t>
      </w:r>
      <w:r w:rsidR="66262952" w:rsidRPr="00F24EDB">
        <w:rPr>
          <w:sz w:val="24"/>
          <w:szCs w:val="24"/>
          <w:lang w:val="en-AU"/>
        </w:rPr>
        <w:t xml:space="preserve"> including DPPs.</w:t>
      </w:r>
    </w:p>
    <w:p w14:paraId="3800E7A0" w14:textId="4F7666E1" w:rsidR="009D08BC" w:rsidRPr="00F24EDB" w:rsidRDefault="24D9FEC7" w:rsidP="002E677B">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t>Investments must include objectives with clearly articulated link</w:t>
      </w:r>
      <w:r w:rsidR="001211E2" w:rsidRPr="00F24EDB">
        <w:rPr>
          <w:sz w:val="24"/>
          <w:szCs w:val="24"/>
          <w:lang w:val="en-AU"/>
        </w:rPr>
        <w:t>s</w:t>
      </w:r>
      <w:r w:rsidRPr="00F24EDB">
        <w:rPr>
          <w:sz w:val="24"/>
          <w:szCs w:val="24"/>
          <w:lang w:val="en-AU"/>
        </w:rPr>
        <w:t xml:space="preserve"> and relevance to the portfolio logic, and at least one immediate outcome.</w:t>
      </w:r>
    </w:p>
    <w:p w14:paraId="537E98F3" w14:textId="3DCC52CD" w:rsidR="00D23A78" w:rsidRPr="00F24EDB" w:rsidRDefault="3D8189B1" w:rsidP="00D23A78">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t>Investments must align with partner government and/or subregional priorities.</w:t>
      </w:r>
    </w:p>
    <w:p w14:paraId="15C2C689" w14:textId="767E3B0F" w:rsidR="009D08BC" w:rsidRPr="00F24EDB" w:rsidRDefault="24D9FEC7" w:rsidP="002E677B">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t xml:space="preserve">Investments must cover at least one </w:t>
      </w:r>
      <w:r w:rsidR="1CEA8487" w:rsidRPr="00F24EDB">
        <w:rPr>
          <w:sz w:val="24"/>
          <w:szCs w:val="24"/>
          <w:lang w:val="en-AU"/>
        </w:rPr>
        <w:t xml:space="preserve">MAP </w:t>
      </w:r>
      <w:r w:rsidRPr="00F24EDB">
        <w:rPr>
          <w:sz w:val="24"/>
          <w:szCs w:val="24"/>
          <w:lang w:val="en-AU"/>
        </w:rPr>
        <w:t>thematic area.</w:t>
      </w:r>
    </w:p>
    <w:p w14:paraId="6C472E57" w14:textId="62914DEC" w:rsidR="009D08BC" w:rsidRPr="00F24EDB" w:rsidRDefault="009D08BC" w:rsidP="002E677B">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t xml:space="preserve">Investments </w:t>
      </w:r>
      <w:r w:rsidR="00E50358" w:rsidRPr="00F24EDB">
        <w:rPr>
          <w:sz w:val="24"/>
          <w:szCs w:val="24"/>
          <w:lang w:val="en-AU"/>
        </w:rPr>
        <w:t xml:space="preserve">should </w:t>
      </w:r>
      <w:r w:rsidRPr="00F24EDB">
        <w:rPr>
          <w:sz w:val="24"/>
          <w:szCs w:val="24"/>
          <w:lang w:val="en-AU"/>
        </w:rPr>
        <w:t>be GEDSI responsive or GEDSI transformat</w:t>
      </w:r>
      <w:r w:rsidR="00A33392" w:rsidRPr="0000253E">
        <w:rPr>
          <w:sz w:val="24"/>
          <w:szCs w:val="24"/>
          <w:lang w:val="en-AU"/>
        </w:rPr>
        <w:t>ive</w:t>
      </w:r>
      <w:r w:rsidRPr="00F24EDB">
        <w:rPr>
          <w:sz w:val="24"/>
          <w:szCs w:val="24"/>
          <w:lang w:val="en-AU"/>
        </w:rPr>
        <w:t xml:space="preserve"> (see section 5 for more details)</w:t>
      </w:r>
    </w:p>
    <w:p w14:paraId="01C99EC5" w14:textId="77777777" w:rsidR="009D08BC" w:rsidRPr="00F24EDB" w:rsidRDefault="009D08BC" w:rsidP="002E677B">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t>Investments should preferably include potential to address shared and/or transboundary challenge across the Mekong subregion.</w:t>
      </w:r>
    </w:p>
    <w:p w14:paraId="2EDC930E" w14:textId="3E9E72DC" w:rsidR="009D08BC" w:rsidRPr="00F24EDB" w:rsidRDefault="24D9FEC7" w:rsidP="002E677B">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t>Investments should preferably include potential to foster, deepen and extend long term partnerships in pursuit of shared solutions</w:t>
      </w:r>
      <w:r w:rsidR="4EDAD19C" w:rsidRPr="00F24EDB">
        <w:rPr>
          <w:sz w:val="24"/>
          <w:szCs w:val="24"/>
          <w:lang w:val="en-AU"/>
        </w:rPr>
        <w:t>.</w:t>
      </w:r>
    </w:p>
    <w:p w14:paraId="76AB7401" w14:textId="77777777" w:rsidR="009D08BC" w:rsidRPr="00F24EDB" w:rsidRDefault="24D9FEC7" w:rsidP="002E677B">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t>Investments should have a trilateral, transboundary or multi-country element where possible. Purely bilateral activities that do not have a clear link to Mekong subregion resilience may be referred to other funding mechanisms.</w:t>
      </w:r>
    </w:p>
    <w:p w14:paraId="2A8E46AC" w14:textId="77777777" w:rsidR="009D08BC" w:rsidRPr="00F24EDB" w:rsidRDefault="009D08BC" w:rsidP="002E677B">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t>Investments should consider opportunities for coordination and/or cooperation with other development partners.</w:t>
      </w:r>
    </w:p>
    <w:p w14:paraId="2F39F526" w14:textId="6F028128" w:rsidR="009D08BC" w:rsidRPr="00F24EDB" w:rsidRDefault="24D9FEC7" w:rsidP="002E677B">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t>Investments should prioritise local actors</w:t>
      </w:r>
      <w:r w:rsidR="12A9BF39" w:rsidRPr="00F24EDB">
        <w:rPr>
          <w:sz w:val="24"/>
          <w:szCs w:val="24"/>
          <w:lang w:val="en-AU"/>
        </w:rPr>
        <w:t>, where feasible,</w:t>
      </w:r>
      <w:r w:rsidRPr="00F24EDB">
        <w:rPr>
          <w:sz w:val="24"/>
          <w:szCs w:val="24"/>
          <w:lang w:val="en-AU"/>
        </w:rPr>
        <w:t xml:space="preserve"> and opportunities to deepen locally led development </w:t>
      </w:r>
      <w:r w:rsidR="3D8189B1" w:rsidRPr="00F24EDB">
        <w:rPr>
          <w:sz w:val="24"/>
          <w:szCs w:val="24"/>
          <w:lang w:val="en-AU"/>
        </w:rPr>
        <w:t xml:space="preserve">and </w:t>
      </w:r>
      <w:r w:rsidR="7D26D085" w:rsidRPr="00F24EDB">
        <w:rPr>
          <w:sz w:val="24"/>
          <w:szCs w:val="24"/>
          <w:lang w:val="en-AU"/>
        </w:rPr>
        <w:t>opportunities for partner government counterparts to participate in governance arrangements</w:t>
      </w:r>
      <w:r w:rsidR="31996AF4" w:rsidRPr="00F24EDB">
        <w:rPr>
          <w:sz w:val="24"/>
          <w:szCs w:val="24"/>
          <w:lang w:val="en-AU"/>
        </w:rPr>
        <w:t>.</w:t>
      </w:r>
    </w:p>
    <w:p w14:paraId="597F17C7" w14:textId="268983FB" w:rsidR="009D08BC" w:rsidRPr="007202F3" w:rsidRDefault="24D9FEC7" w:rsidP="002E677B">
      <w:pPr>
        <w:numPr>
          <w:ilvl w:val="0"/>
          <w:numId w:val="59"/>
        </w:numPr>
        <w:tabs>
          <w:tab w:val="left" w:pos="284"/>
        </w:tabs>
        <w:suppressAutoHyphens w:val="0"/>
        <w:spacing w:before="60" w:line="240" w:lineRule="auto"/>
        <w:ind w:left="714" w:hanging="357"/>
        <w:rPr>
          <w:sz w:val="24"/>
          <w:szCs w:val="24"/>
          <w:lang w:val="en-AU"/>
        </w:rPr>
      </w:pPr>
      <w:r w:rsidRPr="00F24EDB">
        <w:rPr>
          <w:sz w:val="24"/>
          <w:szCs w:val="24"/>
          <w:lang w:val="en-AU"/>
        </w:rPr>
        <w:t xml:space="preserve">Investments must demonstrate Australia’s value add and play to Australia’s comparative advantage and potential support to partnerships with Australian organisations where </w:t>
      </w:r>
      <w:r w:rsidRPr="007202F3">
        <w:rPr>
          <w:sz w:val="24"/>
          <w:szCs w:val="24"/>
          <w:lang w:val="en-AU"/>
        </w:rPr>
        <w:t>appropriate and relevant.</w:t>
      </w:r>
    </w:p>
    <w:p w14:paraId="4DEEFCCC" w14:textId="34D4EB8F" w:rsidR="009D08BC" w:rsidRPr="007202F3" w:rsidRDefault="00A33D80" w:rsidP="002E677B">
      <w:pPr>
        <w:numPr>
          <w:ilvl w:val="0"/>
          <w:numId w:val="59"/>
        </w:numPr>
        <w:tabs>
          <w:tab w:val="left" w:pos="284"/>
        </w:tabs>
        <w:suppressAutoHyphens w:val="0"/>
        <w:spacing w:before="60" w:line="240" w:lineRule="auto"/>
        <w:ind w:left="714" w:hanging="357"/>
        <w:rPr>
          <w:sz w:val="24"/>
          <w:szCs w:val="24"/>
          <w:lang w:val="en-AU"/>
        </w:rPr>
      </w:pPr>
      <w:r w:rsidRPr="007202F3">
        <w:rPr>
          <w:sz w:val="24"/>
          <w:szCs w:val="24"/>
          <w:lang w:val="en-AU"/>
        </w:rPr>
        <w:t>Investments should retain flexibility</w:t>
      </w:r>
      <w:r w:rsidR="009D08BC" w:rsidRPr="007202F3">
        <w:rPr>
          <w:sz w:val="24"/>
          <w:szCs w:val="24"/>
          <w:lang w:val="en-AU"/>
        </w:rPr>
        <w:t xml:space="preserve"> for Myanmar partners to be included </w:t>
      </w:r>
      <w:r w:rsidRPr="007202F3">
        <w:rPr>
          <w:sz w:val="24"/>
          <w:szCs w:val="24"/>
          <w:lang w:val="en-AU"/>
        </w:rPr>
        <w:t>where appropriate</w:t>
      </w:r>
      <w:r w:rsidR="009D08BC" w:rsidRPr="007202F3">
        <w:rPr>
          <w:sz w:val="24"/>
          <w:szCs w:val="24"/>
          <w:lang w:val="en-AU"/>
        </w:rPr>
        <w:t>.</w:t>
      </w:r>
    </w:p>
    <w:p w14:paraId="128EEC22" w14:textId="1C55DDE3" w:rsidR="00C752B3" w:rsidRPr="001F14E7" w:rsidRDefault="00230E5A" w:rsidP="00BB1979">
      <w:pPr>
        <w:pStyle w:val="Heading2Numbered"/>
        <w:rPr>
          <w:lang w:val="en-AU"/>
        </w:rPr>
      </w:pPr>
      <w:bookmarkStart w:id="76" w:name="_Toc163539155"/>
      <w:bookmarkStart w:id="77" w:name="_Toc174029039"/>
      <w:r w:rsidRPr="2C480AEE">
        <w:rPr>
          <w:lang w:val="en-AU"/>
        </w:rPr>
        <w:t xml:space="preserve">Pipeline </w:t>
      </w:r>
      <w:r w:rsidR="00C9043B" w:rsidRPr="2C480AEE">
        <w:rPr>
          <w:lang w:val="en-AU"/>
        </w:rPr>
        <w:t>planning</w:t>
      </w:r>
      <w:bookmarkEnd w:id="76"/>
      <w:bookmarkEnd w:id="77"/>
    </w:p>
    <w:p w14:paraId="3CCBA77B" w14:textId="3C8C5D1B" w:rsidR="00DB46CD" w:rsidRPr="00EC236E" w:rsidRDefault="00DB46CD" w:rsidP="003816BF">
      <w:pPr>
        <w:rPr>
          <w:sz w:val="24"/>
          <w:szCs w:val="24"/>
          <w:lang w:val="en-AU"/>
        </w:rPr>
      </w:pPr>
      <w:r w:rsidRPr="00EC236E">
        <w:rPr>
          <w:sz w:val="24"/>
          <w:szCs w:val="24"/>
          <w:lang w:val="en-AU"/>
        </w:rPr>
        <w:t>A pipeline planning process is underway to ensure that relevant</w:t>
      </w:r>
      <w:r w:rsidR="0022380A" w:rsidRPr="00EC236E">
        <w:rPr>
          <w:sz w:val="24"/>
          <w:szCs w:val="24"/>
          <w:lang w:val="en-AU"/>
        </w:rPr>
        <w:t xml:space="preserve"> high-priority</w:t>
      </w:r>
      <w:r w:rsidRPr="00EC236E">
        <w:rPr>
          <w:sz w:val="24"/>
          <w:szCs w:val="24"/>
          <w:lang w:val="en-AU"/>
        </w:rPr>
        <w:t xml:space="preserve"> partnerships from Phase 1 can be extended during the inception phase</w:t>
      </w:r>
      <w:r w:rsidR="5EE20B4C" w:rsidRPr="00EC236E">
        <w:rPr>
          <w:sz w:val="24"/>
          <w:szCs w:val="24"/>
          <w:lang w:val="en-AU"/>
        </w:rPr>
        <w:t xml:space="preserve"> (</w:t>
      </w:r>
      <w:r w:rsidR="00247C79" w:rsidRPr="00EC236E">
        <w:rPr>
          <w:sz w:val="24"/>
          <w:szCs w:val="24"/>
          <w:lang w:val="en-AU"/>
        </w:rPr>
        <w:t>2024-25</w:t>
      </w:r>
      <w:r w:rsidR="5EE20B4C" w:rsidRPr="00EC236E">
        <w:rPr>
          <w:sz w:val="24"/>
          <w:szCs w:val="24"/>
          <w:lang w:val="en-AU"/>
        </w:rPr>
        <w:t>)</w:t>
      </w:r>
      <w:r w:rsidRPr="00EC236E">
        <w:rPr>
          <w:sz w:val="24"/>
          <w:szCs w:val="24"/>
          <w:lang w:val="en-AU"/>
        </w:rPr>
        <w:t xml:space="preserve">, and budget allocations are planned in a way that </w:t>
      </w:r>
      <w:r w:rsidR="00554A09" w:rsidRPr="00EC236E">
        <w:rPr>
          <w:sz w:val="24"/>
          <w:szCs w:val="24"/>
          <w:lang w:val="en-AU"/>
        </w:rPr>
        <w:t>supports</w:t>
      </w:r>
      <w:r w:rsidRPr="00EC236E">
        <w:rPr>
          <w:sz w:val="24"/>
          <w:szCs w:val="24"/>
          <w:lang w:val="en-AU"/>
        </w:rPr>
        <w:t xml:space="preserve"> strategic coherence and administrative efficiency. </w:t>
      </w:r>
    </w:p>
    <w:p w14:paraId="22EF399D" w14:textId="6F38753C" w:rsidR="00E65117" w:rsidRPr="00EC236E" w:rsidRDefault="00BB1979" w:rsidP="003816BF">
      <w:pPr>
        <w:rPr>
          <w:rFonts w:ascii="Calibri Light" w:hAnsi="Calibri Light" w:cs="Calibri Light"/>
          <w:sz w:val="24"/>
          <w:szCs w:val="24"/>
          <w:lang w:val="en-AU"/>
        </w:rPr>
      </w:pPr>
      <w:r w:rsidRPr="00EC236E">
        <w:rPr>
          <w:rFonts w:ascii="Calibri Light" w:hAnsi="Calibri Light" w:cs="Calibri Light"/>
          <w:sz w:val="24"/>
          <w:szCs w:val="24"/>
          <w:lang w:val="en-AU"/>
        </w:rPr>
        <w:t xml:space="preserve">MKS </w:t>
      </w:r>
      <w:r w:rsidR="005E3C10" w:rsidRPr="00EC236E">
        <w:rPr>
          <w:rFonts w:ascii="Calibri Light" w:hAnsi="Calibri Light" w:cs="Calibri Light"/>
          <w:sz w:val="24"/>
          <w:szCs w:val="24"/>
          <w:lang w:val="en-AU"/>
        </w:rPr>
        <w:t xml:space="preserve">and the Mekong Hub </w:t>
      </w:r>
      <w:r w:rsidRPr="00EC236E">
        <w:rPr>
          <w:rFonts w:ascii="Calibri Light" w:hAnsi="Calibri Light" w:cs="Calibri Light"/>
          <w:sz w:val="24"/>
          <w:szCs w:val="24"/>
          <w:lang w:val="en-AU"/>
        </w:rPr>
        <w:t>will lead a collaborative pipeline planning process</w:t>
      </w:r>
      <w:r w:rsidR="00FB5BE8" w:rsidRPr="00EC236E">
        <w:rPr>
          <w:rFonts w:ascii="Calibri Light" w:hAnsi="Calibri Light" w:cs="Calibri Light"/>
          <w:sz w:val="24"/>
          <w:szCs w:val="24"/>
          <w:lang w:val="en-AU"/>
        </w:rPr>
        <w:t>, in close consultation with</w:t>
      </w:r>
      <w:r w:rsidR="007944C1" w:rsidRPr="00EC236E">
        <w:rPr>
          <w:rFonts w:ascii="Calibri Light" w:hAnsi="Calibri Light" w:cs="Calibri Light"/>
          <w:sz w:val="24"/>
          <w:szCs w:val="24"/>
          <w:lang w:val="en-AU"/>
        </w:rPr>
        <w:t xml:space="preserve"> all</w:t>
      </w:r>
      <w:r w:rsidR="005B7A80" w:rsidRPr="00EC236E">
        <w:rPr>
          <w:rFonts w:ascii="Calibri Light" w:hAnsi="Calibri Light" w:cs="Calibri Light"/>
          <w:sz w:val="24"/>
          <w:szCs w:val="24"/>
          <w:lang w:val="en-AU"/>
        </w:rPr>
        <w:t xml:space="preserve"> posts</w:t>
      </w:r>
      <w:r w:rsidR="006D5085" w:rsidRPr="00EC236E">
        <w:rPr>
          <w:rFonts w:ascii="Calibri Light" w:hAnsi="Calibri Light" w:cs="Calibri Light"/>
          <w:sz w:val="24"/>
          <w:szCs w:val="24"/>
          <w:lang w:val="en-AU"/>
        </w:rPr>
        <w:t>, to develop a</w:t>
      </w:r>
      <w:r w:rsidRPr="00EC236E">
        <w:rPr>
          <w:rFonts w:ascii="Calibri Light" w:hAnsi="Calibri Light" w:cs="Calibri Light"/>
          <w:sz w:val="24"/>
          <w:szCs w:val="24"/>
          <w:lang w:val="en-AU"/>
        </w:rPr>
        <w:t xml:space="preserve"> detailed multi-year portfolio budget endorsed by the Steering Committee, updated annually in line with spending trends and any changes to appropriations. </w:t>
      </w:r>
      <w:r w:rsidR="00E65117" w:rsidRPr="00EC236E">
        <w:rPr>
          <w:rFonts w:ascii="Calibri Light" w:hAnsi="Calibri Light" w:cs="Calibri Light"/>
          <w:sz w:val="24"/>
          <w:szCs w:val="24"/>
          <w:lang w:val="en-AU"/>
        </w:rPr>
        <w:t xml:space="preserve">MKS will lead a </w:t>
      </w:r>
      <w:r w:rsidR="00A3423C" w:rsidRPr="00EC236E">
        <w:rPr>
          <w:rFonts w:ascii="Calibri Light" w:hAnsi="Calibri Light" w:cs="Calibri Light"/>
          <w:sz w:val="24"/>
          <w:szCs w:val="24"/>
          <w:lang w:val="en-AU"/>
        </w:rPr>
        <w:t xml:space="preserve">consultative </w:t>
      </w:r>
      <w:r w:rsidR="00E65117" w:rsidRPr="00EC236E">
        <w:rPr>
          <w:rFonts w:ascii="Calibri Light" w:hAnsi="Calibri Light" w:cs="Calibri Light"/>
          <w:sz w:val="24"/>
          <w:szCs w:val="24"/>
          <w:lang w:val="en-AU"/>
        </w:rPr>
        <w:t xml:space="preserve">pipeline working group, with representatives from all posts, to develop and refine the </w:t>
      </w:r>
      <w:r w:rsidR="003318C1" w:rsidRPr="00EC236E">
        <w:rPr>
          <w:rFonts w:ascii="Calibri Light" w:hAnsi="Calibri Light" w:cs="Calibri Light"/>
          <w:sz w:val="24"/>
          <w:szCs w:val="24"/>
          <w:lang w:val="en-AU"/>
        </w:rPr>
        <w:t xml:space="preserve">portfolio budget for Steering Committee endorsement. </w:t>
      </w:r>
    </w:p>
    <w:p w14:paraId="6FAE3201" w14:textId="6D2D8717" w:rsidR="00554A09" w:rsidRPr="00EC236E" w:rsidRDefault="00BB1979" w:rsidP="003816BF">
      <w:pPr>
        <w:rPr>
          <w:rFonts w:ascii="Calibri Light" w:hAnsi="Calibri Light" w:cs="Calibri Light"/>
          <w:sz w:val="24"/>
          <w:szCs w:val="24"/>
          <w:lang w:val="en-AU"/>
        </w:rPr>
      </w:pPr>
      <w:r w:rsidRPr="00EC236E">
        <w:rPr>
          <w:rFonts w:ascii="Calibri Light" w:hAnsi="Calibri Light" w:cs="Calibri Light"/>
          <w:sz w:val="24"/>
          <w:szCs w:val="24"/>
          <w:lang w:val="en-AU"/>
        </w:rPr>
        <w:t xml:space="preserve">The </w:t>
      </w:r>
      <w:r w:rsidR="00554A09" w:rsidRPr="00EC236E">
        <w:rPr>
          <w:rFonts w:ascii="Calibri Light" w:hAnsi="Calibri Light" w:cs="Calibri Light"/>
          <w:sz w:val="24"/>
          <w:szCs w:val="24"/>
          <w:lang w:val="en-AU"/>
        </w:rPr>
        <w:t>development</w:t>
      </w:r>
      <w:r w:rsidRPr="00EC236E">
        <w:rPr>
          <w:rFonts w:ascii="Calibri Light" w:hAnsi="Calibri Light" w:cs="Calibri Light"/>
          <w:sz w:val="24"/>
          <w:szCs w:val="24"/>
          <w:lang w:val="en-AU"/>
        </w:rPr>
        <w:t xml:space="preserve"> of the budget will be managed by </w:t>
      </w:r>
      <w:r w:rsidR="00E65117" w:rsidRPr="00EC236E">
        <w:rPr>
          <w:rFonts w:ascii="Calibri Light" w:hAnsi="Calibri Light" w:cs="Calibri Light"/>
          <w:sz w:val="24"/>
          <w:szCs w:val="24"/>
          <w:lang w:val="en-AU"/>
        </w:rPr>
        <w:t>MKS</w:t>
      </w:r>
      <w:r w:rsidRPr="00EC236E">
        <w:rPr>
          <w:rFonts w:ascii="Calibri Light" w:hAnsi="Calibri Light" w:cs="Calibri Light"/>
          <w:sz w:val="24"/>
          <w:szCs w:val="24"/>
          <w:lang w:val="en-AU"/>
        </w:rPr>
        <w:t xml:space="preserve"> </w:t>
      </w:r>
      <w:r w:rsidR="00963874" w:rsidRPr="00EC236E">
        <w:rPr>
          <w:rFonts w:ascii="Calibri Light" w:hAnsi="Calibri Light" w:cs="Calibri Light"/>
          <w:sz w:val="24"/>
          <w:szCs w:val="24"/>
          <w:lang w:val="en-AU"/>
        </w:rPr>
        <w:t>and the</w:t>
      </w:r>
      <w:r w:rsidR="00554A09" w:rsidRPr="00EC236E">
        <w:rPr>
          <w:rFonts w:ascii="Calibri Light" w:hAnsi="Calibri Light" w:cs="Calibri Light"/>
          <w:sz w:val="24"/>
          <w:szCs w:val="24"/>
          <w:lang w:val="en-AU"/>
        </w:rPr>
        <w:t xml:space="preserve"> Mekong Hub </w:t>
      </w:r>
      <w:r w:rsidRPr="00EC236E">
        <w:rPr>
          <w:rFonts w:ascii="Calibri Light" w:hAnsi="Calibri Light" w:cs="Calibri Light"/>
          <w:sz w:val="24"/>
          <w:szCs w:val="24"/>
          <w:lang w:val="en-AU"/>
        </w:rPr>
        <w:t xml:space="preserve">and will be updated iteratively throughout each financial year in line with actual spends. The </w:t>
      </w:r>
      <w:bookmarkStart w:id="78" w:name="_Hlk164260905"/>
      <w:r w:rsidRPr="00EC236E">
        <w:rPr>
          <w:rFonts w:ascii="Calibri Light" w:hAnsi="Calibri Light" w:cs="Calibri Light"/>
          <w:sz w:val="24"/>
          <w:szCs w:val="24"/>
          <w:lang w:val="en-AU"/>
        </w:rPr>
        <w:t>Mekong Hub</w:t>
      </w:r>
      <w:r w:rsidR="002078E7" w:rsidRPr="00EC236E">
        <w:rPr>
          <w:rFonts w:ascii="Calibri Light" w:hAnsi="Calibri Light" w:cs="Calibri Light"/>
          <w:sz w:val="24"/>
          <w:szCs w:val="24"/>
          <w:lang w:val="en-AU"/>
        </w:rPr>
        <w:t xml:space="preserve"> will manage the Program Fund Plan and</w:t>
      </w:r>
      <w:r w:rsidRPr="00EC236E">
        <w:rPr>
          <w:rFonts w:ascii="Calibri Light" w:hAnsi="Calibri Light" w:cs="Calibri Light"/>
          <w:sz w:val="24"/>
          <w:szCs w:val="24"/>
          <w:lang w:val="en-AU"/>
        </w:rPr>
        <w:t xml:space="preserve"> will track and manage budget allocations and spends in Aidworks</w:t>
      </w:r>
      <w:r w:rsidR="00845FAB" w:rsidRPr="00EC236E">
        <w:rPr>
          <w:rFonts w:ascii="Calibri Light" w:hAnsi="Calibri Light" w:cs="Calibri Light"/>
          <w:sz w:val="24"/>
          <w:szCs w:val="24"/>
          <w:lang w:val="en-AU"/>
        </w:rPr>
        <w:t xml:space="preserve"> for the program fund as a whole.</w:t>
      </w:r>
      <w:r w:rsidR="00845FAB" w:rsidRPr="00EC236E" w:rsidDel="00845FAB">
        <w:rPr>
          <w:rFonts w:ascii="Calibri Light" w:hAnsi="Calibri Light" w:cs="Calibri Light"/>
          <w:sz w:val="24"/>
          <w:szCs w:val="24"/>
          <w:lang w:val="en-AU"/>
        </w:rPr>
        <w:t xml:space="preserve"> </w:t>
      </w:r>
      <w:bookmarkEnd w:id="78"/>
      <w:r w:rsidR="00554A09" w:rsidRPr="00EC236E">
        <w:rPr>
          <w:rFonts w:ascii="Calibri Light" w:hAnsi="Calibri Light" w:cs="Calibri Light"/>
          <w:sz w:val="24"/>
          <w:szCs w:val="24"/>
          <w:lang w:val="en-AU"/>
        </w:rPr>
        <w:t>Posts will provide significant input into pipeline planning and will represent the policy priorities of their bilateral counterparts and that budget allocations align with DPPs and complement other bilateral and development partner investments.</w:t>
      </w:r>
    </w:p>
    <w:p w14:paraId="3CE93971" w14:textId="0AD9FD7A" w:rsidR="00554A09" w:rsidRPr="00EC236E" w:rsidRDefault="00554A09" w:rsidP="003816BF">
      <w:pPr>
        <w:rPr>
          <w:sz w:val="24"/>
          <w:szCs w:val="24"/>
          <w:lang w:val="en-AU"/>
        </w:rPr>
      </w:pPr>
      <w:r w:rsidRPr="00EC236E">
        <w:rPr>
          <w:rFonts w:ascii="Calibri Light" w:hAnsi="Calibri Light" w:cs="Calibri Light"/>
          <w:sz w:val="24"/>
          <w:szCs w:val="24"/>
          <w:lang w:val="en-AU"/>
        </w:rPr>
        <w:lastRenderedPageBreak/>
        <w:t>T</w:t>
      </w:r>
      <w:r w:rsidR="00BB1979" w:rsidRPr="00EC236E">
        <w:rPr>
          <w:rFonts w:ascii="Calibri Light" w:hAnsi="Calibri Light" w:cs="Calibri Light"/>
          <w:sz w:val="24"/>
          <w:szCs w:val="24"/>
          <w:lang w:val="en-AU"/>
        </w:rPr>
        <w:t>he pipeline planning process and governance mechanisms such as Steering Committee</w:t>
      </w:r>
      <w:r w:rsidRPr="00EC236E">
        <w:rPr>
          <w:rFonts w:ascii="Calibri Light" w:hAnsi="Calibri Light" w:cs="Calibri Light"/>
          <w:sz w:val="24"/>
          <w:szCs w:val="24"/>
          <w:lang w:val="en-AU"/>
        </w:rPr>
        <w:t xml:space="preserve"> oversight</w:t>
      </w:r>
      <w:r w:rsidR="00BB1979" w:rsidRPr="00EC236E">
        <w:rPr>
          <w:rFonts w:ascii="Calibri Light" w:hAnsi="Calibri Light" w:cs="Calibri Light"/>
          <w:sz w:val="24"/>
          <w:szCs w:val="24"/>
          <w:lang w:val="en-AU"/>
        </w:rPr>
        <w:t xml:space="preserve"> will </w:t>
      </w:r>
      <w:r w:rsidR="00FF32A7" w:rsidRPr="00EC236E">
        <w:rPr>
          <w:rFonts w:ascii="Calibri Light" w:hAnsi="Calibri Light" w:cs="Calibri Light"/>
          <w:sz w:val="24"/>
          <w:szCs w:val="24"/>
          <w:lang w:val="en-AU"/>
        </w:rPr>
        <w:t>support increased</w:t>
      </w:r>
      <w:r w:rsidR="00BB1979" w:rsidRPr="00EC236E">
        <w:rPr>
          <w:rFonts w:ascii="Calibri Light" w:hAnsi="Calibri Light" w:cs="Calibri Light"/>
          <w:sz w:val="24"/>
          <w:szCs w:val="24"/>
          <w:lang w:val="en-AU"/>
        </w:rPr>
        <w:t xml:space="preserve"> strategic </w:t>
      </w:r>
      <w:r w:rsidR="00BB1979" w:rsidRPr="00EC236E">
        <w:rPr>
          <w:sz w:val="24"/>
          <w:szCs w:val="24"/>
          <w:lang w:val="en-AU"/>
        </w:rPr>
        <w:t>coherence and administrative</w:t>
      </w:r>
      <w:r w:rsidR="00BB1979" w:rsidRPr="00EC236E">
        <w:rPr>
          <w:rFonts w:ascii="Calibri Light" w:hAnsi="Calibri Light" w:cs="Calibri Light"/>
          <w:sz w:val="24"/>
          <w:szCs w:val="24"/>
          <w:lang w:val="en-AU"/>
        </w:rPr>
        <w:t xml:space="preserve"> efficiency by making visible relative allocations across spending categories. It will promote collaborative and iterative decision-making about the veracious trade-offs in making allocation choices. </w:t>
      </w:r>
      <w:r w:rsidRPr="00EC236E">
        <w:rPr>
          <w:sz w:val="24"/>
          <w:szCs w:val="24"/>
          <w:lang w:val="en-AU"/>
        </w:rPr>
        <w:t>The overall portfolio will favour fewer, longer duration and larger investments and avoid proliferation of low-value and one-off activities, except where there is a strong strategic rationale.</w:t>
      </w:r>
    </w:p>
    <w:p w14:paraId="770A9E30" w14:textId="38B91420" w:rsidR="0022380A" w:rsidRPr="00EC236E" w:rsidRDefault="0022380A" w:rsidP="003816BF">
      <w:pPr>
        <w:rPr>
          <w:sz w:val="24"/>
          <w:szCs w:val="24"/>
          <w:lang w:val="en-AU"/>
        </w:rPr>
      </w:pPr>
      <w:r w:rsidRPr="00EC236E">
        <w:rPr>
          <w:sz w:val="24"/>
          <w:szCs w:val="24"/>
          <w:lang w:val="en-AU"/>
        </w:rPr>
        <w:t>The pipeline planning process will be iterative and will be responsive to Posts’ ongoing engagement with counterparts, development of more detailed investment designs and budgets, and engagement with implementing partners. MKS</w:t>
      </w:r>
      <w:r w:rsidR="00165B44" w:rsidRPr="00EC236E">
        <w:rPr>
          <w:sz w:val="24"/>
          <w:szCs w:val="24"/>
          <w:lang w:val="en-AU"/>
        </w:rPr>
        <w:t xml:space="preserve"> and the Mekong Hub</w:t>
      </w:r>
      <w:r w:rsidRPr="00EC236E">
        <w:rPr>
          <w:sz w:val="24"/>
          <w:szCs w:val="24"/>
          <w:lang w:val="en-AU"/>
        </w:rPr>
        <w:t xml:space="preserve"> will track and report to the Steering Committee on budget allocations by:</w:t>
      </w:r>
    </w:p>
    <w:p w14:paraId="6D639AA2" w14:textId="785D0FEC" w:rsidR="0022380A" w:rsidRPr="00EC236E" w:rsidRDefault="00C01A83" w:rsidP="002E677B">
      <w:pPr>
        <w:pStyle w:val="ListParagraph"/>
        <w:numPr>
          <w:ilvl w:val="0"/>
          <w:numId w:val="60"/>
        </w:numPr>
        <w:tabs>
          <w:tab w:val="left" w:pos="284"/>
        </w:tabs>
        <w:suppressAutoHyphens w:val="0"/>
        <w:spacing w:before="0" w:line="280" w:lineRule="exact"/>
        <w:rPr>
          <w:sz w:val="24"/>
          <w:szCs w:val="24"/>
          <w:lang w:val="en-AU"/>
        </w:rPr>
      </w:pPr>
      <w:r w:rsidRPr="00EC236E">
        <w:rPr>
          <w:sz w:val="24"/>
          <w:szCs w:val="24"/>
          <w:lang w:val="en-AU"/>
        </w:rPr>
        <w:t>t</w:t>
      </w:r>
      <w:r w:rsidR="0022380A" w:rsidRPr="00EC236E">
        <w:rPr>
          <w:sz w:val="24"/>
          <w:szCs w:val="24"/>
          <w:lang w:val="en-AU"/>
        </w:rPr>
        <w:t>hematic areas</w:t>
      </w:r>
    </w:p>
    <w:p w14:paraId="21303B27" w14:textId="2538BA16" w:rsidR="0022380A" w:rsidRPr="00EC236E" w:rsidRDefault="00C01A83" w:rsidP="002E677B">
      <w:pPr>
        <w:pStyle w:val="ListParagraph"/>
        <w:numPr>
          <w:ilvl w:val="0"/>
          <w:numId w:val="60"/>
        </w:numPr>
        <w:tabs>
          <w:tab w:val="left" w:pos="284"/>
        </w:tabs>
        <w:suppressAutoHyphens w:val="0"/>
        <w:spacing w:before="0" w:line="280" w:lineRule="exact"/>
        <w:rPr>
          <w:sz w:val="24"/>
          <w:szCs w:val="24"/>
          <w:lang w:val="en-AU"/>
        </w:rPr>
      </w:pPr>
      <w:r w:rsidRPr="00EC236E">
        <w:rPr>
          <w:sz w:val="24"/>
          <w:szCs w:val="24"/>
          <w:lang w:val="en-AU"/>
        </w:rPr>
        <w:t>b</w:t>
      </w:r>
      <w:r w:rsidR="0022380A" w:rsidRPr="00EC236E">
        <w:rPr>
          <w:sz w:val="24"/>
          <w:szCs w:val="24"/>
          <w:lang w:val="en-AU"/>
        </w:rPr>
        <w:t>ilateral vs multi-country allocation, and relative spend by country</w:t>
      </w:r>
    </w:p>
    <w:p w14:paraId="525A1C36" w14:textId="0C47A075" w:rsidR="0022380A" w:rsidRPr="00EC236E" w:rsidRDefault="00C01A83" w:rsidP="002E677B">
      <w:pPr>
        <w:pStyle w:val="ListParagraph"/>
        <w:numPr>
          <w:ilvl w:val="0"/>
          <w:numId w:val="60"/>
        </w:numPr>
        <w:tabs>
          <w:tab w:val="left" w:pos="284"/>
        </w:tabs>
        <w:suppressAutoHyphens w:val="0"/>
        <w:spacing w:before="0" w:line="280" w:lineRule="exact"/>
        <w:rPr>
          <w:sz w:val="24"/>
          <w:szCs w:val="24"/>
          <w:lang w:val="en-AU"/>
        </w:rPr>
      </w:pPr>
      <w:r w:rsidRPr="00EC236E">
        <w:rPr>
          <w:sz w:val="24"/>
          <w:szCs w:val="24"/>
          <w:lang w:val="en-AU"/>
        </w:rPr>
        <w:t>l</w:t>
      </w:r>
      <w:r w:rsidR="0022380A" w:rsidRPr="00EC236E">
        <w:rPr>
          <w:sz w:val="24"/>
          <w:szCs w:val="24"/>
          <w:lang w:val="en-AU"/>
        </w:rPr>
        <w:t xml:space="preserve">ong term partnerships; incubator and small activities; flexible funding.  </w:t>
      </w:r>
    </w:p>
    <w:p w14:paraId="65F923AC" w14:textId="57F61639" w:rsidR="0022380A" w:rsidRPr="00EC236E" w:rsidRDefault="7770B28B" w:rsidP="003816BF">
      <w:pPr>
        <w:rPr>
          <w:sz w:val="24"/>
          <w:szCs w:val="24"/>
          <w:lang w:val="en-AU"/>
        </w:rPr>
      </w:pPr>
      <w:r w:rsidRPr="00EC236E">
        <w:rPr>
          <w:sz w:val="24"/>
          <w:szCs w:val="24"/>
          <w:lang w:val="en-AU"/>
        </w:rPr>
        <w:t>This will highlight where there may be distortions in spends, for example, disproportionately high spend on a particular thematic area (or not enough)</w:t>
      </w:r>
      <w:r w:rsidR="00531590" w:rsidRPr="00EC236E">
        <w:rPr>
          <w:sz w:val="24"/>
          <w:szCs w:val="24"/>
          <w:lang w:val="en-AU"/>
        </w:rPr>
        <w:t xml:space="preserve"> or</w:t>
      </w:r>
      <w:r w:rsidRPr="00EC236E">
        <w:rPr>
          <w:sz w:val="24"/>
          <w:szCs w:val="24"/>
          <w:lang w:val="en-AU"/>
        </w:rPr>
        <w:t xml:space="preserve"> spending skewed towards one country.</w:t>
      </w:r>
    </w:p>
    <w:p w14:paraId="25C1BB57" w14:textId="63F66D9D" w:rsidR="00664CEA" w:rsidRPr="00EC236E" w:rsidRDefault="7770B28B" w:rsidP="003816BF">
      <w:pPr>
        <w:rPr>
          <w:sz w:val="24"/>
          <w:szCs w:val="24"/>
          <w:lang w:val="en-AU"/>
        </w:rPr>
      </w:pPr>
      <w:r w:rsidRPr="00EC236E">
        <w:rPr>
          <w:sz w:val="24"/>
          <w:szCs w:val="24"/>
          <w:lang w:val="en-AU"/>
        </w:rPr>
        <w:t>MKS</w:t>
      </w:r>
      <w:r w:rsidR="5176C6D6" w:rsidRPr="00EC236E">
        <w:rPr>
          <w:sz w:val="24"/>
          <w:szCs w:val="24"/>
          <w:lang w:val="en-AU"/>
        </w:rPr>
        <w:t xml:space="preserve"> and the Mekong Hub</w:t>
      </w:r>
      <w:r w:rsidRPr="00EC236E">
        <w:rPr>
          <w:sz w:val="24"/>
          <w:szCs w:val="24"/>
          <w:lang w:val="en-AU"/>
        </w:rPr>
        <w:t xml:space="preserve"> will also track and monitor the number of MAP Phase 2 initiatives in Aid</w:t>
      </w:r>
      <w:r w:rsidR="003528CF">
        <w:rPr>
          <w:sz w:val="24"/>
          <w:szCs w:val="24"/>
          <w:lang w:val="en-AU"/>
        </w:rPr>
        <w:t>W</w:t>
      </w:r>
      <w:r w:rsidRPr="00EC236E">
        <w:rPr>
          <w:sz w:val="24"/>
          <w:szCs w:val="24"/>
          <w:lang w:val="en-AU"/>
        </w:rPr>
        <w:t>orks and drive greater administrative efficiency through streamlining and simplification wherever possible (for example, bringing together individual World Bank Trust Funds, grant agreements, etc.).</w:t>
      </w:r>
    </w:p>
    <w:p w14:paraId="2CDC3C62" w14:textId="39B82652" w:rsidR="00BD0C35" w:rsidRPr="001F14E7" w:rsidRDefault="007F4CAE" w:rsidP="00BB1979">
      <w:pPr>
        <w:pStyle w:val="Heading2Numbered"/>
        <w:rPr>
          <w:lang w:val="en-AU"/>
        </w:rPr>
      </w:pPr>
      <w:bookmarkStart w:id="79" w:name="_Toc174029040"/>
      <w:r w:rsidRPr="2C480AEE">
        <w:rPr>
          <w:lang w:val="en-AU"/>
        </w:rPr>
        <w:t>E</w:t>
      </w:r>
      <w:r w:rsidR="00C41C8E" w:rsidRPr="2C480AEE">
        <w:rPr>
          <w:lang w:val="en-AU"/>
        </w:rPr>
        <w:t xml:space="preserve">arly activities and </w:t>
      </w:r>
      <w:r w:rsidR="00BD0C35" w:rsidRPr="2C480AEE">
        <w:rPr>
          <w:lang w:val="en-AU"/>
        </w:rPr>
        <w:t>Interim Pipeline process</w:t>
      </w:r>
      <w:bookmarkEnd w:id="79"/>
    </w:p>
    <w:p w14:paraId="12C8B4F0" w14:textId="2D781E87" w:rsidR="005E5C68" w:rsidRPr="00EC236E" w:rsidRDefault="00F11408" w:rsidP="005E5C68">
      <w:pPr>
        <w:rPr>
          <w:sz w:val="24"/>
          <w:szCs w:val="24"/>
          <w:lang w:val="en-AU"/>
        </w:rPr>
      </w:pPr>
      <w:r w:rsidRPr="00EC236E">
        <w:rPr>
          <w:sz w:val="24"/>
          <w:szCs w:val="24"/>
          <w:lang w:val="en-AU"/>
        </w:rPr>
        <w:t xml:space="preserve">MAP Phase 2 will be implemented in two sub-phases. It will start with a 12-month inception period (1 July 2024 to 30 June 2025) to allow time to adapt to the evolution from MAP Phase 1 including higher activity budget, a new landscape of thematic areas (including the absorption of MAP-TNC), systematic GEDSI mainstreaming and a revised ratio between single country to multi-country activities. The objectives of the inception period </w:t>
      </w:r>
      <w:r w:rsidR="00D72628" w:rsidRPr="00EC236E">
        <w:rPr>
          <w:sz w:val="24"/>
          <w:szCs w:val="24"/>
          <w:lang w:val="en-AU"/>
        </w:rPr>
        <w:t>are</w:t>
      </w:r>
      <w:r w:rsidRPr="00EC236E">
        <w:rPr>
          <w:sz w:val="24"/>
          <w:szCs w:val="24"/>
          <w:lang w:val="en-AU"/>
        </w:rPr>
        <w:t xml:space="preserve"> to entrench strategic coherence, maximise administrative efficiency, and put in place the foundations of plans, strategies and support services required for long-term program delivery. </w:t>
      </w:r>
      <w:r w:rsidR="004614AA" w:rsidRPr="00EC236E">
        <w:rPr>
          <w:sz w:val="24"/>
          <w:szCs w:val="24"/>
          <w:lang w:val="en-AU"/>
        </w:rPr>
        <w:t>R</w:t>
      </w:r>
      <w:r w:rsidR="004D63B9" w:rsidRPr="00EC236E">
        <w:rPr>
          <w:sz w:val="24"/>
          <w:szCs w:val="24"/>
          <w:lang w:val="en-AU"/>
        </w:rPr>
        <w:t xml:space="preserve">ecognising the </w:t>
      </w:r>
      <w:r w:rsidR="00BC765E" w:rsidRPr="00EC236E">
        <w:rPr>
          <w:sz w:val="24"/>
          <w:szCs w:val="24"/>
          <w:lang w:val="en-AU"/>
        </w:rPr>
        <w:t>n</w:t>
      </w:r>
      <w:r w:rsidR="00595830" w:rsidRPr="00EC236E">
        <w:rPr>
          <w:sz w:val="24"/>
          <w:szCs w:val="24"/>
          <w:lang w:val="en-AU"/>
        </w:rPr>
        <w:t xml:space="preserve">eed to </w:t>
      </w:r>
      <w:r w:rsidR="00474A35" w:rsidRPr="00EC236E">
        <w:rPr>
          <w:sz w:val="24"/>
          <w:szCs w:val="24"/>
          <w:lang w:val="en-AU"/>
        </w:rPr>
        <w:t>maintain momentum from Phase 1</w:t>
      </w:r>
      <w:r w:rsidR="00503F76" w:rsidRPr="00EC236E">
        <w:rPr>
          <w:sz w:val="24"/>
          <w:szCs w:val="24"/>
          <w:lang w:val="en-AU"/>
        </w:rPr>
        <w:t xml:space="preserve">, continue to respond to partner government demand, and plan </w:t>
      </w:r>
      <w:r w:rsidR="008C7519" w:rsidRPr="00EC236E">
        <w:rPr>
          <w:sz w:val="24"/>
          <w:szCs w:val="24"/>
          <w:lang w:val="en-AU"/>
        </w:rPr>
        <w:t xml:space="preserve">for smooth expenditure across financial years with new funding becoming available from July 2024, </w:t>
      </w:r>
      <w:r w:rsidR="00D31130">
        <w:rPr>
          <w:sz w:val="24"/>
          <w:szCs w:val="24"/>
          <w:lang w:val="en-AU"/>
        </w:rPr>
        <w:t>DFAT</w:t>
      </w:r>
      <w:r w:rsidR="00D31130" w:rsidRPr="00EC236E">
        <w:rPr>
          <w:sz w:val="24"/>
          <w:szCs w:val="24"/>
          <w:lang w:val="en-AU"/>
        </w:rPr>
        <w:t xml:space="preserve"> </w:t>
      </w:r>
      <w:r w:rsidR="008C7519" w:rsidRPr="00EC236E">
        <w:rPr>
          <w:sz w:val="24"/>
          <w:szCs w:val="24"/>
          <w:lang w:val="en-AU"/>
        </w:rPr>
        <w:t xml:space="preserve">initiated an </w:t>
      </w:r>
      <w:r w:rsidR="008C7519" w:rsidRPr="00EC236E">
        <w:rPr>
          <w:b/>
          <w:bCs/>
          <w:sz w:val="24"/>
          <w:szCs w:val="24"/>
          <w:lang w:val="en-AU"/>
        </w:rPr>
        <w:t>interim pipeline process</w:t>
      </w:r>
      <w:r w:rsidR="008C7519" w:rsidRPr="00EC236E">
        <w:rPr>
          <w:sz w:val="24"/>
          <w:szCs w:val="24"/>
          <w:lang w:val="en-AU"/>
        </w:rPr>
        <w:t>.</w:t>
      </w:r>
      <w:r w:rsidR="00655DC4" w:rsidRPr="00EC236E">
        <w:rPr>
          <w:sz w:val="24"/>
          <w:szCs w:val="24"/>
          <w:lang w:val="en-AU"/>
        </w:rPr>
        <w:t xml:space="preserve"> </w:t>
      </w:r>
    </w:p>
    <w:p w14:paraId="24D01902" w14:textId="5605F469" w:rsidR="008C7519" w:rsidRPr="00EC236E" w:rsidRDefault="007371B9" w:rsidP="005E5C68">
      <w:pPr>
        <w:rPr>
          <w:sz w:val="24"/>
          <w:szCs w:val="24"/>
          <w:lang w:val="en-AU"/>
        </w:rPr>
      </w:pPr>
      <w:r w:rsidRPr="00EC236E">
        <w:rPr>
          <w:sz w:val="24"/>
          <w:szCs w:val="24"/>
          <w:lang w:val="en-AU"/>
        </w:rPr>
        <w:t>Through this process all posts contribute</w:t>
      </w:r>
      <w:r w:rsidR="00483650">
        <w:rPr>
          <w:sz w:val="24"/>
          <w:szCs w:val="24"/>
          <w:lang w:val="en-AU"/>
        </w:rPr>
        <w:t>d</w:t>
      </w:r>
      <w:r w:rsidRPr="00EC236E">
        <w:rPr>
          <w:sz w:val="24"/>
          <w:szCs w:val="24"/>
          <w:lang w:val="en-AU"/>
        </w:rPr>
        <w:t xml:space="preserve"> funding propos</w:t>
      </w:r>
      <w:r w:rsidR="009E55D7" w:rsidRPr="00EC236E">
        <w:rPr>
          <w:sz w:val="24"/>
          <w:szCs w:val="24"/>
          <w:lang w:val="en-AU"/>
        </w:rPr>
        <w:t>als for early implementation in Phase 2</w:t>
      </w:r>
      <w:r w:rsidR="00677602" w:rsidRPr="00EC236E">
        <w:rPr>
          <w:sz w:val="24"/>
          <w:szCs w:val="24"/>
          <w:lang w:val="en-AU"/>
        </w:rPr>
        <w:t xml:space="preserve">. </w:t>
      </w:r>
      <w:r w:rsidR="00FB792B" w:rsidRPr="00EC236E">
        <w:rPr>
          <w:sz w:val="24"/>
          <w:szCs w:val="24"/>
          <w:lang w:val="en-AU"/>
        </w:rPr>
        <w:t>The interim pipeline process sought to prioritise strategically relevant and high-performing investments</w:t>
      </w:r>
      <w:r w:rsidR="00EE5F16" w:rsidRPr="00EC236E">
        <w:rPr>
          <w:sz w:val="24"/>
          <w:szCs w:val="24"/>
          <w:lang w:val="en-AU"/>
        </w:rPr>
        <w:t xml:space="preserve"> for continued funding and to deprioritise larger value and new proposals until this design is finalised</w:t>
      </w:r>
      <w:r w:rsidR="00117CAD" w:rsidRPr="00EC236E">
        <w:rPr>
          <w:sz w:val="24"/>
          <w:szCs w:val="24"/>
          <w:lang w:val="en-AU"/>
        </w:rPr>
        <w:t>.</w:t>
      </w:r>
    </w:p>
    <w:p w14:paraId="76930EF5" w14:textId="791EC799" w:rsidR="00BB1979" w:rsidRPr="001F14E7" w:rsidRDefault="1EF961FF" w:rsidP="008E2F3E">
      <w:pPr>
        <w:pStyle w:val="Heading2Numbered"/>
        <w:rPr>
          <w:lang w:val="en-AU"/>
        </w:rPr>
      </w:pPr>
      <w:bookmarkStart w:id="80" w:name="_Toc174029041"/>
      <w:r w:rsidRPr="2C480AEE">
        <w:rPr>
          <w:lang w:val="en-AU"/>
        </w:rPr>
        <w:t xml:space="preserve">Thematic </w:t>
      </w:r>
      <w:bookmarkStart w:id="81" w:name="_Toc163539156"/>
      <w:r w:rsidR="00BB1979" w:rsidRPr="2C480AEE">
        <w:rPr>
          <w:lang w:val="en-AU"/>
        </w:rPr>
        <w:t>Delivery Strategies</w:t>
      </w:r>
      <w:bookmarkEnd w:id="81"/>
      <w:bookmarkEnd w:id="80"/>
      <w:r w:rsidR="00BB1979" w:rsidRPr="2C480AEE">
        <w:rPr>
          <w:lang w:val="en-AU"/>
        </w:rPr>
        <w:t xml:space="preserve"> </w:t>
      </w:r>
    </w:p>
    <w:p w14:paraId="7B81EB41" w14:textId="6F0C4138" w:rsidR="00EA2516" w:rsidRPr="00EC236E" w:rsidRDefault="1DD6572D" w:rsidP="005A2AB3">
      <w:pPr>
        <w:rPr>
          <w:rFonts w:ascii="Calibri Light" w:hAnsi="Calibri Light" w:cs="Calibri Light"/>
          <w:sz w:val="24"/>
          <w:szCs w:val="24"/>
          <w:lang w:val="en-AU"/>
        </w:rPr>
      </w:pPr>
      <w:r w:rsidRPr="00EC236E">
        <w:rPr>
          <w:sz w:val="24"/>
          <w:szCs w:val="24"/>
          <w:lang w:val="en-AU"/>
        </w:rPr>
        <w:t xml:space="preserve">Given the high-level nature of this document, </w:t>
      </w:r>
      <w:r w:rsidR="65B89A6A" w:rsidRPr="00EC236E">
        <w:rPr>
          <w:sz w:val="24"/>
          <w:szCs w:val="24"/>
          <w:lang w:val="en-AU"/>
        </w:rPr>
        <w:t xml:space="preserve">more details will be provided via </w:t>
      </w:r>
      <w:r w:rsidR="6C869C8B" w:rsidRPr="00EC236E">
        <w:rPr>
          <w:sz w:val="24"/>
          <w:szCs w:val="24"/>
          <w:lang w:val="en-AU"/>
        </w:rPr>
        <w:t>thematic delivery strategies</w:t>
      </w:r>
      <w:r w:rsidR="65B89A6A" w:rsidRPr="00EC236E">
        <w:rPr>
          <w:sz w:val="24"/>
          <w:szCs w:val="24"/>
          <w:lang w:val="en-AU"/>
        </w:rPr>
        <w:t>,</w:t>
      </w:r>
      <w:r w:rsidR="0B1C9872" w:rsidRPr="00EC236E">
        <w:rPr>
          <w:sz w:val="24"/>
          <w:szCs w:val="24"/>
          <w:lang w:val="en-AU"/>
        </w:rPr>
        <w:t xml:space="preserve"> </w:t>
      </w:r>
      <w:r w:rsidR="65B89A6A" w:rsidRPr="00EC236E">
        <w:rPr>
          <w:sz w:val="24"/>
          <w:szCs w:val="24"/>
          <w:lang w:val="en-AU"/>
        </w:rPr>
        <w:t>the</w:t>
      </w:r>
      <w:r w:rsidR="0D139300" w:rsidRPr="00EC236E">
        <w:rPr>
          <w:sz w:val="24"/>
          <w:szCs w:val="24"/>
          <w:lang w:val="en-AU"/>
        </w:rPr>
        <w:t xml:space="preserve"> MEL </w:t>
      </w:r>
      <w:r w:rsidR="65B89A6A" w:rsidRPr="00EC236E">
        <w:rPr>
          <w:sz w:val="24"/>
          <w:szCs w:val="24"/>
          <w:lang w:val="en-AU"/>
        </w:rPr>
        <w:t>Plan</w:t>
      </w:r>
      <w:r w:rsidR="00DF4F78" w:rsidRPr="00EC236E">
        <w:rPr>
          <w:sz w:val="24"/>
          <w:szCs w:val="24"/>
          <w:lang w:val="en-AU"/>
        </w:rPr>
        <w:t xml:space="preserve"> </w:t>
      </w:r>
      <w:r w:rsidR="65B89A6A" w:rsidRPr="00EC236E">
        <w:rPr>
          <w:sz w:val="24"/>
          <w:szCs w:val="24"/>
          <w:lang w:val="en-AU"/>
        </w:rPr>
        <w:t xml:space="preserve">and a </w:t>
      </w:r>
      <w:r w:rsidR="0D139300" w:rsidRPr="00EC236E">
        <w:rPr>
          <w:sz w:val="24"/>
          <w:szCs w:val="24"/>
          <w:lang w:val="en-AU"/>
        </w:rPr>
        <w:t>Communications Strategy</w:t>
      </w:r>
      <w:r w:rsidR="0B1C9872" w:rsidRPr="00EC236E">
        <w:rPr>
          <w:sz w:val="24"/>
          <w:szCs w:val="24"/>
          <w:lang w:val="en-AU"/>
        </w:rPr>
        <w:t>.</w:t>
      </w:r>
      <w:r w:rsidR="0B1C9872" w:rsidRPr="00EC236E">
        <w:rPr>
          <w:rFonts w:ascii="Calibri Light" w:hAnsi="Calibri Light" w:cs="Calibri Light"/>
          <w:sz w:val="24"/>
          <w:szCs w:val="24"/>
          <w:lang w:val="en-AU"/>
        </w:rPr>
        <w:t xml:space="preserve"> Development, review and updating these documents will be </w:t>
      </w:r>
      <w:r w:rsidRPr="00EC236E">
        <w:rPr>
          <w:rFonts w:ascii="Calibri Light" w:hAnsi="Calibri Light" w:cs="Calibri Light"/>
          <w:sz w:val="24"/>
          <w:szCs w:val="24"/>
          <w:lang w:val="en-AU"/>
        </w:rPr>
        <w:t>led</w:t>
      </w:r>
      <w:r w:rsidR="0B1C9872" w:rsidRPr="00EC236E">
        <w:rPr>
          <w:rFonts w:ascii="Calibri Light" w:hAnsi="Calibri Light" w:cs="Calibri Light"/>
          <w:sz w:val="24"/>
          <w:szCs w:val="24"/>
          <w:lang w:val="en-AU"/>
        </w:rPr>
        <w:t xml:space="preserve"> by MKS</w:t>
      </w:r>
      <w:r w:rsidR="44823B59" w:rsidRPr="00EC236E">
        <w:rPr>
          <w:rFonts w:ascii="Calibri Light" w:hAnsi="Calibri Light" w:cs="Calibri Light"/>
          <w:sz w:val="24"/>
          <w:szCs w:val="24"/>
          <w:lang w:val="en-AU"/>
        </w:rPr>
        <w:t xml:space="preserve"> and the Mekong Hub, drawing on the support services contractor </w:t>
      </w:r>
      <w:r w:rsidR="2D98AF6F" w:rsidRPr="00EC236E">
        <w:rPr>
          <w:rFonts w:ascii="Calibri Light" w:hAnsi="Calibri Light" w:cs="Calibri Light"/>
          <w:sz w:val="24"/>
          <w:szCs w:val="24"/>
          <w:lang w:val="en-AU"/>
        </w:rPr>
        <w:t xml:space="preserve">as needed </w:t>
      </w:r>
      <w:r w:rsidR="0B1C9872" w:rsidRPr="00EC236E">
        <w:rPr>
          <w:rFonts w:ascii="Calibri Light" w:hAnsi="Calibri Light" w:cs="Calibri Light"/>
          <w:sz w:val="24"/>
          <w:szCs w:val="24"/>
          <w:lang w:val="en-AU"/>
        </w:rPr>
        <w:t xml:space="preserve">with significant input from </w:t>
      </w:r>
      <w:r w:rsidR="44823B59" w:rsidRPr="00EC236E">
        <w:rPr>
          <w:rFonts w:ascii="Calibri Light" w:hAnsi="Calibri Light" w:cs="Calibri Light"/>
          <w:sz w:val="24"/>
          <w:szCs w:val="24"/>
          <w:lang w:val="en-AU"/>
        </w:rPr>
        <w:t>other</w:t>
      </w:r>
      <w:r w:rsidRPr="00EC236E">
        <w:rPr>
          <w:rFonts w:ascii="Calibri Light" w:hAnsi="Calibri Light" w:cs="Calibri Light"/>
          <w:sz w:val="24"/>
          <w:szCs w:val="24"/>
          <w:lang w:val="en-AU"/>
        </w:rPr>
        <w:t xml:space="preserve"> </w:t>
      </w:r>
      <w:r w:rsidR="21D31FD3" w:rsidRPr="00EC236E">
        <w:rPr>
          <w:rFonts w:ascii="Calibri Light" w:hAnsi="Calibri Light" w:cs="Calibri Light"/>
          <w:sz w:val="24"/>
          <w:szCs w:val="24"/>
          <w:lang w:val="en-AU"/>
        </w:rPr>
        <w:t>Post</w:t>
      </w:r>
      <w:r w:rsidR="0B1C9872" w:rsidRPr="00EC236E">
        <w:rPr>
          <w:rFonts w:ascii="Calibri Light" w:hAnsi="Calibri Light" w:cs="Calibri Light"/>
          <w:sz w:val="24"/>
          <w:szCs w:val="24"/>
          <w:lang w:val="en-AU"/>
        </w:rPr>
        <w:t xml:space="preserve">s. </w:t>
      </w:r>
    </w:p>
    <w:p w14:paraId="2A258EA4" w14:textId="1C28886B" w:rsidR="00807C5C" w:rsidRPr="00EC236E" w:rsidRDefault="00807C5C" w:rsidP="005A2AB3">
      <w:pPr>
        <w:rPr>
          <w:rFonts w:ascii="Calibri Light" w:hAnsi="Calibri Light" w:cs="Calibri Light"/>
          <w:sz w:val="24"/>
          <w:szCs w:val="24"/>
          <w:lang w:val="en-AU"/>
        </w:rPr>
      </w:pPr>
      <w:r w:rsidRPr="00EC236E">
        <w:rPr>
          <w:sz w:val="24"/>
          <w:szCs w:val="24"/>
          <w:lang w:val="en-AU"/>
        </w:rPr>
        <w:t xml:space="preserve">Thematic </w:t>
      </w:r>
      <w:r w:rsidR="403954CE" w:rsidRPr="00EC236E">
        <w:rPr>
          <w:sz w:val="24"/>
          <w:szCs w:val="24"/>
          <w:lang w:val="en-AU"/>
        </w:rPr>
        <w:t xml:space="preserve">delivery </w:t>
      </w:r>
      <w:r w:rsidRPr="00EC236E">
        <w:rPr>
          <w:sz w:val="24"/>
          <w:szCs w:val="24"/>
          <w:lang w:val="en-AU"/>
        </w:rPr>
        <w:t xml:space="preserve">strategies will </w:t>
      </w:r>
      <w:r w:rsidR="00AE57C1" w:rsidRPr="00EC236E">
        <w:rPr>
          <w:sz w:val="24"/>
          <w:szCs w:val="24"/>
          <w:lang w:val="en-AU"/>
        </w:rPr>
        <w:t>include detailed</w:t>
      </w:r>
      <w:r w:rsidR="001F57F2" w:rsidRPr="00EC236E">
        <w:rPr>
          <w:sz w:val="24"/>
          <w:szCs w:val="24"/>
          <w:lang w:val="en-AU"/>
        </w:rPr>
        <w:t xml:space="preserve"> thematic s</w:t>
      </w:r>
      <w:r w:rsidRPr="00EC236E">
        <w:rPr>
          <w:rFonts w:ascii="Calibri Light" w:hAnsi="Calibri Light"/>
          <w:sz w:val="24"/>
          <w:szCs w:val="24"/>
          <w:lang w:val="en-AU"/>
        </w:rPr>
        <w:t xml:space="preserve">ituational </w:t>
      </w:r>
      <w:r w:rsidR="001F57F2" w:rsidRPr="00EC236E">
        <w:rPr>
          <w:rFonts w:ascii="Calibri Light" w:hAnsi="Calibri Light"/>
          <w:sz w:val="24"/>
          <w:szCs w:val="24"/>
          <w:lang w:val="en-AU"/>
        </w:rPr>
        <w:t>a</w:t>
      </w:r>
      <w:r w:rsidRPr="00EC236E">
        <w:rPr>
          <w:rFonts w:ascii="Calibri Light" w:hAnsi="Calibri Light"/>
          <w:sz w:val="24"/>
          <w:szCs w:val="24"/>
          <w:lang w:val="en-AU"/>
        </w:rPr>
        <w:t>nalysis</w:t>
      </w:r>
      <w:r w:rsidR="008E2F3E" w:rsidRPr="00EC236E">
        <w:rPr>
          <w:rFonts w:ascii="Calibri Light" w:hAnsi="Calibri Light" w:cs="Calibri Light"/>
          <w:webHidden/>
          <w:sz w:val="24"/>
          <w:szCs w:val="24"/>
          <w:lang w:val="en-AU"/>
        </w:rPr>
        <w:t xml:space="preserve"> </w:t>
      </w:r>
      <w:r w:rsidR="001F57F2" w:rsidRPr="00EC236E">
        <w:rPr>
          <w:rFonts w:ascii="Calibri Light" w:hAnsi="Calibri Light"/>
          <w:webHidden/>
          <w:sz w:val="24"/>
          <w:szCs w:val="24"/>
          <w:lang w:val="en-AU"/>
        </w:rPr>
        <w:t>of k</w:t>
      </w:r>
      <w:r w:rsidRPr="00EC236E">
        <w:rPr>
          <w:rFonts w:ascii="Calibri Light" w:hAnsi="Calibri Light"/>
          <w:sz w:val="24"/>
          <w:szCs w:val="24"/>
          <w:lang w:val="en-AU"/>
        </w:rPr>
        <w:t>ey shared and transboundary challenges in the Mekong</w:t>
      </w:r>
      <w:r w:rsidR="001F57F2" w:rsidRPr="00EC236E">
        <w:rPr>
          <w:rFonts w:ascii="Calibri Light" w:hAnsi="Calibri Light"/>
          <w:webHidden/>
          <w:sz w:val="24"/>
          <w:szCs w:val="24"/>
          <w:lang w:val="en-AU"/>
        </w:rPr>
        <w:t xml:space="preserve"> </w:t>
      </w:r>
      <w:r w:rsidR="6B256FC7" w:rsidRPr="00EC236E">
        <w:rPr>
          <w:rFonts w:ascii="Calibri Light" w:hAnsi="Calibri Light" w:cs="Calibri Light"/>
          <w:webHidden/>
          <w:sz w:val="24"/>
          <w:szCs w:val="24"/>
          <w:lang w:val="en-AU"/>
        </w:rPr>
        <w:t xml:space="preserve">subregion </w:t>
      </w:r>
      <w:r w:rsidR="001F57F2" w:rsidRPr="00EC236E">
        <w:rPr>
          <w:rFonts w:ascii="Calibri Light" w:hAnsi="Calibri Light"/>
          <w:webHidden/>
          <w:sz w:val="24"/>
          <w:szCs w:val="24"/>
          <w:lang w:val="en-AU"/>
        </w:rPr>
        <w:t xml:space="preserve">in the thematic area, and </w:t>
      </w:r>
      <w:r w:rsidRPr="00EC236E">
        <w:rPr>
          <w:rFonts w:ascii="Calibri Light" w:hAnsi="Calibri Light"/>
          <w:sz w:val="24"/>
          <w:szCs w:val="24"/>
          <w:lang w:val="en-AU"/>
        </w:rPr>
        <w:t xml:space="preserve">Australia’s policy </w:t>
      </w:r>
      <w:r w:rsidRPr="00EC236E">
        <w:rPr>
          <w:rFonts w:ascii="Calibri Light" w:hAnsi="Calibri Light"/>
          <w:sz w:val="24"/>
          <w:szCs w:val="24"/>
          <w:lang w:val="en-AU"/>
        </w:rPr>
        <w:lastRenderedPageBreak/>
        <w:t>priorities and key investments</w:t>
      </w:r>
      <w:r w:rsidR="001F57F2" w:rsidRPr="00EC236E">
        <w:rPr>
          <w:rFonts w:ascii="Calibri Light" w:hAnsi="Calibri Light"/>
          <w:webHidden/>
          <w:sz w:val="24"/>
          <w:szCs w:val="24"/>
          <w:lang w:val="en-AU"/>
        </w:rPr>
        <w:t xml:space="preserve"> in the sector. It will include a more detailed mapping of o</w:t>
      </w:r>
      <w:r w:rsidRPr="00EC236E">
        <w:rPr>
          <w:rFonts w:ascii="Calibri Light" w:hAnsi="Calibri Light"/>
          <w:sz w:val="24"/>
          <w:szCs w:val="24"/>
          <w:lang w:val="en-AU"/>
        </w:rPr>
        <w:t>ther development partners</w:t>
      </w:r>
      <w:r w:rsidR="001F57F2" w:rsidRPr="00EC236E">
        <w:rPr>
          <w:rFonts w:ascii="Calibri Light" w:hAnsi="Calibri Light"/>
          <w:sz w:val="24"/>
          <w:szCs w:val="24"/>
          <w:lang w:val="en-AU"/>
        </w:rPr>
        <w:t xml:space="preserve"> investing</w:t>
      </w:r>
      <w:r w:rsidRPr="00EC236E">
        <w:rPr>
          <w:rFonts w:ascii="Calibri Light" w:hAnsi="Calibri Light"/>
          <w:sz w:val="24"/>
          <w:szCs w:val="24"/>
          <w:lang w:val="en-AU"/>
        </w:rPr>
        <w:t xml:space="preserve"> in the sector</w:t>
      </w:r>
      <w:r w:rsidR="001F57F2" w:rsidRPr="00EC236E">
        <w:rPr>
          <w:rFonts w:ascii="Calibri Light" w:hAnsi="Calibri Light"/>
          <w:sz w:val="24"/>
          <w:szCs w:val="24"/>
          <w:lang w:val="en-AU"/>
        </w:rPr>
        <w:t>, and l</w:t>
      </w:r>
      <w:r w:rsidRPr="00EC236E">
        <w:rPr>
          <w:rFonts w:ascii="Calibri Light" w:hAnsi="Calibri Light"/>
          <w:sz w:val="24"/>
          <w:szCs w:val="24"/>
          <w:lang w:val="en-AU"/>
        </w:rPr>
        <w:t>essons from</w:t>
      </w:r>
      <w:r w:rsidR="001F57F2" w:rsidRPr="00EC236E">
        <w:rPr>
          <w:rFonts w:ascii="Calibri Light" w:hAnsi="Calibri Light"/>
          <w:sz w:val="24"/>
          <w:szCs w:val="24"/>
          <w:lang w:val="en-AU"/>
        </w:rPr>
        <w:t xml:space="preserve"> DFAT and other </w:t>
      </w:r>
      <w:r w:rsidRPr="00EC236E">
        <w:rPr>
          <w:rFonts w:ascii="Calibri Light" w:hAnsi="Calibri Light"/>
          <w:sz w:val="24"/>
          <w:szCs w:val="24"/>
          <w:lang w:val="en-AU"/>
        </w:rPr>
        <w:t>experience</w:t>
      </w:r>
      <w:r w:rsidR="001F57F2" w:rsidRPr="00EC236E">
        <w:rPr>
          <w:rFonts w:ascii="Calibri Light" w:hAnsi="Calibri Light"/>
          <w:sz w:val="24"/>
          <w:szCs w:val="24"/>
          <w:lang w:val="en-AU"/>
        </w:rPr>
        <w:t xml:space="preserve"> working in the sector. A more detailed exploration of p</w:t>
      </w:r>
      <w:r w:rsidRPr="00EC236E">
        <w:rPr>
          <w:rFonts w:ascii="Calibri Light" w:hAnsi="Calibri Light"/>
          <w:sz w:val="24"/>
          <w:szCs w:val="24"/>
          <w:lang w:val="en-AU"/>
        </w:rPr>
        <w:t>roposed outcomes and approach</w:t>
      </w:r>
      <w:r w:rsidR="001F57F2" w:rsidRPr="00EC236E">
        <w:rPr>
          <w:rFonts w:ascii="Calibri Light" w:hAnsi="Calibri Light"/>
          <w:webHidden/>
          <w:sz w:val="24"/>
          <w:szCs w:val="24"/>
          <w:lang w:val="en-AU"/>
        </w:rPr>
        <w:t xml:space="preserve"> </w:t>
      </w:r>
      <w:r w:rsidR="2EA263C5" w:rsidRPr="00EC236E">
        <w:rPr>
          <w:rFonts w:ascii="Calibri Light" w:hAnsi="Calibri Light"/>
          <w:webHidden/>
          <w:sz w:val="24"/>
          <w:szCs w:val="24"/>
          <w:lang w:val="en-AU"/>
        </w:rPr>
        <w:t xml:space="preserve">will </w:t>
      </w:r>
      <w:r w:rsidR="001F57F2" w:rsidRPr="00EC236E">
        <w:rPr>
          <w:rFonts w:ascii="Calibri Light" w:hAnsi="Calibri Light"/>
          <w:webHidden/>
          <w:sz w:val="24"/>
          <w:szCs w:val="24"/>
          <w:lang w:val="en-AU"/>
        </w:rPr>
        <w:t>be included.  The thematic delivery strategies will include i</w:t>
      </w:r>
      <w:r w:rsidRPr="00EC236E">
        <w:rPr>
          <w:rFonts w:ascii="Calibri Light" w:hAnsi="Calibri Light"/>
          <w:sz w:val="24"/>
          <w:szCs w:val="24"/>
          <w:lang w:val="en-AU"/>
        </w:rPr>
        <w:t>nvestment options</w:t>
      </w:r>
      <w:r w:rsidR="001F57F2" w:rsidRPr="00EC236E">
        <w:rPr>
          <w:rFonts w:ascii="Calibri Light" w:hAnsi="Calibri Light"/>
          <w:webHidden/>
          <w:sz w:val="24"/>
          <w:szCs w:val="24"/>
          <w:lang w:val="en-AU"/>
        </w:rPr>
        <w:t xml:space="preserve"> including building on MAP Phase 1 investments, as well as identifying new o</w:t>
      </w:r>
      <w:r w:rsidRPr="00EC236E">
        <w:rPr>
          <w:rFonts w:ascii="Calibri Light" w:hAnsi="Calibri Light"/>
          <w:sz w:val="24"/>
          <w:szCs w:val="24"/>
          <w:lang w:val="en-AU"/>
        </w:rPr>
        <w:t>pportunities</w:t>
      </w:r>
      <w:r w:rsidR="001F57F2" w:rsidRPr="00EC236E">
        <w:rPr>
          <w:rFonts w:ascii="Calibri Light" w:hAnsi="Calibri Light"/>
          <w:webHidden/>
          <w:sz w:val="24"/>
          <w:szCs w:val="24"/>
          <w:lang w:val="en-AU"/>
        </w:rPr>
        <w:t xml:space="preserve">. They will identify </w:t>
      </w:r>
      <w:r w:rsidRPr="00EC236E">
        <w:rPr>
          <w:sz w:val="24"/>
          <w:szCs w:val="24"/>
          <w:lang w:val="en-AU"/>
        </w:rPr>
        <w:t>GEDSI specific opportunities</w:t>
      </w:r>
      <w:r w:rsidR="001F57F2" w:rsidRPr="00EC236E">
        <w:rPr>
          <w:webHidden/>
          <w:sz w:val="24"/>
          <w:szCs w:val="24"/>
          <w:lang w:val="en-AU"/>
        </w:rPr>
        <w:t xml:space="preserve"> as well as how </w:t>
      </w:r>
      <w:r w:rsidRPr="00EC236E">
        <w:rPr>
          <w:rFonts w:ascii="Calibri Light" w:hAnsi="Calibri Light"/>
          <w:sz w:val="24"/>
          <w:szCs w:val="24"/>
          <w:lang w:val="en-AU"/>
        </w:rPr>
        <w:t xml:space="preserve">GEDSI </w:t>
      </w:r>
      <w:r w:rsidR="001F57F2" w:rsidRPr="00EC236E">
        <w:rPr>
          <w:rFonts w:ascii="Calibri Light" w:hAnsi="Calibri Light"/>
          <w:sz w:val="24"/>
          <w:szCs w:val="24"/>
          <w:lang w:val="en-AU"/>
        </w:rPr>
        <w:t>will be m</w:t>
      </w:r>
      <w:r w:rsidRPr="00EC236E">
        <w:rPr>
          <w:rFonts w:ascii="Calibri Light" w:hAnsi="Calibri Light"/>
          <w:sz w:val="24"/>
          <w:szCs w:val="24"/>
          <w:lang w:val="en-AU"/>
        </w:rPr>
        <w:t>ainstream</w:t>
      </w:r>
      <w:r w:rsidR="001F57F2" w:rsidRPr="00EC236E">
        <w:rPr>
          <w:rFonts w:ascii="Calibri Light" w:hAnsi="Calibri Light"/>
          <w:sz w:val="24"/>
          <w:szCs w:val="24"/>
          <w:lang w:val="en-AU"/>
        </w:rPr>
        <w:t>ed across all activities.</w:t>
      </w:r>
      <w:r w:rsidR="001C321B" w:rsidRPr="00EC236E">
        <w:rPr>
          <w:rFonts w:ascii="Calibri Light" w:hAnsi="Calibri Light" w:cs="Calibri Light"/>
          <w:sz w:val="24"/>
          <w:szCs w:val="24"/>
          <w:lang w:val="en-AU"/>
        </w:rPr>
        <w:t xml:space="preserve"> The first thematic delivery strategy will take the form of a </w:t>
      </w:r>
      <w:r w:rsidR="000C62C5" w:rsidRPr="00EC236E">
        <w:rPr>
          <w:rFonts w:ascii="Calibri Light" w:hAnsi="Calibri Light" w:cs="Calibri Light"/>
          <w:sz w:val="24"/>
          <w:szCs w:val="24"/>
          <w:lang w:val="en-AU"/>
        </w:rPr>
        <w:t>sub-d</w:t>
      </w:r>
      <w:r w:rsidR="001C321B" w:rsidRPr="00EC236E">
        <w:rPr>
          <w:rFonts w:ascii="Calibri Light" w:hAnsi="Calibri Light" w:cs="Calibri Light"/>
          <w:sz w:val="24"/>
          <w:szCs w:val="24"/>
          <w:lang w:val="en-AU"/>
        </w:rPr>
        <w:t xml:space="preserve">esign </w:t>
      </w:r>
      <w:r w:rsidR="000C62C5" w:rsidRPr="00EC236E">
        <w:rPr>
          <w:rFonts w:ascii="Calibri Light" w:hAnsi="Calibri Light" w:cs="Calibri Light"/>
          <w:sz w:val="24"/>
          <w:szCs w:val="24"/>
          <w:lang w:val="en-AU"/>
        </w:rPr>
        <w:t>u</w:t>
      </w:r>
      <w:r w:rsidR="001C321B" w:rsidRPr="00EC236E">
        <w:rPr>
          <w:rFonts w:ascii="Calibri Light" w:hAnsi="Calibri Light" w:cs="Calibri Light"/>
          <w:sz w:val="24"/>
          <w:szCs w:val="24"/>
          <w:lang w:val="en-AU"/>
        </w:rPr>
        <w:t xml:space="preserve">pdate for the transnational crime stream of work, building on the MAP-TNC </w:t>
      </w:r>
      <w:r w:rsidR="007767E1" w:rsidRPr="00EC236E">
        <w:rPr>
          <w:rFonts w:ascii="Calibri Light" w:hAnsi="Calibri Light" w:cs="Calibri Light"/>
          <w:sz w:val="24"/>
          <w:szCs w:val="24"/>
          <w:lang w:val="en-AU"/>
        </w:rPr>
        <w:t xml:space="preserve">investment and ensuring its next phase of work aligns closely with this design. Further thematic delivery strategies may include water security, climate change, economic resilience, </w:t>
      </w:r>
      <w:r w:rsidR="0000D64F" w:rsidRPr="00EC236E">
        <w:rPr>
          <w:rFonts w:ascii="Calibri Light" w:hAnsi="Calibri Light" w:cs="Calibri Light"/>
          <w:sz w:val="24"/>
          <w:szCs w:val="24"/>
          <w:lang w:val="en-AU"/>
        </w:rPr>
        <w:t xml:space="preserve">GEDSI </w:t>
      </w:r>
      <w:r w:rsidR="007767E1" w:rsidRPr="00EC236E">
        <w:rPr>
          <w:rFonts w:ascii="Calibri Light" w:hAnsi="Calibri Light" w:cs="Calibri Light"/>
          <w:sz w:val="24"/>
          <w:szCs w:val="24"/>
          <w:lang w:val="en-AU"/>
        </w:rPr>
        <w:t>and leadership.</w:t>
      </w:r>
    </w:p>
    <w:p w14:paraId="338F94F1" w14:textId="784C9A0F" w:rsidR="00C008B4" w:rsidRPr="00EC236E" w:rsidRDefault="3A6434E6" w:rsidP="005A2AB3">
      <w:pPr>
        <w:rPr>
          <w:rFonts w:ascii="Calibri Light" w:hAnsi="Calibri Light" w:cs="Calibri Light"/>
          <w:sz w:val="24"/>
          <w:szCs w:val="24"/>
          <w:lang w:val="en-AU"/>
        </w:rPr>
      </w:pPr>
      <w:r w:rsidRPr="00EC236E">
        <w:rPr>
          <w:rFonts w:ascii="Calibri Light" w:hAnsi="Calibri Light" w:cs="Calibri Light"/>
          <w:sz w:val="24"/>
          <w:szCs w:val="24"/>
          <w:lang w:val="en-AU"/>
        </w:rPr>
        <w:t xml:space="preserve">Posts will provide significant input into the development of thematic delivery strategies and will ensure that they align with DPP and complement other bilateral and development partner investments. Thematic specialists, NGOs, women’s rights organisations, OPDs and other marginalised groups will be consulted where appropriate in recognition of sensitivities on social inclusion across the Mekong subregion. </w:t>
      </w:r>
    </w:p>
    <w:p w14:paraId="71FE7F6C" w14:textId="540CFB72" w:rsidR="00735B8F" w:rsidRPr="00C008B4" w:rsidRDefault="00735B8F" w:rsidP="00C008B4">
      <w:pPr>
        <w:pStyle w:val="Heading2Numbered"/>
        <w:rPr>
          <w:lang w:val="en-AU"/>
        </w:rPr>
      </w:pPr>
      <w:bookmarkStart w:id="82" w:name="_Toc163539157"/>
      <w:bookmarkStart w:id="83" w:name="_Toc174029042"/>
      <w:r w:rsidRPr="00C008B4">
        <w:rPr>
          <w:lang w:val="en-AU"/>
        </w:rPr>
        <w:t>Country plans</w:t>
      </w:r>
      <w:bookmarkEnd w:id="82"/>
      <w:bookmarkEnd w:id="83"/>
    </w:p>
    <w:p w14:paraId="2A53DFDB" w14:textId="0D863C3C" w:rsidR="00735B8F" w:rsidRPr="00EC236E" w:rsidRDefault="001F57F2" w:rsidP="00735B8F">
      <w:pPr>
        <w:rPr>
          <w:sz w:val="24"/>
          <w:szCs w:val="24"/>
          <w:lang w:val="en-AU"/>
        </w:rPr>
      </w:pPr>
      <w:r w:rsidRPr="00EC236E">
        <w:rPr>
          <w:rFonts w:eastAsia="Times New Roman" w:cs="Times New Roman"/>
          <w:sz w:val="24"/>
          <w:szCs w:val="24"/>
          <w:lang w:val="en-AU"/>
        </w:rPr>
        <w:t xml:space="preserve">It was noted during consultations that some </w:t>
      </w:r>
      <w:r w:rsidR="00A42569" w:rsidRPr="00EC236E">
        <w:rPr>
          <w:rFonts w:eastAsia="Times New Roman" w:cs="Times New Roman"/>
          <w:sz w:val="24"/>
          <w:szCs w:val="24"/>
          <w:lang w:val="en-AU"/>
        </w:rPr>
        <w:t xml:space="preserve">DFAT </w:t>
      </w:r>
      <w:r w:rsidRPr="00EC236E">
        <w:rPr>
          <w:rFonts w:eastAsia="Times New Roman" w:cs="Times New Roman"/>
          <w:sz w:val="24"/>
          <w:szCs w:val="24"/>
          <w:lang w:val="en-AU"/>
        </w:rPr>
        <w:t xml:space="preserve">regional investments develop Country Plans and that these </w:t>
      </w:r>
      <w:r w:rsidR="00A42569" w:rsidRPr="00EC236E">
        <w:rPr>
          <w:rFonts w:eastAsia="Times New Roman" w:cs="Times New Roman"/>
          <w:sz w:val="24"/>
          <w:szCs w:val="24"/>
          <w:lang w:val="en-AU"/>
        </w:rPr>
        <w:t>help to</w:t>
      </w:r>
      <w:r w:rsidRPr="00EC236E">
        <w:rPr>
          <w:rFonts w:eastAsia="Times New Roman" w:cs="Times New Roman"/>
          <w:sz w:val="24"/>
          <w:szCs w:val="24"/>
          <w:lang w:val="en-AU"/>
        </w:rPr>
        <w:t xml:space="preserve"> </w:t>
      </w:r>
      <w:r w:rsidR="00A42569" w:rsidRPr="00EC236E">
        <w:rPr>
          <w:rFonts w:eastAsia="Times New Roman" w:cs="Times New Roman"/>
          <w:sz w:val="24"/>
          <w:szCs w:val="24"/>
          <w:lang w:val="en-AU"/>
        </w:rPr>
        <w:t xml:space="preserve">outline </w:t>
      </w:r>
      <w:r w:rsidRPr="00EC236E">
        <w:rPr>
          <w:rFonts w:eastAsia="Times New Roman" w:cs="Times New Roman"/>
          <w:sz w:val="24"/>
          <w:szCs w:val="24"/>
          <w:lang w:val="en-AU"/>
        </w:rPr>
        <w:t xml:space="preserve">how a regional </w:t>
      </w:r>
      <w:r w:rsidR="00DA7705">
        <w:rPr>
          <w:rFonts w:eastAsia="Times New Roman" w:cs="Times New Roman"/>
          <w:sz w:val="24"/>
          <w:szCs w:val="24"/>
          <w:lang w:val="en-AU"/>
        </w:rPr>
        <w:t xml:space="preserve">portfolio </w:t>
      </w:r>
      <w:r w:rsidR="00664D0D">
        <w:rPr>
          <w:rFonts w:eastAsia="Times New Roman" w:cs="Times New Roman"/>
          <w:sz w:val="24"/>
          <w:szCs w:val="24"/>
          <w:lang w:val="en-AU"/>
        </w:rPr>
        <w:t>(which intersects primarily with a regional DPP)</w:t>
      </w:r>
      <w:r w:rsidRPr="00EC236E">
        <w:rPr>
          <w:rFonts w:eastAsia="Times New Roman" w:cs="Times New Roman"/>
          <w:sz w:val="24"/>
          <w:szCs w:val="24"/>
          <w:lang w:val="en-AU"/>
        </w:rPr>
        <w:t xml:space="preserve"> intersects with bilateral investments. These should be considered and could be a simple one-page snapshot of what MAP funds in each country including bilateral allocations and regional activities being implemented in a country. These could be useful when engaging with counterparts, and in providing other Posts with </w:t>
      </w:r>
      <w:r w:rsidR="64B5B8BB" w:rsidRPr="00EC236E">
        <w:rPr>
          <w:rFonts w:eastAsia="Times New Roman" w:cs="Times New Roman"/>
          <w:sz w:val="24"/>
          <w:szCs w:val="24"/>
          <w:lang w:val="en-AU"/>
        </w:rPr>
        <w:t>an</w:t>
      </w:r>
      <w:r w:rsidRPr="00EC236E">
        <w:rPr>
          <w:rFonts w:eastAsia="Times New Roman" w:cs="Times New Roman"/>
          <w:sz w:val="24"/>
          <w:szCs w:val="24"/>
          <w:lang w:val="en-AU"/>
        </w:rPr>
        <w:t xml:space="preserve"> easily digestible snapshot of what MAP </w:t>
      </w:r>
      <w:r w:rsidR="00F26703" w:rsidRPr="00EC236E">
        <w:rPr>
          <w:rFonts w:eastAsia="Times New Roman" w:cs="Times New Roman"/>
          <w:sz w:val="24"/>
          <w:szCs w:val="24"/>
          <w:lang w:val="en-AU"/>
        </w:rPr>
        <w:t xml:space="preserve">Phase 2 </w:t>
      </w:r>
      <w:r w:rsidRPr="00EC236E">
        <w:rPr>
          <w:rFonts w:eastAsia="Times New Roman" w:cs="Times New Roman"/>
          <w:sz w:val="24"/>
          <w:szCs w:val="24"/>
          <w:lang w:val="en-AU"/>
        </w:rPr>
        <w:t xml:space="preserve">is doing in </w:t>
      </w:r>
      <w:r w:rsidR="00F26703" w:rsidRPr="00EC236E">
        <w:rPr>
          <w:rFonts w:eastAsia="Times New Roman" w:cs="Times New Roman"/>
          <w:sz w:val="24"/>
          <w:szCs w:val="24"/>
          <w:lang w:val="en-AU"/>
        </w:rPr>
        <w:t>other</w:t>
      </w:r>
      <w:r w:rsidRPr="00EC236E">
        <w:rPr>
          <w:rFonts w:eastAsia="Times New Roman" w:cs="Times New Roman"/>
          <w:sz w:val="24"/>
          <w:szCs w:val="24"/>
          <w:lang w:val="en-AU"/>
        </w:rPr>
        <w:t xml:space="preserve"> Mekong countries. </w:t>
      </w:r>
      <w:r w:rsidR="00B60D5B" w:rsidRPr="00EC236E">
        <w:rPr>
          <w:rFonts w:eastAsia="Times New Roman" w:cs="Times New Roman"/>
          <w:sz w:val="24"/>
          <w:szCs w:val="24"/>
          <w:lang w:val="en-AU"/>
        </w:rPr>
        <w:t>Country plans would demonstrate linkages with bilateral DPPs.</w:t>
      </w:r>
      <w:r w:rsidR="006D2743">
        <w:rPr>
          <w:rFonts w:eastAsia="Times New Roman" w:cs="Times New Roman"/>
          <w:sz w:val="24"/>
          <w:szCs w:val="24"/>
          <w:lang w:val="en-AU"/>
        </w:rPr>
        <w:t xml:space="preserve"> This approach will complement MAP’s close alignment with the Southeast Asia Regional DPP.</w:t>
      </w:r>
    </w:p>
    <w:p w14:paraId="0567D5D5" w14:textId="14AAE7F9" w:rsidR="00C752B3" w:rsidRPr="001F14E7" w:rsidRDefault="00FC7BD2" w:rsidP="008E2F3E">
      <w:pPr>
        <w:pStyle w:val="Heading2Numbered"/>
        <w:rPr>
          <w:lang w:val="en-AU"/>
        </w:rPr>
      </w:pPr>
      <w:bookmarkStart w:id="84" w:name="_Toc162287872"/>
      <w:bookmarkStart w:id="85" w:name="_Toc163539159"/>
      <w:bookmarkStart w:id="86" w:name="_Toc174029043"/>
      <w:r w:rsidRPr="2C480AEE">
        <w:rPr>
          <w:lang w:val="en-AU"/>
        </w:rPr>
        <w:t>DFAT Roles and responsibilities</w:t>
      </w:r>
      <w:bookmarkEnd w:id="84"/>
      <w:bookmarkEnd w:id="85"/>
      <w:bookmarkEnd w:id="86"/>
      <w:r w:rsidRPr="2C480AEE">
        <w:rPr>
          <w:lang w:val="en-AU"/>
        </w:rPr>
        <w:t xml:space="preserve"> </w:t>
      </w:r>
    </w:p>
    <w:p w14:paraId="69786333" w14:textId="77777777" w:rsidR="004B2CB7" w:rsidRPr="004B2CB7" w:rsidRDefault="580BC05F" w:rsidP="004B2CB7">
      <w:pPr>
        <w:rPr>
          <w:rFonts w:eastAsia="Times New Roman" w:cs="Times New Roman"/>
          <w:sz w:val="24"/>
          <w:szCs w:val="24"/>
          <w:lang w:val="en-AU"/>
        </w:rPr>
      </w:pPr>
      <w:r w:rsidRPr="004B2CB7">
        <w:rPr>
          <w:rFonts w:eastAsia="Times New Roman" w:cs="Times New Roman"/>
          <w:sz w:val="24"/>
          <w:szCs w:val="24"/>
          <w:lang w:val="en-AU"/>
        </w:rPr>
        <w:t xml:space="preserve">In line with the management arrangements described above, </w:t>
      </w:r>
      <w:r w:rsidR="38F6E9FF" w:rsidRPr="004B2CB7">
        <w:rPr>
          <w:rFonts w:eastAsia="Times New Roman" w:cs="Times New Roman"/>
          <w:sz w:val="24"/>
          <w:szCs w:val="24"/>
          <w:lang w:val="en-AU"/>
        </w:rPr>
        <w:t>s</w:t>
      </w:r>
      <w:r w:rsidR="53C4B12C" w:rsidRPr="004B2CB7">
        <w:rPr>
          <w:rFonts w:eastAsia="Times New Roman" w:cs="Times New Roman"/>
          <w:sz w:val="24"/>
          <w:szCs w:val="24"/>
          <w:lang w:val="en-AU"/>
        </w:rPr>
        <w:t xml:space="preserve">ummaries of the role of MKS, the Mekong Hub, and </w:t>
      </w:r>
      <w:r w:rsidR="21D31FD3" w:rsidRPr="004B2CB7">
        <w:rPr>
          <w:rFonts w:eastAsia="Times New Roman" w:cs="Times New Roman"/>
          <w:sz w:val="24"/>
          <w:szCs w:val="24"/>
          <w:lang w:val="en-AU"/>
        </w:rPr>
        <w:t>Post</w:t>
      </w:r>
      <w:r w:rsidR="53C4B12C" w:rsidRPr="004B2CB7">
        <w:rPr>
          <w:rFonts w:eastAsia="Times New Roman" w:cs="Times New Roman"/>
          <w:sz w:val="24"/>
          <w:szCs w:val="24"/>
          <w:lang w:val="en-AU"/>
        </w:rPr>
        <w:t xml:space="preserve">s are provided below. </w:t>
      </w:r>
    </w:p>
    <w:p w14:paraId="663AAB07" w14:textId="6103A116" w:rsidR="00490134" w:rsidRPr="001F14E7" w:rsidRDefault="00490134" w:rsidP="004B2CB7">
      <w:pPr>
        <w:pStyle w:val="Heading3Numbered"/>
        <w:rPr>
          <w:lang w:val="en-AU"/>
        </w:rPr>
      </w:pPr>
      <w:r w:rsidRPr="2C480AEE">
        <w:rPr>
          <w:lang w:val="en-AU"/>
        </w:rPr>
        <w:t>Mekong Strategy Section</w:t>
      </w:r>
    </w:p>
    <w:p w14:paraId="73C00A2D" w14:textId="28BFCCA0" w:rsidR="00490134" w:rsidRPr="00EC236E" w:rsidRDefault="00674B20" w:rsidP="005A2AB3">
      <w:pPr>
        <w:rPr>
          <w:sz w:val="24"/>
          <w:szCs w:val="24"/>
          <w:lang w:val="en-AU"/>
        </w:rPr>
      </w:pPr>
      <w:r w:rsidRPr="00EC236E">
        <w:rPr>
          <w:sz w:val="24"/>
          <w:szCs w:val="24"/>
          <w:lang w:val="en-AU"/>
        </w:rPr>
        <w:t xml:space="preserve">MKS will </w:t>
      </w:r>
      <w:r w:rsidR="00445539" w:rsidRPr="00EC236E">
        <w:rPr>
          <w:sz w:val="24"/>
          <w:szCs w:val="24"/>
          <w:lang w:val="en-AU"/>
        </w:rPr>
        <w:t xml:space="preserve">lead on </w:t>
      </w:r>
      <w:r w:rsidR="00591996" w:rsidRPr="00EC236E">
        <w:rPr>
          <w:sz w:val="24"/>
          <w:szCs w:val="24"/>
          <w:lang w:val="en-AU"/>
        </w:rPr>
        <w:t xml:space="preserve">setting </w:t>
      </w:r>
      <w:r w:rsidR="00445539" w:rsidRPr="00EC236E">
        <w:rPr>
          <w:sz w:val="24"/>
          <w:szCs w:val="24"/>
          <w:lang w:val="en-AU"/>
        </w:rPr>
        <w:t>s</w:t>
      </w:r>
      <w:r w:rsidR="00D37447" w:rsidRPr="00EC236E">
        <w:rPr>
          <w:sz w:val="24"/>
          <w:szCs w:val="24"/>
          <w:lang w:val="en-AU"/>
        </w:rPr>
        <w:t xml:space="preserve">trategic direction </w:t>
      </w:r>
      <w:r w:rsidR="00445539" w:rsidRPr="00EC236E">
        <w:rPr>
          <w:sz w:val="24"/>
          <w:szCs w:val="24"/>
          <w:lang w:val="en-AU"/>
        </w:rPr>
        <w:t xml:space="preserve">including on </w:t>
      </w:r>
      <w:r w:rsidR="006F182D" w:rsidRPr="00EC236E">
        <w:rPr>
          <w:sz w:val="24"/>
          <w:szCs w:val="24"/>
          <w:lang w:val="en-AU"/>
        </w:rPr>
        <w:t>high-level budget</w:t>
      </w:r>
      <w:r w:rsidRPr="00EC236E">
        <w:rPr>
          <w:sz w:val="24"/>
          <w:szCs w:val="24"/>
          <w:lang w:val="en-AU"/>
        </w:rPr>
        <w:t xml:space="preserve"> planning </w:t>
      </w:r>
      <w:r w:rsidR="0049466D" w:rsidRPr="00EC236E">
        <w:rPr>
          <w:sz w:val="24"/>
          <w:szCs w:val="24"/>
          <w:lang w:val="en-AU"/>
        </w:rPr>
        <w:t>(together with the Mekong Hub</w:t>
      </w:r>
      <w:r w:rsidR="006F182D" w:rsidRPr="00EC236E">
        <w:rPr>
          <w:sz w:val="24"/>
          <w:szCs w:val="24"/>
          <w:lang w:val="en-AU"/>
        </w:rPr>
        <w:t xml:space="preserve"> and</w:t>
      </w:r>
      <w:r w:rsidR="00302D13" w:rsidRPr="00EC236E">
        <w:rPr>
          <w:sz w:val="24"/>
          <w:szCs w:val="24"/>
          <w:lang w:val="en-AU"/>
        </w:rPr>
        <w:t xml:space="preserve"> in close consultation with posts)</w:t>
      </w:r>
      <w:r w:rsidRPr="00EC236E">
        <w:rPr>
          <w:sz w:val="24"/>
          <w:szCs w:val="24"/>
          <w:lang w:val="en-AU"/>
        </w:rPr>
        <w:t>; updates to portfolio design</w:t>
      </w:r>
      <w:r w:rsidR="00CD651A" w:rsidRPr="00EC236E">
        <w:rPr>
          <w:sz w:val="24"/>
          <w:szCs w:val="24"/>
          <w:lang w:val="en-AU"/>
        </w:rPr>
        <w:t xml:space="preserve">, </w:t>
      </w:r>
      <w:r w:rsidR="0040169E" w:rsidRPr="00EC236E">
        <w:rPr>
          <w:sz w:val="24"/>
          <w:szCs w:val="24"/>
          <w:lang w:val="en-AU"/>
        </w:rPr>
        <w:t>portfolio</w:t>
      </w:r>
      <w:r w:rsidR="00CD651A" w:rsidRPr="00EC236E">
        <w:rPr>
          <w:sz w:val="24"/>
          <w:szCs w:val="24"/>
          <w:lang w:val="en-AU"/>
        </w:rPr>
        <w:t xml:space="preserve"> logic</w:t>
      </w:r>
      <w:r w:rsidRPr="00EC236E">
        <w:rPr>
          <w:sz w:val="24"/>
          <w:szCs w:val="24"/>
          <w:lang w:val="en-AU"/>
        </w:rPr>
        <w:t xml:space="preserve"> and implementation arrangements</w:t>
      </w:r>
      <w:r w:rsidR="00CD651A" w:rsidRPr="00EC236E">
        <w:rPr>
          <w:sz w:val="24"/>
          <w:szCs w:val="24"/>
          <w:lang w:val="en-AU"/>
        </w:rPr>
        <w:t xml:space="preserve"> as needed</w:t>
      </w:r>
      <w:r w:rsidRPr="00EC236E">
        <w:rPr>
          <w:sz w:val="24"/>
          <w:szCs w:val="24"/>
          <w:lang w:val="en-AU"/>
        </w:rPr>
        <w:t xml:space="preserve">; and </w:t>
      </w:r>
      <w:r w:rsidR="0071204A" w:rsidRPr="00EC236E">
        <w:rPr>
          <w:sz w:val="24"/>
          <w:szCs w:val="24"/>
          <w:lang w:val="en-AU"/>
        </w:rPr>
        <w:t xml:space="preserve">oversight of </w:t>
      </w:r>
      <w:r w:rsidRPr="00EC236E">
        <w:rPr>
          <w:sz w:val="24"/>
          <w:szCs w:val="24"/>
          <w:lang w:val="en-AU"/>
        </w:rPr>
        <w:t xml:space="preserve">MAP strategic risk. </w:t>
      </w:r>
      <w:r w:rsidR="00445539" w:rsidRPr="00EC236E">
        <w:rPr>
          <w:sz w:val="24"/>
          <w:szCs w:val="24"/>
          <w:lang w:val="en-AU"/>
        </w:rPr>
        <w:t xml:space="preserve">MKS will </w:t>
      </w:r>
      <w:r w:rsidR="00CD651A" w:rsidRPr="00EC236E">
        <w:rPr>
          <w:sz w:val="24"/>
          <w:szCs w:val="24"/>
          <w:lang w:val="en-AU"/>
        </w:rPr>
        <w:t xml:space="preserve">ensure MAP retains strategic relevance and coherence and supports </w:t>
      </w:r>
      <w:r w:rsidR="00BB1979" w:rsidRPr="00EC236E">
        <w:rPr>
          <w:sz w:val="24"/>
          <w:szCs w:val="24"/>
          <w:lang w:val="en-AU"/>
        </w:rPr>
        <w:t>effective investments</w:t>
      </w:r>
      <w:r w:rsidR="008871A4" w:rsidRPr="00EC236E">
        <w:rPr>
          <w:sz w:val="24"/>
          <w:szCs w:val="24"/>
          <w:lang w:val="en-AU"/>
        </w:rPr>
        <w:t xml:space="preserve">, balancing </w:t>
      </w:r>
      <w:r w:rsidR="00541853" w:rsidRPr="00EC236E">
        <w:rPr>
          <w:sz w:val="24"/>
          <w:szCs w:val="24"/>
          <w:lang w:val="en-AU"/>
        </w:rPr>
        <w:t xml:space="preserve">proposals in line with Australia’s </w:t>
      </w:r>
      <w:r w:rsidR="00FE40F8" w:rsidRPr="00EC236E">
        <w:rPr>
          <w:sz w:val="24"/>
          <w:szCs w:val="24"/>
          <w:lang w:val="en-AU"/>
        </w:rPr>
        <w:t>strategic priorities for Mekong subregion engagement</w:t>
      </w:r>
      <w:r w:rsidR="00BC3472" w:rsidRPr="00EC236E">
        <w:rPr>
          <w:sz w:val="24"/>
          <w:szCs w:val="24"/>
          <w:lang w:val="en-AU"/>
        </w:rPr>
        <w:t>.</w:t>
      </w:r>
      <w:r w:rsidR="005158F6" w:rsidRPr="00EC236E">
        <w:rPr>
          <w:sz w:val="24"/>
          <w:szCs w:val="24"/>
          <w:lang w:val="en-AU"/>
        </w:rPr>
        <w:t xml:space="preserve"> </w:t>
      </w:r>
    </w:p>
    <w:p w14:paraId="0E031364" w14:textId="646625BD" w:rsidR="00CD651A" w:rsidRPr="00EC236E" w:rsidRDefault="00CD651A" w:rsidP="005A2AB3">
      <w:pPr>
        <w:rPr>
          <w:sz w:val="24"/>
          <w:szCs w:val="24"/>
          <w:lang w:val="en-AU"/>
        </w:rPr>
      </w:pPr>
      <w:r w:rsidRPr="00EC236E">
        <w:rPr>
          <w:sz w:val="24"/>
          <w:szCs w:val="24"/>
          <w:lang w:val="en-AU"/>
        </w:rPr>
        <w:t xml:space="preserve">MKS </w:t>
      </w:r>
      <w:r w:rsidR="00591996" w:rsidRPr="00EC236E">
        <w:rPr>
          <w:sz w:val="24"/>
          <w:szCs w:val="24"/>
          <w:lang w:val="en-AU"/>
        </w:rPr>
        <w:t xml:space="preserve">will </w:t>
      </w:r>
      <w:r w:rsidRPr="00EC236E">
        <w:rPr>
          <w:sz w:val="24"/>
          <w:szCs w:val="24"/>
          <w:lang w:val="en-AU"/>
        </w:rPr>
        <w:t>report to the MAP Steering Committee</w:t>
      </w:r>
      <w:r w:rsidR="00591996" w:rsidRPr="00EC236E">
        <w:rPr>
          <w:sz w:val="24"/>
          <w:szCs w:val="24"/>
          <w:lang w:val="en-AU"/>
        </w:rPr>
        <w:t xml:space="preserve"> and act</w:t>
      </w:r>
      <w:r w:rsidR="001B0FAF" w:rsidRPr="00EC236E">
        <w:rPr>
          <w:sz w:val="24"/>
          <w:szCs w:val="24"/>
          <w:lang w:val="en-AU"/>
        </w:rPr>
        <w:t xml:space="preserve"> a</w:t>
      </w:r>
      <w:r w:rsidR="00591996" w:rsidRPr="00EC236E">
        <w:rPr>
          <w:sz w:val="24"/>
          <w:szCs w:val="24"/>
          <w:lang w:val="en-AU"/>
        </w:rPr>
        <w:t>s its Secretariat</w:t>
      </w:r>
      <w:r w:rsidR="00B63863" w:rsidRPr="00EC236E">
        <w:rPr>
          <w:sz w:val="24"/>
          <w:szCs w:val="24"/>
          <w:lang w:val="en-AU"/>
        </w:rPr>
        <w:t xml:space="preserve">. MKS may task </w:t>
      </w:r>
      <w:r w:rsidR="00BB2501" w:rsidRPr="00EC236E">
        <w:rPr>
          <w:sz w:val="24"/>
          <w:szCs w:val="24"/>
          <w:lang w:val="en-AU"/>
        </w:rPr>
        <w:t>Post</w:t>
      </w:r>
      <w:r w:rsidR="00B63863" w:rsidRPr="00EC236E">
        <w:rPr>
          <w:sz w:val="24"/>
          <w:szCs w:val="24"/>
          <w:lang w:val="en-AU"/>
        </w:rPr>
        <w:t xml:space="preserve">s to </w:t>
      </w:r>
      <w:r w:rsidR="009A300E" w:rsidRPr="00EC236E">
        <w:rPr>
          <w:sz w:val="24"/>
          <w:szCs w:val="24"/>
          <w:lang w:val="en-AU"/>
        </w:rPr>
        <w:t xml:space="preserve">report on MAP engagement and </w:t>
      </w:r>
      <w:r w:rsidR="002E0E2E" w:rsidRPr="00EC236E">
        <w:rPr>
          <w:sz w:val="24"/>
          <w:szCs w:val="24"/>
          <w:lang w:val="en-AU"/>
        </w:rPr>
        <w:t xml:space="preserve">provide strategic assessments </w:t>
      </w:r>
      <w:r w:rsidR="009A300E" w:rsidRPr="00EC236E">
        <w:rPr>
          <w:sz w:val="24"/>
          <w:szCs w:val="24"/>
          <w:lang w:val="en-AU"/>
        </w:rPr>
        <w:t>to inform MKS policy advice to Ministers and senior decisionmakers</w:t>
      </w:r>
      <w:r w:rsidR="00B63863" w:rsidRPr="00EC236E">
        <w:rPr>
          <w:sz w:val="24"/>
          <w:szCs w:val="24"/>
          <w:lang w:val="en-AU"/>
        </w:rPr>
        <w:t xml:space="preserve">. </w:t>
      </w:r>
    </w:p>
    <w:p w14:paraId="30E27B98" w14:textId="46AF3C3A" w:rsidR="007D573A" w:rsidRPr="00EC236E" w:rsidRDefault="00CD651A" w:rsidP="005A2AB3">
      <w:pPr>
        <w:rPr>
          <w:sz w:val="24"/>
          <w:szCs w:val="24"/>
          <w:lang w:val="en-AU"/>
        </w:rPr>
      </w:pPr>
      <w:r w:rsidRPr="00EC236E">
        <w:rPr>
          <w:sz w:val="24"/>
          <w:szCs w:val="24"/>
          <w:lang w:val="en-AU"/>
        </w:rPr>
        <w:t xml:space="preserve">MKS may </w:t>
      </w:r>
      <w:r w:rsidR="0071204A" w:rsidRPr="00EC236E">
        <w:rPr>
          <w:sz w:val="24"/>
          <w:szCs w:val="24"/>
          <w:lang w:val="en-AU"/>
        </w:rPr>
        <w:t xml:space="preserve">assist in accessing support and linking into other areas of DFAT and </w:t>
      </w:r>
      <w:r w:rsidRPr="00EC236E">
        <w:rPr>
          <w:sz w:val="24"/>
          <w:szCs w:val="24"/>
          <w:lang w:val="en-AU"/>
        </w:rPr>
        <w:t xml:space="preserve">other Australian Government Agencies in </w:t>
      </w:r>
      <w:r w:rsidR="00571658" w:rsidRPr="00EC236E">
        <w:rPr>
          <w:sz w:val="24"/>
          <w:szCs w:val="24"/>
          <w:lang w:val="en-AU"/>
        </w:rPr>
        <w:t>Canberra</w:t>
      </w:r>
      <w:r w:rsidR="0071204A" w:rsidRPr="00EC236E">
        <w:rPr>
          <w:sz w:val="24"/>
          <w:szCs w:val="24"/>
          <w:lang w:val="en-AU"/>
        </w:rPr>
        <w:t xml:space="preserve">, as well as </w:t>
      </w:r>
      <w:r w:rsidR="006145C6" w:rsidRPr="00EC236E">
        <w:rPr>
          <w:sz w:val="24"/>
          <w:szCs w:val="24"/>
          <w:lang w:val="en-AU"/>
        </w:rPr>
        <w:t xml:space="preserve">with </w:t>
      </w:r>
      <w:r w:rsidR="0071204A" w:rsidRPr="00EC236E">
        <w:rPr>
          <w:sz w:val="24"/>
          <w:szCs w:val="24"/>
          <w:lang w:val="en-AU"/>
        </w:rPr>
        <w:t>linkages and leveraging other DFAT investments as required</w:t>
      </w:r>
      <w:r w:rsidR="00571658" w:rsidRPr="00EC236E">
        <w:rPr>
          <w:sz w:val="24"/>
          <w:szCs w:val="24"/>
          <w:lang w:val="en-AU"/>
        </w:rPr>
        <w:t xml:space="preserve">. </w:t>
      </w:r>
    </w:p>
    <w:p w14:paraId="197743E9" w14:textId="5121430D" w:rsidR="4F9171D6" w:rsidRPr="00EC236E" w:rsidRDefault="4F9171D6" w:rsidP="005A2AB3">
      <w:pPr>
        <w:rPr>
          <w:rFonts w:eastAsia="Calibri Light"/>
          <w:sz w:val="24"/>
          <w:szCs w:val="24"/>
          <w:lang w:val="en-AU"/>
        </w:rPr>
      </w:pPr>
      <w:r w:rsidRPr="00EC236E">
        <w:rPr>
          <w:sz w:val="24"/>
          <w:szCs w:val="24"/>
          <w:lang w:val="en-AU"/>
        </w:rPr>
        <w:lastRenderedPageBreak/>
        <w:t xml:space="preserve">MKS will also lead on thematic working groups. </w:t>
      </w:r>
      <w:r w:rsidRPr="00EC236E">
        <w:rPr>
          <w:rFonts w:eastAsia="Calibri"/>
          <w:sz w:val="24"/>
          <w:szCs w:val="24"/>
          <w:lang w:val="en-AU"/>
        </w:rPr>
        <w:t xml:space="preserve">These working level mechanisms (e.g. Environmental, Economic and GEDSI) will meet </w:t>
      </w:r>
      <w:r w:rsidRPr="00EC236E">
        <w:rPr>
          <w:rFonts w:eastAsia="Calibri Light"/>
          <w:sz w:val="24"/>
          <w:szCs w:val="24"/>
          <w:lang w:val="en-AU"/>
        </w:rPr>
        <w:t xml:space="preserve">quarterly in the first year – and then twice yearly </w:t>
      </w:r>
      <w:r w:rsidRPr="00EC236E">
        <w:rPr>
          <w:rFonts w:eastAsia="Calibri"/>
          <w:sz w:val="24"/>
          <w:szCs w:val="24"/>
          <w:lang w:val="en-AU"/>
        </w:rPr>
        <w:t xml:space="preserve">to discuss future proposals as well as </w:t>
      </w:r>
      <w:r w:rsidR="0040169E" w:rsidRPr="00EC236E">
        <w:rPr>
          <w:rFonts w:eastAsia="Calibri"/>
          <w:sz w:val="24"/>
          <w:szCs w:val="24"/>
          <w:lang w:val="en-AU"/>
        </w:rPr>
        <w:t>portfolio</w:t>
      </w:r>
      <w:r w:rsidRPr="00EC236E">
        <w:rPr>
          <w:rFonts w:eastAsia="Calibri"/>
          <w:sz w:val="24"/>
          <w:szCs w:val="24"/>
          <w:lang w:val="en-AU"/>
        </w:rPr>
        <w:t xml:space="preserve"> coordination, budget, risk management at the working level</w:t>
      </w:r>
      <w:r w:rsidR="00F4765B" w:rsidRPr="00EC236E">
        <w:rPr>
          <w:rFonts w:eastAsia="Calibri"/>
          <w:sz w:val="24"/>
          <w:szCs w:val="24"/>
          <w:lang w:val="en-AU"/>
        </w:rPr>
        <w:t>.</w:t>
      </w:r>
    </w:p>
    <w:p w14:paraId="57090BA9" w14:textId="77777777" w:rsidR="007D573A" w:rsidRPr="001F14E7" w:rsidRDefault="007D573A" w:rsidP="00490134">
      <w:pPr>
        <w:pStyle w:val="Heading3Numbered"/>
        <w:rPr>
          <w:lang w:val="en-AU"/>
        </w:rPr>
      </w:pPr>
      <w:r w:rsidRPr="2C480AEE">
        <w:rPr>
          <w:lang w:val="en-AU"/>
        </w:rPr>
        <w:t xml:space="preserve">The Mekong Hub </w:t>
      </w:r>
    </w:p>
    <w:p w14:paraId="3F2614C0" w14:textId="110A41C2" w:rsidR="009F5F21" w:rsidRPr="00EC236E" w:rsidRDefault="00571658" w:rsidP="005A2AB3">
      <w:pPr>
        <w:rPr>
          <w:sz w:val="24"/>
          <w:szCs w:val="24"/>
          <w:lang w:val="en-AU"/>
        </w:rPr>
      </w:pPr>
      <w:r w:rsidRPr="00EC236E">
        <w:rPr>
          <w:rFonts w:eastAsia="Times New Roman" w:cs="Times New Roman"/>
          <w:sz w:val="24"/>
          <w:szCs w:val="24"/>
          <w:lang w:val="en-AU"/>
        </w:rPr>
        <w:t xml:space="preserve">The Mekong Hub </w:t>
      </w:r>
      <w:r w:rsidR="0071204A" w:rsidRPr="00EC236E">
        <w:rPr>
          <w:sz w:val="24"/>
          <w:szCs w:val="24"/>
          <w:lang w:val="en-AU"/>
        </w:rPr>
        <w:t>is led by the Counsellor Development Bangkok and i</w:t>
      </w:r>
      <w:r w:rsidRPr="00EC236E">
        <w:rPr>
          <w:sz w:val="24"/>
          <w:szCs w:val="24"/>
          <w:lang w:val="en-AU"/>
        </w:rPr>
        <w:t xml:space="preserve">ncludes </w:t>
      </w:r>
      <w:r w:rsidR="002D339B" w:rsidRPr="00EC236E">
        <w:rPr>
          <w:sz w:val="24"/>
          <w:szCs w:val="24"/>
          <w:lang w:val="en-AU"/>
        </w:rPr>
        <w:t>DFAT</w:t>
      </w:r>
      <w:r w:rsidR="0071204A" w:rsidRPr="00EC236E">
        <w:rPr>
          <w:sz w:val="24"/>
          <w:szCs w:val="24"/>
          <w:lang w:val="en-AU"/>
        </w:rPr>
        <w:t xml:space="preserve"> </w:t>
      </w:r>
      <w:r w:rsidRPr="00EC236E">
        <w:rPr>
          <w:sz w:val="24"/>
          <w:szCs w:val="24"/>
          <w:lang w:val="en-AU"/>
        </w:rPr>
        <w:t>staff in Bangkok</w:t>
      </w:r>
      <w:r w:rsidR="00744DCA">
        <w:rPr>
          <w:sz w:val="24"/>
          <w:szCs w:val="24"/>
          <w:lang w:val="en-AU"/>
        </w:rPr>
        <w:t>.</w:t>
      </w:r>
      <w:r w:rsidR="009F5F21" w:rsidRPr="00EC236E">
        <w:rPr>
          <w:sz w:val="24"/>
          <w:szCs w:val="24"/>
          <w:lang w:val="en-AU"/>
        </w:rPr>
        <w:t xml:space="preserve"> It </w:t>
      </w:r>
      <w:r w:rsidR="00742A6C" w:rsidRPr="00EC236E">
        <w:rPr>
          <w:sz w:val="24"/>
          <w:szCs w:val="24"/>
          <w:lang w:val="en-AU"/>
        </w:rPr>
        <w:t>will house significant</w:t>
      </w:r>
      <w:r w:rsidR="00B7673A" w:rsidRPr="00EC236E">
        <w:rPr>
          <w:sz w:val="24"/>
          <w:szCs w:val="24"/>
          <w:lang w:val="en-AU"/>
        </w:rPr>
        <w:t xml:space="preserve"> expertise</w:t>
      </w:r>
      <w:r w:rsidR="00904A10" w:rsidRPr="00EC236E">
        <w:rPr>
          <w:sz w:val="24"/>
          <w:szCs w:val="24"/>
          <w:lang w:val="en-AU"/>
        </w:rPr>
        <w:t xml:space="preserve"> </w:t>
      </w:r>
      <w:r w:rsidR="009F5F21" w:rsidRPr="00EC236E">
        <w:rPr>
          <w:sz w:val="24"/>
          <w:szCs w:val="24"/>
          <w:lang w:val="en-AU"/>
        </w:rPr>
        <w:t xml:space="preserve">in MAP thematic areas </w:t>
      </w:r>
      <w:r w:rsidR="00904A10" w:rsidRPr="00EC236E">
        <w:rPr>
          <w:sz w:val="24"/>
          <w:szCs w:val="24"/>
          <w:lang w:val="en-AU"/>
        </w:rPr>
        <w:t xml:space="preserve">and </w:t>
      </w:r>
      <w:r w:rsidR="00742A6C" w:rsidRPr="00EC236E">
        <w:rPr>
          <w:sz w:val="24"/>
          <w:szCs w:val="24"/>
          <w:lang w:val="en-AU"/>
        </w:rPr>
        <w:t>maintain</w:t>
      </w:r>
      <w:r w:rsidR="009F5F21" w:rsidRPr="00EC236E">
        <w:rPr>
          <w:sz w:val="24"/>
          <w:szCs w:val="24"/>
          <w:lang w:val="en-AU"/>
        </w:rPr>
        <w:t xml:space="preserve"> important on-the-ground </w:t>
      </w:r>
      <w:r w:rsidR="00904A10" w:rsidRPr="00EC236E">
        <w:rPr>
          <w:sz w:val="24"/>
          <w:szCs w:val="24"/>
          <w:lang w:val="en-AU"/>
        </w:rPr>
        <w:t>networks</w:t>
      </w:r>
      <w:r w:rsidR="009F5F21" w:rsidRPr="00EC236E">
        <w:rPr>
          <w:sz w:val="24"/>
          <w:szCs w:val="24"/>
          <w:lang w:val="en-AU"/>
        </w:rPr>
        <w:t xml:space="preserve"> with key stakeholders, including</w:t>
      </w:r>
      <w:r w:rsidR="00904A10" w:rsidRPr="00EC236E">
        <w:rPr>
          <w:sz w:val="24"/>
          <w:szCs w:val="24"/>
          <w:lang w:val="en-AU"/>
        </w:rPr>
        <w:t xml:space="preserve"> </w:t>
      </w:r>
      <w:r w:rsidR="009F5F21" w:rsidRPr="00EC236E">
        <w:rPr>
          <w:sz w:val="24"/>
          <w:szCs w:val="24"/>
          <w:lang w:val="en-AU"/>
        </w:rPr>
        <w:t>with long-term partnerships</w:t>
      </w:r>
      <w:r w:rsidR="00904A10" w:rsidRPr="00EC236E">
        <w:rPr>
          <w:sz w:val="24"/>
          <w:szCs w:val="24"/>
          <w:lang w:val="en-AU"/>
        </w:rPr>
        <w:t>.</w:t>
      </w:r>
      <w:r w:rsidR="009F5F21" w:rsidRPr="00EC236E">
        <w:rPr>
          <w:sz w:val="24"/>
          <w:szCs w:val="24"/>
          <w:lang w:val="en-AU"/>
        </w:rPr>
        <w:t xml:space="preserve"> The Mekong Hub will play a critical role in </w:t>
      </w:r>
      <w:r w:rsidR="7246A103" w:rsidRPr="00EC236E">
        <w:rPr>
          <w:sz w:val="24"/>
          <w:szCs w:val="24"/>
          <w:lang w:val="en-AU"/>
        </w:rPr>
        <w:t xml:space="preserve">regional program </w:t>
      </w:r>
      <w:r w:rsidR="009F5F21" w:rsidRPr="00EC236E">
        <w:rPr>
          <w:sz w:val="24"/>
          <w:szCs w:val="24"/>
          <w:lang w:val="en-AU"/>
        </w:rPr>
        <w:t xml:space="preserve">pipeline planning to ensure lessons learned, the operating context and thematic expertise are adequately considered in shaping the portfolio. </w:t>
      </w:r>
    </w:p>
    <w:p w14:paraId="09E36A14" w14:textId="3BFEC8B5" w:rsidR="005F1C87" w:rsidRPr="00EC236E" w:rsidRDefault="005E0A71" w:rsidP="005A2AB3">
      <w:pPr>
        <w:rPr>
          <w:rFonts w:eastAsia="Times New Roman" w:cs="Times New Roman"/>
          <w:sz w:val="24"/>
          <w:szCs w:val="24"/>
          <w:lang w:val="en-AU"/>
        </w:rPr>
      </w:pPr>
      <w:r w:rsidRPr="00EC236E">
        <w:rPr>
          <w:rFonts w:eastAsia="Times New Roman" w:cs="Times New Roman"/>
          <w:sz w:val="24"/>
          <w:szCs w:val="24"/>
          <w:lang w:val="en-AU"/>
        </w:rPr>
        <w:t>Collectively, t</w:t>
      </w:r>
      <w:r w:rsidR="002E5FD0" w:rsidRPr="00EC236E">
        <w:rPr>
          <w:rFonts w:eastAsia="Times New Roman" w:cs="Times New Roman"/>
          <w:sz w:val="24"/>
          <w:szCs w:val="24"/>
          <w:lang w:val="en-AU"/>
        </w:rPr>
        <w:t>he Mekong Hub</w:t>
      </w:r>
      <w:r w:rsidR="00674B20" w:rsidRPr="00EC236E">
        <w:rPr>
          <w:rFonts w:eastAsia="Times New Roman" w:cs="Times New Roman"/>
          <w:sz w:val="24"/>
          <w:szCs w:val="24"/>
          <w:lang w:val="en-AU"/>
        </w:rPr>
        <w:t xml:space="preserve"> will</w:t>
      </w:r>
      <w:r w:rsidR="005F1C87" w:rsidRPr="00EC236E">
        <w:rPr>
          <w:rFonts w:eastAsia="Times New Roman" w:cs="Times New Roman"/>
          <w:sz w:val="24"/>
          <w:szCs w:val="24"/>
          <w:lang w:val="en-AU"/>
        </w:rPr>
        <w:t>:</w:t>
      </w:r>
    </w:p>
    <w:p w14:paraId="799AB374" w14:textId="4B46A643" w:rsidR="009F5F21" w:rsidRPr="00EC236E" w:rsidRDefault="009F5F21" w:rsidP="002E677B">
      <w:pPr>
        <w:pStyle w:val="ListParagraph"/>
        <w:numPr>
          <w:ilvl w:val="0"/>
          <w:numId w:val="30"/>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Provide strategic and operational advice into the pipeline planning process</w:t>
      </w:r>
      <w:r w:rsidR="0053537B" w:rsidRPr="00EC236E">
        <w:rPr>
          <w:rFonts w:eastAsia="Times New Roman" w:cs="Times New Roman"/>
          <w:sz w:val="24"/>
          <w:szCs w:val="24"/>
          <w:lang w:val="en-AU"/>
        </w:rPr>
        <w:t>.</w:t>
      </w:r>
    </w:p>
    <w:p w14:paraId="1061BB3F" w14:textId="2A2BD26A" w:rsidR="005F1C87" w:rsidRPr="00EC236E" w:rsidRDefault="005F1C87" w:rsidP="002E677B">
      <w:pPr>
        <w:pStyle w:val="ListParagraph"/>
        <w:numPr>
          <w:ilvl w:val="0"/>
          <w:numId w:val="30"/>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 xml:space="preserve">Manage the </w:t>
      </w:r>
      <w:r w:rsidR="00B63863" w:rsidRPr="00EC236E">
        <w:rPr>
          <w:rFonts w:eastAsia="Times New Roman" w:cs="Times New Roman"/>
          <w:sz w:val="24"/>
          <w:szCs w:val="24"/>
          <w:lang w:val="en-AU"/>
        </w:rPr>
        <w:t>implementation of the</w:t>
      </w:r>
      <w:r w:rsidRPr="00EC236E">
        <w:rPr>
          <w:rFonts w:eastAsia="Times New Roman" w:cs="Times New Roman"/>
          <w:sz w:val="24"/>
          <w:szCs w:val="24"/>
          <w:lang w:val="en-AU"/>
        </w:rPr>
        <w:t xml:space="preserve"> portfolio</w:t>
      </w:r>
      <w:r w:rsidR="00874C53" w:rsidRPr="00EC236E">
        <w:rPr>
          <w:rFonts w:eastAsia="Times New Roman" w:cs="Times New Roman"/>
          <w:sz w:val="24"/>
          <w:szCs w:val="24"/>
          <w:lang w:val="en-AU"/>
        </w:rPr>
        <w:t>, including the</w:t>
      </w:r>
      <w:r w:rsidR="00FE1B69" w:rsidRPr="00EC236E">
        <w:rPr>
          <w:rFonts w:eastAsia="Times New Roman" w:cs="Times New Roman"/>
          <w:sz w:val="24"/>
          <w:szCs w:val="24"/>
          <w:lang w:val="en-AU"/>
        </w:rPr>
        <w:t xml:space="preserve"> </w:t>
      </w:r>
      <w:r w:rsidR="00710DAA" w:rsidRPr="00EC236E">
        <w:rPr>
          <w:rFonts w:eastAsia="Times New Roman" w:cs="Times New Roman"/>
          <w:sz w:val="24"/>
          <w:szCs w:val="24"/>
          <w:lang w:val="en-AU"/>
        </w:rPr>
        <w:t xml:space="preserve">MAP </w:t>
      </w:r>
      <w:r w:rsidR="00874C53" w:rsidRPr="00EC236E">
        <w:rPr>
          <w:rFonts w:eastAsia="Times New Roman" w:cs="Times New Roman"/>
          <w:sz w:val="24"/>
          <w:szCs w:val="24"/>
          <w:lang w:val="en-AU"/>
        </w:rPr>
        <w:t>Program Fund Plan,</w:t>
      </w:r>
      <w:r w:rsidRPr="00EC236E">
        <w:rPr>
          <w:rFonts w:eastAsia="Times New Roman" w:cs="Times New Roman"/>
          <w:sz w:val="24"/>
          <w:szCs w:val="24"/>
          <w:lang w:val="en-AU"/>
        </w:rPr>
        <w:t xml:space="preserve"> tracking and managing </w:t>
      </w:r>
      <w:r w:rsidR="004D3EC4" w:rsidRPr="00EC236E">
        <w:rPr>
          <w:rFonts w:eastAsia="Times New Roman" w:cs="Times New Roman"/>
          <w:sz w:val="24"/>
          <w:szCs w:val="24"/>
          <w:lang w:val="en-AU"/>
        </w:rPr>
        <w:t>spending and</w:t>
      </w:r>
      <w:r w:rsidRPr="00EC236E">
        <w:rPr>
          <w:rFonts w:eastAsia="Times New Roman" w:cs="Times New Roman"/>
          <w:sz w:val="24"/>
          <w:szCs w:val="24"/>
          <w:lang w:val="en-AU"/>
        </w:rPr>
        <w:t xml:space="preserve"> </w:t>
      </w:r>
      <w:r w:rsidR="00B63863" w:rsidRPr="00EC236E">
        <w:rPr>
          <w:rFonts w:eastAsia="Times New Roman" w:cs="Times New Roman"/>
          <w:sz w:val="24"/>
          <w:szCs w:val="24"/>
          <w:lang w:val="en-AU"/>
        </w:rPr>
        <w:t>Aidworks</w:t>
      </w:r>
      <w:r w:rsidR="00EB32A8" w:rsidRPr="00EC236E">
        <w:rPr>
          <w:rFonts w:eastAsia="Times New Roman" w:cs="Times New Roman"/>
          <w:sz w:val="24"/>
          <w:szCs w:val="24"/>
          <w:lang w:val="en-AU"/>
        </w:rPr>
        <w:t>.</w:t>
      </w:r>
    </w:p>
    <w:p w14:paraId="06AE0878" w14:textId="5CAF83DE" w:rsidR="00910674" w:rsidRPr="00EC236E" w:rsidRDefault="00910674" w:rsidP="002E677B">
      <w:pPr>
        <w:pStyle w:val="ListParagraph"/>
        <w:numPr>
          <w:ilvl w:val="0"/>
          <w:numId w:val="30"/>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Develop, implement, manage, and quality assure MAP investments delegated to the Mekong Hub.</w:t>
      </w:r>
    </w:p>
    <w:p w14:paraId="17A230C7" w14:textId="06483847" w:rsidR="00910674" w:rsidRPr="00EC236E" w:rsidRDefault="00910674" w:rsidP="002E677B">
      <w:pPr>
        <w:numPr>
          <w:ilvl w:val="0"/>
          <w:numId w:val="30"/>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 xml:space="preserve">Support investment managers to develop, implement, manage, and quality assure MAP investments that are delegated to other </w:t>
      </w:r>
      <w:r w:rsidR="00BB2501" w:rsidRPr="00EC236E">
        <w:rPr>
          <w:rFonts w:eastAsia="Times New Roman" w:cs="Times New Roman"/>
          <w:sz w:val="24"/>
          <w:szCs w:val="24"/>
          <w:lang w:val="en-AU"/>
        </w:rPr>
        <w:t>Post</w:t>
      </w:r>
      <w:r w:rsidRPr="00EC236E">
        <w:rPr>
          <w:rFonts w:eastAsia="Times New Roman" w:cs="Times New Roman"/>
          <w:sz w:val="24"/>
          <w:szCs w:val="24"/>
          <w:lang w:val="en-AU"/>
        </w:rPr>
        <w:t>s</w:t>
      </w:r>
      <w:r w:rsidR="0053537B" w:rsidRPr="00EC236E">
        <w:rPr>
          <w:rFonts w:eastAsia="Times New Roman" w:cs="Times New Roman"/>
          <w:sz w:val="24"/>
          <w:szCs w:val="24"/>
          <w:lang w:val="en-AU"/>
        </w:rPr>
        <w:t xml:space="preserve"> (excluding bilateral allocations)</w:t>
      </w:r>
      <w:r w:rsidRPr="00EC236E">
        <w:rPr>
          <w:rFonts w:eastAsia="Times New Roman" w:cs="Times New Roman"/>
          <w:sz w:val="24"/>
          <w:szCs w:val="24"/>
          <w:lang w:val="en-AU"/>
        </w:rPr>
        <w:t>.</w:t>
      </w:r>
    </w:p>
    <w:p w14:paraId="5DE6AF75" w14:textId="565F5AA8" w:rsidR="00910674" w:rsidRPr="00EC236E" w:rsidRDefault="00910674" w:rsidP="002E677B">
      <w:pPr>
        <w:numPr>
          <w:ilvl w:val="0"/>
          <w:numId w:val="30"/>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 xml:space="preserve">Lead on portfolio MEL, reporting and cross </w:t>
      </w:r>
      <w:r w:rsidR="0040169E" w:rsidRPr="00EC236E">
        <w:rPr>
          <w:rFonts w:eastAsia="Times New Roman" w:cs="Times New Roman"/>
          <w:sz w:val="24"/>
          <w:szCs w:val="24"/>
          <w:lang w:val="en-AU"/>
        </w:rPr>
        <w:t>portfolio</w:t>
      </w:r>
      <w:r w:rsidRPr="00EC236E">
        <w:rPr>
          <w:rFonts w:eastAsia="Times New Roman" w:cs="Times New Roman"/>
          <w:sz w:val="24"/>
          <w:szCs w:val="24"/>
          <w:lang w:val="en-AU"/>
        </w:rPr>
        <w:t xml:space="preserve"> learning and collaboration as detailed in Section 6.</w:t>
      </w:r>
    </w:p>
    <w:p w14:paraId="30EA892B" w14:textId="672C0289" w:rsidR="00910674" w:rsidRPr="00EC236E" w:rsidRDefault="00910674" w:rsidP="002E677B">
      <w:pPr>
        <w:pStyle w:val="ListParagraph"/>
        <w:numPr>
          <w:ilvl w:val="0"/>
          <w:numId w:val="30"/>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 xml:space="preserve">Lead on </w:t>
      </w:r>
      <w:r w:rsidR="0040169E" w:rsidRPr="00EC236E">
        <w:rPr>
          <w:rFonts w:eastAsia="Times New Roman" w:cs="Times New Roman"/>
          <w:sz w:val="24"/>
          <w:szCs w:val="24"/>
          <w:lang w:val="en-AU"/>
        </w:rPr>
        <w:t>portfolio</w:t>
      </w:r>
      <w:r w:rsidRPr="00EC236E">
        <w:rPr>
          <w:rFonts w:eastAsia="Times New Roman" w:cs="Times New Roman"/>
          <w:sz w:val="24"/>
          <w:szCs w:val="24"/>
          <w:lang w:val="en-AU"/>
        </w:rPr>
        <w:t xml:space="preserve"> coordination and information sharing, including convening routine meetings. </w:t>
      </w:r>
    </w:p>
    <w:p w14:paraId="53C2586A" w14:textId="309D03B9" w:rsidR="00910674" w:rsidRPr="00EC236E" w:rsidRDefault="00910674" w:rsidP="002E677B">
      <w:pPr>
        <w:numPr>
          <w:ilvl w:val="0"/>
          <w:numId w:val="30"/>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Lead on strategic communications and MAP events calendar.</w:t>
      </w:r>
    </w:p>
    <w:p w14:paraId="45C438B1" w14:textId="6E3402BF" w:rsidR="00910674" w:rsidRPr="00EC236E" w:rsidRDefault="00910674" w:rsidP="002E677B">
      <w:pPr>
        <w:numPr>
          <w:ilvl w:val="0"/>
          <w:numId w:val="30"/>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 xml:space="preserve">Lead on </w:t>
      </w:r>
      <w:r w:rsidR="00621FD8" w:rsidRPr="00EC236E">
        <w:rPr>
          <w:rFonts w:eastAsia="Times New Roman" w:cs="Times New Roman"/>
          <w:sz w:val="24"/>
          <w:szCs w:val="24"/>
          <w:lang w:val="en-AU"/>
        </w:rPr>
        <w:t xml:space="preserve">the MAP portfolio risk register, including </w:t>
      </w:r>
      <w:r w:rsidRPr="00EC236E">
        <w:rPr>
          <w:rFonts w:eastAsia="Times New Roman" w:cs="Times New Roman"/>
          <w:sz w:val="24"/>
          <w:szCs w:val="24"/>
          <w:lang w:val="en-AU"/>
        </w:rPr>
        <w:t>risk identification, tracking, reporting and management.</w:t>
      </w:r>
    </w:p>
    <w:p w14:paraId="5225BFA5" w14:textId="26F71C1D" w:rsidR="00D37447" w:rsidRPr="00EC236E" w:rsidRDefault="00910674" w:rsidP="002E677B">
      <w:pPr>
        <w:numPr>
          <w:ilvl w:val="0"/>
          <w:numId w:val="30"/>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Manage the Support Services M</w:t>
      </w:r>
      <w:r w:rsidR="00CE32F5" w:rsidRPr="00EC236E">
        <w:rPr>
          <w:rFonts w:eastAsia="Times New Roman" w:cs="Times New Roman"/>
          <w:sz w:val="24"/>
          <w:szCs w:val="24"/>
          <w:lang w:val="en-AU"/>
        </w:rPr>
        <w:t xml:space="preserve">anaging </w:t>
      </w:r>
      <w:r w:rsidRPr="00EC236E">
        <w:rPr>
          <w:rFonts w:eastAsia="Times New Roman" w:cs="Times New Roman"/>
          <w:sz w:val="24"/>
          <w:szCs w:val="24"/>
          <w:lang w:val="en-AU"/>
        </w:rPr>
        <w:t>C</w:t>
      </w:r>
      <w:r w:rsidR="00CE32F5" w:rsidRPr="00EC236E">
        <w:rPr>
          <w:rFonts w:eastAsia="Times New Roman" w:cs="Times New Roman"/>
          <w:sz w:val="24"/>
          <w:szCs w:val="24"/>
          <w:lang w:val="en-AU"/>
        </w:rPr>
        <w:t>ontactor</w:t>
      </w:r>
      <w:r w:rsidRPr="00EC236E">
        <w:rPr>
          <w:rFonts w:eastAsia="Times New Roman" w:cs="Times New Roman"/>
          <w:sz w:val="24"/>
          <w:szCs w:val="24"/>
          <w:lang w:val="en-AU"/>
        </w:rPr>
        <w:t>, as outlined above.</w:t>
      </w:r>
    </w:p>
    <w:p w14:paraId="261AE8AB" w14:textId="37888389" w:rsidR="00490134" w:rsidRPr="001F14E7" w:rsidRDefault="00490134" w:rsidP="00490134">
      <w:pPr>
        <w:pStyle w:val="Heading3Numbered"/>
        <w:rPr>
          <w:lang w:val="en-AU"/>
        </w:rPr>
      </w:pPr>
      <w:r w:rsidRPr="2C480AEE">
        <w:rPr>
          <w:lang w:val="en-AU"/>
        </w:rPr>
        <w:t xml:space="preserve">Mekong </w:t>
      </w:r>
      <w:r w:rsidR="00BB2501" w:rsidRPr="2C480AEE">
        <w:rPr>
          <w:lang w:val="en-AU"/>
        </w:rPr>
        <w:t>Post</w:t>
      </w:r>
      <w:r w:rsidRPr="2C480AEE">
        <w:rPr>
          <w:lang w:val="en-AU"/>
        </w:rPr>
        <w:t>s</w:t>
      </w:r>
    </w:p>
    <w:p w14:paraId="63BC35BD" w14:textId="04650CB9" w:rsidR="00FF7BB0" w:rsidRPr="00EC236E" w:rsidRDefault="0F640958" w:rsidP="4C1C98D1">
      <w:pPr>
        <w:tabs>
          <w:tab w:val="left" w:pos="284"/>
        </w:tabs>
        <w:suppressAutoHyphens w:val="0"/>
        <w:spacing w:before="0" w:line="280" w:lineRule="exact"/>
        <w:rPr>
          <w:rFonts w:eastAsia="Times New Roman" w:cs="Times New Roman"/>
          <w:color w:val="auto"/>
          <w:sz w:val="24"/>
          <w:szCs w:val="24"/>
          <w:lang w:val="en-AU"/>
        </w:rPr>
      </w:pPr>
      <w:r w:rsidRPr="00EC236E">
        <w:rPr>
          <w:rFonts w:eastAsia="Times New Roman" w:cs="Times New Roman"/>
          <w:color w:val="auto"/>
          <w:sz w:val="24"/>
          <w:szCs w:val="24"/>
          <w:lang w:val="en-AU"/>
        </w:rPr>
        <w:t xml:space="preserve">As mentioned elsewhere, Mekong </w:t>
      </w:r>
      <w:r w:rsidR="21D31FD3" w:rsidRPr="00EC236E">
        <w:rPr>
          <w:rFonts w:eastAsia="Times New Roman" w:cs="Times New Roman"/>
          <w:color w:val="auto"/>
          <w:sz w:val="24"/>
          <w:szCs w:val="24"/>
          <w:lang w:val="en-AU"/>
        </w:rPr>
        <w:t>Post</w:t>
      </w:r>
      <w:r w:rsidR="65DFDBF5" w:rsidRPr="00EC236E">
        <w:rPr>
          <w:rFonts w:eastAsia="Times New Roman" w:cs="Times New Roman"/>
          <w:color w:val="auto"/>
          <w:sz w:val="24"/>
          <w:szCs w:val="24"/>
          <w:lang w:val="en-AU"/>
        </w:rPr>
        <w:t xml:space="preserve">s </w:t>
      </w:r>
      <w:r w:rsidR="34E3CFF7" w:rsidRPr="00EC236E">
        <w:rPr>
          <w:rFonts w:eastAsia="Times New Roman" w:cs="Times New Roman"/>
          <w:color w:val="auto"/>
          <w:sz w:val="24"/>
          <w:szCs w:val="24"/>
          <w:lang w:val="en-AU"/>
        </w:rPr>
        <w:t>(</w:t>
      </w:r>
      <w:r w:rsidR="1403FBC0" w:rsidRPr="00EC236E">
        <w:rPr>
          <w:rFonts w:eastAsia="Times New Roman" w:cs="Times New Roman"/>
          <w:color w:val="auto"/>
          <w:sz w:val="24"/>
          <w:szCs w:val="24"/>
          <w:lang w:val="en-AU"/>
        </w:rPr>
        <w:t>Bangkok</w:t>
      </w:r>
      <w:r w:rsidR="00B35A18" w:rsidRPr="00EC236E">
        <w:rPr>
          <w:rStyle w:val="FootnoteReference"/>
          <w:rFonts w:eastAsia="Times New Roman" w:cs="Times New Roman"/>
          <w:color w:val="auto"/>
          <w:sz w:val="24"/>
          <w:szCs w:val="24"/>
          <w:lang w:val="en-AU"/>
        </w:rPr>
        <w:footnoteReference w:id="24"/>
      </w:r>
      <w:r w:rsidR="1403FBC0" w:rsidRPr="00EC236E">
        <w:rPr>
          <w:rFonts w:eastAsia="Times New Roman" w:cs="Times New Roman"/>
          <w:color w:val="auto"/>
          <w:sz w:val="24"/>
          <w:szCs w:val="24"/>
          <w:lang w:val="en-AU"/>
        </w:rPr>
        <w:t xml:space="preserve">, </w:t>
      </w:r>
      <w:r w:rsidR="34E3CFF7" w:rsidRPr="00EC236E">
        <w:rPr>
          <w:rFonts w:eastAsia="Times New Roman" w:cs="Times New Roman"/>
          <w:color w:val="auto"/>
          <w:sz w:val="24"/>
          <w:szCs w:val="24"/>
          <w:lang w:val="en-AU"/>
        </w:rPr>
        <w:t xml:space="preserve">Hanoi, Ho Chi Minh City, Phnom Penh, </w:t>
      </w:r>
      <w:r w:rsidR="64569E51" w:rsidRPr="00EC236E">
        <w:rPr>
          <w:rFonts w:eastAsia="Times New Roman" w:cs="Times New Roman"/>
          <w:color w:val="auto"/>
          <w:sz w:val="24"/>
          <w:szCs w:val="24"/>
          <w:lang w:val="en-AU"/>
        </w:rPr>
        <w:t>Vientiane</w:t>
      </w:r>
      <w:r w:rsidR="34E3CFF7" w:rsidRPr="00EC236E">
        <w:rPr>
          <w:rFonts w:eastAsia="Times New Roman" w:cs="Times New Roman"/>
          <w:color w:val="auto"/>
          <w:sz w:val="24"/>
          <w:szCs w:val="24"/>
          <w:lang w:val="en-AU"/>
        </w:rPr>
        <w:t xml:space="preserve"> and Yangon) </w:t>
      </w:r>
      <w:r w:rsidR="65DFDBF5" w:rsidRPr="00EC236E">
        <w:rPr>
          <w:rFonts w:eastAsia="Times New Roman" w:cs="Times New Roman"/>
          <w:color w:val="auto"/>
          <w:sz w:val="24"/>
          <w:szCs w:val="24"/>
          <w:lang w:val="en-AU"/>
        </w:rPr>
        <w:t>will</w:t>
      </w:r>
      <w:r w:rsidRPr="00EC236E">
        <w:rPr>
          <w:rFonts w:eastAsia="Times New Roman" w:cs="Times New Roman"/>
          <w:color w:val="auto"/>
          <w:sz w:val="24"/>
          <w:szCs w:val="24"/>
          <w:lang w:val="en-AU"/>
        </w:rPr>
        <w:t>:</w:t>
      </w:r>
    </w:p>
    <w:p w14:paraId="0958AC73" w14:textId="52DC7BBC" w:rsidR="00FF7BB0" w:rsidRPr="00EC236E" w:rsidRDefault="0F640958" w:rsidP="4C1C98D1">
      <w:pPr>
        <w:pStyle w:val="ListParagraph"/>
        <w:numPr>
          <w:ilvl w:val="0"/>
          <w:numId w:val="40"/>
        </w:numPr>
        <w:tabs>
          <w:tab w:val="left" w:pos="284"/>
        </w:tabs>
        <w:suppressAutoHyphens w:val="0"/>
        <w:spacing w:before="0" w:line="280" w:lineRule="exact"/>
        <w:rPr>
          <w:rFonts w:eastAsia="Times New Roman" w:cs="Times New Roman"/>
          <w:color w:val="auto"/>
          <w:sz w:val="24"/>
          <w:szCs w:val="24"/>
          <w:lang w:val="en-AU"/>
        </w:rPr>
      </w:pPr>
      <w:r w:rsidRPr="00EC236E">
        <w:rPr>
          <w:rFonts w:eastAsia="Times New Roman" w:cs="Times New Roman"/>
          <w:color w:val="auto"/>
          <w:sz w:val="24"/>
          <w:szCs w:val="24"/>
          <w:lang w:val="en-AU"/>
        </w:rPr>
        <w:t>Contribute to pipeline planning and the</w:t>
      </w:r>
      <w:r w:rsidR="18271F51" w:rsidRPr="00EC236E">
        <w:rPr>
          <w:rFonts w:eastAsia="Times New Roman" w:cs="Times New Roman"/>
          <w:color w:val="auto"/>
          <w:sz w:val="24"/>
          <w:szCs w:val="24"/>
          <w:lang w:val="en-AU"/>
        </w:rPr>
        <w:t xml:space="preserve"> development of delivery strategies</w:t>
      </w:r>
      <w:r w:rsidRPr="00EC236E">
        <w:rPr>
          <w:rFonts w:eastAsia="Times New Roman" w:cs="Times New Roman"/>
          <w:color w:val="auto"/>
          <w:sz w:val="24"/>
          <w:szCs w:val="24"/>
          <w:lang w:val="en-AU"/>
        </w:rPr>
        <w:t>.</w:t>
      </w:r>
    </w:p>
    <w:p w14:paraId="5D9A0CB3" w14:textId="73FC6353" w:rsidR="00FF7BB0" w:rsidRPr="00EC236E" w:rsidRDefault="0F640958" w:rsidP="4C1C98D1">
      <w:pPr>
        <w:pStyle w:val="ListParagraph"/>
        <w:numPr>
          <w:ilvl w:val="0"/>
          <w:numId w:val="40"/>
        </w:numPr>
        <w:tabs>
          <w:tab w:val="left" w:pos="284"/>
        </w:tabs>
        <w:suppressAutoHyphens w:val="0"/>
        <w:spacing w:before="0" w:line="280" w:lineRule="exact"/>
        <w:rPr>
          <w:rFonts w:eastAsia="Times New Roman" w:cs="Times New Roman"/>
          <w:color w:val="auto"/>
          <w:sz w:val="24"/>
          <w:szCs w:val="24"/>
          <w:lang w:val="en-AU"/>
        </w:rPr>
      </w:pPr>
      <w:r w:rsidRPr="00EC236E">
        <w:rPr>
          <w:rFonts w:eastAsia="Times New Roman" w:cs="Times New Roman"/>
          <w:color w:val="auto"/>
          <w:sz w:val="24"/>
          <w:szCs w:val="24"/>
          <w:lang w:val="en-AU"/>
        </w:rPr>
        <w:t xml:space="preserve">Manage all </w:t>
      </w:r>
      <w:r w:rsidR="54690A3F" w:rsidRPr="00EC236E">
        <w:rPr>
          <w:rFonts w:eastAsia="Times New Roman" w:cs="Times New Roman"/>
          <w:color w:val="auto"/>
          <w:sz w:val="24"/>
          <w:szCs w:val="24"/>
          <w:lang w:val="en-AU"/>
        </w:rPr>
        <w:t xml:space="preserve">elements of </w:t>
      </w:r>
      <w:r w:rsidR="65DFDBF5" w:rsidRPr="00EC236E">
        <w:rPr>
          <w:rFonts w:eastAsia="Times New Roman" w:cs="Times New Roman"/>
          <w:color w:val="auto"/>
          <w:sz w:val="24"/>
          <w:szCs w:val="24"/>
          <w:lang w:val="en-AU"/>
        </w:rPr>
        <w:t xml:space="preserve">bilateral allocations and multi-country </w:t>
      </w:r>
      <w:r w:rsidRPr="00EC236E">
        <w:rPr>
          <w:rFonts w:eastAsia="Times New Roman" w:cs="Times New Roman"/>
          <w:color w:val="auto"/>
          <w:sz w:val="24"/>
          <w:szCs w:val="24"/>
          <w:lang w:val="en-AU"/>
        </w:rPr>
        <w:t>investments</w:t>
      </w:r>
      <w:r w:rsidR="65DFDBF5" w:rsidRPr="00EC236E">
        <w:rPr>
          <w:rFonts w:eastAsia="Times New Roman" w:cs="Times New Roman"/>
          <w:color w:val="auto"/>
          <w:sz w:val="24"/>
          <w:szCs w:val="24"/>
          <w:lang w:val="en-AU"/>
        </w:rPr>
        <w:t xml:space="preserve"> where</w:t>
      </w:r>
      <w:r w:rsidR="54690A3F" w:rsidRPr="00EC236E">
        <w:rPr>
          <w:rFonts w:eastAsia="Times New Roman" w:cs="Times New Roman"/>
          <w:color w:val="auto"/>
          <w:sz w:val="24"/>
          <w:szCs w:val="24"/>
          <w:lang w:val="en-AU"/>
        </w:rPr>
        <w:t xml:space="preserve"> they are the delegate.</w:t>
      </w:r>
    </w:p>
    <w:p w14:paraId="5476E1B6" w14:textId="77777777" w:rsidR="00FF7BB0" w:rsidRPr="00EC236E" w:rsidRDefault="0F640958" w:rsidP="4C1C98D1">
      <w:pPr>
        <w:pStyle w:val="ListParagraph"/>
        <w:numPr>
          <w:ilvl w:val="0"/>
          <w:numId w:val="40"/>
        </w:numPr>
        <w:tabs>
          <w:tab w:val="left" w:pos="284"/>
        </w:tabs>
        <w:suppressAutoHyphens w:val="0"/>
        <w:spacing w:before="0" w:line="280" w:lineRule="exact"/>
        <w:rPr>
          <w:rFonts w:eastAsia="Times New Roman" w:cs="Times New Roman"/>
          <w:color w:val="auto"/>
          <w:sz w:val="24"/>
          <w:szCs w:val="24"/>
          <w:lang w:val="en-AU"/>
        </w:rPr>
      </w:pPr>
      <w:r w:rsidRPr="00EC236E">
        <w:rPr>
          <w:rFonts w:eastAsia="Times New Roman" w:cs="Times New Roman"/>
          <w:color w:val="auto"/>
          <w:sz w:val="24"/>
          <w:szCs w:val="24"/>
          <w:lang w:val="en-AU"/>
        </w:rPr>
        <w:t>L</w:t>
      </w:r>
      <w:r w:rsidR="7ED43698" w:rsidRPr="00EC236E">
        <w:rPr>
          <w:rFonts w:eastAsia="Times New Roman" w:cs="Times New Roman"/>
          <w:color w:val="auto"/>
          <w:sz w:val="24"/>
          <w:szCs w:val="24"/>
          <w:lang w:val="en-AU"/>
        </w:rPr>
        <w:t xml:space="preserve">ead on policy engagement with counterparts and implementing partners for </w:t>
      </w:r>
      <w:r w:rsidRPr="00EC236E">
        <w:rPr>
          <w:rFonts w:eastAsia="Times New Roman" w:cs="Times New Roman"/>
          <w:color w:val="auto"/>
          <w:sz w:val="24"/>
          <w:szCs w:val="24"/>
          <w:lang w:val="en-AU"/>
        </w:rPr>
        <w:t>all investments being implemented in their locations</w:t>
      </w:r>
      <w:r w:rsidR="537499B9" w:rsidRPr="00EC236E">
        <w:rPr>
          <w:rFonts w:eastAsia="Times New Roman" w:cs="Times New Roman"/>
          <w:color w:val="auto"/>
          <w:sz w:val="24"/>
          <w:szCs w:val="24"/>
          <w:lang w:val="en-AU"/>
        </w:rPr>
        <w:t>.</w:t>
      </w:r>
    </w:p>
    <w:p w14:paraId="1515AB1F" w14:textId="6DEDAD29" w:rsidR="00562C54" w:rsidRPr="00EC236E" w:rsidRDefault="5D05BB3E" w:rsidP="4C1C98D1">
      <w:pPr>
        <w:pStyle w:val="ListParagraph"/>
        <w:numPr>
          <w:ilvl w:val="0"/>
          <w:numId w:val="40"/>
        </w:numPr>
        <w:tabs>
          <w:tab w:val="left" w:pos="284"/>
        </w:tabs>
        <w:suppressAutoHyphens w:val="0"/>
        <w:spacing w:before="0" w:line="280" w:lineRule="exact"/>
        <w:rPr>
          <w:rFonts w:eastAsia="Times New Roman" w:cs="Times New Roman"/>
          <w:color w:val="auto"/>
          <w:sz w:val="24"/>
          <w:szCs w:val="24"/>
          <w:lang w:val="en-AU"/>
        </w:rPr>
      </w:pPr>
      <w:r w:rsidRPr="00EC236E">
        <w:rPr>
          <w:rFonts w:eastAsia="Times New Roman" w:cs="Times New Roman"/>
          <w:color w:val="auto"/>
          <w:sz w:val="24"/>
          <w:szCs w:val="24"/>
          <w:lang w:val="en-AU"/>
        </w:rPr>
        <w:t xml:space="preserve">Report on MAP strategic engagement </w:t>
      </w:r>
      <w:r w:rsidR="47775092" w:rsidRPr="00EC236E">
        <w:rPr>
          <w:rFonts w:eastAsia="Times New Roman" w:cs="Times New Roman"/>
          <w:color w:val="auto"/>
          <w:sz w:val="24"/>
          <w:szCs w:val="24"/>
          <w:lang w:val="en-AU"/>
        </w:rPr>
        <w:t xml:space="preserve">and </w:t>
      </w:r>
      <w:r w:rsidR="24B51CF9" w:rsidRPr="00EC236E">
        <w:rPr>
          <w:rFonts w:eastAsia="Times New Roman" w:cs="Times New Roman"/>
          <w:color w:val="auto"/>
          <w:sz w:val="24"/>
          <w:szCs w:val="24"/>
          <w:lang w:val="en-AU"/>
        </w:rPr>
        <w:t xml:space="preserve">wider </w:t>
      </w:r>
      <w:r w:rsidR="47775092" w:rsidRPr="00EC236E">
        <w:rPr>
          <w:rFonts w:eastAsia="Times New Roman" w:cs="Times New Roman"/>
          <w:color w:val="auto"/>
          <w:sz w:val="24"/>
          <w:szCs w:val="24"/>
          <w:lang w:val="en-AU"/>
        </w:rPr>
        <w:t>Mekong subregion</w:t>
      </w:r>
      <w:r w:rsidR="24B51CF9" w:rsidRPr="00EC236E">
        <w:rPr>
          <w:rFonts w:eastAsia="Times New Roman" w:cs="Times New Roman"/>
          <w:color w:val="auto"/>
          <w:sz w:val="24"/>
          <w:szCs w:val="24"/>
          <w:lang w:val="en-AU"/>
        </w:rPr>
        <w:t xml:space="preserve"> </w:t>
      </w:r>
      <w:r w:rsidR="324D90E9" w:rsidRPr="00EC236E">
        <w:rPr>
          <w:rFonts w:eastAsia="Times New Roman" w:cs="Times New Roman"/>
          <w:color w:val="auto"/>
          <w:sz w:val="24"/>
          <w:szCs w:val="24"/>
          <w:lang w:val="en-AU"/>
        </w:rPr>
        <w:t>context and trends by cable</w:t>
      </w:r>
      <w:r w:rsidR="57D4F849" w:rsidRPr="00EC236E">
        <w:rPr>
          <w:color w:val="auto"/>
          <w:sz w:val="24"/>
          <w:szCs w:val="24"/>
          <w:lang w:val="en-AU"/>
        </w:rPr>
        <w:t>.</w:t>
      </w:r>
    </w:p>
    <w:p w14:paraId="0FB00276" w14:textId="3A57F3A6" w:rsidR="005A7770" w:rsidRPr="001F14E7" w:rsidRDefault="005A7770" w:rsidP="00C51D2D">
      <w:pPr>
        <w:pStyle w:val="Heading2Numbered"/>
        <w:ind w:left="709" w:hanging="709"/>
        <w:rPr>
          <w:lang w:val="en-AU"/>
        </w:rPr>
      </w:pPr>
      <w:bookmarkStart w:id="87" w:name="_Toc162287873"/>
      <w:bookmarkStart w:id="88" w:name="_Toc163539160"/>
      <w:bookmarkStart w:id="89" w:name="_Toc174029044"/>
      <w:r w:rsidRPr="2C480AEE">
        <w:rPr>
          <w:lang w:val="en-AU"/>
        </w:rPr>
        <w:t>S</w:t>
      </w:r>
      <w:r w:rsidR="00ED6985" w:rsidRPr="2C480AEE">
        <w:rPr>
          <w:lang w:val="en-AU"/>
        </w:rPr>
        <w:t xml:space="preserve">upport </w:t>
      </w:r>
      <w:r w:rsidRPr="2C480AEE">
        <w:rPr>
          <w:lang w:val="en-AU"/>
        </w:rPr>
        <w:t>S</w:t>
      </w:r>
      <w:r w:rsidR="00ED6985" w:rsidRPr="2C480AEE">
        <w:rPr>
          <w:lang w:val="en-AU"/>
        </w:rPr>
        <w:t>ervices</w:t>
      </w:r>
      <w:bookmarkEnd w:id="87"/>
      <w:r w:rsidRPr="2C480AEE">
        <w:rPr>
          <w:lang w:val="en-AU"/>
        </w:rPr>
        <w:t xml:space="preserve"> </w:t>
      </w:r>
      <w:r w:rsidR="00FF7BB0" w:rsidRPr="2C480AEE">
        <w:rPr>
          <w:lang w:val="en-AU"/>
        </w:rPr>
        <w:t>contractor</w:t>
      </w:r>
      <w:bookmarkEnd w:id="88"/>
      <w:bookmarkEnd w:id="89"/>
    </w:p>
    <w:p w14:paraId="0D1DB6A5" w14:textId="6BF5EF44" w:rsidR="005A7770" w:rsidRPr="00EC236E" w:rsidRDefault="002133E6" w:rsidP="007646A4">
      <w:pPr>
        <w:rPr>
          <w:sz w:val="24"/>
          <w:szCs w:val="24"/>
          <w:lang w:val="en-AU"/>
        </w:rPr>
      </w:pPr>
      <w:r w:rsidRPr="00EC236E">
        <w:rPr>
          <w:sz w:val="24"/>
          <w:szCs w:val="24"/>
          <w:lang w:val="en-AU"/>
        </w:rPr>
        <w:t xml:space="preserve">Most MAP Phase 2 investments will be managed directly by DFAT, with supplementary operational, </w:t>
      </w:r>
      <w:r w:rsidR="005A7770" w:rsidRPr="00EC236E">
        <w:rPr>
          <w:sz w:val="24"/>
          <w:szCs w:val="24"/>
          <w:lang w:val="en-AU"/>
        </w:rPr>
        <w:t xml:space="preserve">logistics and administrative support </w:t>
      </w:r>
      <w:r w:rsidRPr="00EC236E">
        <w:rPr>
          <w:sz w:val="24"/>
          <w:szCs w:val="24"/>
          <w:lang w:val="en-AU"/>
        </w:rPr>
        <w:t xml:space="preserve">provided through a </w:t>
      </w:r>
      <w:r w:rsidR="66105E13" w:rsidRPr="00EC236E">
        <w:rPr>
          <w:sz w:val="24"/>
          <w:szCs w:val="24"/>
          <w:lang w:val="en-AU"/>
        </w:rPr>
        <w:t>S</w:t>
      </w:r>
      <w:r w:rsidRPr="00EC236E">
        <w:rPr>
          <w:sz w:val="24"/>
          <w:szCs w:val="24"/>
          <w:lang w:val="en-AU"/>
        </w:rPr>
        <w:t xml:space="preserve">upport </w:t>
      </w:r>
      <w:r w:rsidR="023B6B82" w:rsidRPr="00EC236E">
        <w:rPr>
          <w:sz w:val="24"/>
          <w:szCs w:val="24"/>
          <w:lang w:val="en-AU"/>
        </w:rPr>
        <w:t>S</w:t>
      </w:r>
      <w:r w:rsidRPr="00EC236E">
        <w:rPr>
          <w:sz w:val="24"/>
          <w:szCs w:val="24"/>
          <w:lang w:val="en-AU"/>
        </w:rPr>
        <w:t>ervices Contractor</w:t>
      </w:r>
      <w:r w:rsidR="006145C6" w:rsidRPr="00EC236E">
        <w:rPr>
          <w:sz w:val="24"/>
          <w:szCs w:val="24"/>
          <w:lang w:val="en-AU"/>
        </w:rPr>
        <w:t xml:space="preserve">. These </w:t>
      </w:r>
      <w:r w:rsidR="006645A0" w:rsidRPr="00EC236E">
        <w:rPr>
          <w:sz w:val="24"/>
          <w:szCs w:val="24"/>
          <w:lang w:val="en-AU"/>
        </w:rPr>
        <w:t>service</w:t>
      </w:r>
      <w:r w:rsidR="006145C6" w:rsidRPr="00EC236E">
        <w:rPr>
          <w:sz w:val="24"/>
          <w:szCs w:val="24"/>
          <w:lang w:val="en-AU"/>
        </w:rPr>
        <w:t>s</w:t>
      </w:r>
      <w:r w:rsidR="00AD2108" w:rsidRPr="00EC236E">
        <w:rPr>
          <w:sz w:val="24"/>
          <w:szCs w:val="24"/>
          <w:lang w:val="en-AU"/>
        </w:rPr>
        <w:t xml:space="preserve"> may</w:t>
      </w:r>
      <w:r w:rsidR="006645A0" w:rsidRPr="00EC236E">
        <w:rPr>
          <w:sz w:val="24"/>
          <w:szCs w:val="24"/>
          <w:lang w:val="en-AU"/>
        </w:rPr>
        <w:t xml:space="preserve"> include:</w:t>
      </w:r>
    </w:p>
    <w:p w14:paraId="47F487F8" w14:textId="48BC9850" w:rsidR="005A7770" w:rsidRPr="00EC236E" w:rsidRDefault="006645A0" w:rsidP="002E677B">
      <w:pPr>
        <w:numPr>
          <w:ilvl w:val="0"/>
          <w:numId w:val="41"/>
        </w:numPr>
        <w:rPr>
          <w:sz w:val="24"/>
          <w:szCs w:val="24"/>
          <w:lang w:val="en-AU"/>
        </w:rPr>
      </w:pPr>
      <w:r w:rsidRPr="00EC236E">
        <w:rPr>
          <w:sz w:val="24"/>
          <w:szCs w:val="24"/>
          <w:lang w:val="en-AU"/>
        </w:rPr>
        <w:lastRenderedPageBreak/>
        <w:t>R</w:t>
      </w:r>
      <w:r w:rsidR="005A7770" w:rsidRPr="00EC236E">
        <w:rPr>
          <w:sz w:val="24"/>
          <w:szCs w:val="24"/>
          <w:lang w:val="en-AU"/>
        </w:rPr>
        <w:t>ecruit</w:t>
      </w:r>
      <w:r w:rsidR="00AD2108" w:rsidRPr="00EC236E">
        <w:rPr>
          <w:sz w:val="24"/>
          <w:szCs w:val="24"/>
          <w:lang w:val="en-AU"/>
        </w:rPr>
        <w:t>ment</w:t>
      </w:r>
      <w:r w:rsidR="005A7770" w:rsidRPr="00EC236E">
        <w:rPr>
          <w:sz w:val="24"/>
          <w:szCs w:val="24"/>
          <w:lang w:val="en-AU"/>
        </w:rPr>
        <w:t xml:space="preserve">, </w:t>
      </w:r>
      <w:r w:rsidRPr="00EC236E">
        <w:rPr>
          <w:sz w:val="24"/>
          <w:szCs w:val="24"/>
          <w:lang w:val="en-AU"/>
        </w:rPr>
        <w:t>contract</w:t>
      </w:r>
      <w:r w:rsidR="00AD2108" w:rsidRPr="00EC236E">
        <w:rPr>
          <w:sz w:val="24"/>
          <w:szCs w:val="24"/>
          <w:lang w:val="en-AU"/>
        </w:rPr>
        <w:t>ing and</w:t>
      </w:r>
      <w:r w:rsidR="005A7770" w:rsidRPr="00EC236E">
        <w:rPr>
          <w:sz w:val="24"/>
          <w:szCs w:val="24"/>
          <w:lang w:val="en-AU"/>
        </w:rPr>
        <w:t xml:space="preserve"> mobilis</w:t>
      </w:r>
      <w:r w:rsidR="00AD2108" w:rsidRPr="00EC236E">
        <w:rPr>
          <w:sz w:val="24"/>
          <w:szCs w:val="24"/>
          <w:lang w:val="en-AU"/>
        </w:rPr>
        <w:t>ation</w:t>
      </w:r>
      <w:r w:rsidR="005A7770" w:rsidRPr="00EC236E">
        <w:rPr>
          <w:sz w:val="24"/>
          <w:szCs w:val="24"/>
          <w:lang w:val="en-AU"/>
        </w:rPr>
        <w:t xml:space="preserve"> </w:t>
      </w:r>
      <w:r w:rsidR="00AD2108" w:rsidRPr="00EC236E">
        <w:rPr>
          <w:sz w:val="24"/>
          <w:szCs w:val="24"/>
          <w:lang w:val="en-AU"/>
        </w:rPr>
        <w:t>of</w:t>
      </w:r>
      <w:r w:rsidRPr="00EC236E">
        <w:rPr>
          <w:sz w:val="24"/>
          <w:szCs w:val="24"/>
          <w:lang w:val="en-AU"/>
        </w:rPr>
        <w:t xml:space="preserve"> </w:t>
      </w:r>
      <w:r w:rsidR="00BB2501" w:rsidRPr="00EC236E">
        <w:rPr>
          <w:sz w:val="24"/>
          <w:szCs w:val="24"/>
          <w:lang w:val="en-AU"/>
        </w:rPr>
        <w:t>in-source</w:t>
      </w:r>
      <w:r w:rsidR="00CE32F5" w:rsidRPr="00EC236E">
        <w:rPr>
          <w:sz w:val="24"/>
          <w:szCs w:val="24"/>
          <w:lang w:val="en-AU"/>
        </w:rPr>
        <w:t>d</w:t>
      </w:r>
      <w:r w:rsidRPr="00EC236E">
        <w:rPr>
          <w:sz w:val="24"/>
          <w:szCs w:val="24"/>
          <w:lang w:val="en-AU"/>
        </w:rPr>
        <w:t xml:space="preserve"> and </w:t>
      </w:r>
      <w:r w:rsidR="2500125C" w:rsidRPr="00EC236E">
        <w:rPr>
          <w:sz w:val="24"/>
          <w:szCs w:val="24"/>
          <w:lang w:val="en-AU"/>
        </w:rPr>
        <w:t>s</w:t>
      </w:r>
      <w:r w:rsidR="00313F90" w:rsidRPr="00EC236E">
        <w:rPr>
          <w:sz w:val="24"/>
          <w:szCs w:val="24"/>
          <w:lang w:val="en-AU"/>
        </w:rPr>
        <w:t>hort-</w:t>
      </w:r>
      <w:r w:rsidR="27C61440" w:rsidRPr="00EC236E">
        <w:rPr>
          <w:sz w:val="24"/>
          <w:szCs w:val="24"/>
          <w:lang w:val="en-AU"/>
        </w:rPr>
        <w:t>t</w:t>
      </w:r>
      <w:r w:rsidR="00313F90" w:rsidRPr="00EC236E">
        <w:rPr>
          <w:sz w:val="24"/>
          <w:szCs w:val="24"/>
          <w:lang w:val="en-AU"/>
        </w:rPr>
        <w:t>erm</w:t>
      </w:r>
      <w:r w:rsidR="00CE32F5" w:rsidRPr="00EC236E">
        <w:rPr>
          <w:sz w:val="24"/>
          <w:szCs w:val="24"/>
          <w:lang w:val="en-AU"/>
        </w:rPr>
        <w:t xml:space="preserve"> </w:t>
      </w:r>
      <w:r w:rsidR="005A7770" w:rsidRPr="00EC236E">
        <w:rPr>
          <w:sz w:val="24"/>
          <w:szCs w:val="24"/>
          <w:lang w:val="en-AU"/>
        </w:rPr>
        <w:t>A</w:t>
      </w:r>
      <w:r w:rsidR="00CE32F5" w:rsidRPr="00EC236E">
        <w:rPr>
          <w:sz w:val="24"/>
          <w:szCs w:val="24"/>
          <w:lang w:val="en-AU"/>
        </w:rPr>
        <w:t>dvis</w:t>
      </w:r>
      <w:r w:rsidR="2E0F6D33" w:rsidRPr="00EC236E">
        <w:rPr>
          <w:sz w:val="24"/>
          <w:szCs w:val="24"/>
          <w:lang w:val="en-AU"/>
        </w:rPr>
        <w:t>e</w:t>
      </w:r>
      <w:r w:rsidR="00CE32F5" w:rsidRPr="00EC236E">
        <w:rPr>
          <w:sz w:val="24"/>
          <w:szCs w:val="24"/>
          <w:lang w:val="en-AU"/>
        </w:rPr>
        <w:t>rs</w:t>
      </w:r>
      <w:r w:rsidR="005A7770" w:rsidRPr="00EC236E">
        <w:rPr>
          <w:sz w:val="24"/>
          <w:szCs w:val="24"/>
          <w:lang w:val="en-AU"/>
        </w:rPr>
        <w:t xml:space="preserve"> for the </w:t>
      </w:r>
      <w:r w:rsidRPr="00EC236E">
        <w:rPr>
          <w:sz w:val="24"/>
          <w:szCs w:val="24"/>
          <w:lang w:val="en-AU"/>
        </w:rPr>
        <w:t>Mekong Hub</w:t>
      </w:r>
      <w:r w:rsidR="00BC1792" w:rsidRPr="00EC236E">
        <w:rPr>
          <w:sz w:val="24"/>
          <w:szCs w:val="24"/>
          <w:lang w:val="en-AU"/>
        </w:rPr>
        <w:t xml:space="preserve"> including partnership brokering capabilities</w:t>
      </w:r>
      <w:r w:rsidRPr="00EC236E">
        <w:rPr>
          <w:sz w:val="24"/>
          <w:szCs w:val="24"/>
          <w:lang w:val="en-AU"/>
        </w:rPr>
        <w:t>.</w:t>
      </w:r>
    </w:p>
    <w:p w14:paraId="0B111F7F" w14:textId="12B00A64" w:rsidR="005A7770" w:rsidRPr="00EC236E" w:rsidRDefault="00625B72" w:rsidP="002E677B">
      <w:pPr>
        <w:numPr>
          <w:ilvl w:val="0"/>
          <w:numId w:val="41"/>
        </w:numPr>
        <w:rPr>
          <w:sz w:val="24"/>
          <w:szCs w:val="24"/>
          <w:lang w:val="en-AU"/>
        </w:rPr>
      </w:pPr>
      <w:r w:rsidRPr="00EC236E">
        <w:rPr>
          <w:sz w:val="24"/>
          <w:szCs w:val="24"/>
          <w:lang w:val="en-AU"/>
        </w:rPr>
        <w:t>L</w:t>
      </w:r>
      <w:r w:rsidR="005A7770" w:rsidRPr="00EC236E">
        <w:rPr>
          <w:sz w:val="24"/>
          <w:szCs w:val="24"/>
          <w:lang w:val="en-AU"/>
        </w:rPr>
        <w:t xml:space="preserve">ogistics and administrative support </w:t>
      </w:r>
      <w:r w:rsidR="006645A0" w:rsidRPr="00EC236E">
        <w:rPr>
          <w:sz w:val="24"/>
          <w:szCs w:val="24"/>
          <w:lang w:val="en-AU"/>
        </w:rPr>
        <w:t xml:space="preserve">for </w:t>
      </w:r>
      <w:r w:rsidR="005A7770" w:rsidRPr="00EC236E">
        <w:rPr>
          <w:sz w:val="24"/>
          <w:szCs w:val="24"/>
          <w:lang w:val="en-AU"/>
        </w:rPr>
        <w:t xml:space="preserve">events, </w:t>
      </w:r>
      <w:r w:rsidR="006145C6" w:rsidRPr="00EC236E">
        <w:rPr>
          <w:sz w:val="24"/>
          <w:szCs w:val="24"/>
          <w:lang w:val="en-AU"/>
        </w:rPr>
        <w:t xml:space="preserve">such as </w:t>
      </w:r>
      <w:r w:rsidR="005A7770" w:rsidRPr="00EC236E">
        <w:rPr>
          <w:sz w:val="24"/>
          <w:szCs w:val="24"/>
          <w:lang w:val="en-AU"/>
        </w:rPr>
        <w:t>workshop</w:t>
      </w:r>
      <w:r w:rsidR="00A22D08" w:rsidRPr="00EC236E">
        <w:rPr>
          <w:sz w:val="24"/>
          <w:szCs w:val="24"/>
          <w:lang w:val="en-AU"/>
        </w:rPr>
        <w:t>s</w:t>
      </w:r>
      <w:r w:rsidR="005A7770" w:rsidRPr="00EC236E">
        <w:rPr>
          <w:sz w:val="24"/>
          <w:szCs w:val="24"/>
          <w:lang w:val="en-AU"/>
        </w:rPr>
        <w:t>, training and seminars, short courses, study tours (two-way, multi-country)</w:t>
      </w:r>
      <w:r w:rsidR="006145C6" w:rsidRPr="00EC236E">
        <w:rPr>
          <w:sz w:val="24"/>
          <w:szCs w:val="24"/>
          <w:lang w:val="en-AU"/>
        </w:rPr>
        <w:t>,</w:t>
      </w:r>
      <w:r w:rsidR="006645A0" w:rsidRPr="00EC236E">
        <w:rPr>
          <w:sz w:val="24"/>
          <w:szCs w:val="24"/>
          <w:lang w:val="en-AU"/>
        </w:rPr>
        <w:t xml:space="preserve"> including provision of </w:t>
      </w:r>
      <w:r w:rsidR="005A7770" w:rsidRPr="00EC236E">
        <w:rPr>
          <w:sz w:val="24"/>
          <w:szCs w:val="24"/>
          <w:lang w:val="en-AU"/>
        </w:rPr>
        <w:t xml:space="preserve">translators, interpreters, </w:t>
      </w:r>
      <w:r w:rsidR="006645A0" w:rsidRPr="00EC236E">
        <w:rPr>
          <w:sz w:val="24"/>
          <w:szCs w:val="24"/>
          <w:lang w:val="en-AU"/>
        </w:rPr>
        <w:t xml:space="preserve">flights, accommodation, </w:t>
      </w:r>
      <w:r w:rsidR="00AC7FC2" w:rsidRPr="00EC236E">
        <w:rPr>
          <w:sz w:val="24"/>
          <w:szCs w:val="24"/>
          <w:lang w:val="en-AU"/>
        </w:rPr>
        <w:t xml:space="preserve">per diems, </w:t>
      </w:r>
      <w:r w:rsidR="006645A0" w:rsidRPr="00EC236E">
        <w:rPr>
          <w:sz w:val="24"/>
          <w:szCs w:val="24"/>
          <w:lang w:val="en-AU"/>
        </w:rPr>
        <w:t xml:space="preserve">visas, venues, </w:t>
      </w:r>
      <w:r w:rsidR="005A7770" w:rsidRPr="00EC236E">
        <w:rPr>
          <w:sz w:val="24"/>
          <w:szCs w:val="24"/>
          <w:lang w:val="en-AU"/>
        </w:rPr>
        <w:t>catering,</w:t>
      </w:r>
      <w:r w:rsidR="006645A0" w:rsidRPr="00EC236E">
        <w:rPr>
          <w:sz w:val="24"/>
          <w:szCs w:val="24"/>
          <w:lang w:val="en-AU"/>
        </w:rPr>
        <w:t xml:space="preserve"> printing</w:t>
      </w:r>
      <w:r w:rsidR="005A7770" w:rsidRPr="00EC236E">
        <w:rPr>
          <w:sz w:val="24"/>
          <w:szCs w:val="24"/>
          <w:lang w:val="en-AU"/>
        </w:rPr>
        <w:t>, etc</w:t>
      </w:r>
      <w:r w:rsidR="006645A0" w:rsidRPr="00EC236E">
        <w:rPr>
          <w:sz w:val="24"/>
          <w:szCs w:val="24"/>
          <w:lang w:val="en-AU"/>
        </w:rPr>
        <w:t xml:space="preserve">. This may be managed via a subcontractor. </w:t>
      </w:r>
    </w:p>
    <w:p w14:paraId="74E316FF" w14:textId="0794C193" w:rsidR="00DA7D6D" w:rsidRPr="00EC236E" w:rsidRDefault="00546B45" w:rsidP="002E677B">
      <w:pPr>
        <w:numPr>
          <w:ilvl w:val="0"/>
          <w:numId w:val="41"/>
        </w:numPr>
        <w:rPr>
          <w:sz w:val="24"/>
          <w:szCs w:val="24"/>
          <w:lang w:val="en-AU"/>
        </w:rPr>
      </w:pPr>
      <w:r w:rsidRPr="00EC236E">
        <w:rPr>
          <w:sz w:val="24"/>
          <w:szCs w:val="24"/>
          <w:lang w:val="en-AU"/>
        </w:rPr>
        <w:t>C</w:t>
      </w:r>
      <w:r w:rsidR="00625B72" w:rsidRPr="00EC236E">
        <w:rPr>
          <w:sz w:val="24"/>
          <w:szCs w:val="24"/>
          <w:lang w:val="en-AU"/>
        </w:rPr>
        <w:t>ont</w:t>
      </w:r>
      <w:r w:rsidR="006145C6" w:rsidRPr="00EC236E">
        <w:rPr>
          <w:sz w:val="24"/>
          <w:szCs w:val="24"/>
          <w:lang w:val="en-AU"/>
        </w:rPr>
        <w:t>r</w:t>
      </w:r>
      <w:r w:rsidR="00625B72" w:rsidRPr="00EC236E">
        <w:rPr>
          <w:sz w:val="24"/>
          <w:szCs w:val="24"/>
          <w:lang w:val="en-AU"/>
        </w:rPr>
        <w:t xml:space="preserve">acting and oversight of </w:t>
      </w:r>
      <w:r w:rsidR="006145C6" w:rsidRPr="00EC236E">
        <w:rPr>
          <w:sz w:val="24"/>
          <w:szCs w:val="24"/>
          <w:lang w:val="en-AU"/>
        </w:rPr>
        <w:t xml:space="preserve">small </w:t>
      </w:r>
      <w:r w:rsidR="00625B72" w:rsidRPr="00EC236E">
        <w:rPr>
          <w:sz w:val="24"/>
          <w:szCs w:val="24"/>
          <w:lang w:val="en-AU"/>
        </w:rPr>
        <w:t>initiatives</w:t>
      </w:r>
      <w:r w:rsidR="006145C6" w:rsidRPr="00EC236E">
        <w:rPr>
          <w:sz w:val="24"/>
          <w:szCs w:val="24"/>
          <w:lang w:val="en-AU"/>
        </w:rPr>
        <w:t xml:space="preserve"> </w:t>
      </w:r>
      <w:r w:rsidR="00625B72" w:rsidRPr="00EC236E">
        <w:rPr>
          <w:sz w:val="24"/>
          <w:szCs w:val="24"/>
          <w:lang w:val="en-AU"/>
        </w:rPr>
        <w:t xml:space="preserve">such as short courses, </w:t>
      </w:r>
      <w:r w:rsidR="00C56965">
        <w:rPr>
          <w:sz w:val="24"/>
          <w:szCs w:val="24"/>
          <w:lang w:val="en-AU"/>
        </w:rPr>
        <w:t xml:space="preserve">targeted short-term training activities, </w:t>
      </w:r>
      <w:r w:rsidR="00625B72" w:rsidRPr="00EC236E">
        <w:rPr>
          <w:sz w:val="24"/>
          <w:szCs w:val="24"/>
          <w:lang w:val="en-AU"/>
        </w:rPr>
        <w:t>niche research and case studies, including sub-contracting and granting where required.</w:t>
      </w:r>
    </w:p>
    <w:p w14:paraId="346B3686" w14:textId="0EAC0F97" w:rsidR="00625B72" w:rsidRPr="00EC236E" w:rsidRDefault="006145C6" w:rsidP="002E677B">
      <w:pPr>
        <w:numPr>
          <w:ilvl w:val="0"/>
          <w:numId w:val="41"/>
        </w:numPr>
        <w:rPr>
          <w:sz w:val="24"/>
          <w:szCs w:val="24"/>
          <w:lang w:val="en-AU"/>
        </w:rPr>
      </w:pPr>
      <w:r w:rsidRPr="00EC236E">
        <w:rPr>
          <w:sz w:val="24"/>
          <w:szCs w:val="24"/>
          <w:lang w:val="en-AU"/>
        </w:rPr>
        <w:t>D</w:t>
      </w:r>
      <w:r w:rsidR="00625B72" w:rsidRPr="00EC236E">
        <w:rPr>
          <w:sz w:val="24"/>
          <w:szCs w:val="24"/>
          <w:lang w:val="en-AU"/>
        </w:rPr>
        <w:t>evelopment and distribution of information and communications products</w:t>
      </w:r>
      <w:r w:rsidRPr="00EC236E">
        <w:rPr>
          <w:sz w:val="24"/>
          <w:szCs w:val="24"/>
          <w:lang w:val="en-AU"/>
        </w:rPr>
        <w:t>,</w:t>
      </w:r>
      <w:r w:rsidR="00625B72" w:rsidRPr="00EC236E">
        <w:rPr>
          <w:sz w:val="24"/>
          <w:szCs w:val="24"/>
          <w:lang w:val="en-AU"/>
        </w:rPr>
        <w:t xml:space="preserve"> e.g. social media </w:t>
      </w:r>
      <w:r w:rsidR="00304F67" w:rsidRPr="00EC236E">
        <w:rPr>
          <w:sz w:val="24"/>
          <w:szCs w:val="24"/>
          <w:lang w:val="en-AU"/>
        </w:rPr>
        <w:t>p</w:t>
      </w:r>
      <w:r w:rsidR="00BB2501" w:rsidRPr="00EC236E">
        <w:rPr>
          <w:sz w:val="24"/>
          <w:szCs w:val="24"/>
          <w:lang w:val="en-AU"/>
        </w:rPr>
        <w:t>ost</w:t>
      </w:r>
      <w:r w:rsidR="00625B72" w:rsidRPr="00EC236E">
        <w:rPr>
          <w:sz w:val="24"/>
          <w:szCs w:val="24"/>
          <w:lang w:val="en-AU"/>
        </w:rPr>
        <w:t>s, stories, photos, talking points etc</w:t>
      </w:r>
      <w:r w:rsidR="1E1E89E9" w:rsidRPr="00EC236E">
        <w:rPr>
          <w:sz w:val="24"/>
          <w:szCs w:val="24"/>
          <w:lang w:val="en-AU"/>
        </w:rPr>
        <w:t>, under direction from the MAP Comm</w:t>
      </w:r>
      <w:r w:rsidR="0005032F" w:rsidRPr="00EC236E">
        <w:rPr>
          <w:sz w:val="24"/>
          <w:szCs w:val="24"/>
          <w:lang w:val="en-AU"/>
        </w:rPr>
        <w:t>unication</w:t>
      </w:r>
      <w:r w:rsidR="1E1E89E9" w:rsidRPr="00EC236E">
        <w:rPr>
          <w:sz w:val="24"/>
          <w:szCs w:val="24"/>
          <w:lang w:val="en-AU"/>
        </w:rPr>
        <w:t>s Advisor and strategic direction of Steering Committee</w:t>
      </w:r>
      <w:r w:rsidR="00122BC8" w:rsidRPr="00EC236E">
        <w:rPr>
          <w:sz w:val="24"/>
          <w:szCs w:val="24"/>
          <w:lang w:val="en-AU"/>
        </w:rPr>
        <w:t>.</w:t>
      </w:r>
    </w:p>
    <w:p w14:paraId="3A75E291" w14:textId="076CEDF8" w:rsidR="00DA7D6D" w:rsidRPr="00EC236E" w:rsidRDefault="00704177" w:rsidP="002E677B">
      <w:pPr>
        <w:numPr>
          <w:ilvl w:val="0"/>
          <w:numId w:val="41"/>
        </w:numPr>
        <w:rPr>
          <w:sz w:val="24"/>
          <w:szCs w:val="24"/>
          <w:lang w:val="en-AU"/>
        </w:rPr>
      </w:pPr>
      <w:r w:rsidRPr="00EC236E">
        <w:rPr>
          <w:sz w:val="24"/>
          <w:szCs w:val="24"/>
          <w:lang w:val="en-AU"/>
        </w:rPr>
        <w:t xml:space="preserve">Support </w:t>
      </w:r>
      <w:r w:rsidR="00F11408" w:rsidRPr="00EC236E">
        <w:rPr>
          <w:sz w:val="24"/>
          <w:szCs w:val="24"/>
          <w:lang w:val="en-AU"/>
        </w:rPr>
        <w:t xml:space="preserve">to </w:t>
      </w:r>
      <w:r w:rsidRPr="00EC236E">
        <w:rPr>
          <w:sz w:val="24"/>
          <w:szCs w:val="24"/>
          <w:lang w:val="en-AU"/>
        </w:rPr>
        <w:t>d</w:t>
      </w:r>
      <w:r w:rsidR="006145C6" w:rsidRPr="00EC236E">
        <w:rPr>
          <w:sz w:val="24"/>
          <w:szCs w:val="24"/>
          <w:lang w:val="en-AU"/>
        </w:rPr>
        <w:t xml:space="preserve">elivery of </w:t>
      </w:r>
      <w:r w:rsidR="00625B72" w:rsidRPr="00EC236E">
        <w:rPr>
          <w:sz w:val="24"/>
          <w:szCs w:val="24"/>
          <w:lang w:val="en-AU"/>
        </w:rPr>
        <w:t xml:space="preserve">compliance training </w:t>
      </w:r>
      <w:r w:rsidRPr="00EC236E">
        <w:rPr>
          <w:sz w:val="24"/>
          <w:szCs w:val="24"/>
          <w:lang w:val="en-AU"/>
        </w:rPr>
        <w:t xml:space="preserve">for MAP partners where required </w:t>
      </w:r>
      <w:r w:rsidR="00625B72" w:rsidRPr="00EC236E">
        <w:rPr>
          <w:sz w:val="24"/>
          <w:szCs w:val="24"/>
          <w:lang w:val="en-AU"/>
        </w:rPr>
        <w:t>(</w:t>
      </w:r>
      <w:r w:rsidRPr="00EC236E">
        <w:rPr>
          <w:sz w:val="24"/>
          <w:szCs w:val="24"/>
          <w:lang w:val="en-AU"/>
        </w:rPr>
        <w:t>e.g.</w:t>
      </w:r>
      <w:r w:rsidR="00625B72" w:rsidRPr="00EC236E">
        <w:rPr>
          <w:sz w:val="24"/>
          <w:szCs w:val="24"/>
          <w:lang w:val="en-AU"/>
        </w:rPr>
        <w:t xml:space="preserve"> Fraud, Child Protection, P</w:t>
      </w:r>
      <w:r w:rsidR="007F4927" w:rsidRPr="00EC236E">
        <w:rPr>
          <w:sz w:val="24"/>
          <w:szCs w:val="24"/>
          <w:lang w:val="en-AU"/>
        </w:rPr>
        <w:t xml:space="preserve">reventing </w:t>
      </w:r>
      <w:r w:rsidR="00625B72" w:rsidRPr="00EC236E">
        <w:rPr>
          <w:sz w:val="24"/>
          <w:szCs w:val="24"/>
          <w:lang w:val="en-AU"/>
        </w:rPr>
        <w:t>S</w:t>
      </w:r>
      <w:r w:rsidR="007F4927" w:rsidRPr="00EC236E">
        <w:rPr>
          <w:sz w:val="24"/>
          <w:szCs w:val="24"/>
          <w:lang w:val="en-AU"/>
        </w:rPr>
        <w:t xml:space="preserve">exual </w:t>
      </w:r>
      <w:r w:rsidR="00625B72" w:rsidRPr="00EC236E">
        <w:rPr>
          <w:sz w:val="24"/>
          <w:szCs w:val="24"/>
          <w:lang w:val="en-AU"/>
        </w:rPr>
        <w:t>E</w:t>
      </w:r>
      <w:r w:rsidR="007F4927" w:rsidRPr="00EC236E">
        <w:rPr>
          <w:sz w:val="24"/>
          <w:szCs w:val="24"/>
          <w:lang w:val="en-AU"/>
        </w:rPr>
        <w:t>xploitation, Abuse and Harassment (PSEAH)</w:t>
      </w:r>
      <w:r w:rsidR="00625B72" w:rsidRPr="00EC236E">
        <w:rPr>
          <w:sz w:val="24"/>
          <w:szCs w:val="24"/>
          <w:lang w:val="en-AU"/>
        </w:rPr>
        <w:t>, etc)</w:t>
      </w:r>
      <w:r w:rsidR="00895FCA" w:rsidRPr="00EC236E">
        <w:rPr>
          <w:sz w:val="24"/>
          <w:szCs w:val="24"/>
          <w:lang w:val="en-AU"/>
        </w:rPr>
        <w:t xml:space="preserve"> and professional development for LE (Administered)</w:t>
      </w:r>
      <w:r w:rsidR="00122BC8" w:rsidRPr="00EC236E">
        <w:rPr>
          <w:sz w:val="24"/>
          <w:szCs w:val="24"/>
          <w:lang w:val="en-AU"/>
        </w:rPr>
        <w:t>.</w:t>
      </w:r>
    </w:p>
    <w:p w14:paraId="7210595A" w14:textId="1AA0D617" w:rsidR="009E24CE" w:rsidRPr="00EC236E" w:rsidRDefault="009272AC" w:rsidP="00E22552">
      <w:pPr>
        <w:rPr>
          <w:sz w:val="24"/>
          <w:szCs w:val="24"/>
          <w:lang w:val="en-AU"/>
        </w:rPr>
      </w:pPr>
      <w:r w:rsidRPr="00EC236E">
        <w:rPr>
          <w:sz w:val="24"/>
          <w:szCs w:val="24"/>
          <w:lang w:val="en-AU"/>
        </w:rPr>
        <w:t>Specific arrangements will be detailed as part of the Request for Tender process</w:t>
      </w:r>
      <w:r w:rsidR="00267B21">
        <w:rPr>
          <w:sz w:val="24"/>
          <w:szCs w:val="24"/>
          <w:lang w:val="en-AU"/>
        </w:rPr>
        <w:t>.</w:t>
      </w:r>
    </w:p>
    <w:p w14:paraId="113F4219" w14:textId="6766456F" w:rsidR="00DF18A9" w:rsidRPr="001F14E7" w:rsidRDefault="001B5F58" w:rsidP="008E2F3E">
      <w:pPr>
        <w:pStyle w:val="Heading2Numbered"/>
        <w:rPr>
          <w:lang w:val="en-AU"/>
        </w:rPr>
      </w:pPr>
      <w:bookmarkStart w:id="90" w:name="_Toc162287875"/>
      <w:bookmarkStart w:id="91" w:name="_Toc162367797"/>
      <w:r>
        <w:rPr>
          <w:lang w:val="en-AU"/>
        </w:rPr>
        <w:t xml:space="preserve"> </w:t>
      </w:r>
      <w:bookmarkStart w:id="92" w:name="_Toc174029045"/>
      <w:r w:rsidR="00347686" w:rsidRPr="2C480AEE">
        <w:rPr>
          <w:lang w:val="en-AU"/>
        </w:rPr>
        <w:t>P</w:t>
      </w:r>
      <w:bookmarkStart w:id="93" w:name="_Toc163539162"/>
      <w:r w:rsidR="007A5E9C" w:rsidRPr="2C480AEE">
        <w:rPr>
          <w:lang w:val="en-AU"/>
        </w:rPr>
        <w:t>ublic diplomacy</w:t>
      </w:r>
      <w:r w:rsidR="00DF18A9" w:rsidRPr="2C480AEE">
        <w:rPr>
          <w:lang w:val="en-AU"/>
        </w:rPr>
        <w:t xml:space="preserve">, profile and </w:t>
      </w:r>
      <w:bookmarkEnd w:id="90"/>
      <w:bookmarkEnd w:id="91"/>
      <w:r w:rsidR="007A5E9C" w:rsidRPr="2C480AEE">
        <w:rPr>
          <w:lang w:val="en-AU"/>
        </w:rPr>
        <w:t>strategic Communication</w:t>
      </w:r>
      <w:bookmarkEnd w:id="93"/>
      <w:bookmarkEnd w:id="92"/>
    </w:p>
    <w:p w14:paraId="6E0911B9" w14:textId="04377B85" w:rsidR="006C429E" w:rsidRPr="00EC236E" w:rsidRDefault="00DF18A9" w:rsidP="00DF18A9">
      <w:pPr>
        <w:rPr>
          <w:sz w:val="24"/>
          <w:szCs w:val="24"/>
          <w:lang w:val="en-AU"/>
        </w:rPr>
      </w:pPr>
      <w:r w:rsidRPr="00EC236E">
        <w:rPr>
          <w:sz w:val="24"/>
          <w:szCs w:val="24"/>
          <w:lang w:val="en-AU"/>
        </w:rPr>
        <w:t xml:space="preserve">MAP is a highly visible and substantial contribution to Australia’s engagement in the Mekong subregion. </w:t>
      </w:r>
      <w:r w:rsidR="00267B21">
        <w:rPr>
          <w:sz w:val="24"/>
          <w:szCs w:val="24"/>
          <w:lang w:val="en-AU"/>
        </w:rPr>
        <w:t>A</w:t>
      </w:r>
      <w:r w:rsidRPr="00EC236E">
        <w:rPr>
          <w:sz w:val="24"/>
          <w:szCs w:val="24"/>
          <w:lang w:val="en-AU"/>
        </w:rPr>
        <w:t xml:space="preserve"> nuanced </w:t>
      </w:r>
      <w:r w:rsidR="006C429E" w:rsidRPr="00EC236E">
        <w:rPr>
          <w:sz w:val="24"/>
          <w:szCs w:val="24"/>
          <w:lang w:val="en-AU"/>
        </w:rPr>
        <w:t xml:space="preserve">and suitably resourced </w:t>
      </w:r>
      <w:r w:rsidRPr="00EC236E">
        <w:rPr>
          <w:sz w:val="24"/>
          <w:szCs w:val="24"/>
          <w:lang w:val="en-AU"/>
        </w:rPr>
        <w:t xml:space="preserve">public diplomacy and communications approach will be </w:t>
      </w:r>
      <w:r w:rsidR="006C429E" w:rsidRPr="00EC236E">
        <w:rPr>
          <w:sz w:val="24"/>
          <w:szCs w:val="24"/>
          <w:lang w:val="en-AU"/>
        </w:rPr>
        <w:t>implemented including:</w:t>
      </w:r>
    </w:p>
    <w:p w14:paraId="34119579" w14:textId="6C694602" w:rsidR="00162B6B" w:rsidRPr="00EC236E" w:rsidRDefault="001D629C" w:rsidP="002E677B">
      <w:pPr>
        <w:pStyle w:val="ListParagraph"/>
        <w:numPr>
          <w:ilvl w:val="0"/>
          <w:numId w:val="46"/>
        </w:numPr>
        <w:rPr>
          <w:sz w:val="24"/>
          <w:szCs w:val="24"/>
          <w:lang w:val="en-AU"/>
        </w:rPr>
      </w:pPr>
      <w:r w:rsidRPr="00EC236E">
        <w:rPr>
          <w:sz w:val="24"/>
          <w:szCs w:val="24"/>
          <w:lang w:val="en-AU"/>
        </w:rPr>
        <w:t xml:space="preserve">Development of a </w:t>
      </w:r>
      <w:r w:rsidR="001293C7" w:rsidRPr="00EC236E">
        <w:rPr>
          <w:sz w:val="24"/>
          <w:szCs w:val="24"/>
          <w:lang w:val="en-AU"/>
        </w:rPr>
        <w:t>high-level</w:t>
      </w:r>
      <w:r w:rsidRPr="00EC236E">
        <w:rPr>
          <w:sz w:val="24"/>
          <w:szCs w:val="24"/>
          <w:lang w:val="en-AU"/>
        </w:rPr>
        <w:t xml:space="preserve"> strategic communications plan</w:t>
      </w:r>
      <w:r w:rsidR="00051494" w:rsidRPr="00EC236E">
        <w:rPr>
          <w:sz w:val="24"/>
          <w:szCs w:val="24"/>
          <w:lang w:val="en-AU"/>
        </w:rPr>
        <w:t xml:space="preserve"> for</w:t>
      </w:r>
      <w:r w:rsidR="006F1C1F" w:rsidRPr="00EC236E">
        <w:rPr>
          <w:sz w:val="24"/>
          <w:szCs w:val="24"/>
          <w:lang w:val="en-AU"/>
        </w:rPr>
        <w:t xml:space="preserve"> Australia’s Mekong subregion engagement, </w:t>
      </w:r>
      <w:r w:rsidR="53896A9B" w:rsidRPr="00EC236E">
        <w:rPr>
          <w:sz w:val="24"/>
          <w:szCs w:val="24"/>
          <w:lang w:val="en-AU"/>
        </w:rPr>
        <w:t xml:space="preserve">led </w:t>
      </w:r>
      <w:r w:rsidR="006F1C1F" w:rsidRPr="00EC236E">
        <w:rPr>
          <w:sz w:val="24"/>
          <w:szCs w:val="24"/>
          <w:lang w:val="en-AU"/>
        </w:rPr>
        <w:t>by MKS</w:t>
      </w:r>
      <w:r w:rsidR="0005032F" w:rsidRPr="00EC236E">
        <w:rPr>
          <w:sz w:val="24"/>
          <w:szCs w:val="24"/>
          <w:lang w:val="en-AU"/>
        </w:rPr>
        <w:t>.</w:t>
      </w:r>
    </w:p>
    <w:p w14:paraId="40F6951E" w14:textId="6300E301" w:rsidR="00DF18A9" w:rsidRPr="00EC236E" w:rsidRDefault="006C429E" w:rsidP="002E677B">
      <w:pPr>
        <w:pStyle w:val="ListParagraph"/>
        <w:numPr>
          <w:ilvl w:val="0"/>
          <w:numId w:val="46"/>
        </w:numPr>
        <w:rPr>
          <w:sz w:val="24"/>
          <w:szCs w:val="24"/>
          <w:lang w:val="en-AU"/>
        </w:rPr>
      </w:pPr>
      <w:r w:rsidRPr="00EC236E">
        <w:rPr>
          <w:sz w:val="24"/>
          <w:szCs w:val="24"/>
          <w:lang w:val="en-AU"/>
        </w:rPr>
        <w:t>DFAT leadership on strategic policy engagement with counterparts, with A-based staff leading on relationship management across a portfolio of partnerships</w:t>
      </w:r>
      <w:r w:rsidR="00DF18A9" w:rsidRPr="00EC236E">
        <w:rPr>
          <w:sz w:val="24"/>
          <w:szCs w:val="24"/>
          <w:lang w:val="en-AU"/>
        </w:rPr>
        <w:t xml:space="preserve">. </w:t>
      </w:r>
    </w:p>
    <w:p w14:paraId="772251BE" w14:textId="0FF45346" w:rsidR="006C429E" w:rsidRPr="00EC236E" w:rsidRDefault="006C429E" w:rsidP="002E677B">
      <w:pPr>
        <w:pStyle w:val="ListParagraph"/>
        <w:numPr>
          <w:ilvl w:val="0"/>
          <w:numId w:val="46"/>
        </w:numPr>
        <w:rPr>
          <w:sz w:val="24"/>
          <w:szCs w:val="24"/>
          <w:lang w:val="en-AU"/>
        </w:rPr>
      </w:pPr>
      <w:r w:rsidRPr="00EC236E">
        <w:rPr>
          <w:sz w:val="24"/>
          <w:szCs w:val="24"/>
          <w:lang w:val="en-AU"/>
        </w:rPr>
        <w:t xml:space="preserve">Engagement of strategic communications </w:t>
      </w:r>
      <w:r w:rsidR="00267B21">
        <w:rPr>
          <w:sz w:val="24"/>
          <w:szCs w:val="24"/>
          <w:lang w:val="en-AU"/>
        </w:rPr>
        <w:t>personnel</w:t>
      </w:r>
      <w:r w:rsidRPr="00EC236E">
        <w:rPr>
          <w:sz w:val="24"/>
          <w:szCs w:val="24"/>
          <w:lang w:val="en-AU"/>
        </w:rPr>
        <w:t xml:space="preserve"> in Bangkok.</w:t>
      </w:r>
    </w:p>
    <w:p w14:paraId="65461266" w14:textId="7EB79A5C" w:rsidR="006C429E" w:rsidRPr="00EC236E" w:rsidRDefault="00294DCC" w:rsidP="002E677B">
      <w:pPr>
        <w:pStyle w:val="ListParagraph"/>
        <w:numPr>
          <w:ilvl w:val="0"/>
          <w:numId w:val="46"/>
        </w:numPr>
        <w:rPr>
          <w:sz w:val="24"/>
          <w:szCs w:val="24"/>
          <w:lang w:val="en-AU"/>
        </w:rPr>
      </w:pPr>
      <w:r w:rsidRPr="00EC236E">
        <w:rPr>
          <w:sz w:val="24"/>
          <w:szCs w:val="24"/>
          <w:lang w:val="en-AU"/>
        </w:rPr>
        <w:t>Establishment</w:t>
      </w:r>
      <w:r w:rsidR="006C429E" w:rsidRPr="00EC236E">
        <w:rPr>
          <w:sz w:val="24"/>
          <w:szCs w:val="24"/>
          <w:lang w:val="en-AU"/>
        </w:rPr>
        <w:t xml:space="preserve"> of a</w:t>
      </w:r>
      <w:r w:rsidR="001D5D2F" w:rsidRPr="00EC236E">
        <w:rPr>
          <w:sz w:val="24"/>
          <w:szCs w:val="24"/>
          <w:lang w:val="en-AU"/>
        </w:rPr>
        <w:t>n operational c</w:t>
      </w:r>
      <w:r w:rsidR="006C429E" w:rsidRPr="00EC236E">
        <w:rPr>
          <w:sz w:val="24"/>
          <w:szCs w:val="24"/>
          <w:lang w:val="en-AU"/>
        </w:rPr>
        <w:t xml:space="preserve">ommunications plan </w:t>
      </w:r>
      <w:r w:rsidRPr="00EC236E">
        <w:rPr>
          <w:sz w:val="24"/>
          <w:szCs w:val="24"/>
          <w:lang w:val="en-AU"/>
        </w:rPr>
        <w:t xml:space="preserve">and systems </w:t>
      </w:r>
      <w:r w:rsidR="006C429E" w:rsidRPr="00EC236E">
        <w:rPr>
          <w:sz w:val="24"/>
          <w:szCs w:val="24"/>
          <w:lang w:val="en-AU"/>
        </w:rPr>
        <w:t>as an inception period activity.</w:t>
      </w:r>
    </w:p>
    <w:p w14:paraId="059ABBD9" w14:textId="578E7D5C" w:rsidR="00294DCC" w:rsidRPr="00EC236E" w:rsidRDefault="00294DCC" w:rsidP="002E677B">
      <w:pPr>
        <w:pStyle w:val="ListParagraph"/>
        <w:numPr>
          <w:ilvl w:val="0"/>
          <w:numId w:val="46"/>
        </w:numPr>
        <w:rPr>
          <w:sz w:val="24"/>
          <w:szCs w:val="24"/>
          <w:lang w:val="en-AU"/>
        </w:rPr>
      </w:pPr>
      <w:r w:rsidRPr="00EC236E">
        <w:rPr>
          <w:sz w:val="24"/>
          <w:szCs w:val="24"/>
          <w:lang w:val="en-AU"/>
        </w:rPr>
        <w:t>A Support Services Contractor that will support development and distribution of information and communications products.</w:t>
      </w:r>
    </w:p>
    <w:p w14:paraId="75482285" w14:textId="51D6D086" w:rsidR="00ED77A2" w:rsidRPr="00EC236E" w:rsidRDefault="00DF18A9" w:rsidP="00DF18A9">
      <w:pPr>
        <w:rPr>
          <w:sz w:val="24"/>
          <w:szCs w:val="24"/>
          <w:lang w:val="en-AU"/>
        </w:rPr>
      </w:pPr>
      <w:r w:rsidRPr="00EC236E">
        <w:rPr>
          <w:sz w:val="24"/>
          <w:szCs w:val="24"/>
          <w:lang w:val="en-AU"/>
        </w:rPr>
        <w:t xml:space="preserve">Through </w:t>
      </w:r>
      <w:r w:rsidR="001C0F31" w:rsidRPr="00EC236E">
        <w:rPr>
          <w:sz w:val="24"/>
          <w:szCs w:val="24"/>
          <w:lang w:val="en-AU"/>
        </w:rPr>
        <w:t>MAP</w:t>
      </w:r>
      <w:r w:rsidRPr="00EC236E">
        <w:rPr>
          <w:sz w:val="24"/>
          <w:szCs w:val="24"/>
          <w:lang w:val="en-AU"/>
        </w:rPr>
        <w:t xml:space="preserve"> public diplomacy and communications efforts, Australia will demonstrate and effectively communicate how </w:t>
      </w:r>
      <w:r w:rsidR="001C0F31" w:rsidRPr="00EC236E">
        <w:rPr>
          <w:sz w:val="24"/>
          <w:szCs w:val="24"/>
          <w:lang w:val="en-AU"/>
        </w:rPr>
        <w:t>MAP</w:t>
      </w:r>
      <w:r w:rsidRPr="00EC236E">
        <w:rPr>
          <w:sz w:val="24"/>
          <w:szCs w:val="24"/>
          <w:lang w:val="en-AU"/>
        </w:rPr>
        <w:t xml:space="preserve"> investments contribute to </w:t>
      </w:r>
      <w:r w:rsidR="001C0F31" w:rsidRPr="00EC236E">
        <w:rPr>
          <w:sz w:val="24"/>
          <w:szCs w:val="24"/>
          <w:lang w:val="en-AU"/>
        </w:rPr>
        <w:t>priority policy objectives in the Mekong subregion</w:t>
      </w:r>
      <w:r w:rsidRPr="00EC236E">
        <w:rPr>
          <w:sz w:val="24"/>
          <w:szCs w:val="24"/>
          <w:lang w:val="en-AU"/>
        </w:rPr>
        <w:t xml:space="preserve">. </w:t>
      </w:r>
      <w:r w:rsidR="001C0F31" w:rsidRPr="00EC236E">
        <w:rPr>
          <w:sz w:val="24"/>
          <w:szCs w:val="24"/>
          <w:lang w:val="en-AU"/>
        </w:rPr>
        <w:t xml:space="preserve">The MAP communications team and DFAT officers will draw counterpart government attention to the contribution and impact of MAP, making </w:t>
      </w:r>
      <w:r w:rsidR="00DF4983" w:rsidRPr="00EC236E">
        <w:rPr>
          <w:sz w:val="24"/>
          <w:szCs w:val="24"/>
          <w:lang w:val="en-AU"/>
        </w:rPr>
        <w:t xml:space="preserve">outcomes and achievements </w:t>
      </w:r>
      <w:r w:rsidR="001C0F31" w:rsidRPr="00EC236E">
        <w:rPr>
          <w:sz w:val="24"/>
          <w:szCs w:val="24"/>
          <w:lang w:val="en-AU"/>
        </w:rPr>
        <w:t xml:space="preserve">visible and tangible. </w:t>
      </w:r>
      <w:r w:rsidR="00ED77A2" w:rsidRPr="00EC236E">
        <w:rPr>
          <w:sz w:val="24"/>
          <w:szCs w:val="24"/>
          <w:lang w:val="en-AU"/>
        </w:rPr>
        <w:t>This will be particularly important where Australia is collaborating with other development partners.</w:t>
      </w:r>
    </w:p>
    <w:p w14:paraId="3E4A0080" w14:textId="2B2B5A61" w:rsidR="00DF18A9" w:rsidRPr="00EC236E" w:rsidRDefault="001C0F31" w:rsidP="00DF18A9">
      <w:pPr>
        <w:rPr>
          <w:sz w:val="24"/>
          <w:szCs w:val="24"/>
          <w:lang w:val="en-AU"/>
        </w:rPr>
      </w:pPr>
      <w:r w:rsidRPr="00EC236E">
        <w:rPr>
          <w:sz w:val="24"/>
          <w:szCs w:val="24"/>
          <w:lang w:val="en-AU"/>
        </w:rPr>
        <w:t>Implementing partners</w:t>
      </w:r>
      <w:r w:rsidR="00DF18A9" w:rsidRPr="00EC236E">
        <w:rPr>
          <w:sz w:val="24"/>
          <w:szCs w:val="24"/>
          <w:lang w:val="en-AU"/>
        </w:rPr>
        <w:t xml:space="preserve"> will support </w:t>
      </w:r>
      <w:r w:rsidRPr="00EC236E">
        <w:rPr>
          <w:sz w:val="24"/>
          <w:szCs w:val="24"/>
          <w:lang w:val="en-AU"/>
        </w:rPr>
        <w:t>public diplomacy</w:t>
      </w:r>
      <w:r w:rsidR="00DF18A9" w:rsidRPr="00EC236E">
        <w:rPr>
          <w:sz w:val="24"/>
          <w:szCs w:val="24"/>
          <w:lang w:val="en-AU"/>
        </w:rPr>
        <w:t xml:space="preserve"> by ensuring that the Australian Government is credited as a key </w:t>
      </w:r>
      <w:r w:rsidR="000B51BE">
        <w:rPr>
          <w:sz w:val="24"/>
          <w:szCs w:val="24"/>
          <w:lang w:val="en-AU"/>
        </w:rPr>
        <w:t>development partner</w:t>
      </w:r>
      <w:r w:rsidR="00294DCC" w:rsidRPr="00EC236E">
        <w:rPr>
          <w:sz w:val="24"/>
          <w:szCs w:val="24"/>
          <w:lang w:val="en-AU"/>
        </w:rPr>
        <w:t xml:space="preserve">. These partners will </w:t>
      </w:r>
      <w:r w:rsidR="00DF4983" w:rsidRPr="00EC236E">
        <w:rPr>
          <w:sz w:val="24"/>
          <w:szCs w:val="24"/>
          <w:lang w:val="en-AU"/>
        </w:rPr>
        <w:t>provid</w:t>
      </w:r>
      <w:r w:rsidR="00294DCC" w:rsidRPr="00EC236E">
        <w:rPr>
          <w:sz w:val="24"/>
          <w:szCs w:val="24"/>
          <w:lang w:val="en-AU"/>
        </w:rPr>
        <w:t>e</w:t>
      </w:r>
      <w:r w:rsidR="00DF18A9" w:rsidRPr="00EC236E">
        <w:rPr>
          <w:sz w:val="24"/>
          <w:szCs w:val="24"/>
          <w:lang w:val="en-AU"/>
        </w:rPr>
        <w:t xml:space="preserve"> </w:t>
      </w:r>
      <w:r w:rsidRPr="00EC236E">
        <w:rPr>
          <w:sz w:val="24"/>
          <w:szCs w:val="24"/>
          <w:lang w:val="en-AU"/>
        </w:rPr>
        <w:t>DFAT</w:t>
      </w:r>
      <w:r w:rsidR="00DF18A9" w:rsidRPr="00EC236E">
        <w:rPr>
          <w:sz w:val="24"/>
          <w:szCs w:val="24"/>
          <w:lang w:val="en-AU"/>
        </w:rPr>
        <w:t xml:space="preserve"> with information </w:t>
      </w:r>
      <w:r w:rsidR="00DF4983" w:rsidRPr="00EC236E">
        <w:rPr>
          <w:sz w:val="24"/>
          <w:szCs w:val="24"/>
          <w:lang w:val="en-AU"/>
        </w:rPr>
        <w:t>on</w:t>
      </w:r>
      <w:r w:rsidR="00DF18A9" w:rsidRPr="00EC236E">
        <w:rPr>
          <w:sz w:val="24"/>
          <w:szCs w:val="24"/>
          <w:lang w:val="en-AU"/>
        </w:rPr>
        <w:t xml:space="preserve"> the </w:t>
      </w:r>
      <w:r w:rsidRPr="00EC236E">
        <w:rPr>
          <w:sz w:val="24"/>
          <w:szCs w:val="24"/>
          <w:lang w:val="en-AU"/>
        </w:rPr>
        <w:t xml:space="preserve">outcomes of investments including through </w:t>
      </w:r>
      <w:r w:rsidR="00DF4983" w:rsidRPr="00EC236E">
        <w:rPr>
          <w:sz w:val="24"/>
          <w:szCs w:val="24"/>
          <w:lang w:val="en-AU"/>
        </w:rPr>
        <w:t xml:space="preserve">routine reporting, </w:t>
      </w:r>
      <w:r w:rsidR="00DF18A9" w:rsidRPr="00EC236E">
        <w:rPr>
          <w:sz w:val="24"/>
          <w:szCs w:val="24"/>
          <w:lang w:val="en-AU"/>
        </w:rPr>
        <w:t xml:space="preserve">briefing notes, stories of change and case studies, </w:t>
      </w:r>
      <w:r w:rsidRPr="00EC236E">
        <w:rPr>
          <w:sz w:val="24"/>
          <w:szCs w:val="24"/>
          <w:lang w:val="en-AU"/>
        </w:rPr>
        <w:t xml:space="preserve">and </w:t>
      </w:r>
      <w:r w:rsidR="00DF18A9" w:rsidRPr="00EC236E">
        <w:rPr>
          <w:sz w:val="24"/>
          <w:szCs w:val="24"/>
          <w:lang w:val="en-AU"/>
        </w:rPr>
        <w:t xml:space="preserve">social media materials. </w:t>
      </w:r>
      <w:r w:rsidR="00294DCC" w:rsidRPr="00EC236E">
        <w:rPr>
          <w:sz w:val="24"/>
          <w:szCs w:val="24"/>
          <w:lang w:val="en-AU"/>
        </w:rPr>
        <w:t xml:space="preserve"> </w:t>
      </w:r>
    </w:p>
    <w:p w14:paraId="0F3F6992" w14:textId="70AF89B8" w:rsidR="00DF18A9" w:rsidRPr="00156916" w:rsidRDefault="00DF18A9" w:rsidP="00156916">
      <w:pPr>
        <w:pStyle w:val="Heading2Numbered"/>
        <w:rPr>
          <w:lang w:val="en-AU"/>
        </w:rPr>
      </w:pPr>
      <w:bookmarkStart w:id="94" w:name="_Toc162287876"/>
      <w:bookmarkStart w:id="95" w:name="_Toc162367798"/>
      <w:bookmarkStart w:id="96" w:name="_Toc163539163"/>
      <w:bookmarkStart w:id="97" w:name="_Toc174029046"/>
      <w:r w:rsidRPr="00156916">
        <w:rPr>
          <w:lang w:val="en-AU"/>
        </w:rPr>
        <w:lastRenderedPageBreak/>
        <w:t>Sustainability</w:t>
      </w:r>
      <w:bookmarkEnd w:id="94"/>
      <w:bookmarkEnd w:id="95"/>
      <w:bookmarkEnd w:id="96"/>
      <w:bookmarkEnd w:id="97"/>
    </w:p>
    <w:p w14:paraId="475DC3FB" w14:textId="7B578A45" w:rsidR="00DF18A9" w:rsidRPr="00EC236E" w:rsidRDefault="00720E33" w:rsidP="00DF18A9">
      <w:p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MAP Phase 2</w:t>
      </w:r>
      <w:r w:rsidR="00DF18A9" w:rsidRPr="00EC236E">
        <w:rPr>
          <w:rFonts w:eastAsia="Times New Roman" w:cs="Times New Roman"/>
          <w:sz w:val="24"/>
          <w:szCs w:val="24"/>
          <w:lang w:val="en-AU"/>
        </w:rPr>
        <w:t xml:space="preserve"> supports the </w:t>
      </w:r>
      <w:r w:rsidR="00506A9E" w:rsidRPr="00EC236E">
        <w:rPr>
          <w:rFonts w:eastAsia="Times New Roman" w:cs="Times New Roman"/>
          <w:sz w:val="24"/>
          <w:szCs w:val="24"/>
          <w:lang w:val="en-AU"/>
        </w:rPr>
        <w:t xml:space="preserve">Mekong country counterparts </w:t>
      </w:r>
      <w:r w:rsidR="00DF18A9" w:rsidRPr="00EC236E">
        <w:rPr>
          <w:rFonts w:eastAsia="Times New Roman" w:cs="Times New Roman"/>
          <w:sz w:val="24"/>
          <w:szCs w:val="24"/>
          <w:lang w:val="en-AU"/>
        </w:rPr>
        <w:t xml:space="preserve">to </w:t>
      </w:r>
      <w:r w:rsidR="00506A9E" w:rsidRPr="00EC236E">
        <w:rPr>
          <w:rFonts w:eastAsia="Times New Roman" w:cs="Times New Roman"/>
          <w:sz w:val="24"/>
          <w:szCs w:val="24"/>
          <w:lang w:val="en-AU"/>
        </w:rPr>
        <w:t xml:space="preserve">achieve their objectives and </w:t>
      </w:r>
      <w:r w:rsidR="00DF18A9" w:rsidRPr="00EC236E">
        <w:rPr>
          <w:rFonts w:eastAsia="Times New Roman" w:cs="Times New Roman"/>
          <w:sz w:val="24"/>
          <w:szCs w:val="24"/>
          <w:lang w:val="en-AU"/>
        </w:rPr>
        <w:t xml:space="preserve">deliver </w:t>
      </w:r>
      <w:r w:rsidR="00506A9E" w:rsidRPr="00EC236E">
        <w:rPr>
          <w:rFonts w:eastAsia="Times New Roman" w:cs="Times New Roman"/>
          <w:sz w:val="24"/>
          <w:szCs w:val="24"/>
          <w:lang w:val="en-AU"/>
        </w:rPr>
        <w:t xml:space="preserve">their </w:t>
      </w:r>
      <w:r w:rsidR="00DF18A9" w:rsidRPr="00EC236E">
        <w:rPr>
          <w:rFonts w:eastAsia="Times New Roman" w:cs="Times New Roman"/>
          <w:sz w:val="24"/>
          <w:szCs w:val="24"/>
          <w:lang w:val="en-AU"/>
        </w:rPr>
        <w:t xml:space="preserve">own reform agenda. This </w:t>
      </w:r>
      <w:r w:rsidR="00506A9E" w:rsidRPr="00EC236E">
        <w:rPr>
          <w:rFonts w:eastAsia="Times New Roman" w:cs="Times New Roman"/>
          <w:sz w:val="24"/>
          <w:szCs w:val="24"/>
          <w:lang w:val="en-AU"/>
        </w:rPr>
        <w:t>Portfolio</w:t>
      </w:r>
      <w:r w:rsidR="00DF18A9" w:rsidRPr="00EC236E">
        <w:rPr>
          <w:rFonts w:eastAsia="Times New Roman" w:cs="Times New Roman"/>
          <w:sz w:val="24"/>
          <w:szCs w:val="24"/>
          <w:lang w:val="en-AU"/>
        </w:rPr>
        <w:t xml:space="preserve"> Design has emphasised the importance of the role of </w:t>
      </w:r>
      <w:r w:rsidR="00506A9E" w:rsidRPr="00EC236E">
        <w:rPr>
          <w:rFonts w:eastAsia="Times New Roman" w:cs="Times New Roman"/>
          <w:sz w:val="24"/>
          <w:szCs w:val="24"/>
          <w:lang w:val="en-AU"/>
        </w:rPr>
        <w:t>MAP</w:t>
      </w:r>
      <w:r w:rsidR="00DF18A9" w:rsidRPr="00EC236E">
        <w:rPr>
          <w:rFonts w:eastAsia="Times New Roman" w:cs="Times New Roman"/>
          <w:sz w:val="24"/>
          <w:szCs w:val="24"/>
          <w:lang w:val="en-AU"/>
        </w:rPr>
        <w:t xml:space="preserve"> to support, facilitate and catalyse sustainable change. The Theory of Change </w:t>
      </w:r>
      <w:r w:rsidRPr="00EC236E">
        <w:rPr>
          <w:rFonts w:eastAsia="Times New Roman" w:cs="Times New Roman"/>
          <w:sz w:val="24"/>
          <w:szCs w:val="24"/>
          <w:lang w:val="en-AU"/>
        </w:rPr>
        <w:t>focuses on</w:t>
      </w:r>
      <w:r w:rsidR="00DF18A9" w:rsidRPr="00EC236E">
        <w:rPr>
          <w:rFonts w:eastAsia="Times New Roman" w:cs="Times New Roman"/>
          <w:sz w:val="24"/>
          <w:szCs w:val="24"/>
          <w:lang w:val="en-AU"/>
        </w:rPr>
        <w:t xml:space="preserve"> the need for systemic change that is owned by </w:t>
      </w:r>
      <w:r w:rsidRPr="00EC236E">
        <w:rPr>
          <w:rFonts w:eastAsia="Times New Roman" w:cs="Times New Roman"/>
          <w:sz w:val="24"/>
          <w:szCs w:val="24"/>
          <w:lang w:val="en-AU"/>
        </w:rPr>
        <w:t xml:space="preserve">government counterparts </w:t>
      </w:r>
      <w:r w:rsidR="00DF18A9" w:rsidRPr="00EC236E">
        <w:rPr>
          <w:rFonts w:eastAsia="Times New Roman" w:cs="Times New Roman"/>
          <w:sz w:val="24"/>
          <w:szCs w:val="24"/>
          <w:lang w:val="en-AU"/>
        </w:rPr>
        <w:t xml:space="preserve">and embedded in </w:t>
      </w:r>
      <w:r w:rsidRPr="00EC236E">
        <w:rPr>
          <w:rFonts w:eastAsia="Times New Roman" w:cs="Times New Roman"/>
          <w:sz w:val="24"/>
          <w:szCs w:val="24"/>
          <w:lang w:val="en-AU"/>
        </w:rPr>
        <w:t>local</w:t>
      </w:r>
      <w:r w:rsidR="00DF18A9" w:rsidRPr="00EC236E">
        <w:rPr>
          <w:rFonts w:eastAsia="Times New Roman" w:cs="Times New Roman"/>
          <w:sz w:val="24"/>
          <w:szCs w:val="24"/>
          <w:lang w:val="en-AU"/>
        </w:rPr>
        <w:t xml:space="preserve"> systems. As such, </w:t>
      </w:r>
      <w:r w:rsidR="00506A9E" w:rsidRPr="00EC236E">
        <w:rPr>
          <w:rFonts w:eastAsia="Times New Roman" w:cs="Times New Roman"/>
          <w:sz w:val="24"/>
          <w:szCs w:val="24"/>
          <w:lang w:val="en-AU"/>
        </w:rPr>
        <w:t>MAP Phase 2</w:t>
      </w:r>
      <w:r w:rsidR="00DF18A9" w:rsidRPr="00EC236E">
        <w:rPr>
          <w:rFonts w:eastAsia="Times New Roman" w:cs="Times New Roman"/>
          <w:sz w:val="24"/>
          <w:szCs w:val="24"/>
          <w:lang w:val="en-AU"/>
        </w:rPr>
        <w:t xml:space="preserve"> is contributing to </w:t>
      </w:r>
      <w:r w:rsidR="0040169E" w:rsidRPr="00EC236E">
        <w:rPr>
          <w:rFonts w:eastAsia="Times New Roman" w:cs="Times New Roman"/>
          <w:sz w:val="24"/>
          <w:szCs w:val="24"/>
          <w:lang w:val="en-AU"/>
        </w:rPr>
        <w:t>investments</w:t>
      </w:r>
      <w:r w:rsidR="00DF18A9" w:rsidRPr="00EC236E">
        <w:rPr>
          <w:rFonts w:eastAsia="Times New Roman" w:cs="Times New Roman"/>
          <w:sz w:val="24"/>
          <w:szCs w:val="24"/>
          <w:lang w:val="en-AU"/>
        </w:rPr>
        <w:t xml:space="preserve"> that works through government </w:t>
      </w:r>
      <w:r w:rsidR="00506A9E" w:rsidRPr="00EC236E">
        <w:rPr>
          <w:rFonts w:eastAsia="Times New Roman" w:cs="Times New Roman"/>
          <w:sz w:val="24"/>
          <w:szCs w:val="24"/>
          <w:lang w:val="en-AU"/>
        </w:rPr>
        <w:t xml:space="preserve">and other local </w:t>
      </w:r>
      <w:r w:rsidR="00DF18A9" w:rsidRPr="00EC236E">
        <w:rPr>
          <w:rFonts w:eastAsia="Times New Roman" w:cs="Times New Roman"/>
          <w:sz w:val="24"/>
          <w:szCs w:val="24"/>
          <w:lang w:val="en-AU"/>
        </w:rPr>
        <w:t>systems and strengthens those systems. </w:t>
      </w:r>
    </w:p>
    <w:p w14:paraId="73345C42" w14:textId="6154999F" w:rsidR="00DF18A9" w:rsidRPr="00EC236E" w:rsidRDefault="00DF18A9" w:rsidP="00DF18A9">
      <w:p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Key design features that reinforce sustainability include:</w:t>
      </w:r>
    </w:p>
    <w:p w14:paraId="3AC43548" w14:textId="365F2F39" w:rsidR="00DF18A9" w:rsidRPr="00EC236E" w:rsidRDefault="00380790" w:rsidP="002E677B">
      <w:pPr>
        <w:numPr>
          <w:ilvl w:val="0"/>
          <w:numId w:val="45"/>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S</w:t>
      </w:r>
      <w:r w:rsidR="00DF18A9" w:rsidRPr="00EC236E">
        <w:rPr>
          <w:rFonts w:eastAsia="Times New Roman" w:cs="Times New Roman"/>
          <w:sz w:val="24"/>
          <w:szCs w:val="24"/>
          <w:lang w:val="en-AU"/>
        </w:rPr>
        <w:t>upport</w:t>
      </w:r>
      <w:r w:rsidRPr="00EC236E">
        <w:rPr>
          <w:rFonts w:eastAsia="Times New Roman" w:cs="Times New Roman"/>
          <w:sz w:val="24"/>
          <w:szCs w:val="24"/>
          <w:lang w:val="en-AU"/>
        </w:rPr>
        <w:t>ing government counterparts and local partners achieve their policy priority and reform agenda</w:t>
      </w:r>
      <w:r w:rsidR="00DF18A9" w:rsidRPr="00EC236E">
        <w:rPr>
          <w:rFonts w:eastAsia="Times New Roman" w:cs="Times New Roman"/>
          <w:sz w:val="24"/>
          <w:szCs w:val="24"/>
          <w:lang w:val="en-AU"/>
        </w:rPr>
        <w:t xml:space="preserve">. </w:t>
      </w:r>
    </w:p>
    <w:p w14:paraId="143CD4D0" w14:textId="6B52B815" w:rsidR="00DF18A9" w:rsidRPr="00EC236E" w:rsidRDefault="00DF18A9" w:rsidP="002E677B">
      <w:pPr>
        <w:numPr>
          <w:ilvl w:val="0"/>
          <w:numId w:val="45"/>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Focus on capacity development of counterparts at the immediate and intermediate outcome level and their ability to deliver investment EO</w:t>
      </w:r>
      <w:r w:rsidR="002769CF" w:rsidRPr="00EC236E">
        <w:rPr>
          <w:rFonts w:eastAsia="Times New Roman" w:cs="Times New Roman"/>
          <w:sz w:val="24"/>
          <w:szCs w:val="24"/>
          <w:lang w:val="en-AU"/>
        </w:rPr>
        <w:t>P</w:t>
      </w:r>
      <w:r w:rsidRPr="00EC236E">
        <w:rPr>
          <w:rFonts w:eastAsia="Times New Roman" w:cs="Times New Roman"/>
          <w:sz w:val="24"/>
          <w:szCs w:val="24"/>
          <w:lang w:val="en-AU"/>
        </w:rPr>
        <w:t>Os.</w:t>
      </w:r>
    </w:p>
    <w:p w14:paraId="788C43B4" w14:textId="6733A34E" w:rsidR="00DF18A9" w:rsidRPr="00EC236E" w:rsidRDefault="00380790" w:rsidP="002E677B">
      <w:pPr>
        <w:numPr>
          <w:ilvl w:val="0"/>
          <w:numId w:val="45"/>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 xml:space="preserve">Policy engagement </w:t>
      </w:r>
      <w:r w:rsidR="00DF18A9" w:rsidRPr="00EC236E">
        <w:rPr>
          <w:rFonts w:eastAsia="Times New Roman" w:cs="Times New Roman"/>
          <w:sz w:val="24"/>
          <w:szCs w:val="24"/>
          <w:lang w:val="en-AU"/>
        </w:rPr>
        <w:t xml:space="preserve">is diffused across stakeholders </w:t>
      </w:r>
      <w:r w:rsidRPr="00EC236E">
        <w:rPr>
          <w:rFonts w:eastAsia="Times New Roman" w:cs="Times New Roman"/>
          <w:sz w:val="24"/>
          <w:szCs w:val="24"/>
          <w:lang w:val="en-AU"/>
        </w:rPr>
        <w:t>to</w:t>
      </w:r>
      <w:r w:rsidR="00DF18A9" w:rsidRPr="00EC236E">
        <w:rPr>
          <w:rFonts w:eastAsia="Times New Roman" w:cs="Times New Roman"/>
          <w:sz w:val="24"/>
          <w:szCs w:val="24"/>
          <w:lang w:val="en-AU"/>
        </w:rPr>
        <w:t xml:space="preserve"> ensure broad-based ownership.</w:t>
      </w:r>
    </w:p>
    <w:p w14:paraId="380E40DC" w14:textId="58F35BA3" w:rsidR="00DF18A9" w:rsidRPr="00EC236E" w:rsidRDefault="00380790" w:rsidP="002E677B">
      <w:pPr>
        <w:numPr>
          <w:ilvl w:val="0"/>
          <w:numId w:val="45"/>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 xml:space="preserve">Continuation of appropriate MAP Phase 1 investments </w:t>
      </w:r>
      <w:r w:rsidR="00DF18A9" w:rsidRPr="00EC236E">
        <w:rPr>
          <w:rFonts w:eastAsia="Times New Roman" w:cs="Times New Roman"/>
          <w:sz w:val="24"/>
          <w:szCs w:val="24"/>
          <w:lang w:val="en-AU"/>
        </w:rPr>
        <w:t xml:space="preserve">will </w:t>
      </w:r>
      <w:r w:rsidRPr="00EC236E">
        <w:rPr>
          <w:rFonts w:eastAsia="Times New Roman" w:cs="Times New Roman"/>
          <w:sz w:val="24"/>
          <w:szCs w:val="24"/>
          <w:lang w:val="en-AU"/>
        </w:rPr>
        <w:t xml:space="preserve">build on and entrench their </w:t>
      </w:r>
      <w:r w:rsidR="00DF18A9" w:rsidRPr="00EC236E">
        <w:rPr>
          <w:rFonts w:eastAsia="Times New Roman" w:cs="Times New Roman"/>
          <w:sz w:val="24"/>
          <w:szCs w:val="24"/>
          <w:lang w:val="en-AU"/>
        </w:rPr>
        <w:t>sustainability.</w:t>
      </w:r>
    </w:p>
    <w:p w14:paraId="13D5DE74" w14:textId="1B1CD4D9" w:rsidR="00DF18A9" w:rsidRPr="00EC236E" w:rsidRDefault="00DF18A9" w:rsidP="002E677B">
      <w:pPr>
        <w:numPr>
          <w:ilvl w:val="0"/>
          <w:numId w:val="45"/>
        </w:numPr>
        <w:tabs>
          <w:tab w:val="left" w:pos="284"/>
        </w:tabs>
        <w:suppressAutoHyphens w:val="0"/>
        <w:spacing w:before="0" w:line="280" w:lineRule="exact"/>
        <w:rPr>
          <w:rFonts w:eastAsia="Times New Roman" w:cs="Times New Roman"/>
          <w:sz w:val="24"/>
          <w:szCs w:val="24"/>
          <w:lang w:val="en-AU"/>
        </w:rPr>
      </w:pPr>
      <w:r w:rsidRPr="00EC236E">
        <w:rPr>
          <w:rFonts w:eastAsia="Times New Roman" w:cs="Times New Roman"/>
          <w:sz w:val="24"/>
          <w:szCs w:val="24"/>
          <w:lang w:val="en-AU"/>
        </w:rPr>
        <w:t xml:space="preserve">Taking a gender </w:t>
      </w:r>
      <w:r w:rsidR="002769CF" w:rsidRPr="00EC236E">
        <w:rPr>
          <w:rFonts w:eastAsia="Times New Roman" w:cs="Times New Roman"/>
          <w:sz w:val="24"/>
          <w:szCs w:val="24"/>
          <w:lang w:val="en-AU"/>
        </w:rPr>
        <w:t xml:space="preserve">responsive and </w:t>
      </w:r>
      <w:r w:rsidRPr="00EC236E">
        <w:rPr>
          <w:rFonts w:eastAsia="Times New Roman" w:cs="Times New Roman"/>
          <w:sz w:val="24"/>
          <w:szCs w:val="24"/>
          <w:lang w:val="en-AU"/>
        </w:rPr>
        <w:t xml:space="preserve">transformative approach will </w:t>
      </w:r>
      <w:r w:rsidR="002769CF" w:rsidRPr="00EC236E">
        <w:rPr>
          <w:rFonts w:eastAsia="Times New Roman" w:cs="Times New Roman"/>
          <w:sz w:val="24"/>
          <w:szCs w:val="24"/>
          <w:lang w:val="en-AU"/>
        </w:rPr>
        <w:t xml:space="preserve">help </w:t>
      </w:r>
      <w:r w:rsidRPr="00EC236E">
        <w:rPr>
          <w:rFonts w:eastAsia="Times New Roman" w:cs="Times New Roman"/>
          <w:sz w:val="24"/>
          <w:szCs w:val="24"/>
          <w:lang w:val="en-AU"/>
        </w:rPr>
        <w:t xml:space="preserve">shift norms, attitudes and behaviours around women’s roles and participation which will create longer term opportunities and impacts. </w:t>
      </w:r>
    </w:p>
    <w:p w14:paraId="4056F270" w14:textId="6F344FA5" w:rsidR="3510DA55" w:rsidRPr="00EC236E" w:rsidRDefault="77AF435A" w:rsidP="3510DA55">
      <w:pPr>
        <w:numPr>
          <w:ilvl w:val="0"/>
          <w:numId w:val="45"/>
        </w:numPr>
        <w:tabs>
          <w:tab w:val="left" w:pos="284"/>
        </w:tabs>
        <w:spacing w:before="0" w:line="280" w:lineRule="exact"/>
        <w:rPr>
          <w:rFonts w:eastAsia="Times New Roman" w:cs="Times New Roman"/>
          <w:sz w:val="24"/>
          <w:szCs w:val="24"/>
          <w:lang w:val="en-AU"/>
        </w:rPr>
      </w:pPr>
      <w:r w:rsidRPr="00EC236E">
        <w:rPr>
          <w:rFonts w:eastAsia="Times New Roman" w:cs="Times New Roman"/>
          <w:sz w:val="24"/>
          <w:szCs w:val="24"/>
          <w:lang w:val="en-AU"/>
        </w:rPr>
        <w:t>Understanding and addressing climate change risks and opportunities helps ensure development gains are sustained</w:t>
      </w:r>
      <w:r w:rsidR="00DEF956" w:rsidRPr="00EC236E">
        <w:rPr>
          <w:rFonts w:eastAsia="Times New Roman" w:cs="Times New Roman"/>
          <w:sz w:val="24"/>
          <w:szCs w:val="24"/>
          <w:lang w:val="en-AU"/>
        </w:rPr>
        <w:t xml:space="preserve">. </w:t>
      </w:r>
    </w:p>
    <w:p w14:paraId="181BBDB1" w14:textId="77A4CAB3" w:rsidR="3510DA55" w:rsidRPr="00EC236E" w:rsidRDefault="00DEF956" w:rsidP="3510DA55">
      <w:pPr>
        <w:numPr>
          <w:ilvl w:val="0"/>
          <w:numId w:val="45"/>
        </w:numPr>
        <w:tabs>
          <w:tab w:val="left" w:pos="284"/>
        </w:tabs>
        <w:spacing w:before="0" w:line="280" w:lineRule="exact"/>
        <w:rPr>
          <w:rFonts w:eastAsia="Times New Roman" w:cs="Times New Roman"/>
          <w:sz w:val="24"/>
          <w:szCs w:val="24"/>
          <w:lang w:val="en-AU"/>
        </w:rPr>
      </w:pPr>
      <w:r w:rsidRPr="00EC236E">
        <w:rPr>
          <w:rFonts w:eastAsia="Times New Roman" w:cs="Times New Roman"/>
          <w:sz w:val="24"/>
          <w:szCs w:val="24"/>
          <w:lang w:val="en-AU"/>
        </w:rPr>
        <w:t xml:space="preserve">Incorporating </w:t>
      </w:r>
      <w:r w:rsidR="0672CD9C" w:rsidRPr="00EC236E">
        <w:rPr>
          <w:rFonts w:eastAsia="Times New Roman" w:cs="Times New Roman"/>
          <w:sz w:val="24"/>
          <w:szCs w:val="24"/>
          <w:lang w:val="en-AU"/>
        </w:rPr>
        <w:t>s</w:t>
      </w:r>
      <w:r w:rsidR="762231D6" w:rsidRPr="00EC236E">
        <w:rPr>
          <w:rFonts w:eastAsia="Times New Roman" w:cs="Times New Roman"/>
          <w:sz w:val="24"/>
          <w:szCs w:val="24"/>
          <w:lang w:val="en-AU"/>
        </w:rPr>
        <w:t xml:space="preserve">ustainability and localisation </w:t>
      </w:r>
      <w:r w:rsidR="03D963D9" w:rsidRPr="00EC236E">
        <w:rPr>
          <w:rFonts w:eastAsia="Times New Roman" w:cs="Times New Roman"/>
          <w:sz w:val="24"/>
          <w:szCs w:val="24"/>
          <w:lang w:val="en-AU"/>
        </w:rPr>
        <w:t>into each thematic</w:t>
      </w:r>
      <w:r w:rsidR="001823B8" w:rsidRPr="00EC236E">
        <w:rPr>
          <w:rFonts w:eastAsia="Times New Roman" w:cs="Times New Roman"/>
          <w:sz w:val="24"/>
          <w:szCs w:val="24"/>
          <w:lang w:val="en-AU"/>
        </w:rPr>
        <w:t xml:space="preserve"> delivery</w:t>
      </w:r>
      <w:r w:rsidR="03D963D9" w:rsidRPr="00EC236E">
        <w:rPr>
          <w:rFonts w:eastAsia="Times New Roman" w:cs="Times New Roman"/>
          <w:sz w:val="24"/>
          <w:szCs w:val="24"/>
          <w:lang w:val="en-AU"/>
        </w:rPr>
        <w:t xml:space="preserve"> strateg</w:t>
      </w:r>
      <w:r w:rsidR="001823B8" w:rsidRPr="00EC236E">
        <w:rPr>
          <w:rFonts w:eastAsia="Times New Roman" w:cs="Times New Roman"/>
          <w:sz w:val="24"/>
          <w:szCs w:val="24"/>
          <w:lang w:val="en-AU"/>
        </w:rPr>
        <w:t>y</w:t>
      </w:r>
      <w:r w:rsidR="03D963D9" w:rsidRPr="00EC236E">
        <w:rPr>
          <w:rFonts w:eastAsia="Times New Roman" w:cs="Times New Roman"/>
          <w:sz w:val="24"/>
          <w:szCs w:val="24"/>
          <w:lang w:val="en-AU"/>
        </w:rPr>
        <w:t>’</w:t>
      </w:r>
      <w:r w:rsidR="001823B8" w:rsidRPr="00EC236E">
        <w:rPr>
          <w:rFonts w:eastAsia="Times New Roman" w:cs="Times New Roman"/>
          <w:sz w:val="24"/>
          <w:szCs w:val="24"/>
          <w:lang w:val="en-AU"/>
        </w:rPr>
        <w:t>s</w:t>
      </w:r>
      <w:r w:rsidR="03D963D9" w:rsidRPr="00EC236E">
        <w:rPr>
          <w:rFonts w:eastAsia="Times New Roman" w:cs="Times New Roman"/>
          <w:sz w:val="24"/>
          <w:szCs w:val="24"/>
          <w:lang w:val="en-AU"/>
        </w:rPr>
        <w:t xml:space="preserve"> policy dialogue matrix. </w:t>
      </w:r>
    </w:p>
    <w:p w14:paraId="1A4693C5" w14:textId="0D11861A" w:rsidR="00A32858" w:rsidRPr="001F14E7" w:rsidRDefault="00A32858" w:rsidP="00156916">
      <w:pPr>
        <w:pStyle w:val="Heading1Numbered"/>
        <w:rPr>
          <w:lang w:val="en-AU"/>
        </w:rPr>
      </w:pPr>
      <w:bookmarkStart w:id="98" w:name="_Toc162287877"/>
      <w:bookmarkStart w:id="99" w:name="_Toc163539164"/>
      <w:bookmarkStart w:id="100" w:name="_Toc174029047"/>
      <w:r w:rsidRPr="2C480AEE">
        <w:rPr>
          <w:lang w:val="en-AU"/>
        </w:rPr>
        <w:t>Gender</w:t>
      </w:r>
      <w:r w:rsidR="005509E9" w:rsidRPr="2C480AEE">
        <w:rPr>
          <w:lang w:val="en-AU"/>
        </w:rPr>
        <w:t xml:space="preserve"> Equality</w:t>
      </w:r>
      <w:r w:rsidRPr="2C480AEE">
        <w:rPr>
          <w:lang w:val="en-AU"/>
        </w:rPr>
        <w:t>, Disability</w:t>
      </w:r>
      <w:r w:rsidR="00D714CC" w:rsidRPr="2C480AEE">
        <w:rPr>
          <w:lang w:val="en-AU"/>
        </w:rPr>
        <w:t xml:space="preserve"> </w:t>
      </w:r>
      <w:r w:rsidR="51E34FCB" w:rsidRPr="2E7FCA17">
        <w:rPr>
          <w:lang w:val="en-AU"/>
        </w:rPr>
        <w:t>and</w:t>
      </w:r>
      <w:r w:rsidR="00AA25EA" w:rsidRPr="2C480AEE">
        <w:rPr>
          <w:lang w:val="en-AU"/>
        </w:rPr>
        <w:t xml:space="preserve"> Social </w:t>
      </w:r>
      <w:r w:rsidR="00347686" w:rsidRPr="2C480AEE">
        <w:rPr>
          <w:lang w:val="en-AU"/>
        </w:rPr>
        <w:t>Inclusion</w:t>
      </w:r>
      <w:r w:rsidR="00AA25EA" w:rsidRPr="2C480AEE">
        <w:rPr>
          <w:lang w:val="en-AU"/>
        </w:rPr>
        <w:t>, CLIMATE</w:t>
      </w:r>
      <w:r w:rsidR="005509E9" w:rsidRPr="2C480AEE">
        <w:rPr>
          <w:lang w:val="en-AU"/>
        </w:rPr>
        <w:t xml:space="preserve"> Change,</w:t>
      </w:r>
      <w:r w:rsidRPr="2C480AEE">
        <w:rPr>
          <w:lang w:val="en-AU"/>
        </w:rPr>
        <w:t xml:space="preserve"> </w:t>
      </w:r>
      <w:r w:rsidR="00AA25EA" w:rsidRPr="2C480AEE">
        <w:rPr>
          <w:lang w:val="en-AU"/>
        </w:rPr>
        <w:t>locally led development</w:t>
      </w:r>
      <w:bookmarkEnd w:id="98"/>
      <w:bookmarkEnd w:id="99"/>
      <w:bookmarkEnd w:id="100"/>
      <w:r w:rsidR="00AA25EA" w:rsidRPr="2C480AEE">
        <w:rPr>
          <w:lang w:val="en-AU"/>
        </w:rPr>
        <w:t xml:space="preserve"> </w:t>
      </w:r>
    </w:p>
    <w:p w14:paraId="636928A7" w14:textId="1D30B318" w:rsidR="3163ADBA" w:rsidRPr="00696A5F" w:rsidRDefault="19FA6C0A" w:rsidP="57FA071A">
      <w:pPr>
        <w:tabs>
          <w:tab w:val="left" w:pos="284"/>
        </w:tabs>
        <w:rPr>
          <w:rFonts w:ascii="Calibri Light" w:eastAsia="Times New Roman" w:hAnsi="Calibri Light" w:cs="Times New Roman"/>
          <w:i/>
          <w:iCs/>
          <w:sz w:val="24"/>
          <w:szCs w:val="24"/>
          <w:lang w:val="en-AU"/>
        </w:rPr>
      </w:pPr>
      <w:r w:rsidRPr="00696A5F">
        <w:rPr>
          <w:rFonts w:ascii="Calibri Light" w:eastAsia="Times New Roman" w:hAnsi="Calibri Light" w:cs="Times New Roman"/>
          <w:sz w:val="24"/>
          <w:szCs w:val="24"/>
          <w:lang w:val="en-AU"/>
        </w:rPr>
        <w:t xml:space="preserve">MAP Phase 2 recognises the centrality of gender equality, disability and social inclusion to building a resilient, inclusive and sustainable Mekong. </w:t>
      </w:r>
      <w:r w:rsidR="6DC50D97" w:rsidRPr="00696A5F">
        <w:rPr>
          <w:rFonts w:ascii="Calibri Light" w:eastAsia="Times New Roman" w:hAnsi="Calibri Light" w:cs="Times New Roman"/>
          <w:sz w:val="24"/>
          <w:szCs w:val="24"/>
          <w:lang w:val="en-AU"/>
        </w:rPr>
        <w:t xml:space="preserve">The concept of GEDSI recognises the intersectional nature of inequality </w:t>
      </w:r>
      <w:r w:rsidR="3E30538D" w:rsidRPr="00696A5F">
        <w:rPr>
          <w:rFonts w:ascii="Calibri Light" w:eastAsia="Times New Roman" w:hAnsi="Calibri Light" w:cs="Times New Roman"/>
          <w:sz w:val="24"/>
          <w:szCs w:val="24"/>
          <w:lang w:val="en-AU"/>
        </w:rPr>
        <w:t xml:space="preserve">and that social norms, relations and power dynamics are experienced as a result of people’s identities. For DFAT GEDSI analysis builds from </w:t>
      </w:r>
      <w:r w:rsidR="51B00DEF" w:rsidRPr="00696A5F">
        <w:rPr>
          <w:rFonts w:ascii="Calibri Light" w:eastAsia="Times New Roman" w:hAnsi="Calibri Light" w:cs="Times New Roman"/>
          <w:sz w:val="24"/>
          <w:szCs w:val="24"/>
          <w:lang w:val="en-AU"/>
        </w:rPr>
        <w:t xml:space="preserve">the foundation </w:t>
      </w:r>
      <w:r w:rsidR="3E30538D" w:rsidRPr="00696A5F">
        <w:rPr>
          <w:rFonts w:ascii="Calibri Light" w:eastAsia="Times New Roman" w:hAnsi="Calibri Light" w:cs="Times New Roman"/>
          <w:sz w:val="24"/>
          <w:szCs w:val="24"/>
          <w:lang w:val="en-AU"/>
        </w:rPr>
        <w:t xml:space="preserve">of gender equality and disability equity </w:t>
      </w:r>
      <w:r w:rsidR="51B00DEF" w:rsidRPr="00696A5F">
        <w:rPr>
          <w:rFonts w:ascii="Calibri Light" w:eastAsia="Times New Roman" w:hAnsi="Calibri Light" w:cs="Times New Roman"/>
          <w:sz w:val="24"/>
          <w:szCs w:val="24"/>
          <w:lang w:val="en-AU"/>
        </w:rPr>
        <w:t>analysis and includes where possible people of diverse sexual orientation, gender identity and/or sex characteristics</w:t>
      </w:r>
      <w:r w:rsidR="455C8CFC" w:rsidRPr="00696A5F">
        <w:rPr>
          <w:rFonts w:ascii="Calibri Light" w:eastAsia="Times New Roman" w:hAnsi="Calibri Light" w:cs="Times New Roman"/>
          <w:sz w:val="24"/>
          <w:szCs w:val="24"/>
          <w:lang w:val="en-AU"/>
        </w:rPr>
        <w:t xml:space="preserve"> (SOGIESC)</w:t>
      </w:r>
      <w:r w:rsidR="004665B0" w:rsidRPr="00696A5F">
        <w:rPr>
          <w:rStyle w:val="FootnoteReference"/>
          <w:rFonts w:ascii="Calibri Light" w:eastAsia="Times New Roman" w:hAnsi="Calibri Light" w:cs="Times New Roman"/>
          <w:sz w:val="24"/>
          <w:szCs w:val="24"/>
          <w:lang w:val="en-AU"/>
        </w:rPr>
        <w:footnoteReference w:id="25"/>
      </w:r>
      <w:r w:rsidR="6DC50D97" w:rsidRPr="00696A5F">
        <w:rPr>
          <w:rFonts w:ascii="Calibri Light" w:eastAsia="Times New Roman" w:hAnsi="Calibri Light" w:cs="Times New Roman"/>
          <w:sz w:val="24"/>
          <w:szCs w:val="24"/>
          <w:lang w:val="en-AU"/>
        </w:rPr>
        <w:t xml:space="preserve">. </w:t>
      </w:r>
      <w:r w:rsidR="455C8CFC" w:rsidRPr="00696A5F">
        <w:rPr>
          <w:rFonts w:ascii="Calibri Light" w:eastAsia="Times New Roman" w:hAnsi="Calibri Light" w:cs="Times New Roman"/>
          <w:sz w:val="24"/>
          <w:szCs w:val="24"/>
          <w:lang w:val="en-AU"/>
        </w:rPr>
        <w:t xml:space="preserve">Women, girls, people with disabilities and people of diverse SOGIESC experience systemic discrimination and are focus groups for DFAT. Other systemically disadvantaged groups in the subregion include ethnic minorities and </w:t>
      </w:r>
      <w:r w:rsidR="003339D3" w:rsidRPr="00696A5F">
        <w:rPr>
          <w:rFonts w:ascii="Calibri Light" w:eastAsia="Times New Roman" w:hAnsi="Calibri Light" w:cs="Times New Roman"/>
          <w:sz w:val="24"/>
          <w:szCs w:val="24"/>
          <w:lang w:val="en-AU"/>
        </w:rPr>
        <w:t>i</w:t>
      </w:r>
      <w:r w:rsidR="455C8CFC" w:rsidRPr="00696A5F">
        <w:rPr>
          <w:rFonts w:ascii="Calibri Light" w:eastAsia="Times New Roman" w:hAnsi="Calibri Light" w:cs="Times New Roman"/>
          <w:sz w:val="24"/>
          <w:szCs w:val="24"/>
          <w:lang w:val="en-AU"/>
        </w:rPr>
        <w:t xml:space="preserve">ndigenous </w:t>
      </w:r>
      <w:r w:rsidR="3C7B8922" w:rsidRPr="00696A5F">
        <w:rPr>
          <w:rFonts w:ascii="Calibri Light" w:eastAsia="Times New Roman" w:hAnsi="Calibri Light" w:cs="Times New Roman"/>
          <w:sz w:val="24"/>
          <w:szCs w:val="24"/>
          <w:lang w:val="en-AU"/>
        </w:rPr>
        <w:t>p</w:t>
      </w:r>
      <w:r w:rsidR="455C8CFC" w:rsidRPr="00696A5F">
        <w:rPr>
          <w:rFonts w:ascii="Calibri Light" w:eastAsia="Times New Roman" w:hAnsi="Calibri Light" w:cs="Times New Roman"/>
          <w:sz w:val="24"/>
          <w:szCs w:val="24"/>
          <w:lang w:val="en-AU"/>
        </w:rPr>
        <w:t>eople</w:t>
      </w:r>
      <w:r w:rsidR="00BF6B1B" w:rsidRPr="00696A5F">
        <w:rPr>
          <w:rFonts w:ascii="Calibri Light" w:eastAsia="Times New Roman" w:hAnsi="Calibri Light" w:cs="Times New Roman"/>
          <w:sz w:val="24"/>
          <w:szCs w:val="24"/>
          <w:lang w:val="en-AU"/>
        </w:rPr>
        <w:t>s</w:t>
      </w:r>
      <w:r w:rsidR="4D8C5F58" w:rsidRPr="00696A5F">
        <w:rPr>
          <w:rFonts w:ascii="Calibri Light" w:eastAsia="Times New Roman" w:hAnsi="Calibri Light" w:cs="Times New Roman"/>
          <w:sz w:val="24"/>
          <w:szCs w:val="24"/>
          <w:lang w:val="en-AU"/>
        </w:rPr>
        <w:t xml:space="preserve">. </w:t>
      </w:r>
      <w:r w:rsidR="51B00DEF" w:rsidRPr="00696A5F">
        <w:rPr>
          <w:rFonts w:ascii="Calibri Light" w:eastAsia="Times New Roman" w:hAnsi="Calibri Light" w:cs="Times New Roman"/>
          <w:sz w:val="24"/>
          <w:szCs w:val="24"/>
          <w:lang w:val="en-AU"/>
        </w:rPr>
        <w:t>MAP Phase 2</w:t>
      </w:r>
      <w:r w:rsidRPr="00696A5F">
        <w:rPr>
          <w:rFonts w:ascii="Calibri Light" w:eastAsia="Times New Roman" w:hAnsi="Calibri Light" w:cs="Times New Roman"/>
          <w:sz w:val="24"/>
          <w:szCs w:val="24"/>
          <w:lang w:val="en-AU"/>
        </w:rPr>
        <w:t xml:space="preserve"> builds on lessons from Phase 1 and the GEDSI analysis undertaken to inform design</w:t>
      </w:r>
      <w:r w:rsidR="4D8C5F58" w:rsidRPr="00696A5F">
        <w:rPr>
          <w:rFonts w:ascii="Calibri Light" w:eastAsia="Times New Roman" w:hAnsi="Calibri Light" w:cs="Times New Roman"/>
          <w:sz w:val="24"/>
          <w:szCs w:val="24"/>
          <w:lang w:val="en-AU"/>
        </w:rPr>
        <w:t xml:space="preserve"> which focused on gender equality, disability equity and to a lesser extent ethnic minorities</w:t>
      </w:r>
      <w:r w:rsidR="495CB9EA" w:rsidRPr="00696A5F">
        <w:rPr>
          <w:rFonts w:ascii="Calibri Light" w:eastAsia="Times New Roman" w:hAnsi="Calibri Light" w:cs="Times New Roman"/>
          <w:sz w:val="24"/>
          <w:szCs w:val="24"/>
          <w:lang w:val="en-AU"/>
        </w:rPr>
        <w:t xml:space="preserve">; gaps in analysis will be covered in development </w:t>
      </w:r>
      <w:r w:rsidR="5453DEFC" w:rsidRPr="00696A5F">
        <w:rPr>
          <w:rFonts w:ascii="Calibri Light" w:eastAsia="Times New Roman" w:hAnsi="Calibri Light" w:cs="Times New Roman"/>
          <w:sz w:val="24"/>
          <w:szCs w:val="24"/>
          <w:lang w:val="en-AU"/>
        </w:rPr>
        <w:t xml:space="preserve">of the </w:t>
      </w:r>
      <w:r w:rsidR="65885F1C" w:rsidRPr="00696A5F">
        <w:rPr>
          <w:rFonts w:ascii="Calibri Light" w:eastAsia="Times New Roman" w:hAnsi="Calibri Light" w:cs="Times New Roman"/>
          <w:sz w:val="24"/>
          <w:szCs w:val="24"/>
          <w:lang w:val="en-AU"/>
        </w:rPr>
        <w:t xml:space="preserve">thematic </w:t>
      </w:r>
      <w:r w:rsidR="5453DEFC" w:rsidRPr="00696A5F">
        <w:rPr>
          <w:rFonts w:ascii="Calibri Light" w:eastAsia="Times New Roman" w:hAnsi="Calibri Light" w:cs="Times New Roman"/>
          <w:sz w:val="24"/>
          <w:szCs w:val="24"/>
          <w:lang w:val="en-AU"/>
        </w:rPr>
        <w:t xml:space="preserve">delivery strategy </w:t>
      </w:r>
      <w:r w:rsidR="495CB9EA" w:rsidRPr="00696A5F">
        <w:rPr>
          <w:rFonts w:ascii="Calibri Light" w:eastAsia="Times New Roman" w:hAnsi="Calibri Light" w:cs="Times New Roman"/>
          <w:sz w:val="24"/>
          <w:szCs w:val="24"/>
          <w:lang w:val="en-AU"/>
        </w:rPr>
        <w:t xml:space="preserve">and </w:t>
      </w:r>
      <w:r w:rsidR="5453DEFC" w:rsidRPr="00696A5F">
        <w:rPr>
          <w:rFonts w:ascii="Calibri Light" w:eastAsia="Times New Roman" w:hAnsi="Calibri Light" w:cs="Times New Roman"/>
          <w:sz w:val="24"/>
          <w:szCs w:val="24"/>
          <w:lang w:val="en-AU"/>
        </w:rPr>
        <w:t xml:space="preserve">at </w:t>
      </w:r>
      <w:r w:rsidR="495CB9EA" w:rsidRPr="00696A5F">
        <w:rPr>
          <w:rFonts w:ascii="Calibri Light" w:eastAsia="Times New Roman" w:hAnsi="Calibri Light" w:cs="Times New Roman"/>
          <w:sz w:val="24"/>
          <w:szCs w:val="24"/>
          <w:lang w:val="en-AU"/>
        </w:rPr>
        <w:t>activity design</w:t>
      </w:r>
      <w:r w:rsidRPr="00696A5F">
        <w:rPr>
          <w:rFonts w:ascii="Calibri Light" w:eastAsia="Times New Roman" w:hAnsi="Calibri Light" w:cs="Times New Roman"/>
          <w:sz w:val="24"/>
          <w:szCs w:val="24"/>
          <w:lang w:val="en-AU"/>
        </w:rPr>
        <w:t xml:space="preserve">. </w:t>
      </w:r>
      <w:r w:rsidR="290407E4" w:rsidRPr="00696A5F">
        <w:rPr>
          <w:rFonts w:ascii="Calibri Light" w:eastAsia="Times New Roman" w:hAnsi="Calibri Light" w:cs="Times New Roman"/>
          <w:sz w:val="24"/>
          <w:szCs w:val="24"/>
          <w:lang w:val="en-AU"/>
        </w:rPr>
        <w:t>MAP Phase 2</w:t>
      </w:r>
      <w:r w:rsidR="592ED763" w:rsidRPr="00696A5F">
        <w:rPr>
          <w:rFonts w:ascii="Calibri Light" w:eastAsia="Times New Roman" w:hAnsi="Calibri Light" w:cs="Times New Roman"/>
          <w:sz w:val="24"/>
          <w:szCs w:val="24"/>
          <w:lang w:val="en-AU"/>
        </w:rPr>
        <w:t xml:space="preserve"> and the GEDSI thematic strategy</w:t>
      </w:r>
      <w:r w:rsidR="290407E4" w:rsidRPr="00696A5F">
        <w:rPr>
          <w:rFonts w:ascii="Calibri Light" w:eastAsia="Times New Roman" w:hAnsi="Calibri Light" w:cs="Times New Roman"/>
          <w:sz w:val="24"/>
          <w:szCs w:val="24"/>
          <w:lang w:val="en-AU"/>
        </w:rPr>
        <w:t xml:space="preserve"> will also align where </w:t>
      </w:r>
      <w:r w:rsidR="4F2893D3" w:rsidRPr="00696A5F">
        <w:rPr>
          <w:rFonts w:ascii="Calibri Light" w:eastAsia="Times New Roman" w:hAnsi="Calibri Light" w:cs="Times New Roman"/>
          <w:sz w:val="24"/>
          <w:szCs w:val="24"/>
          <w:lang w:val="en-AU"/>
        </w:rPr>
        <w:t>suitable</w:t>
      </w:r>
      <w:r w:rsidR="290407E4" w:rsidRPr="00696A5F">
        <w:rPr>
          <w:rFonts w:ascii="Calibri Light" w:eastAsia="Times New Roman" w:hAnsi="Calibri Light" w:cs="Times New Roman"/>
          <w:sz w:val="24"/>
          <w:szCs w:val="24"/>
          <w:lang w:val="en-AU"/>
        </w:rPr>
        <w:t xml:space="preserve"> with the forthcoming </w:t>
      </w:r>
      <w:r w:rsidR="08AD4BFC" w:rsidRPr="00696A5F">
        <w:rPr>
          <w:rFonts w:ascii="Calibri Light" w:eastAsia="Times New Roman" w:hAnsi="Calibri Light" w:cs="Times New Roman"/>
          <w:sz w:val="24"/>
          <w:szCs w:val="24"/>
          <w:lang w:val="en-AU"/>
        </w:rPr>
        <w:t xml:space="preserve">DFAT </w:t>
      </w:r>
      <w:r w:rsidR="290407E4" w:rsidRPr="00696A5F">
        <w:rPr>
          <w:rFonts w:ascii="Calibri Light" w:eastAsia="Times New Roman" w:hAnsi="Calibri Light" w:cs="Times New Roman"/>
          <w:i/>
          <w:iCs/>
          <w:sz w:val="24"/>
          <w:szCs w:val="24"/>
          <w:lang w:val="en-AU"/>
        </w:rPr>
        <w:t>LGBTQIA+ Human Right</w:t>
      </w:r>
      <w:r w:rsidR="5DE65DB8" w:rsidRPr="00696A5F">
        <w:rPr>
          <w:rFonts w:ascii="Calibri Light" w:eastAsia="Times New Roman" w:hAnsi="Calibri Light" w:cs="Times New Roman"/>
          <w:i/>
          <w:iCs/>
          <w:sz w:val="24"/>
          <w:szCs w:val="24"/>
          <w:lang w:val="en-AU"/>
        </w:rPr>
        <w:t>s Engagement</w:t>
      </w:r>
      <w:r w:rsidR="290407E4" w:rsidRPr="00696A5F">
        <w:rPr>
          <w:rFonts w:ascii="Calibri Light" w:eastAsia="Times New Roman" w:hAnsi="Calibri Light" w:cs="Times New Roman"/>
          <w:i/>
          <w:iCs/>
          <w:sz w:val="24"/>
          <w:szCs w:val="24"/>
          <w:lang w:val="en-AU"/>
        </w:rPr>
        <w:t xml:space="preserve"> </w:t>
      </w:r>
      <w:r w:rsidR="55EF0E75" w:rsidRPr="00696A5F">
        <w:rPr>
          <w:rFonts w:ascii="Calibri Light" w:eastAsia="Times New Roman" w:hAnsi="Calibri Light" w:cs="Times New Roman"/>
          <w:i/>
          <w:iCs/>
          <w:sz w:val="24"/>
          <w:szCs w:val="24"/>
          <w:lang w:val="en-AU"/>
        </w:rPr>
        <w:t>Strategy</w:t>
      </w:r>
      <w:r w:rsidR="290407E4" w:rsidRPr="00696A5F">
        <w:rPr>
          <w:rFonts w:ascii="Calibri Light" w:eastAsia="Times New Roman" w:hAnsi="Calibri Light" w:cs="Times New Roman"/>
          <w:i/>
          <w:iCs/>
          <w:sz w:val="24"/>
          <w:szCs w:val="24"/>
          <w:lang w:val="en-AU"/>
        </w:rPr>
        <w:t xml:space="preserve">. </w:t>
      </w:r>
    </w:p>
    <w:p w14:paraId="73DC43AE" w14:textId="07EE956F" w:rsidR="003339D3" w:rsidRPr="00696A5F" w:rsidRDefault="19FA6C0A" w:rsidP="57FA071A">
      <w:pPr>
        <w:tabs>
          <w:tab w:val="left" w:pos="284"/>
        </w:tabs>
        <w:rPr>
          <w:rFonts w:eastAsia="Times New Roman"/>
          <w:sz w:val="24"/>
          <w:szCs w:val="24"/>
          <w:lang w:val="en-AU"/>
        </w:rPr>
      </w:pPr>
      <w:r w:rsidRPr="00696A5F">
        <w:rPr>
          <w:rFonts w:eastAsia="Times New Roman"/>
          <w:b/>
          <w:bCs/>
          <w:sz w:val="24"/>
          <w:szCs w:val="24"/>
          <w:lang w:val="en-AU"/>
        </w:rPr>
        <w:t>MAP Phase 2 takes a twin-track approach to gender equality and intersectional disadvantage</w:t>
      </w:r>
      <w:r w:rsidRPr="00696A5F">
        <w:rPr>
          <w:rFonts w:eastAsia="Times New Roman"/>
          <w:sz w:val="24"/>
          <w:szCs w:val="24"/>
          <w:lang w:val="en-AU"/>
        </w:rPr>
        <w:t xml:space="preserve">. GEDSI is both a stand-alone thematic area of work and is mainstreamed across thematic areas of climate resilience, water security, economic resilience and integration, and transnational crime. </w:t>
      </w:r>
      <w:r w:rsidR="28B3D1D8" w:rsidRPr="00696A5F">
        <w:rPr>
          <w:rFonts w:eastAsia="Times New Roman"/>
          <w:sz w:val="24"/>
          <w:szCs w:val="24"/>
          <w:lang w:val="en-AU"/>
        </w:rPr>
        <w:t xml:space="preserve">The </w:t>
      </w:r>
      <w:r w:rsidR="47C4BD4C" w:rsidRPr="00696A5F">
        <w:rPr>
          <w:rFonts w:eastAsia="Times New Roman"/>
          <w:sz w:val="24"/>
          <w:szCs w:val="24"/>
          <w:lang w:val="en-AU"/>
        </w:rPr>
        <w:t>portfolio</w:t>
      </w:r>
      <w:r w:rsidR="28B3D1D8" w:rsidRPr="00696A5F">
        <w:rPr>
          <w:rFonts w:eastAsia="Times New Roman"/>
          <w:sz w:val="24"/>
          <w:szCs w:val="24"/>
          <w:lang w:val="en-AU"/>
        </w:rPr>
        <w:t xml:space="preserve"> includes a GEDSI specific </w:t>
      </w:r>
      <w:r w:rsidR="7A4E8EC3" w:rsidRPr="00696A5F">
        <w:rPr>
          <w:rFonts w:eastAsia="Times New Roman"/>
          <w:sz w:val="24"/>
          <w:szCs w:val="24"/>
          <w:lang w:val="en-AU"/>
        </w:rPr>
        <w:t xml:space="preserve">end of </w:t>
      </w:r>
      <w:r w:rsidR="00DA7705">
        <w:rPr>
          <w:rFonts w:eastAsia="Times New Roman"/>
          <w:sz w:val="24"/>
          <w:szCs w:val="24"/>
          <w:lang w:val="en-AU"/>
        </w:rPr>
        <w:t>portfolio</w:t>
      </w:r>
      <w:r w:rsidR="00DA7705" w:rsidRPr="00696A5F">
        <w:rPr>
          <w:rFonts w:eastAsia="Times New Roman"/>
          <w:sz w:val="24"/>
          <w:szCs w:val="24"/>
          <w:lang w:val="en-AU"/>
        </w:rPr>
        <w:t xml:space="preserve"> </w:t>
      </w:r>
      <w:r w:rsidR="28B3D1D8" w:rsidRPr="00696A5F">
        <w:rPr>
          <w:rFonts w:eastAsia="Times New Roman"/>
          <w:sz w:val="24"/>
          <w:szCs w:val="24"/>
          <w:lang w:val="en-AU"/>
        </w:rPr>
        <w:t>outcome (</w:t>
      </w:r>
      <w:r w:rsidR="7A4E8EC3" w:rsidRPr="00696A5F">
        <w:rPr>
          <w:rFonts w:eastAsia="Times New Roman"/>
          <w:sz w:val="24"/>
          <w:szCs w:val="24"/>
          <w:lang w:val="en-AU"/>
        </w:rPr>
        <w:t>E</w:t>
      </w:r>
      <w:r w:rsidR="28B3D1D8" w:rsidRPr="00696A5F">
        <w:rPr>
          <w:rFonts w:eastAsia="Times New Roman"/>
          <w:sz w:val="24"/>
          <w:szCs w:val="24"/>
          <w:lang w:val="en-AU"/>
        </w:rPr>
        <w:t>O</w:t>
      </w:r>
      <w:r w:rsidR="7A4E8EC3" w:rsidRPr="00696A5F">
        <w:rPr>
          <w:rFonts w:eastAsia="Times New Roman"/>
          <w:sz w:val="24"/>
          <w:szCs w:val="24"/>
          <w:lang w:val="en-AU"/>
        </w:rPr>
        <w:t>PO</w:t>
      </w:r>
      <w:r w:rsidR="28B3D1D8" w:rsidRPr="00696A5F">
        <w:rPr>
          <w:rFonts w:eastAsia="Times New Roman"/>
          <w:sz w:val="24"/>
          <w:szCs w:val="24"/>
          <w:lang w:val="en-AU"/>
        </w:rPr>
        <w:t xml:space="preserve">3) and a GEDSI specific immediate outcome </w:t>
      </w:r>
      <w:r w:rsidR="28B3D1D8" w:rsidRPr="00696A5F">
        <w:rPr>
          <w:rFonts w:eastAsia="Times New Roman"/>
          <w:sz w:val="24"/>
          <w:szCs w:val="24"/>
          <w:lang w:val="en-AU"/>
        </w:rPr>
        <w:lastRenderedPageBreak/>
        <w:t xml:space="preserve">(ImO5). GEDSI is integrated into the MEL system at portfolio level and all relevant indicators will be sex and disability disaggregated at a minimum with disaggregation by ethnicity and </w:t>
      </w:r>
      <w:r w:rsidR="003339D3" w:rsidRPr="00696A5F">
        <w:rPr>
          <w:rFonts w:eastAsia="Times New Roman"/>
          <w:sz w:val="24"/>
          <w:szCs w:val="24"/>
          <w:lang w:val="en-AU"/>
        </w:rPr>
        <w:t>i</w:t>
      </w:r>
      <w:r w:rsidR="28B3D1D8" w:rsidRPr="00696A5F">
        <w:rPr>
          <w:rFonts w:eastAsia="Times New Roman"/>
          <w:sz w:val="24"/>
          <w:szCs w:val="24"/>
          <w:lang w:val="en-AU"/>
        </w:rPr>
        <w:t xml:space="preserve">ndigenous </w:t>
      </w:r>
      <w:r w:rsidR="16E2DD7D" w:rsidRPr="00696A5F">
        <w:rPr>
          <w:rFonts w:eastAsia="Times New Roman"/>
          <w:sz w:val="24"/>
          <w:szCs w:val="24"/>
          <w:lang w:val="en-AU"/>
        </w:rPr>
        <w:t>p</w:t>
      </w:r>
      <w:r w:rsidR="28B3D1D8" w:rsidRPr="00696A5F">
        <w:rPr>
          <w:rFonts w:eastAsia="Times New Roman"/>
          <w:sz w:val="24"/>
          <w:szCs w:val="24"/>
          <w:lang w:val="en-AU"/>
        </w:rPr>
        <w:t>eople</w:t>
      </w:r>
      <w:r w:rsidR="00BF6B1B" w:rsidRPr="00696A5F">
        <w:rPr>
          <w:rFonts w:eastAsia="Times New Roman"/>
          <w:sz w:val="24"/>
          <w:szCs w:val="24"/>
          <w:lang w:val="en-AU"/>
        </w:rPr>
        <w:t>s</w:t>
      </w:r>
      <w:r w:rsidR="28B3D1D8" w:rsidRPr="00696A5F">
        <w:rPr>
          <w:rFonts w:eastAsia="Times New Roman"/>
          <w:sz w:val="24"/>
          <w:szCs w:val="24"/>
          <w:lang w:val="en-AU"/>
        </w:rPr>
        <w:t xml:space="preserve"> as relevant and feasible. </w:t>
      </w:r>
    </w:p>
    <w:p w14:paraId="34628FAE" w14:textId="04FC8145" w:rsidR="00AA3965" w:rsidRPr="00696A5F" w:rsidRDefault="003339D3" w:rsidP="0A086192">
      <w:pPr>
        <w:tabs>
          <w:tab w:val="left" w:pos="284"/>
        </w:tabs>
        <w:rPr>
          <w:rFonts w:eastAsia="Times New Roman" w:cstheme="minorHAnsi"/>
          <w:iCs/>
          <w:sz w:val="24"/>
          <w:szCs w:val="24"/>
          <w:lang w:val="en-AU"/>
        </w:rPr>
      </w:pPr>
      <w:r w:rsidRPr="00696A5F">
        <w:rPr>
          <w:rFonts w:eastAsia="Times New Roman" w:cstheme="minorHAnsi"/>
          <w:iCs/>
          <w:sz w:val="24"/>
          <w:szCs w:val="24"/>
          <w:lang w:val="en-AU"/>
        </w:rPr>
        <w:t xml:space="preserve">The GEDSI analysis and design consultations highlight potential areas for GEDSI targeted investment in line with Australia’s </w:t>
      </w:r>
      <w:r w:rsidRPr="00696A5F">
        <w:rPr>
          <w:rFonts w:eastAsia="Times New Roman" w:cstheme="minorHAnsi"/>
          <w:i/>
          <w:sz w:val="24"/>
          <w:szCs w:val="24"/>
          <w:lang w:val="en-AU"/>
        </w:rPr>
        <w:t>International Development Policy</w:t>
      </w:r>
      <w:r w:rsidRPr="00696A5F">
        <w:rPr>
          <w:rFonts w:eastAsia="Times New Roman" w:cstheme="minorHAnsi"/>
          <w:iCs/>
          <w:sz w:val="24"/>
          <w:szCs w:val="24"/>
          <w:lang w:val="en-AU"/>
        </w:rPr>
        <w:t xml:space="preserve"> and </w:t>
      </w:r>
      <w:r w:rsidRPr="00696A5F">
        <w:rPr>
          <w:rFonts w:eastAsia="Times New Roman" w:cstheme="minorHAnsi"/>
          <w:i/>
          <w:iCs/>
          <w:sz w:val="24"/>
          <w:szCs w:val="24"/>
          <w:lang w:val="en-AU"/>
        </w:rPr>
        <w:t>Invested: Southeast Asia Economic Engagement Strategy 2040,</w:t>
      </w:r>
      <w:r w:rsidRPr="00696A5F">
        <w:rPr>
          <w:rFonts w:eastAsia="Times New Roman" w:cstheme="minorHAnsi"/>
          <w:iCs/>
          <w:sz w:val="24"/>
          <w:szCs w:val="24"/>
          <w:lang w:val="en-AU"/>
        </w:rPr>
        <w:t xml:space="preserve"> and opportunities for GEDSI mainstreaming into thematic areas. </w:t>
      </w:r>
      <w:r w:rsidR="00A22D08" w:rsidRPr="00696A5F">
        <w:rPr>
          <w:rFonts w:eastAsia="Times New Roman" w:cstheme="minorHAnsi"/>
          <w:iCs/>
          <w:sz w:val="24"/>
          <w:szCs w:val="24"/>
          <w:lang w:val="en-AU"/>
        </w:rPr>
        <w:t xml:space="preserve">GEDSI targeted investments may fall into any of the thematic areas. </w:t>
      </w:r>
      <w:r w:rsidRPr="00696A5F">
        <w:rPr>
          <w:rFonts w:eastAsia="Times New Roman" w:cstheme="minorHAnsi"/>
          <w:iCs/>
          <w:sz w:val="24"/>
          <w:szCs w:val="24"/>
          <w:lang w:val="en-AU"/>
        </w:rPr>
        <w:t>Th</w:t>
      </w:r>
      <w:r w:rsidR="00AA3965" w:rsidRPr="00696A5F">
        <w:rPr>
          <w:rFonts w:eastAsia="Times New Roman" w:cstheme="minorHAnsi"/>
          <w:iCs/>
          <w:sz w:val="24"/>
          <w:szCs w:val="24"/>
          <w:lang w:val="en-AU"/>
        </w:rPr>
        <w:t xml:space="preserve">ese ideas have informed MAP Phase 2 pipeline planning and are represented in Table </w:t>
      </w:r>
      <w:r w:rsidR="00EF5117" w:rsidRPr="00696A5F">
        <w:rPr>
          <w:rFonts w:eastAsia="Times New Roman" w:cstheme="minorHAnsi"/>
          <w:iCs/>
          <w:sz w:val="24"/>
          <w:szCs w:val="24"/>
          <w:lang w:val="en-AU"/>
        </w:rPr>
        <w:t>3</w:t>
      </w:r>
      <w:r w:rsidR="00AA3965" w:rsidRPr="00696A5F">
        <w:rPr>
          <w:rFonts w:eastAsia="Times New Roman" w:cstheme="minorHAnsi"/>
          <w:iCs/>
          <w:sz w:val="24"/>
          <w:szCs w:val="24"/>
          <w:lang w:val="en-AU"/>
        </w:rPr>
        <w:t xml:space="preserve"> below. F</w:t>
      </w:r>
      <w:r w:rsidRPr="00696A5F">
        <w:rPr>
          <w:rFonts w:eastAsia="Times New Roman" w:cstheme="minorHAnsi"/>
          <w:iCs/>
          <w:sz w:val="24"/>
          <w:szCs w:val="24"/>
          <w:lang w:val="en-AU"/>
        </w:rPr>
        <w:t xml:space="preserve">urther analytics and scoping will </w:t>
      </w:r>
      <w:r w:rsidR="00AA3965" w:rsidRPr="00696A5F">
        <w:rPr>
          <w:rFonts w:eastAsia="Times New Roman" w:cstheme="minorHAnsi"/>
          <w:iCs/>
          <w:sz w:val="24"/>
          <w:szCs w:val="24"/>
          <w:lang w:val="en-AU"/>
        </w:rPr>
        <w:t xml:space="preserve">inform selection of standalone GEDSI activities and strengthen intersectionality across the portfolio in </w:t>
      </w:r>
      <w:r w:rsidRPr="00696A5F">
        <w:rPr>
          <w:rFonts w:eastAsia="Times New Roman" w:cstheme="minorHAnsi"/>
          <w:iCs/>
          <w:sz w:val="24"/>
          <w:szCs w:val="24"/>
          <w:lang w:val="en-AU"/>
        </w:rPr>
        <w:t xml:space="preserve">the development of the MAP Phase 2 </w:t>
      </w:r>
      <w:r w:rsidR="00273291" w:rsidRPr="00696A5F">
        <w:rPr>
          <w:rFonts w:eastAsia="Times New Roman" w:cstheme="minorHAnsi"/>
          <w:iCs/>
          <w:sz w:val="24"/>
          <w:szCs w:val="24"/>
          <w:lang w:val="en-AU"/>
        </w:rPr>
        <w:t xml:space="preserve">thematic </w:t>
      </w:r>
      <w:r w:rsidRPr="00696A5F">
        <w:rPr>
          <w:rFonts w:eastAsia="Times New Roman" w:cstheme="minorHAnsi"/>
          <w:iCs/>
          <w:sz w:val="24"/>
          <w:szCs w:val="24"/>
          <w:lang w:val="en-AU"/>
        </w:rPr>
        <w:t>delivery strateg</w:t>
      </w:r>
      <w:r w:rsidR="00273291" w:rsidRPr="00696A5F">
        <w:rPr>
          <w:rFonts w:eastAsia="Times New Roman" w:cstheme="minorHAnsi"/>
          <w:iCs/>
          <w:sz w:val="24"/>
          <w:szCs w:val="24"/>
          <w:lang w:val="en-AU"/>
        </w:rPr>
        <w:t>ies</w:t>
      </w:r>
      <w:r w:rsidRPr="00696A5F">
        <w:rPr>
          <w:rFonts w:eastAsia="Times New Roman" w:cstheme="minorHAnsi"/>
          <w:iCs/>
          <w:sz w:val="24"/>
          <w:szCs w:val="24"/>
          <w:lang w:val="en-AU"/>
        </w:rPr>
        <w:t xml:space="preserve">. </w:t>
      </w:r>
    </w:p>
    <w:p w14:paraId="1779C697" w14:textId="09CF4876" w:rsidR="00EF5117" w:rsidRPr="00696A5F" w:rsidRDefault="00EF5117" w:rsidP="00EF5117">
      <w:pPr>
        <w:pStyle w:val="Caption"/>
        <w:keepNext/>
        <w:spacing w:before="120" w:after="120"/>
        <w:rPr>
          <w:sz w:val="24"/>
          <w:szCs w:val="24"/>
          <w:lang w:val="en-AU"/>
        </w:rPr>
      </w:pPr>
      <w:r w:rsidRPr="00696A5F">
        <w:rPr>
          <w:sz w:val="24"/>
          <w:szCs w:val="24"/>
          <w:lang w:val="en-AU"/>
        </w:rPr>
        <w:t xml:space="preserve">Table </w:t>
      </w:r>
      <w:r w:rsidRPr="00696A5F">
        <w:rPr>
          <w:sz w:val="24"/>
          <w:szCs w:val="24"/>
          <w:lang w:val="en-AU"/>
        </w:rPr>
        <w:fldChar w:fldCharType="begin"/>
      </w:r>
      <w:r w:rsidRPr="00696A5F">
        <w:rPr>
          <w:sz w:val="24"/>
          <w:szCs w:val="24"/>
          <w:lang w:val="en-AU"/>
        </w:rPr>
        <w:instrText xml:space="preserve"> SEQ Table \* ARABIC </w:instrText>
      </w:r>
      <w:r w:rsidRPr="00696A5F">
        <w:rPr>
          <w:sz w:val="24"/>
          <w:szCs w:val="24"/>
          <w:lang w:val="en-AU"/>
        </w:rPr>
        <w:fldChar w:fldCharType="separate"/>
      </w:r>
      <w:r w:rsidR="003E1E3C" w:rsidRPr="00696A5F">
        <w:rPr>
          <w:noProof/>
          <w:sz w:val="24"/>
          <w:szCs w:val="24"/>
          <w:lang w:val="en-AU"/>
        </w:rPr>
        <w:t>3</w:t>
      </w:r>
      <w:r w:rsidRPr="00696A5F">
        <w:rPr>
          <w:sz w:val="24"/>
          <w:szCs w:val="24"/>
          <w:lang w:val="en-AU"/>
        </w:rPr>
        <w:fldChar w:fldCharType="end"/>
      </w:r>
      <w:r w:rsidRPr="00696A5F">
        <w:rPr>
          <w:sz w:val="24"/>
          <w:szCs w:val="24"/>
          <w:lang w:val="en-AU"/>
        </w:rPr>
        <w:t>: MAP Phase 2 GEDSI investment opportunities</w:t>
      </w:r>
    </w:p>
    <w:tbl>
      <w:tblPr>
        <w:tblStyle w:val="ListTable3-Accent1"/>
        <w:tblW w:w="9316" w:type="dxa"/>
        <w:tblLook w:val="04A0" w:firstRow="1" w:lastRow="0" w:firstColumn="1" w:lastColumn="0" w:noHBand="0" w:noVBand="1"/>
      </w:tblPr>
      <w:tblGrid>
        <w:gridCol w:w="1696"/>
        <w:gridCol w:w="7620"/>
      </w:tblGrid>
      <w:tr w:rsidR="003339D3" w:rsidRPr="00696A5F" w14:paraId="7FCD721C" w14:textId="77777777" w:rsidTr="57FA07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shd w:val="clear" w:color="auto" w:fill="007C89" w:themeFill="accent6"/>
          </w:tcPr>
          <w:p w14:paraId="7F7F0B9D" w14:textId="77777777" w:rsidR="003339D3" w:rsidRPr="00696A5F" w:rsidRDefault="003339D3" w:rsidP="00273291">
            <w:pPr>
              <w:tabs>
                <w:tab w:val="left" w:pos="284"/>
              </w:tabs>
              <w:spacing w:before="60" w:line="240" w:lineRule="auto"/>
              <w:rPr>
                <w:rFonts w:eastAsia="Times New Roman" w:cstheme="minorHAnsi"/>
                <w:iCs/>
                <w:color w:val="FFFFFF" w:themeColor="background1"/>
                <w:sz w:val="24"/>
                <w:szCs w:val="24"/>
                <w:lang w:val="en-AU"/>
              </w:rPr>
            </w:pPr>
            <w:r w:rsidRPr="00696A5F">
              <w:rPr>
                <w:rFonts w:eastAsia="Times New Roman" w:cstheme="minorHAnsi"/>
                <w:iCs/>
                <w:color w:val="FFFFFF" w:themeColor="background1"/>
                <w:sz w:val="24"/>
                <w:szCs w:val="24"/>
                <w:lang w:val="en-AU"/>
              </w:rPr>
              <w:t>Thematic area</w:t>
            </w:r>
          </w:p>
        </w:tc>
        <w:tc>
          <w:tcPr>
            <w:tcW w:w="7620" w:type="dxa"/>
            <w:shd w:val="clear" w:color="auto" w:fill="007C89" w:themeFill="accent6"/>
          </w:tcPr>
          <w:p w14:paraId="47ED9081" w14:textId="239D39DB" w:rsidR="003339D3" w:rsidRPr="00696A5F" w:rsidRDefault="00AA3965" w:rsidP="00273291">
            <w:pPr>
              <w:tabs>
                <w:tab w:val="left" w:pos="284"/>
              </w:tabs>
              <w:spacing w:before="6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iCs/>
                <w:color w:val="FFFFFF" w:themeColor="background1"/>
                <w:sz w:val="24"/>
                <w:szCs w:val="24"/>
                <w:lang w:val="en-AU"/>
              </w:rPr>
            </w:pPr>
            <w:r w:rsidRPr="00696A5F">
              <w:rPr>
                <w:rFonts w:eastAsia="Times New Roman" w:cstheme="minorHAnsi"/>
                <w:iCs/>
                <w:color w:val="FFFFFF" w:themeColor="background1"/>
                <w:sz w:val="24"/>
                <w:szCs w:val="24"/>
                <w:lang w:val="en-AU"/>
              </w:rPr>
              <w:t>MAP Phase 2</w:t>
            </w:r>
            <w:r w:rsidR="003339D3" w:rsidRPr="00696A5F">
              <w:rPr>
                <w:rFonts w:eastAsia="Times New Roman" w:cstheme="minorHAnsi"/>
                <w:iCs/>
                <w:color w:val="FFFFFF" w:themeColor="background1"/>
                <w:sz w:val="24"/>
                <w:szCs w:val="24"/>
                <w:lang w:val="en-AU"/>
              </w:rPr>
              <w:t xml:space="preserve"> GEDSI investment opportunities</w:t>
            </w:r>
          </w:p>
        </w:tc>
      </w:tr>
      <w:tr w:rsidR="003339D3" w:rsidRPr="00696A5F" w14:paraId="6D7B29C4" w14:textId="77777777" w:rsidTr="57FA0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79FA6CB" w14:textId="32BB0E27" w:rsidR="003339D3" w:rsidRPr="00696A5F" w:rsidRDefault="00021116" w:rsidP="00273291">
            <w:pPr>
              <w:tabs>
                <w:tab w:val="left" w:pos="284"/>
              </w:tabs>
              <w:spacing w:before="60" w:line="240" w:lineRule="auto"/>
              <w:rPr>
                <w:rFonts w:eastAsia="Times New Roman" w:cstheme="minorHAnsi"/>
                <w:iCs/>
                <w:sz w:val="24"/>
                <w:szCs w:val="24"/>
                <w:lang w:val="en-AU"/>
              </w:rPr>
            </w:pPr>
            <w:r w:rsidRPr="00696A5F">
              <w:rPr>
                <w:rFonts w:eastAsia="Times New Roman" w:cstheme="minorHAnsi"/>
                <w:iCs/>
                <w:sz w:val="24"/>
                <w:szCs w:val="24"/>
                <w:lang w:val="en-AU"/>
              </w:rPr>
              <w:t>GEDSI Standalone</w:t>
            </w:r>
          </w:p>
        </w:tc>
        <w:tc>
          <w:tcPr>
            <w:tcW w:w="7620" w:type="dxa"/>
          </w:tcPr>
          <w:p w14:paraId="12CE6EB9" w14:textId="1E50E356" w:rsidR="003339D3" w:rsidRPr="00696A5F" w:rsidRDefault="041CA42E" w:rsidP="00273291">
            <w:pPr>
              <w:tabs>
                <w:tab w:val="left" w:pos="284"/>
              </w:tabs>
              <w:spacing w:before="60" w:line="24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Promote women</w:t>
            </w:r>
            <w:r w:rsidR="269E6004" w:rsidRPr="00696A5F">
              <w:rPr>
                <w:rFonts w:eastAsia="Times New Roman"/>
                <w:sz w:val="24"/>
                <w:szCs w:val="24"/>
                <w:lang w:val="en-AU"/>
              </w:rPr>
              <w:t xml:space="preserve">, people with a </w:t>
            </w:r>
            <w:r w:rsidR="1B9EAD16" w:rsidRPr="00696A5F">
              <w:rPr>
                <w:rFonts w:eastAsia="Times New Roman"/>
                <w:sz w:val="24"/>
                <w:szCs w:val="24"/>
                <w:lang w:val="en-AU"/>
              </w:rPr>
              <w:t>disability, people</w:t>
            </w:r>
            <w:r w:rsidR="5E2A1C93" w:rsidRPr="00696A5F">
              <w:rPr>
                <w:rFonts w:eastAsia="Times New Roman"/>
                <w:sz w:val="24"/>
                <w:szCs w:val="24"/>
                <w:lang w:val="en-AU"/>
              </w:rPr>
              <w:t xml:space="preserve"> of </w:t>
            </w:r>
            <w:r w:rsidR="5E2A1C93" w:rsidRPr="00696A5F">
              <w:rPr>
                <w:rFonts w:ascii="Calibri Light" w:eastAsia="Times New Roman" w:hAnsi="Calibri Light" w:cs="Times New Roman"/>
                <w:sz w:val="24"/>
                <w:szCs w:val="24"/>
                <w:lang w:val="en-AU"/>
              </w:rPr>
              <w:t>diverse SOGIESC</w:t>
            </w:r>
            <w:r w:rsidRPr="00696A5F">
              <w:rPr>
                <w:rFonts w:eastAsia="Times New Roman"/>
                <w:sz w:val="24"/>
                <w:szCs w:val="24"/>
                <w:lang w:val="en-AU"/>
              </w:rPr>
              <w:t xml:space="preserve"> and inclusive leadership at national, </w:t>
            </w:r>
            <w:r w:rsidR="0E139488" w:rsidRPr="00696A5F">
              <w:rPr>
                <w:rFonts w:eastAsia="Times New Roman"/>
                <w:sz w:val="24"/>
                <w:szCs w:val="24"/>
                <w:lang w:val="en-AU"/>
              </w:rPr>
              <w:t>transnational</w:t>
            </w:r>
            <w:r w:rsidRPr="00696A5F">
              <w:rPr>
                <w:rFonts w:eastAsia="Times New Roman"/>
                <w:sz w:val="24"/>
                <w:szCs w:val="24"/>
                <w:lang w:val="en-AU"/>
              </w:rPr>
              <w:t xml:space="preserve"> and subregional level including capacity building and networking, peer to peer learning and exchange among government,</w:t>
            </w:r>
            <w:r w:rsidR="623B0B79" w:rsidRPr="00696A5F">
              <w:rPr>
                <w:rFonts w:eastAsia="Times New Roman"/>
                <w:sz w:val="24"/>
                <w:szCs w:val="24"/>
                <w:lang w:val="en-AU"/>
              </w:rPr>
              <w:t xml:space="preserve"> NGOs and</w:t>
            </w:r>
            <w:r w:rsidRPr="00696A5F">
              <w:rPr>
                <w:rFonts w:eastAsia="Times New Roman"/>
                <w:sz w:val="24"/>
                <w:szCs w:val="24"/>
                <w:lang w:val="en-AU"/>
              </w:rPr>
              <w:t xml:space="preserve"> </w:t>
            </w:r>
            <w:r w:rsidR="7041F20A" w:rsidRPr="00696A5F">
              <w:rPr>
                <w:rFonts w:eastAsia="Times New Roman"/>
                <w:sz w:val="24"/>
                <w:szCs w:val="24"/>
                <w:lang w:val="en-AU"/>
              </w:rPr>
              <w:t>community</w:t>
            </w:r>
            <w:r w:rsidRPr="00696A5F">
              <w:rPr>
                <w:rFonts w:eastAsia="Times New Roman"/>
                <w:sz w:val="24"/>
                <w:szCs w:val="24"/>
                <w:lang w:val="en-AU"/>
              </w:rPr>
              <w:t xml:space="preserve"> organisations</w:t>
            </w:r>
            <w:r w:rsidR="0E139488" w:rsidRPr="00696A5F">
              <w:rPr>
                <w:rFonts w:eastAsia="Times New Roman"/>
                <w:sz w:val="24"/>
                <w:szCs w:val="24"/>
                <w:lang w:val="en-AU"/>
              </w:rPr>
              <w:t>.</w:t>
            </w:r>
          </w:p>
          <w:p w14:paraId="147A72CC" w14:textId="59EDFE7D" w:rsidR="003339D3" w:rsidRPr="00696A5F" w:rsidRDefault="041CA42E" w:rsidP="4C1C98D1">
            <w:pPr>
              <w:tabs>
                <w:tab w:val="left" w:pos="284"/>
              </w:tabs>
              <w:spacing w:before="60" w:line="24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Capacity building and programming support of women’s rights organisations</w:t>
            </w:r>
            <w:r w:rsidR="0E139488" w:rsidRPr="00696A5F">
              <w:rPr>
                <w:rFonts w:eastAsia="Times New Roman"/>
                <w:sz w:val="24"/>
                <w:szCs w:val="24"/>
                <w:lang w:val="en-AU"/>
              </w:rPr>
              <w:t>,</w:t>
            </w:r>
            <w:r w:rsidRPr="00696A5F">
              <w:rPr>
                <w:rFonts w:eastAsia="Times New Roman"/>
                <w:sz w:val="24"/>
                <w:szCs w:val="24"/>
                <w:lang w:val="en-AU"/>
              </w:rPr>
              <w:t xml:space="preserve"> OPDs</w:t>
            </w:r>
            <w:r w:rsidR="0E139488" w:rsidRPr="00696A5F">
              <w:rPr>
                <w:rFonts w:eastAsia="Times New Roman"/>
                <w:sz w:val="24"/>
                <w:szCs w:val="24"/>
                <w:lang w:val="en-AU"/>
              </w:rPr>
              <w:t>, and human rights organisations</w:t>
            </w:r>
            <w:r w:rsidR="5A835F1D" w:rsidRPr="00696A5F">
              <w:rPr>
                <w:rFonts w:eastAsia="Times New Roman"/>
                <w:sz w:val="24"/>
                <w:szCs w:val="24"/>
                <w:lang w:val="en-AU"/>
              </w:rPr>
              <w:t xml:space="preserve"> including strengthening climate advocacy and </w:t>
            </w:r>
            <w:r w:rsidR="3F338B85" w:rsidRPr="00696A5F">
              <w:rPr>
                <w:rFonts w:eastAsia="Times New Roman"/>
                <w:sz w:val="24"/>
                <w:szCs w:val="24"/>
                <w:lang w:val="en-AU"/>
              </w:rPr>
              <w:t>representation</w:t>
            </w:r>
            <w:r w:rsidR="0E139488" w:rsidRPr="00696A5F">
              <w:rPr>
                <w:rFonts w:eastAsia="Times New Roman"/>
                <w:sz w:val="24"/>
                <w:szCs w:val="24"/>
                <w:lang w:val="en-AU"/>
              </w:rPr>
              <w:t>.</w:t>
            </w:r>
          </w:p>
          <w:p w14:paraId="3892A971" w14:textId="308993E8" w:rsidR="003339D3" w:rsidRPr="00696A5F" w:rsidRDefault="003339D3" w:rsidP="00273291">
            <w:pPr>
              <w:tabs>
                <w:tab w:val="left" w:pos="284"/>
              </w:tabs>
              <w:spacing w:before="6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iCs/>
                <w:sz w:val="24"/>
                <w:szCs w:val="24"/>
                <w:lang w:val="en-AU"/>
              </w:rPr>
            </w:pPr>
            <w:r w:rsidRPr="00696A5F">
              <w:rPr>
                <w:rFonts w:eastAsia="Times New Roman" w:cstheme="minorHAnsi"/>
                <w:iCs/>
                <w:sz w:val="24"/>
                <w:szCs w:val="24"/>
                <w:lang w:val="en-AU"/>
              </w:rPr>
              <w:t>Strengthen GEDSI statistics and evidence for inclusive policies</w:t>
            </w:r>
            <w:r w:rsidR="00021116" w:rsidRPr="00696A5F">
              <w:rPr>
                <w:rFonts w:eastAsia="Times New Roman" w:cstheme="minorHAnsi"/>
                <w:iCs/>
                <w:sz w:val="24"/>
                <w:szCs w:val="24"/>
                <w:lang w:val="en-AU"/>
              </w:rPr>
              <w:t xml:space="preserve">, </w:t>
            </w:r>
            <w:r w:rsidR="00647187" w:rsidRPr="00696A5F">
              <w:rPr>
                <w:rFonts w:eastAsia="Times New Roman" w:cstheme="minorHAnsi"/>
                <w:iCs/>
                <w:sz w:val="24"/>
                <w:szCs w:val="24"/>
                <w:lang w:val="en-AU"/>
              </w:rPr>
              <w:t>plans</w:t>
            </w:r>
            <w:r w:rsidR="00021116" w:rsidRPr="00696A5F">
              <w:rPr>
                <w:rFonts w:eastAsia="Times New Roman" w:cstheme="minorHAnsi"/>
                <w:iCs/>
                <w:sz w:val="24"/>
                <w:szCs w:val="24"/>
                <w:lang w:val="en-AU"/>
              </w:rPr>
              <w:t xml:space="preserve"> and programs</w:t>
            </w:r>
            <w:r w:rsidR="00AA3965" w:rsidRPr="00696A5F">
              <w:rPr>
                <w:rFonts w:eastAsia="Times New Roman" w:cstheme="minorHAnsi"/>
                <w:iCs/>
                <w:sz w:val="24"/>
                <w:szCs w:val="24"/>
                <w:lang w:val="en-AU"/>
              </w:rPr>
              <w:t>.</w:t>
            </w:r>
          </w:p>
        </w:tc>
      </w:tr>
      <w:tr w:rsidR="003339D3" w:rsidRPr="00696A5F" w14:paraId="0EC36964" w14:textId="77777777" w:rsidTr="57FA071A">
        <w:tc>
          <w:tcPr>
            <w:cnfStyle w:val="001000000000" w:firstRow="0" w:lastRow="0" w:firstColumn="1" w:lastColumn="0" w:oddVBand="0" w:evenVBand="0" w:oddHBand="0" w:evenHBand="0" w:firstRowFirstColumn="0" w:firstRowLastColumn="0" w:lastRowFirstColumn="0" w:lastRowLastColumn="0"/>
            <w:tcW w:w="1696" w:type="dxa"/>
          </w:tcPr>
          <w:p w14:paraId="28FE3C9D" w14:textId="6FFBF601" w:rsidR="003339D3" w:rsidRPr="00696A5F" w:rsidRDefault="003339D3" w:rsidP="00273291">
            <w:pPr>
              <w:tabs>
                <w:tab w:val="left" w:pos="284"/>
              </w:tabs>
              <w:spacing w:before="60" w:line="240" w:lineRule="auto"/>
              <w:rPr>
                <w:rFonts w:eastAsia="Times New Roman"/>
                <w:sz w:val="24"/>
                <w:szCs w:val="24"/>
                <w:lang w:val="en-AU"/>
              </w:rPr>
            </w:pPr>
            <w:r w:rsidRPr="00696A5F">
              <w:rPr>
                <w:rFonts w:eastAsia="Times New Roman"/>
                <w:sz w:val="24"/>
                <w:szCs w:val="24"/>
                <w:lang w:val="en-AU"/>
              </w:rPr>
              <w:t xml:space="preserve">Climate resilience </w:t>
            </w:r>
          </w:p>
        </w:tc>
        <w:tc>
          <w:tcPr>
            <w:tcW w:w="7620" w:type="dxa"/>
          </w:tcPr>
          <w:p w14:paraId="3C6828FA" w14:textId="13792162" w:rsidR="003339D3" w:rsidRPr="00696A5F" w:rsidRDefault="3788F929" w:rsidP="00273291">
            <w:pPr>
              <w:tabs>
                <w:tab w:val="left" w:pos="284"/>
              </w:tabs>
              <w:spacing w:before="6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 xml:space="preserve">Increase participation of women, people with disability, ethnic </w:t>
            </w:r>
            <w:r w:rsidR="0C40D0C9" w:rsidRPr="00696A5F">
              <w:rPr>
                <w:rFonts w:eastAsia="Times New Roman"/>
                <w:sz w:val="24"/>
                <w:szCs w:val="24"/>
                <w:lang w:val="en-AU"/>
              </w:rPr>
              <w:t xml:space="preserve">minorities, </w:t>
            </w:r>
            <w:r w:rsidR="041CA42E" w:rsidRPr="00696A5F">
              <w:rPr>
                <w:rFonts w:eastAsia="Times New Roman"/>
                <w:sz w:val="24"/>
                <w:szCs w:val="24"/>
                <w:lang w:val="en-AU"/>
              </w:rPr>
              <w:t>i</w:t>
            </w:r>
            <w:r w:rsidR="0C40D0C9" w:rsidRPr="00696A5F">
              <w:rPr>
                <w:rFonts w:eastAsia="Times New Roman"/>
                <w:sz w:val="24"/>
                <w:szCs w:val="24"/>
                <w:lang w:val="en-AU"/>
              </w:rPr>
              <w:t>ndigenous</w:t>
            </w:r>
            <w:r w:rsidRPr="00696A5F">
              <w:rPr>
                <w:rFonts w:eastAsia="Times New Roman"/>
                <w:sz w:val="24"/>
                <w:szCs w:val="24"/>
                <w:lang w:val="en-AU"/>
              </w:rPr>
              <w:t xml:space="preserve"> </w:t>
            </w:r>
            <w:r w:rsidR="16E2DD7D" w:rsidRPr="00696A5F">
              <w:rPr>
                <w:rFonts w:eastAsia="Times New Roman"/>
                <w:sz w:val="24"/>
                <w:szCs w:val="24"/>
                <w:lang w:val="en-AU"/>
              </w:rPr>
              <w:t>p</w:t>
            </w:r>
            <w:r w:rsidRPr="00696A5F">
              <w:rPr>
                <w:rFonts w:eastAsia="Times New Roman"/>
                <w:sz w:val="24"/>
                <w:szCs w:val="24"/>
                <w:lang w:val="en-AU"/>
              </w:rPr>
              <w:t>eople</w:t>
            </w:r>
            <w:r w:rsidR="00BF6B1B" w:rsidRPr="00696A5F">
              <w:rPr>
                <w:rFonts w:eastAsia="Times New Roman"/>
                <w:sz w:val="24"/>
                <w:szCs w:val="24"/>
                <w:lang w:val="en-AU"/>
              </w:rPr>
              <w:t>s</w:t>
            </w:r>
            <w:r w:rsidRPr="00696A5F">
              <w:rPr>
                <w:rFonts w:eastAsia="Times New Roman"/>
                <w:sz w:val="24"/>
                <w:szCs w:val="24"/>
                <w:lang w:val="en-AU"/>
              </w:rPr>
              <w:t xml:space="preserve"> </w:t>
            </w:r>
            <w:r w:rsidR="0FAE6F92" w:rsidRPr="00696A5F">
              <w:rPr>
                <w:rFonts w:eastAsia="Times New Roman"/>
                <w:sz w:val="24"/>
                <w:szCs w:val="24"/>
                <w:lang w:val="en-AU"/>
              </w:rPr>
              <w:t xml:space="preserve">and people of </w:t>
            </w:r>
            <w:r w:rsidR="0FAE6F92" w:rsidRPr="00696A5F">
              <w:rPr>
                <w:rFonts w:ascii="Calibri Light" w:eastAsia="Times New Roman" w:hAnsi="Calibri Light" w:cs="Times New Roman"/>
                <w:sz w:val="24"/>
                <w:szCs w:val="24"/>
                <w:lang w:val="en-AU"/>
              </w:rPr>
              <w:t>diverse SOGIESC</w:t>
            </w:r>
            <w:r w:rsidR="0FAE6F92" w:rsidRPr="00696A5F">
              <w:rPr>
                <w:rFonts w:eastAsia="Times New Roman"/>
                <w:sz w:val="24"/>
                <w:szCs w:val="24"/>
                <w:lang w:val="en-AU"/>
              </w:rPr>
              <w:t xml:space="preserve"> </w:t>
            </w:r>
            <w:r w:rsidRPr="00696A5F">
              <w:rPr>
                <w:rFonts w:eastAsia="Times New Roman"/>
                <w:sz w:val="24"/>
                <w:szCs w:val="24"/>
                <w:lang w:val="en-AU"/>
              </w:rPr>
              <w:t>in climate leadership and governance at subregional, national and community levels</w:t>
            </w:r>
            <w:r w:rsidR="3BB4864B" w:rsidRPr="00696A5F">
              <w:rPr>
                <w:rFonts w:eastAsia="Times New Roman"/>
                <w:sz w:val="24"/>
                <w:szCs w:val="24"/>
                <w:lang w:val="en-AU"/>
              </w:rPr>
              <w:t>.</w:t>
            </w:r>
          </w:p>
          <w:p w14:paraId="2193A670" w14:textId="0032BD9B" w:rsidR="003339D3" w:rsidRPr="00696A5F" w:rsidRDefault="041CA42E" w:rsidP="00273291">
            <w:pPr>
              <w:tabs>
                <w:tab w:val="left" w:pos="284"/>
              </w:tabs>
              <w:spacing w:before="6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 xml:space="preserve">Support the piloting and scaling of GEDSI responsive community-led green transition </w:t>
            </w:r>
            <w:r w:rsidR="15C010A1" w:rsidRPr="00696A5F">
              <w:rPr>
                <w:rFonts w:eastAsia="Times New Roman"/>
                <w:sz w:val="24"/>
                <w:szCs w:val="24"/>
                <w:lang w:val="en-AU"/>
              </w:rPr>
              <w:t>and climate change adaptation</w:t>
            </w:r>
            <w:r w:rsidR="2FC4DFE6" w:rsidRPr="00696A5F">
              <w:rPr>
                <w:rFonts w:eastAsia="Times New Roman"/>
                <w:sz w:val="24"/>
                <w:szCs w:val="24"/>
                <w:lang w:val="en-AU"/>
              </w:rPr>
              <w:t xml:space="preserve"> </w:t>
            </w:r>
            <w:r w:rsidRPr="00696A5F">
              <w:rPr>
                <w:rFonts w:eastAsia="Times New Roman"/>
                <w:sz w:val="24"/>
                <w:szCs w:val="24"/>
                <w:lang w:val="en-AU"/>
              </w:rPr>
              <w:t>projects</w:t>
            </w:r>
            <w:r w:rsidR="0E139488" w:rsidRPr="00696A5F">
              <w:rPr>
                <w:rFonts w:eastAsia="Times New Roman"/>
                <w:sz w:val="24"/>
                <w:szCs w:val="24"/>
                <w:lang w:val="en-AU"/>
              </w:rPr>
              <w:t>.</w:t>
            </w:r>
          </w:p>
          <w:p w14:paraId="3864D16F" w14:textId="340BCFB8" w:rsidR="00021116" w:rsidRPr="00696A5F" w:rsidRDefault="041CA42E" w:rsidP="4C1C98D1">
            <w:pPr>
              <w:tabs>
                <w:tab w:val="left" w:pos="284"/>
              </w:tabs>
              <w:spacing w:before="6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 xml:space="preserve">Strengthen and support locally led </w:t>
            </w:r>
            <w:r w:rsidR="6F6D4C11" w:rsidRPr="00696A5F">
              <w:rPr>
                <w:rFonts w:eastAsia="Times New Roman"/>
                <w:sz w:val="24"/>
                <w:szCs w:val="24"/>
                <w:lang w:val="en-AU"/>
              </w:rPr>
              <w:t xml:space="preserve">NGOs </w:t>
            </w:r>
            <w:r w:rsidRPr="00696A5F">
              <w:rPr>
                <w:rFonts w:eastAsia="Times New Roman"/>
                <w:sz w:val="24"/>
                <w:szCs w:val="24"/>
                <w:lang w:val="en-AU"/>
              </w:rPr>
              <w:t xml:space="preserve">and community organisations to represent the interests of women, people with disability and other marginalised groups in climate </w:t>
            </w:r>
            <w:r w:rsidR="0B32A792" w:rsidRPr="00696A5F">
              <w:rPr>
                <w:rFonts w:eastAsia="Times New Roman"/>
                <w:sz w:val="24"/>
                <w:szCs w:val="24"/>
                <w:lang w:val="en-AU"/>
              </w:rPr>
              <w:t>resilience</w:t>
            </w:r>
            <w:r w:rsidR="7041F20A" w:rsidRPr="00696A5F">
              <w:rPr>
                <w:rFonts w:eastAsia="Times New Roman"/>
                <w:sz w:val="24"/>
                <w:szCs w:val="24"/>
                <w:lang w:val="en-AU"/>
              </w:rPr>
              <w:t>.</w:t>
            </w:r>
          </w:p>
        </w:tc>
      </w:tr>
      <w:tr w:rsidR="00273291" w:rsidRPr="00696A5F" w14:paraId="350CA6AE" w14:textId="77777777" w:rsidTr="57FA0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59E3E61" w14:textId="3C0BCD35" w:rsidR="00273291" w:rsidRPr="00696A5F" w:rsidRDefault="00273291" w:rsidP="00273291">
            <w:pPr>
              <w:tabs>
                <w:tab w:val="left" w:pos="284"/>
              </w:tabs>
              <w:spacing w:before="60" w:line="240" w:lineRule="auto"/>
              <w:rPr>
                <w:rFonts w:eastAsia="Times New Roman" w:cstheme="minorHAnsi"/>
                <w:iCs/>
                <w:sz w:val="24"/>
                <w:szCs w:val="24"/>
                <w:lang w:val="en-AU"/>
              </w:rPr>
            </w:pPr>
            <w:r w:rsidRPr="00696A5F">
              <w:rPr>
                <w:rFonts w:eastAsia="Times New Roman"/>
                <w:sz w:val="24"/>
                <w:szCs w:val="24"/>
                <w:lang w:val="en-AU"/>
              </w:rPr>
              <w:t>Water security</w:t>
            </w:r>
          </w:p>
        </w:tc>
        <w:tc>
          <w:tcPr>
            <w:tcW w:w="7620" w:type="dxa"/>
          </w:tcPr>
          <w:p w14:paraId="2797FAE2" w14:textId="3EEFB1AD" w:rsidR="00273291" w:rsidRPr="00696A5F" w:rsidRDefault="716CA04C" w:rsidP="00273291">
            <w:pPr>
              <w:tabs>
                <w:tab w:val="left" w:pos="284"/>
              </w:tabs>
              <w:spacing w:before="60" w:line="24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 xml:space="preserve">Increase participation of women, people with disability, ethnic </w:t>
            </w:r>
            <w:r w:rsidR="0C40D0C9" w:rsidRPr="00696A5F">
              <w:rPr>
                <w:rFonts w:eastAsia="Times New Roman"/>
                <w:sz w:val="24"/>
                <w:szCs w:val="24"/>
                <w:lang w:val="en-AU"/>
              </w:rPr>
              <w:t xml:space="preserve">minorities, </w:t>
            </w:r>
            <w:r w:rsidR="0B32A792" w:rsidRPr="00696A5F">
              <w:rPr>
                <w:rFonts w:eastAsia="Times New Roman"/>
                <w:sz w:val="24"/>
                <w:szCs w:val="24"/>
                <w:lang w:val="en-AU"/>
              </w:rPr>
              <w:t>i</w:t>
            </w:r>
            <w:r w:rsidR="16E2DD7D" w:rsidRPr="00696A5F">
              <w:rPr>
                <w:rFonts w:eastAsia="Times New Roman"/>
                <w:sz w:val="24"/>
                <w:szCs w:val="24"/>
                <w:lang w:val="en-AU"/>
              </w:rPr>
              <w:t>ndigenous people</w:t>
            </w:r>
            <w:r w:rsidR="00BF6B1B" w:rsidRPr="00696A5F">
              <w:rPr>
                <w:rFonts w:eastAsia="Times New Roman"/>
                <w:sz w:val="24"/>
                <w:szCs w:val="24"/>
                <w:lang w:val="en-AU"/>
              </w:rPr>
              <w:t>s</w:t>
            </w:r>
            <w:r w:rsidR="16E2DD7D" w:rsidRPr="00696A5F">
              <w:rPr>
                <w:rFonts w:eastAsia="Times New Roman"/>
                <w:sz w:val="24"/>
                <w:szCs w:val="24"/>
                <w:lang w:val="en-AU"/>
              </w:rPr>
              <w:t xml:space="preserve"> </w:t>
            </w:r>
            <w:r w:rsidR="3ED04321" w:rsidRPr="00696A5F">
              <w:rPr>
                <w:rFonts w:eastAsia="Times New Roman"/>
                <w:sz w:val="24"/>
                <w:szCs w:val="24"/>
                <w:lang w:val="en-AU"/>
              </w:rPr>
              <w:t xml:space="preserve">and people of </w:t>
            </w:r>
            <w:r w:rsidR="3ED04321" w:rsidRPr="00696A5F">
              <w:rPr>
                <w:rFonts w:ascii="Calibri Light" w:eastAsia="Times New Roman" w:hAnsi="Calibri Light" w:cs="Times New Roman"/>
                <w:sz w:val="24"/>
                <w:szCs w:val="24"/>
                <w:lang w:val="en-AU"/>
              </w:rPr>
              <w:t>diverse SOGIESC</w:t>
            </w:r>
            <w:r w:rsidRPr="00696A5F">
              <w:rPr>
                <w:rFonts w:eastAsia="Times New Roman"/>
                <w:sz w:val="24"/>
                <w:szCs w:val="24"/>
                <w:lang w:val="en-AU"/>
              </w:rPr>
              <w:t xml:space="preserve"> in water leadership and governance at sub-regional, national and community levels.</w:t>
            </w:r>
          </w:p>
          <w:p w14:paraId="0C8066BA" w14:textId="70536C5E" w:rsidR="00273291" w:rsidRPr="00696A5F" w:rsidRDefault="0B32A792" w:rsidP="4C1C98D1">
            <w:pPr>
              <w:tabs>
                <w:tab w:val="left" w:pos="284"/>
              </w:tabs>
              <w:spacing w:before="60" w:line="24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Strengthen GEDSI capacity of subregional architecture including GEDSI analytical skills, data, and evidence on GEDSI and climate resilience, and diverse participation in policy and planning.</w:t>
            </w:r>
          </w:p>
          <w:p w14:paraId="12CBF1EC" w14:textId="72C43FB7" w:rsidR="00273291" w:rsidRPr="00696A5F" w:rsidRDefault="0B32A792" w:rsidP="00273291">
            <w:pPr>
              <w:tabs>
                <w:tab w:val="left" w:pos="284"/>
              </w:tabs>
              <w:spacing w:before="60" w:line="24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 xml:space="preserve">Strengthen and support locally led </w:t>
            </w:r>
            <w:r w:rsidR="6F6D4C11" w:rsidRPr="00696A5F">
              <w:rPr>
                <w:rFonts w:eastAsia="Times New Roman"/>
                <w:sz w:val="24"/>
                <w:szCs w:val="24"/>
                <w:lang w:val="en-AU"/>
              </w:rPr>
              <w:t xml:space="preserve">NGOs </w:t>
            </w:r>
            <w:r w:rsidRPr="00696A5F">
              <w:rPr>
                <w:rFonts w:eastAsia="Times New Roman"/>
                <w:sz w:val="24"/>
                <w:szCs w:val="24"/>
                <w:lang w:val="en-AU"/>
              </w:rPr>
              <w:t>and community organisations to represent the interests of women, people with disability</w:t>
            </w:r>
            <w:r w:rsidR="4E3E4F4E" w:rsidRPr="00696A5F">
              <w:rPr>
                <w:rFonts w:eastAsia="Times New Roman"/>
                <w:sz w:val="24"/>
                <w:szCs w:val="24"/>
                <w:lang w:val="en-AU"/>
              </w:rPr>
              <w:t xml:space="preserve">, people of </w:t>
            </w:r>
            <w:r w:rsidR="4E3E4F4E" w:rsidRPr="00696A5F">
              <w:rPr>
                <w:rFonts w:ascii="Calibri Light" w:eastAsia="Times New Roman" w:hAnsi="Calibri Light" w:cs="Times New Roman"/>
                <w:sz w:val="24"/>
                <w:szCs w:val="24"/>
                <w:lang w:val="en-AU"/>
              </w:rPr>
              <w:t>diverse SOGIESC</w:t>
            </w:r>
            <w:r w:rsidR="1B9EAD16" w:rsidRPr="00696A5F">
              <w:rPr>
                <w:rFonts w:ascii="Calibri Light" w:eastAsia="Times New Roman" w:hAnsi="Calibri Light" w:cs="Times New Roman"/>
                <w:sz w:val="24"/>
                <w:szCs w:val="24"/>
                <w:lang w:val="en-AU"/>
              </w:rPr>
              <w:t xml:space="preserve"> </w:t>
            </w:r>
            <w:r w:rsidRPr="00696A5F">
              <w:rPr>
                <w:rFonts w:eastAsia="Times New Roman"/>
                <w:sz w:val="24"/>
                <w:szCs w:val="24"/>
                <w:lang w:val="en-AU"/>
              </w:rPr>
              <w:t xml:space="preserve">and other marginalised groups in water </w:t>
            </w:r>
            <w:r w:rsidR="3ABEEA0C" w:rsidRPr="00696A5F">
              <w:rPr>
                <w:rFonts w:eastAsia="Times New Roman"/>
                <w:sz w:val="24"/>
                <w:szCs w:val="24"/>
                <w:lang w:val="en-AU"/>
              </w:rPr>
              <w:t>resource management</w:t>
            </w:r>
            <w:r w:rsidRPr="00696A5F">
              <w:rPr>
                <w:rFonts w:eastAsia="Times New Roman"/>
                <w:sz w:val="24"/>
                <w:szCs w:val="24"/>
                <w:lang w:val="en-AU"/>
              </w:rPr>
              <w:t>.</w:t>
            </w:r>
          </w:p>
        </w:tc>
      </w:tr>
      <w:tr w:rsidR="00273291" w:rsidRPr="00696A5F" w14:paraId="073DF1C3" w14:textId="77777777" w:rsidTr="57FA071A">
        <w:tc>
          <w:tcPr>
            <w:cnfStyle w:val="001000000000" w:firstRow="0" w:lastRow="0" w:firstColumn="1" w:lastColumn="0" w:oddVBand="0" w:evenVBand="0" w:oddHBand="0" w:evenHBand="0" w:firstRowFirstColumn="0" w:firstRowLastColumn="0" w:lastRowFirstColumn="0" w:lastRowLastColumn="0"/>
            <w:tcW w:w="1696" w:type="dxa"/>
          </w:tcPr>
          <w:p w14:paraId="79AEE18A" w14:textId="77777777" w:rsidR="00273291" w:rsidRPr="00696A5F" w:rsidRDefault="00273291" w:rsidP="00273291">
            <w:pPr>
              <w:tabs>
                <w:tab w:val="left" w:pos="284"/>
              </w:tabs>
              <w:spacing w:before="60" w:line="240" w:lineRule="auto"/>
              <w:rPr>
                <w:rFonts w:eastAsia="Times New Roman" w:cstheme="minorHAnsi"/>
                <w:iCs/>
                <w:sz w:val="24"/>
                <w:szCs w:val="24"/>
                <w:lang w:val="en-AU"/>
              </w:rPr>
            </w:pPr>
            <w:r w:rsidRPr="00696A5F">
              <w:rPr>
                <w:rFonts w:eastAsia="Times New Roman" w:cstheme="minorHAnsi"/>
                <w:iCs/>
                <w:sz w:val="24"/>
                <w:szCs w:val="24"/>
                <w:lang w:val="en-AU"/>
              </w:rPr>
              <w:t>Transnational crime</w:t>
            </w:r>
          </w:p>
        </w:tc>
        <w:tc>
          <w:tcPr>
            <w:tcW w:w="7620" w:type="dxa"/>
          </w:tcPr>
          <w:p w14:paraId="450F5E86" w14:textId="610AF6AB" w:rsidR="00273291" w:rsidRPr="00696A5F" w:rsidRDefault="0B32A792" w:rsidP="00273291">
            <w:pPr>
              <w:tabs>
                <w:tab w:val="left" w:pos="284"/>
              </w:tabs>
              <w:spacing w:before="6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Increase the data and evidence of how gender inequality</w:t>
            </w:r>
            <w:r w:rsidR="12E4F7CD" w:rsidRPr="00696A5F">
              <w:rPr>
                <w:rFonts w:eastAsia="Times New Roman"/>
                <w:sz w:val="24"/>
                <w:szCs w:val="24"/>
                <w:lang w:val="en-AU"/>
              </w:rPr>
              <w:t>, disability</w:t>
            </w:r>
            <w:r w:rsidRPr="00696A5F">
              <w:rPr>
                <w:rFonts w:eastAsia="Times New Roman"/>
                <w:sz w:val="24"/>
                <w:szCs w:val="24"/>
                <w:lang w:val="en-AU"/>
              </w:rPr>
              <w:t xml:space="preserve"> and social exclusion contribute to vulnerability to, and impact of TNC.</w:t>
            </w:r>
          </w:p>
          <w:p w14:paraId="79AA0A07" w14:textId="0618AB81" w:rsidR="00273291" w:rsidRPr="00696A5F" w:rsidRDefault="0B32A792" w:rsidP="00273291">
            <w:pPr>
              <w:tabs>
                <w:tab w:val="left" w:pos="284"/>
              </w:tabs>
              <w:spacing w:before="6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lastRenderedPageBreak/>
              <w:t>Strengthen the gender responsiveness</w:t>
            </w:r>
            <w:r w:rsidR="658F15FB" w:rsidRPr="00696A5F">
              <w:rPr>
                <w:rFonts w:eastAsia="Times New Roman"/>
                <w:sz w:val="24"/>
                <w:szCs w:val="24"/>
                <w:lang w:val="en-AU"/>
              </w:rPr>
              <w:t>, disability</w:t>
            </w:r>
            <w:r w:rsidRPr="00696A5F">
              <w:rPr>
                <w:rFonts w:eastAsia="Times New Roman"/>
                <w:sz w:val="24"/>
                <w:szCs w:val="24"/>
                <w:lang w:val="en-AU"/>
              </w:rPr>
              <w:t xml:space="preserve"> and inclusion capacity of partners working on preventing and countering TNC.</w:t>
            </w:r>
          </w:p>
          <w:p w14:paraId="0B4F9619" w14:textId="7EFF9754" w:rsidR="00273291" w:rsidRPr="00696A5F" w:rsidRDefault="0B32A792" w:rsidP="4C1C98D1">
            <w:pPr>
              <w:tabs>
                <w:tab w:val="left" w:pos="284"/>
              </w:tabs>
              <w:spacing w:before="6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 xml:space="preserve">Expand partnerships to include agencies supporting crisis management and </w:t>
            </w:r>
            <w:r w:rsidR="3ABEEA0C" w:rsidRPr="00696A5F">
              <w:rPr>
                <w:rFonts w:eastAsia="Times New Roman"/>
                <w:sz w:val="24"/>
                <w:szCs w:val="24"/>
                <w:lang w:val="en-AU"/>
              </w:rPr>
              <w:t>survivor</w:t>
            </w:r>
            <w:r w:rsidRPr="00696A5F">
              <w:rPr>
                <w:rFonts w:eastAsia="Times New Roman"/>
                <w:sz w:val="24"/>
                <w:szCs w:val="24"/>
                <w:lang w:val="en-AU"/>
              </w:rPr>
              <w:t xml:space="preserve"> support.</w:t>
            </w:r>
          </w:p>
        </w:tc>
      </w:tr>
      <w:tr w:rsidR="00273291" w:rsidRPr="00696A5F" w14:paraId="533945C9" w14:textId="77777777" w:rsidTr="57FA0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E706D8D" w14:textId="0CD2BAD4" w:rsidR="00273291" w:rsidRPr="00696A5F" w:rsidRDefault="00273291" w:rsidP="00273291">
            <w:pPr>
              <w:tabs>
                <w:tab w:val="left" w:pos="284"/>
              </w:tabs>
              <w:spacing w:before="60" w:line="240" w:lineRule="auto"/>
              <w:rPr>
                <w:rFonts w:eastAsia="Times New Roman" w:cstheme="minorHAnsi"/>
                <w:iCs/>
                <w:sz w:val="24"/>
                <w:szCs w:val="24"/>
                <w:lang w:val="en-AU"/>
              </w:rPr>
            </w:pPr>
            <w:r w:rsidRPr="00696A5F">
              <w:rPr>
                <w:rFonts w:eastAsia="Times New Roman" w:cstheme="minorHAnsi"/>
                <w:iCs/>
                <w:sz w:val="24"/>
                <w:szCs w:val="24"/>
                <w:lang w:val="en-AU"/>
              </w:rPr>
              <w:lastRenderedPageBreak/>
              <w:t>Economic resilience and subregional integration</w:t>
            </w:r>
          </w:p>
        </w:tc>
        <w:tc>
          <w:tcPr>
            <w:tcW w:w="7620" w:type="dxa"/>
          </w:tcPr>
          <w:p w14:paraId="6A279E66" w14:textId="450018DA" w:rsidR="00273291" w:rsidRPr="00696A5F" w:rsidRDefault="0B32A792" w:rsidP="4C1C98D1">
            <w:pPr>
              <w:tabs>
                <w:tab w:val="left" w:pos="284"/>
              </w:tabs>
              <w:spacing w:before="60" w:line="24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Strengthen the care economy and increased access to affordable quality childcare, care of the aged and people with disability at national level, and support subregional exchange of experience, evidence and learning.</w:t>
            </w:r>
          </w:p>
          <w:p w14:paraId="0CF4A9B7" w14:textId="37045DBE" w:rsidR="00273291" w:rsidRPr="00696A5F" w:rsidRDefault="0B32A792" w:rsidP="4C1C98D1">
            <w:pPr>
              <w:tabs>
                <w:tab w:val="left" w:pos="284"/>
              </w:tabs>
              <w:spacing w:before="60" w:line="24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Support female entrepreneurs and women led MSMEs.</w:t>
            </w:r>
          </w:p>
          <w:p w14:paraId="211F9239" w14:textId="1AD53078" w:rsidR="00273291" w:rsidRPr="00696A5F" w:rsidRDefault="0B32A792" w:rsidP="4C1C98D1">
            <w:pPr>
              <w:tabs>
                <w:tab w:val="left" w:pos="284"/>
              </w:tabs>
              <w:spacing w:before="60" w:line="240" w:lineRule="auto"/>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AU"/>
              </w:rPr>
            </w:pPr>
            <w:r w:rsidRPr="00696A5F">
              <w:rPr>
                <w:rFonts w:eastAsia="Times New Roman"/>
                <w:sz w:val="24"/>
                <w:szCs w:val="24"/>
                <w:lang w:val="en-AU"/>
              </w:rPr>
              <w:t>Increase access to employment of people with disability</w:t>
            </w:r>
            <w:r w:rsidR="3ABEEA0C" w:rsidRPr="00696A5F">
              <w:rPr>
                <w:rFonts w:eastAsia="Times New Roman"/>
                <w:sz w:val="24"/>
                <w:szCs w:val="24"/>
                <w:lang w:val="en-AU"/>
              </w:rPr>
              <w:t xml:space="preserve"> and other marginalised groups</w:t>
            </w:r>
            <w:r w:rsidRPr="00696A5F">
              <w:rPr>
                <w:rFonts w:eastAsia="Times New Roman"/>
                <w:sz w:val="24"/>
                <w:szCs w:val="24"/>
                <w:lang w:val="en-AU"/>
              </w:rPr>
              <w:t>.</w:t>
            </w:r>
          </w:p>
        </w:tc>
      </w:tr>
    </w:tbl>
    <w:p w14:paraId="2ADD4133" w14:textId="2396E65F" w:rsidR="006D3264" w:rsidRPr="00696A5F" w:rsidRDefault="48D4021D" w:rsidP="06744E17">
      <w:pPr>
        <w:tabs>
          <w:tab w:val="left" w:pos="284"/>
        </w:tabs>
        <w:rPr>
          <w:rFonts w:eastAsia="Times New Roman"/>
          <w:sz w:val="24"/>
          <w:szCs w:val="24"/>
          <w:lang w:val="en-AU"/>
        </w:rPr>
      </w:pPr>
      <w:r w:rsidRPr="00696A5F">
        <w:rPr>
          <w:rFonts w:eastAsia="Times New Roman"/>
          <w:b/>
          <w:bCs/>
          <w:sz w:val="24"/>
          <w:szCs w:val="24"/>
          <w:lang w:val="en-AU"/>
        </w:rPr>
        <w:t>MAP funded activities will meet standards for being GEDSI responsive or GEDSI transformative</w:t>
      </w:r>
      <w:r w:rsidRPr="00696A5F">
        <w:rPr>
          <w:rFonts w:eastAsia="Times New Roman"/>
          <w:sz w:val="24"/>
          <w:szCs w:val="24"/>
          <w:lang w:val="en-AU"/>
        </w:rPr>
        <w:t xml:space="preserve">. </w:t>
      </w:r>
      <w:r w:rsidR="000D7D0C" w:rsidRPr="00696A5F">
        <w:rPr>
          <w:sz w:val="24"/>
          <w:szCs w:val="24"/>
          <w:lang w:val="en-AU"/>
        </w:rPr>
        <w:fldChar w:fldCharType="begin"/>
      </w:r>
      <w:r w:rsidR="000D7D0C" w:rsidRPr="00696A5F">
        <w:rPr>
          <w:sz w:val="24"/>
          <w:szCs w:val="24"/>
          <w:lang w:val="en-AU"/>
        </w:rPr>
        <w:instrText xml:space="preserve"> INCLUDEPICTURE "https://assets-global.website-files.com/5d9e0c19ad4a3a345ad1a8d9/6030db74b0253906a9fe94f1_Screen%20Shot%202021-02-20%20at%2010.50.30.png" \* MERGEFORMATINET </w:instrText>
      </w:r>
      <w:r w:rsidR="004947C2">
        <w:rPr>
          <w:sz w:val="24"/>
          <w:szCs w:val="24"/>
          <w:lang w:val="en-AU"/>
        </w:rPr>
        <w:fldChar w:fldCharType="separate"/>
      </w:r>
      <w:r w:rsidR="000D7D0C" w:rsidRPr="00696A5F">
        <w:rPr>
          <w:sz w:val="24"/>
          <w:szCs w:val="24"/>
          <w:lang w:val="en-AU"/>
        </w:rPr>
        <w:fldChar w:fldCharType="end"/>
      </w:r>
      <w:r w:rsidR="527726CB" w:rsidRPr="00696A5F">
        <w:rPr>
          <w:rFonts w:eastAsia="Times New Roman"/>
          <w:i/>
          <w:iCs/>
          <w:sz w:val="24"/>
          <w:szCs w:val="24"/>
          <w:lang w:val="en-AU"/>
        </w:rPr>
        <w:t>GEDSI responsive investments</w:t>
      </w:r>
      <w:r w:rsidR="527726CB" w:rsidRPr="00696A5F">
        <w:rPr>
          <w:rFonts w:eastAsia="Times New Roman"/>
          <w:sz w:val="24"/>
          <w:szCs w:val="24"/>
          <w:lang w:val="en-AU"/>
        </w:rPr>
        <w:t xml:space="preserve"> are based on an analysis of gender inequality and intersecting inequality experienced by people with disability and other marginalised groups in the context of the project. In the Mekong this includes ethnic minorities and </w:t>
      </w:r>
      <w:r w:rsidR="000D7D0C" w:rsidRPr="00696A5F">
        <w:rPr>
          <w:rFonts w:eastAsia="Times New Roman"/>
          <w:sz w:val="24"/>
          <w:szCs w:val="24"/>
          <w:lang w:val="en-AU"/>
        </w:rPr>
        <w:t>i</w:t>
      </w:r>
      <w:r w:rsidR="527726CB" w:rsidRPr="00696A5F">
        <w:rPr>
          <w:rFonts w:eastAsia="Times New Roman"/>
          <w:sz w:val="24"/>
          <w:szCs w:val="24"/>
          <w:lang w:val="en-AU"/>
        </w:rPr>
        <w:t xml:space="preserve">ndigenous </w:t>
      </w:r>
      <w:r w:rsidR="16E2DD7D" w:rsidRPr="00696A5F">
        <w:rPr>
          <w:rFonts w:eastAsia="Times New Roman"/>
          <w:sz w:val="24"/>
          <w:szCs w:val="24"/>
          <w:lang w:val="en-AU"/>
        </w:rPr>
        <w:t>people</w:t>
      </w:r>
      <w:r w:rsidR="00BF6B1B" w:rsidRPr="00696A5F">
        <w:rPr>
          <w:rFonts w:eastAsia="Times New Roman"/>
          <w:sz w:val="24"/>
          <w:szCs w:val="24"/>
          <w:lang w:val="en-AU"/>
        </w:rPr>
        <w:t>s</w:t>
      </w:r>
      <w:r w:rsidR="16E2DD7D" w:rsidRPr="00696A5F">
        <w:rPr>
          <w:rFonts w:eastAsia="Times New Roman"/>
          <w:sz w:val="24"/>
          <w:szCs w:val="24"/>
          <w:lang w:val="en-AU"/>
        </w:rPr>
        <w:t xml:space="preserve"> </w:t>
      </w:r>
      <w:r w:rsidR="527726CB" w:rsidRPr="00696A5F">
        <w:rPr>
          <w:rFonts w:eastAsia="Times New Roman"/>
          <w:sz w:val="24"/>
          <w:szCs w:val="24"/>
          <w:lang w:val="en-AU"/>
        </w:rPr>
        <w:t>who experience high levels of disadvantage and social exclusion. A GEDSI responsive investment is one that includes specific actions within the project to address the inequalities identified in the intersectional analysis. A</w:t>
      </w:r>
      <w:r w:rsidR="527726CB" w:rsidRPr="00696A5F">
        <w:rPr>
          <w:rFonts w:eastAsia="Times New Roman"/>
          <w:i/>
          <w:iCs/>
          <w:sz w:val="24"/>
          <w:szCs w:val="24"/>
          <w:lang w:val="en-AU"/>
        </w:rPr>
        <w:t xml:space="preserve"> GEDSI transformative investment</w:t>
      </w:r>
      <w:r w:rsidR="527726CB" w:rsidRPr="00696A5F">
        <w:rPr>
          <w:rFonts w:eastAsia="Times New Roman"/>
          <w:sz w:val="24"/>
          <w:szCs w:val="24"/>
          <w:lang w:val="en-AU"/>
        </w:rPr>
        <w:t xml:space="preserve"> goes further by including actions to address the root causes of gender and intersectional inequalities.</w:t>
      </w:r>
    </w:p>
    <w:p w14:paraId="2AAEE35A" w14:textId="158C9A1C" w:rsidR="000D7D0C" w:rsidRPr="00696A5F" w:rsidRDefault="000D7D0C" w:rsidP="00CC4A3F">
      <w:pPr>
        <w:tabs>
          <w:tab w:val="left" w:pos="284"/>
        </w:tabs>
        <w:rPr>
          <w:rFonts w:ascii="Calibri Light" w:eastAsia="Times New Roman" w:hAnsi="Calibri Light" w:cs="Times New Roman"/>
          <w:iCs/>
          <w:sz w:val="24"/>
          <w:szCs w:val="24"/>
          <w:lang w:val="en-AU"/>
        </w:rPr>
      </w:pPr>
      <w:r w:rsidRPr="00696A5F">
        <w:rPr>
          <w:rFonts w:ascii="Calibri Light" w:eastAsia="Times New Roman" w:hAnsi="Calibri Light" w:cs="Times New Roman"/>
          <w:b/>
          <w:bCs/>
          <w:iCs/>
          <w:sz w:val="24"/>
          <w:szCs w:val="24"/>
          <w:lang w:val="en-AU"/>
        </w:rPr>
        <w:t xml:space="preserve">GEDSI will be </w:t>
      </w:r>
      <w:r w:rsidR="0CF91742" w:rsidRPr="00696A5F">
        <w:rPr>
          <w:rFonts w:ascii="Calibri Light" w:eastAsia="Times New Roman" w:hAnsi="Calibri Light" w:cs="Times New Roman"/>
          <w:b/>
          <w:bCs/>
          <w:sz w:val="24"/>
          <w:szCs w:val="24"/>
          <w:lang w:val="en-AU"/>
        </w:rPr>
        <w:t xml:space="preserve">incorporated </w:t>
      </w:r>
      <w:r w:rsidRPr="00696A5F">
        <w:rPr>
          <w:rFonts w:ascii="Calibri Light" w:eastAsia="Times New Roman" w:hAnsi="Calibri Light" w:cs="Times New Roman"/>
          <w:b/>
          <w:bCs/>
          <w:iCs/>
          <w:sz w:val="24"/>
          <w:szCs w:val="24"/>
          <w:lang w:val="en-AU"/>
        </w:rPr>
        <w:t>into MAP Phase 2 portfolio management and implementation arrangements</w:t>
      </w:r>
      <w:r w:rsidRPr="00696A5F">
        <w:rPr>
          <w:rFonts w:ascii="Calibri Light" w:eastAsia="Times New Roman" w:hAnsi="Calibri Light" w:cs="Times New Roman"/>
          <w:iCs/>
          <w:sz w:val="24"/>
          <w:szCs w:val="24"/>
          <w:lang w:val="en-AU"/>
        </w:rPr>
        <w:t>.</w:t>
      </w:r>
    </w:p>
    <w:p w14:paraId="6C8FEF95" w14:textId="4C8464CD" w:rsidR="003339D3" w:rsidRPr="00696A5F" w:rsidRDefault="61FFF925">
      <w:pPr>
        <w:numPr>
          <w:ilvl w:val="0"/>
          <w:numId w:val="31"/>
        </w:numPr>
        <w:tabs>
          <w:tab w:val="left" w:pos="284"/>
        </w:tabs>
        <w:contextualSpacing/>
        <w:rPr>
          <w:rFonts w:eastAsia="Times New Roman"/>
          <w:sz w:val="24"/>
          <w:szCs w:val="24"/>
          <w:lang w:val="en-AU"/>
        </w:rPr>
      </w:pPr>
      <w:r w:rsidRPr="00696A5F">
        <w:rPr>
          <w:rFonts w:eastAsia="Times New Roman"/>
          <w:sz w:val="24"/>
          <w:szCs w:val="24"/>
          <w:lang w:val="en-AU"/>
        </w:rPr>
        <w:t>80</w:t>
      </w:r>
      <w:r w:rsidR="3B9CE0BD" w:rsidRPr="00696A5F">
        <w:rPr>
          <w:rFonts w:eastAsia="Times New Roman"/>
          <w:sz w:val="24"/>
          <w:szCs w:val="24"/>
          <w:lang w:val="en-AU"/>
        </w:rPr>
        <w:t xml:space="preserve"> per cent </w:t>
      </w:r>
      <w:r w:rsidR="4F58354F" w:rsidRPr="00696A5F">
        <w:rPr>
          <w:rFonts w:eastAsia="Times New Roman"/>
          <w:sz w:val="24"/>
          <w:szCs w:val="24"/>
          <w:lang w:val="en-AU"/>
        </w:rPr>
        <w:t xml:space="preserve">or more </w:t>
      </w:r>
      <w:r w:rsidR="3B9CE0BD" w:rsidRPr="00696A5F">
        <w:rPr>
          <w:rFonts w:eastAsia="Times New Roman"/>
          <w:sz w:val="24"/>
          <w:szCs w:val="24"/>
          <w:lang w:val="en-AU"/>
        </w:rPr>
        <w:t xml:space="preserve">of </w:t>
      </w:r>
      <w:r w:rsidR="47F654ED" w:rsidRPr="00696A5F">
        <w:rPr>
          <w:rFonts w:eastAsia="Times New Roman"/>
          <w:sz w:val="24"/>
          <w:szCs w:val="24"/>
          <w:lang w:val="en-AU"/>
        </w:rPr>
        <w:t xml:space="preserve">MAP activities </w:t>
      </w:r>
      <w:r w:rsidR="152171BE" w:rsidRPr="00696A5F">
        <w:rPr>
          <w:rFonts w:eastAsia="Times New Roman"/>
          <w:sz w:val="24"/>
          <w:szCs w:val="24"/>
          <w:lang w:val="en-AU"/>
        </w:rPr>
        <w:t xml:space="preserve">(DFAT and partner-led) </w:t>
      </w:r>
      <w:r w:rsidR="47F654ED" w:rsidRPr="00696A5F">
        <w:rPr>
          <w:rFonts w:eastAsia="Times New Roman"/>
          <w:sz w:val="24"/>
          <w:szCs w:val="24"/>
          <w:lang w:val="en-AU"/>
        </w:rPr>
        <w:t>will be GEDSI responsive or transformative</w:t>
      </w:r>
      <w:r w:rsidR="36B6FABF" w:rsidRPr="00696A5F">
        <w:rPr>
          <w:rFonts w:eastAsia="Times New Roman"/>
          <w:sz w:val="24"/>
          <w:szCs w:val="24"/>
          <w:lang w:val="en-AU"/>
        </w:rPr>
        <w:t>, and all will be gender sensitive</w:t>
      </w:r>
      <w:r w:rsidR="47F654ED" w:rsidRPr="00696A5F">
        <w:rPr>
          <w:rFonts w:eastAsia="Times New Roman"/>
          <w:sz w:val="24"/>
          <w:szCs w:val="24"/>
          <w:lang w:val="en-AU"/>
        </w:rPr>
        <w:t xml:space="preserve">. </w:t>
      </w:r>
      <w:r w:rsidR="041CA42E" w:rsidRPr="00696A5F">
        <w:rPr>
          <w:rFonts w:eastAsia="Times New Roman"/>
          <w:sz w:val="24"/>
          <w:szCs w:val="24"/>
          <w:lang w:val="en-AU"/>
        </w:rPr>
        <w:t xml:space="preserve">Investments over $3 million will include a gender equality outcome at EOPO or intermediate outcome level. All designs will be required </w:t>
      </w:r>
      <w:r w:rsidR="292906BA" w:rsidRPr="00696A5F">
        <w:rPr>
          <w:rFonts w:eastAsia="Times New Roman"/>
          <w:sz w:val="24"/>
          <w:szCs w:val="24"/>
          <w:lang w:val="en-AU"/>
        </w:rPr>
        <w:t xml:space="preserve">to have </w:t>
      </w:r>
      <w:r w:rsidR="00DF4F78" w:rsidRPr="00696A5F">
        <w:rPr>
          <w:rFonts w:eastAsia="Times New Roman"/>
          <w:sz w:val="24"/>
          <w:szCs w:val="24"/>
          <w:lang w:val="en-AU"/>
        </w:rPr>
        <w:t xml:space="preserve">a </w:t>
      </w:r>
      <w:r w:rsidR="041CA42E" w:rsidRPr="00696A5F">
        <w:rPr>
          <w:rFonts w:eastAsia="Times New Roman"/>
          <w:sz w:val="24"/>
          <w:szCs w:val="24"/>
          <w:lang w:val="en-AU"/>
        </w:rPr>
        <w:t xml:space="preserve">GEDSI strategy or action plan depending on the scope of the investment. This will be developed by the implementing partner in consultation with relevant stakeholders and quality assured by DFAT. Implementation of the GEDSI strategy/action plan will be resourced by the </w:t>
      </w:r>
      <w:r w:rsidR="4834E574" w:rsidRPr="00696A5F">
        <w:rPr>
          <w:rFonts w:eastAsia="Times New Roman"/>
          <w:sz w:val="24"/>
          <w:szCs w:val="24"/>
          <w:lang w:val="en-AU"/>
        </w:rPr>
        <w:t>project and</w:t>
      </w:r>
      <w:r w:rsidR="47F654ED" w:rsidRPr="00696A5F">
        <w:rPr>
          <w:rFonts w:eastAsia="Times New Roman"/>
          <w:sz w:val="24"/>
          <w:szCs w:val="24"/>
          <w:lang w:val="en-AU"/>
        </w:rPr>
        <w:t xml:space="preserve"> tracked via activity MEL </w:t>
      </w:r>
      <w:r w:rsidR="041CA42E" w:rsidRPr="00696A5F">
        <w:rPr>
          <w:rFonts w:eastAsia="Times New Roman"/>
          <w:sz w:val="24"/>
          <w:szCs w:val="24"/>
          <w:lang w:val="en-AU"/>
        </w:rPr>
        <w:t>and report</w:t>
      </w:r>
      <w:r w:rsidR="47F654ED" w:rsidRPr="00696A5F">
        <w:rPr>
          <w:rFonts w:eastAsia="Times New Roman"/>
          <w:sz w:val="24"/>
          <w:szCs w:val="24"/>
          <w:lang w:val="en-AU"/>
        </w:rPr>
        <w:t>ing</w:t>
      </w:r>
      <w:r w:rsidR="041CA42E" w:rsidRPr="00696A5F">
        <w:rPr>
          <w:rFonts w:eastAsia="Times New Roman"/>
          <w:sz w:val="24"/>
          <w:szCs w:val="24"/>
          <w:lang w:val="en-AU"/>
        </w:rPr>
        <w:t xml:space="preserve">. DFAT may choose to provide technical assistance to </w:t>
      </w:r>
      <w:r w:rsidR="47F654ED" w:rsidRPr="00696A5F">
        <w:rPr>
          <w:rFonts w:eastAsia="Times New Roman"/>
          <w:sz w:val="24"/>
          <w:szCs w:val="24"/>
          <w:lang w:val="en-AU"/>
        </w:rPr>
        <w:t>implementing</w:t>
      </w:r>
      <w:r w:rsidR="041CA42E" w:rsidRPr="00696A5F">
        <w:rPr>
          <w:rFonts w:eastAsia="Times New Roman"/>
          <w:sz w:val="24"/>
          <w:szCs w:val="24"/>
          <w:lang w:val="en-AU"/>
        </w:rPr>
        <w:t xml:space="preserve"> partner</w:t>
      </w:r>
      <w:r w:rsidR="47F654ED" w:rsidRPr="00696A5F">
        <w:rPr>
          <w:rFonts w:eastAsia="Times New Roman"/>
          <w:sz w:val="24"/>
          <w:szCs w:val="24"/>
          <w:lang w:val="en-AU"/>
        </w:rPr>
        <w:t>s</w:t>
      </w:r>
      <w:r w:rsidR="041CA42E" w:rsidRPr="00696A5F">
        <w:rPr>
          <w:rFonts w:eastAsia="Times New Roman"/>
          <w:sz w:val="24"/>
          <w:szCs w:val="24"/>
          <w:lang w:val="en-AU"/>
        </w:rPr>
        <w:t xml:space="preserve"> to support them meet the requirements. </w:t>
      </w:r>
    </w:p>
    <w:p w14:paraId="68E71FC3" w14:textId="5F315ECD" w:rsidR="003339D3" w:rsidRPr="00696A5F" w:rsidRDefault="000D7D0C" w:rsidP="002E677B">
      <w:pPr>
        <w:numPr>
          <w:ilvl w:val="0"/>
          <w:numId w:val="31"/>
        </w:numPr>
        <w:tabs>
          <w:tab w:val="left" w:pos="284"/>
        </w:tabs>
        <w:contextualSpacing/>
        <w:rPr>
          <w:rFonts w:eastAsia="Times New Roman"/>
          <w:sz w:val="24"/>
          <w:szCs w:val="24"/>
          <w:lang w:val="en-AU"/>
        </w:rPr>
      </w:pPr>
      <w:r w:rsidRPr="00696A5F">
        <w:rPr>
          <w:rFonts w:eastAsia="Times New Roman"/>
          <w:sz w:val="24"/>
          <w:szCs w:val="24"/>
          <w:lang w:val="en-AU"/>
        </w:rPr>
        <w:t>A</w:t>
      </w:r>
      <w:r w:rsidR="003339D3" w:rsidRPr="00696A5F">
        <w:rPr>
          <w:rFonts w:eastAsia="Times New Roman"/>
          <w:sz w:val="24"/>
          <w:szCs w:val="24"/>
          <w:lang w:val="en-AU"/>
        </w:rPr>
        <w:t xml:space="preserve">ll investments will ensure GEDSI </w:t>
      </w:r>
      <w:r w:rsidR="00647187" w:rsidRPr="00696A5F">
        <w:rPr>
          <w:rFonts w:eastAsia="Times New Roman"/>
          <w:sz w:val="24"/>
          <w:szCs w:val="24"/>
          <w:lang w:val="en-AU"/>
        </w:rPr>
        <w:t>is</w:t>
      </w:r>
      <w:r w:rsidR="003339D3" w:rsidRPr="00696A5F">
        <w:rPr>
          <w:rFonts w:eastAsia="Times New Roman"/>
          <w:sz w:val="24"/>
          <w:szCs w:val="24"/>
          <w:lang w:val="en-AU"/>
        </w:rPr>
        <w:t xml:space="preserve"> captured in the activity MEL framework so that the </w:t>
      </w:r>
      <w:r w:rsidR="00A22D08" w:rsidRPr="00696A5F">
        <w:rPr>
          <w:rFonts w:eastAsia="Times New Roman"/>
          <w:sz w:val="24"/>
          <w:szCs w:val="24"/>
          <w:lang w:val="en-AU"/>
        </w:rPr>
        <w:t xml:space="preserve">GEDSI </w:t>
      </w:r>
      <w:r w:rsidR="003339D3" w:rsidRPr="00696A5F">
        <w:rPr>
          <w:rFonts w:eastAsia="Times New Roman"/>
          <w:sz w:val="24"/>
          <w:szCs w:val="24"/>
          <w:lang w:val="en-AU"/>
        </w:rPr>
        <w:t>responsiveness or transformati</w:t>
      </w:r>
      <w:r w:rsidR="00BC2F35">
        <w:rPr>
          <w:rFonts w:eastAsia="Times New Roman"/>
          <w:sz w:val="24"/>
          <w:szCs w:val="24"/>
          <w:lang w:val="en-AU"/>
        </w:rPr>
        <w:t>ve</w:t>
      </w:r>
      <w:r w:rsidR="003339D3" w:rsidRPr="00696A5F">
        <w:rPr>
          <w:rFonts w:eastAsia="Times New Roman"/>
          <w:sz w:val="24"/>
          <w:szCs w:val="24"/>
          <w:lang w:val="en-AU"/>
        </w:rPr>
        <w:t xml:space="preserve"> nature of the project is measured and monitored, and that all requirements on gender and disability in DFAT internal performance monitoring such as IMRs</w:t>
      </w:r>
      <w:r w:rsidR="66716A72" w:rsidRPr="00696A5F">
        <w:rPr>
          <w:rFonts w:eastAsia="Times New Roman"/>
          <w:sz w:val="24"/>
          <w:szCs w:val="24"/>
          <w:lang w:val="en-AU"/>
        </w:rPr>
        <w:t xml:space="preserve"> (Investment Monitoring Reports)</w:t>
      </w:r>
      <w:r w:rsidR="1BB55410" w:rsidRPr="00696A5F">
        <w:rPr>
          <w:rFonts w:eastAsia="Times New Roman"/>
          <w:sz w:val="24"/>
          <w:szCs w:val="24"/>
          <w:lang w:val="en-AU"/>
        </w:rPr>
        <w:t>,</w:t>
      </w:r>
      <w:r w:rsidR="00F65232" w:rsidRPr="00696A5F">
        <w:rPr>
          <w:rFonts w:eastAsia="Times New Roman"/>
          <w:sz w:val="24"/>
          <w:szCs w:val="24"/>
          <w:lang w:val="en-AU"/>
        </w:rPr>
        <w:t xml:space="preserve"> </w:t>
      </w:r>
      <w:r w:rsidR="003339D3" w:rsidRPr="00696A5F">
        <w:rPr>
          <w:rFonts w:eastAsia="Times New Roman"/>
          <w:sz w:val="24"/>
          <w:szCs w:val="24"/>
          <w:lang w:val="en-AU"/>
        </w:rPr>
        <w:t>FIMRs</w:t>
      </w:r>
      <w:r w:rsidR="57B902D2" w:rsidRPr="00696A5F">
        <w:rPr>
          <w:rFonts w:eastAsia="Times New Roman"/>
          <w:sz w:val="24"/>
          <w:szCs w:val="24"/>
          <w:lang w:val="en-AU"/>
        </w:rPr>
        <w:t xml:space="preserve"> </w:t>
      </w:r>
      <w:r w:rsidR="49CCC934" w:rsidRPr="00696A5F">
        <w:rPr>
          <w:rFonts w:eastAsia="Times New Roman"/>
          <w:sz w:val="24"/>
          <w:szCs w:val="24"/>
          <w:lang w:val="en-AU"/>
        </w:rPr>
        <w:t>(Final Investment Monitoring Reports)</w:t>
      </w:r>
      <w:r w:rsidR="57B902D2" w:rsidRPr="00696A5F">
        <w:rPr>
          <w:rFonts w:eastAsia="Times New Roman"/>
          <w:sz w:val="24"/>
          <w:szCs w:val="24"/>
          <w:lang w:val="en-AU"/>
        </w:rPr>
        <w:t xml:space="preserve"> </w:t>
      </w:r>
      <w:r w:rsidR="00F65232" w:rsidRPr="00696A5F">
        <w:rPr>
          <w:rFonts w:eastAsia="Times New Roman"/>
          <w:sz w:val="24"/>
          <w:szCs w:val="24"/>
          <w:lang w:val="en-AU"/>
        </w:rPr>
        <w:t xml:space="preserve">and </w:t>
      </w:r>
      <w:r w:rsidR="57B902D2" w:rsidRPr="00696A5F">
        <w:rPr>
          <w:rFonts w:eastAsia="Times New Roman"/>
          <w:sz w:val="24"/>
          <w:szCs w:val="24"/>
          <w:lang w:val="en-AU"/>
        </w:rPr>
        <w:t>Tier 2 indicators</w:t>
      </w:r>
      <w:r w:rsidR="003339D3" w:rsidRPr="00696A5F">
        <w:rPr>
          <w:rFonts w:eastAsia="Times New Roman"/>
          <w:sz w:val="24"/>
          <w:szCs w:val="24"/>
          <w:lang w:val="en-AU"/>
        </w:rPr>
        <w:t xml:space="preserve"> are covered. </w:t>
      </w:r>
    </w:p>
    <w:p w14:paraId="05BA66C4" w14:textId="77777777" w:rsidR="003339D3" w:rsidRPr="00696A5F" w:rsidRDefault="003339D3" w:rsidP="002E677B">
      <w:pPr>
        <w:numPr>
          <w:ilvl w:val="0"/>
          <w:numId w:val="31"/>
        </w:numPr>
        <w:tabs>
          <w:tab w:val="left" w:pos="284"/>
        </w:tabs>
        <w:contextualSpacing/>
        <w:rPr>
          <w:rFonts w:eastAsia="Times New Roman" w:cstheme="minorHAnsi"/>
          <w:iCs/>
          <w:sz w:val="24"/>
          <w:szCs w:val="24"/>
          <w:lang w:val="en-AU"/>
        </w:rPr>
      </w:pPr>
      <w:r w:rsidRPr="00D24412">
        <w:rPr>
          <w:rFonts w:eastAsia="Times New Roman"/>
          <w:sz w:val="24"/>
          <w:szCs w:val="24"/>
          <w:lang w:val="en-AU"/>
        </w:rPr>
        <w:t>Activity budget</w:t>
      </w:r>
      <w:r w:rsidRPr="00696A5F">
        <w:rPr>
          <w:rFonts w:eastAsia="Times New Roman" w:cstheme="minorHAnsi"/>
          <w:iCs/>
          <w:sz w:val="24"/>
          <w:szCs w:val="24"/>
          <w:lang w:val="en-AU"/>
        </w:rPr>
        <w:t xml:space="preserve">: technical resources to meet the GEDSI ambitions of the project as well as associated implementation and MEL costs will be budgeted within the activity envelope and made explicit in the budget presentation. </w:t>
      </w:r>
    </w:p>
    <w:p w14:paraId="6FEB978F" w14:textId="320FB7A2" w:rsidR="003339D3" w:rsidRPr="00696A5F" w:rsidRDefault="003339D3" w:rsidP="003339D3">
      <w:pPr>
        <w:tabs>
          <w:tab w:val="left" w:pos="284"/>
        </w:tabs>
        <w:rPr>
          <w:rFonts w:eastAsia="Times New Roman" w:cstheme="minorHAnsi"/>
          <w:iCs/>
          <w:sz w:val="24"/>
          <w:szCs w:val="24"/>
          <w:lang w:val="en-AU"/>
        </w:rPr>
      </w:pPr>
      <w:r w:rsidRPr="00696A5F">
        <w:rPr>
          <w:rFonts w:eastAsia="Times New Roman" w:cstheme="minorHAnsi"/>
          <w:b/>
          <w:bCs/>
          <w:iCs/>
          <w:sz w:val="24"/>
          <w:szCs w:val="24"/>
          <w:lang w:val="en-AU"/>
        </w:rPr>
        <w:t xml:space="preserve">GEDSI is mainstreamed through </w:t>
      </w:r>
      <w:r w:rsidR="00647187" w:rsidRPr="00696A5F">
        <w:rPr>
          <w:rFonts w:eastAsia="Times New Roman" w:cstheme="minorHAnsi"/>
          <w:b/>
          <w:bCs/>
          <w:iCs/>
          <w:sz w:val="24"/>
          <w:szCs w:val="24"/>
          <w:lang w:val="en-AU"/>
        </w:rPr>
        <w:t>MAP Phase 2</w:t>
      </w:r>
      <w:r w:rsidRPr="00696A5F">
        <w:rPr>
          <w:rFonts w:eastAsia="Times New Roman" w:cstheme="minorHAnsi"/>
          <w:b/>
          <w:bCs/>
          <w:iCs/>
          <w:sz w:val="24"/>
          <w:szCs w:val="24"/>
          <w:lang w:val="en-AU"/>
        </w:rPr>
        <w:t xml:space="preserve"> governance and management arrangements</w:t>
      </w:r>
      <w:r w:rsidRPr="00696A5F">
        <w:rPr>
          <w:rFonts w:eastAsia="Times New Roman" w:cstheme="minorHAnsi"/>
          <w:iCs/>
          <w:sz w:val="24"/>
          <w:szCs w:val="24"/>
          <w:lang w:val="en-AU"/>
        </w:rPr>
        <w:t xml:space="preserve">. Responsibility and capacity within DFAT to maintain GEDSI standards across the portfolio and hold partners to account on GEDSI </w:t>
      </w:r>
      <w:r w:rsidR="00647187" w:rsidRPr="00696A5F">
        <w:rPr>
          <w:rFonts w:eastAsia="Times New Roman" w:cstheme="minorHAnsi"/>
          <w:iCs/>
          <w:sz w:val="24"/>
          <w:szCs w:val="24"/>
          <w:lang w:val="en-AU"/>
        </w:rPr>
        <w:t>is as follows:</w:t>
      </w:r>
    </w:p>
    <w:p w14:paraId="604AFE77" w14:textId="19C149E0" w:rsidR="00647187" w:rsidRPr="00696A5F" w:rsidRDefault="003339D3" w:rsidP="002E677B">
      <w:pPr>
        <w:pStyle w:val="ListParagraph"/>
        <w:numPr>
          <w:ilvl w:val="0"/>
          <w:numId w:val="33"/>
        </w:numPr>
        <w:tabs>
          <w:tab w:val="left" w:pos="284"/>
        </w:tabs>
        <w:rPr>
          <w:rFonts w:eastAsia="Times New Roman"/>
          <w:sz w:val="24"/>
          <w:szCs w:val="24"/>
          <w:lang w:val="en-AU"/>
        </w:rPr>
      </w:pPr>
      <w:r w:rsidRPr="00696A5F">
        <w:rPr>
          <w:rFonts w:eastAsia="Times New Roman"/>
          <w:sz w:val="24"/>
          <w:szCs w:val="24"/>
          <w:lang w:val="en-AU"/>
        </w:rPr>
        <w:t>MKS will be responsible for managing the relative distribution of GEDSI principal/significant</w:t>
      </w:r>
      <w:r w:rsidR="00CC4A3F" w:rsidRPr="00696A5F">
        <w:rPr>
          <w:rFonts w:eastAsia="Times New Roman"/>
          <w:sz w:val="24"/>
          <w:szCs w:val="24"/>
          <w:lang w:val="en-AU"/>
        </w:rPr>
        <w:t xml:space="preserve"> </w:t>
      </w:r>
      <w:r w:rsidRPr="00696A5F">
        <w:rPr>
          <w:rFonts w:eastAsia="Times New Roman"/>
          <w:sz w:val="24"/>
          <w:szCs w:val="24"/>
          <w:lang w:val="en-AU"/>
        </w:rPr>
        <w:t>/neutral investments; ensuring coherence on GEDSI at the portfolio level with support from Gender Equality Branch; reporting on GEDSI to the MAP Steering Committee.</w:t>
      </w:r>
    </w:p>
    <w:p w14:paraId="11F0A0BF" w14:textId="16BCED15" w:rsidR="00647187" w:rsidRPr="00696A5F" w:rsidRDefault="00CC4A3F" w:rsidP="002E677B">
      <w:pPr>
        <w:pStyle w:val="ListParagraph"/>
        <w:numPr>
          <w:ilvl w:val="0"/>
          <w:numId w:val="33"/>
        </w:numPr>
        <w:tabs>
          <w:tab w:val="left" w:pos="284"/>
        </w:tabs>
        <w:rPr>
          <w:rFonts w:eastAsia="Times New Roman" w:cstheme="minorHAnsi"/>
          <w:iCs/>
          <w:sz w:val="24"/>
          <w:szCs w:val="24"/>
          <w:lang w:val="en-AU"/>
        </w:rPr>
      </w:pPr>
      <w:r w:rsidRPr="00696A5F">
        <w:rPr>
          <w:rFonts w:eastAsia="Times New Roman" w:cstheme="minorHAnsi"/>
          <w:iCs/>
          <w:sz w:val="24"/>
          <w:szCs w:val="24"/>
          <w:lang w:val="en-AU"/>
        </w:rPr>
        <w:lastRenderedPageBreak/>
        <w:t xml:space="preserve">The </w:t>
      </w:r>
      <w:r w:rsidR="003339D3" w:rsidRPr="00696A5F">
        <w:rPr>
          <w:rFonts w:eastAsia="Times New Roman" w:cstheme="minorHAnsi"/>
          <w:iCs/>
          <w:sz w:val="24"/>
          <w:szCs w:val="24"/>
          <w:lang w:val="en-AU"/>
        </w:rPr>
        <w:t xml:space="preserve">Mekong Hub will </w:t>
      </w:r>
      <w:r w:rsidRPr="00696A5F">
        <w:rPr>
          <w:rFonts w:eastAsia="Times New Roman" w:cstheme="minorHAnsi"/>
          <w:iCs/>
          <w:sz w:val="24"/>
          <w:szCs w:val="24"/>
          <w:lang w:val="en-AU"/>
        </w:rPr>
        <w:t xml:space="preserve">include a full time Lead GEDSI Adviser based in the </w:t>
      </w:r>
      <w:r w:rsidR="00CB230B" w:rsidRPr="00696A5F">
        <w:rPr>
          <w:rFonts w:eastAsia="Times New Roman" w:cstheme="minorHAnsi"/>
          <w:iCs/>
          <w:sz w:val="24"/>
          <w:szCs w:val="24"/>
          <w:lang w:val="en-AU"/>
        </w:rPr>
        <w:t xml:space="preserve">subregion </w:t>
      </w:r>
      <w:r w:rsidRPr="00696A5F">
        <w:rPr>
          <w:rFonts w:eastAsia="Times New Roman" w:cstheme="minorHAnsi"/>
          <w:iCs/>
          <w:sz w:val="24"/>
          <w:szCs w:val="24"/>
          <w:lang w:val="en-AU"/>
        </w:rPr>
        <w:t xml:space="preserve">responsible for establishing the processes, relationships, understanding and capacity within DFAT to implement the </w:t>
      </w:r>
      <w:r w:rsidR="0040169E" w:rsidRPr="00696A5F">
        <w:rPr>
          <w:rFonts w:eastAsia="Times New Roman" w:cstheme="minorHAnsi"/>
          <w:iCs/>
          <w:sz w:val="24"/>
          <w:szCs w:val="24"/>
          <w:lang w:val="en-AU"/>
        </w:rPr>
        <w:t>portfolio</w:t>
      </w:r>
      <w:r w:rsidRPr="00696A5F">
        <w:rPr>
          <w:rFonts w:eastAsia="Times New Roman" w:cstheme="minorHAnsi"/>
          <w:iCs/>
          <w:sz w:val="24"/>
          <w:szCs w:val="24"/>
          <w:lang w:val="en-AU"/>
        </w:rPr>
        <w:t xml:space="preserve">’s GEDSI approach. This will include regular communication and interaction with </w:t>
      </w:r>
      <w:r w:rsidR="00BB2501" w:rsidRPr="00696A5F">
        <w:rPr>
          <w:rFonts w:eastAsia="Times New Roman" w:cstheme="minorHAnsi"/>
          <w:iCs/>
          <w:sz w:val="24"/>
          <w:szCs w:val="24"/>
          <w:lang w:val="en-AU"/>
        </w:rPr>
        <w:t>Post</w:t>
      </w:r>
      <w:r w:rsidRPr="00696A5F">
        <w:rPr>
          <w:rFonts w:eastAsia="Times New Roman" w:cstheme="minorHAnsi"/>
          <w:iCs/>
          <w:sz w:val="24"/>
          <w:szCs w:val="24"/>
          <w:lang w:val="en-AU"/>
        </w:rPr>
        <w:t>s to support GEDSI related programming and mainstreaming, implementation trouble shooting, forging linkages across projects, monitoring portfolio coherence and intersectionality on GEDSI. They will be supported by a GEDSI Panel of technical assistance including disability specialists</w:t>
      </w:r>
      <w:r w:rsidR="00647187" w:rsidRPr="00696A5F">
        <w:rPr>
          <w:rFonts w:eastAsia="Times New Roman" w:cstheme="minorHAnsi"/>
          <w:iCs/>
          <w:sz w:val="24"/>
          <w:szCs w:val="24"/>
          <w:lang w:val="en-AU"/>
        </w:rPr>
        <w:t>. T</w:t>
      </w:r>
      <w:r w:rsidRPr="00696A5F">
        <w:rPr>
          <w:rFonts w:eastAsia="Times New Roman" w:cstheme="minorHAnsi"/>
          <w:iCs/>
          <w:sz w:val="24"/>
          <w:szCs w:val="24"/>
          <w:lang w:val="en-AU"/>
        </w:rPr>
        <w:t>he Mekong Hub will manage</w:t>
      </w:r>
      <w:r w:rsidR="00647187" w:rsidRPr="00696A5F">
        <w:rPr>
          <w:rFonts w:eastAsia="Times New Roman" w:cstheme="minorHAnsi"/>
          <w:iCs/>
          <w:sz w:val="24"/>
          <w:szCs w:val="24"/>
          <w:lang w:val="en-AU"/>
        </w:rPr>
        <w:t xml:space="preserve"> the panel</w:t>
      </w:r>
      <w:r w:rsidR="0012573A" w:rsidRPr="00696A5F">
        <w:rPr>
          <w:rFonts w:eastAsia="Times New Roman" w:cstheme="minorHAnsi"/>
          <w:iCs/>
          <w:sz w:val="24"/>
          <w:szCs w:val="24"/>
          <w:lang w:val="en-AU"/>
        </w:rPr>
        <w:t>.</w:t>
      </w:r>
    </w:p>
    <w:p w14:paraId="617090A8" w14:textId="05406549" w:rsidR="00E40CEC" w:rsidRPr="00696A5F" w:rsidRDefault="00647187" w:rsidP="002E677B">
      <w:pPr>
        <w:pStyle w:val="ListParagraph"/>
        <w:numPr>
          <w:ilvl w:val="0"/>
          <w:numId w:val="33"/>
        </w:numPr>
        <w:tabs>
          <w:tab w:val="left" w:pos="284"/>
        </w:tabs>
        <w:rPr>
          <w:rFonts w:eastAsia="Times New Roman"/>
          <w:sz w:val="24"/>
          <w:szCs w:val="24"/>
          <w:lang w:val="en-AU"/>
        </w:rPr>
      </w:pPr>
      <w:r w:rsidRPr="00696A5F">
        <w:rPr>
          <w:rFonts w:eastAsia="Times New Roman"/>
          <w:sz w:val="24"/>
          <w:szCs w:val="24"/>
          <w:lang w:val="en-AU"/>
        </w:rPr>
        <w:t xml:space="preserve">The Mekong Hub will </w:t>
      </w:r>
      <w:r w:rsidR="003339D3" w:rsidRPr="00696A5F">
        <w:rPr>
          <w:rFonts w:eastAsia="Times New Roman"/>
          <w:sz w:val="24"/>
          <w:szCs w:val="24"/>
          <w:lang w:val="en-AU"/>
        </w:rPr>
        <w:t xml:space="preserve">ensure GEDSI mainstreaming standards are understood by partners. For some </w:t>
      </w:r>
      <w:r w:rsidR="007F4927" w:rsidRPr="00696A5F">
        <w:rPr>
          <w:rFonts w:eastAsia="Times New Roman"/>
          <w:sz w:val="24"/>
          <w:szCs w:val="24"/>
          <w:lang w:val="en-AU"/>
        </w:rPr>
        <w:t>Australian Government Agencies</w:t>
      </w:r>
      <w:r w:rsidR="003339D3" w:rsidRPr="00696A5F">
        <w:rPr>
          <w:rFonts w:eastAsia="Times New Roman"/>
          <w:sz w:val="24"/>
          <w:szCs w:val="24"/>
          <w:lang w:val="en-AU"/>
        </w:rPr>
        <w:t xml:space="preserve"> and Mekong partners this may require provision of foundational awareness raising and </w:t>
      </w:r>
      <w:r w:rsidR="5CE9B2E1" w:rsidRPr="00696A5F">
        <w:rPr>
          <w:rFonts w:eastAsia="Times New Roman"/>
          <w:sz w:val="24"/>
          <w:szCs w:val="24"/>
          <w:lang w:val="en-AU"/>
        </w:rPr>
        <w:t>signposting</w:t>
      </w:r>
      <w:r w:rsidR="003339D3" w:rsidRPr="00696A5F">
        <w:rPr>
          <w:rFonts w:eastAsia="Times New Roman"/>
          <w:sz w:val="24"/>
          <w:szCs w:val="24"/>
          <w:lang w:val="en-AU"/>
        </w:rPr>
        <w:t xml:space="preserve"> to technical resources. </w:t>
      </w:r>
      <w:r w:rsidR="00CC4A3F" w:rsidRPr="00696A5F">
        <w:rPr>
          <w:rFonts w:eastAsia="Times New Roman"/>
          <w:sz w:val="24"/>
          <w:szCs w:val="24"/>
          <w:lang w:val="en-AU"/>
        </w:rPr>
        <w:t xml:space="preserve">Mekong Hub </w:t>
      </w:r>
      <w:r w:rsidR="003339D3" w:rsidRPr="00696A5F">
        <w:rPr>
          <w:rFonts w:eastAsia="Times New Roman"/>
          <w:sz w:val="24"/>
          <w:szCs w:val="24"/>
          <w:lang w:val="en-AU"/>
        </w:rPr>
        <w:t>will quality assure and monitor all investments against the GEDSI standards for MAP Phase 2</w:t>
      </w:r>
      <w:r w:rsidR="0012573A" w:rsidRPr="00696A5F">
        <w:rPr>
          <w:rFonts w:eastAsia="Times New Roman"/>
          <w:sz w:val="24"/>
          <w:szCs w:val="24"/>
          <w:lang w:val="en-AU"/>
        </w:rPr>
        <w:t>.</w:t>
      </w:r>
    </w:p>
    <w:p w14:paraId="2C3DAAD2" w14:textId="718BC99E" w:rsidR="00E40CEC" w:rsidRPr="00696A5F" w:rsidRDefault="00647187" w:rsidP="002E677B">
      <w:pPr>
        <w:pStyle w:val="ListParagraph"/>
        <w:numPr>
          <w:ilvl w:val="0"/>
          <w:numId w:val="33"/>
        </w:numPr>
        <w:tabs>
          <w:tab w:val="left" w:pos="284"/>
        </w:tabs>
        <w:rPr>
          <w:rFonts w:eastAsia="Times New Roman" w:cstheme="minorHAnsi"/>
          <w:iCs/>
          <w:sz w:val="24"/>
          <w:szCs w:val="24"/>
          <w:lang w:val="en-AU"/>
        </w:rPr>
      </w:pPr>
      <w:r w:rsidRPr="00696A5F">
        <w:rPr>
          <w:rFonts w:eastAsia="Times New Roman" w:cstheme="minorHAnsi"/>
          <w:iCs/>
          <w:sz w:val="24"/>
          <w:szCs w:val="24"/>
          <w:lang w:val="en-AU"/>
        </w:rPr>
        <w:t xml:space="preserve">The </w:t>
      </w:r>
      <w:r w:rsidR="003339D3" w:rsidRPr="00696A5F">
        <w:rPr>
          <w:rFonts w:eastAsia="Times New Roman" w:cstheme="minorHAnsi"/>
          <w:iCs/>
          <w:sz w:val="24"/>
          <w:szCs w:val="24"/>
          <w:lang w:val="en-AU"/>
        </w:rPr>
        <w:t xml:space="preserve">Mekong Hub will lead portfolio-wide learning and exchange on GEDSI. This will include quarterly meetings with respective GEDSI responsible person at </w:t>
      </w:r>
      <w:r w:rsidR="00BB2501" w:rsidRPr="00696A5F">
        <w:rPr>
          <w:rFonts w:eastAsia="Times New Roman" w:cstheme="minorHAnsi"/>
          <w:iCs/>
          <w:sz w:val="24"/>
          <w:szCs w:val="24"/>
          <w:lang w:val="en-AU"/>
        </w:rPr>
        <w:t>Post</w:t>
      </w:r>
      <w:r w:rsidR="003339D3" w:rsidRPr="00696A5F">
        <w:rPr>
          <w:rFonts w:eastAsia="Times New Roman" w:cstheme="minorHAnsi"/>
          <w:iCs/>
          <w:sz w:val="24"/>
          <w:szCs w:val="24"/>
          <w:lang w:val="en-AU"/>
        </w:rPr>
        <w:t xml:space="preserve">s and an annual learning and exchange workshop with all </w:t>
      </w:r>
      <w:r w:rsidR="00BB2501" w:rsidRPr="00696A5F">
        <w:rPr>
          <w:rFonts w:eastAsia="Times New Roman" w:cstheme="minorHAnsi"/>
          <w:iCs/>
          <w:sz w:val="24"/>
          <w:szCs w:val="24"/>
          <w:lang w:val="en-AU"/>
        </w:rPr>
        <w:t>Post</w:t>
      </w:r>
      <w:r w:rsidR="003339D3" w:rsidRPr="00696A5F">
        <w:rPr>
          <w:rFonts w:eastAsia="Times New Roman" w:cstheme="minorHAnsi"/>
          <w:iCs/>
          <w:sz w:val="24"/>
          <w:szCs w:val="24"/>
          <w:lang w:val="en-AU"/>
        </w:rPr>
        <w:t>s, selected implementing partners and stakeholders</w:t>
      </w:r>
      <w:r w:rsidR="0012573A" w:rsidRPr="00696A5F">
        <w:rPr>
          <w:rFonts w:eastAsia="Times New Roman" w:cstheme="minorHAnsi"/>
          <w:iCs/>
          <w:sz w:val="24"/>
          <w:szCs w:val="24"/>
          <w:lang w:val="en-AU"/>
        </w:rPr>
        <w:t>.</w:t>
      </w:r>
    </w:p>
    <w:p w14:paraId="1FB4E482" w14:textId="500EA97E" w:rsidR="00E40CEC" w:rsidRPr="00696A5F" w:rsidRDefault="003339D3" w:rsidP="002E677B">
      <w:pPr>
        <w:pStyle w:val="ListParagraph"/>
        <w:numPr>
          <w:ilvl w:val="0"/>
          <w:numId w:val="33"/>
        </w:numPr>
        <w:tabs>
          <w:tab w:val="left" w:pos="284"/>
        </w:tabs>
        <w:rPr>
          <w:rFonts w:eastAsia="Times New Roman" w:cstheme="minorHAnsi"/>
          <w:iCs/>
          <w:sz w:val="24"/>
          <w:szCs w:val="24"/>
          <w:lang w:val="en-AU"/>
        </w:rPr>
      </w:pPr>
      <w:r w:rsidRPr="00696A5F">
        <w:rPr>
          <w:rFonts w:eastAsia="Times New Roman" w:cstheme="minorHAnsi"/>
          <w:iCs/>
          <w:sz w:val="24"/>
          <w:szCs w:val="24"/>
          <w:lang w:val="en-AU"/>
        </w:rPr>
        <w:t xml:space="preserve">The Mekong Hub will be responsible for knowledge management and dissemination of GEDSI learning and good practice. It will have the scope to commission research to aid MAP Phase 2 GEDSI learning </w:t>
      </w:r>
      <w:r w:rsidR="00647187" w:rsidRPr="00696A5F">
        <w:rPr>
          <w:rFonts w:eastAsia="Times New Roman" w:cstheme="minorHAnsi"/>
          <w:iCs/>
          <w:sz w:val="24"/>
          <w:szCs w:val="24"/>
          <w:lang w:val="en-AU"/>
        </w:rPr>
        <w:t>and</w:t>
      </w:r>
      <w:r w:rsidRPr="00696A5F">
        <w:rPr>
          <w:rFonts w:eastAsia="Times New Roman" w:cstheme="minorHAnsi"/>
          <w:iCs/>
          <w:sz w:val="24"/>
          <w:szCs w:val="24"/>
          <w:lang w:val="en-AU"/>
        </w:rPr>
        <w:t xml:space="preserve"> produce knowledge products to contribute to the Mekong enabling environment and DFAT good practice</w:t>
      </w:r>
      <w:r w:rsidR="0012573A" w:rsidRPr="00696A5F">
        <w:rPr>
          <w:rFonts w:eastAsia="Times New Roman" w:cstheme="minorHAnsi"/>
          <w:iCs/>
          <w:sz w:val="24"/>
          <w:szCs w:val="24"/>
          <w:lang w:val="en-AU"/>
        </w:rPr>
        <w:t>.</w:t>
      </w:r>
    </w:p>
    <w:p w14:paraId="5E794D65" w14:textId="1C4ED7BC" w:rsidR="003339D3" w:rsidRPr="00696A5F" w:rsidRDefault="00BB2501" w:rsidP="002E677B">
      <w:pPr>
        <w:pStyle w:val="ListParagraph"/>
        <w:numPr>
          <w:ilvl w:val="0"/>
          <w:numId w:val="33"/>
        </w:numPr>
        <w:tabs>
          <w:tab w:val="left" w:pos="284"/>
        </w:tabs>
        <w:rPr>
          <w:rFonts w:eastAsia="Times New Roman" w:cstheme="minorHAnsi"/>
          <w:iCs/>
          <w:sz w:val="24"/>
          <w:szCs w:val="24"/>
          <w:lang w:val="en-AU"/>
        </w:rPr>
      </w:pPr>
      <w:r w:rsidRPr="00696A5F">
        <w:rPr>
          <w:rFonts w:eastAsia="Times New Roman" w:cstheme="minorHAnsi"/>
          <w:iCs/>
          <w:sz w:val="24"/>
          <w:szCs w:val="24"/>
          <w:lang w:val="en-AU"/>
        </w:rPr>
        <w:t>Post</w:t>
      </w:r>
      <w:r w:rsidR="003339D3" w:rsidRPr="00696A5F">
        <w:rPr>
          <w:rFonts w:eastAsia="Times New Roman" w:cstheme="minorHAnsi"/>
          <w:iCs/>
          <w:sz w:val="24"/>
          <w:szCs w:val="24"/>
          <w:lang w:val="en-AU"/>
        </w:rPr>
        <w:t xml:space="preserve">s will leverage their existing GEDSI team to support MAP Phase 2 programming. They will be responsible for ensuring GEDSI standards are upheld for bilateral programming funded by MAP Phase 2 and report on GEDSI performance of this funding as part of bilateral reporting. Where necessary, </w:t>
      </w:r>
      <w:r w:rsidRPr="00696A5F">
        <w:rPr>
          <w:rFonts w:eastAsia="Times New Roman" w:cstheme="minorHAnsi"/>
          <w:iCs/>
          <w:sz w:val="24"/>
          <w:szCs w:val="24"/>
          <w:lang w:val="en-AU"/>
        </w:rPr>
        <w:t>Post</w:t>
      </w:r>
      <w:r w:rsidR="003339D3" w:rsidRPr="00696A5F">
        <w:rPr>
          <w:rFonts w:eastAsia="Times New Roman" w:cstheme="minorHAnsi"/>
          <w:iCs/>
          <w:sz w:val="24"/>
          <w:szCs w:val="24"/>
          <w:lang w:val="en-AU"/>
        </w:rPr>
        <w:t>s will be able to draw down on the MAP Phase 2 GEDSI Panel managed by Mekong Hub to support the design, quality assurance and monitoring of GEDSI targeted investments and GEDSI mainstreaming into</w:t>
      </w:r>
      <w:r w:rsidR="00DC0746" w:rsidRPr="00696A5F">
        <w:rPr>
          <w:rFonts w:eastAsia="Times New Roman" w:cstheme="minorHAnsi"/>
          <w:iCs/>
          <w:sz w:val="24"/>
          <w:szCs w:val="24"/>
          <w:lang w:val="en-AU"/>
        </w:rPr>
        <w:t xml:space="preserve"> </w:t>
      </w:r>
      <w:r w:rsidR="003339D3" w:rsidRPr="00696A5F">
        <w:rPr>
          <w:rFonts w:eastAsia="Times New Roman" w:cstheme="minorHAnsi"/>
          <w:iCs/>
          <w:sz w:val="24"/>
          <w:szCs w:val="24"/>
          <w:lang w:val="en-AU"/>
        </w:rPr>
        <w:t xml:space="preserve">thematic activities. For </w:t>
      </w:r>
      <w:r w:rsidRPr="00696A5F">
        <w:rPr>
          <w:rFonts w:eastAsia="Times New Roman" w:cstheme="minorHAnsi"/>
          <w:iCs/>
          <w:sz w:val="24"/>
          <w:szCs w:val="24"/>
          <w:lang w:val="en-AU"/>
        </w:rPr>
        <w:t>Post</w:t>
      </w:r>
      <w:r w:rsidR="003339D3" w:rsidRPr="00696A5F">
        <w:rPr>
          <w:rFonts w:eastAsia="Times New Roman" w:cstheme="minorHAnsi"/>
          <w:iCs/>
          <w:sz w:val="24"/>
          <w:szCs w:val="24"/>
          <w:lang w:val="en-AU"/>
        </w:rPr>
        <w:t xml:space="preserve">s without a GEDSI position, this may include contracting a MAP Phase 2 GEDSI Adviser. </w:t>
      </w:r>
    </w:p>
    <w:p w14:paraId="4DD31D3B" w14:textId="77777777" w:rsidR="006D3264" w:rsidRPr="001F14E7" w:rsidRDefault="006D3264" w:rsidP="0058480B">
      <w:pPr>
        <w:pStyle w:val="Heading2Numbered"/>
        <w:rPr>
          <w:lang w:val="en-AU"/>
        </w:rPr>
      </w:pPr>
      <w:bookmarkStart w:id="101" w:name="_Toc174029048"/>
      <w:r w:rsidRPr="2C480AEE">
        <w:rPr>
          <w:lang w:val="en-AU"/>
        </w:rPr>
        <w:t>Gender Equality</w:t>
      </w:r>
      <w:bookmarkEnd w:id="101"/>
      <w:r w:rsidRPr="2C480AEE">
        <w:rPr>
          <w:lang w:val="en-AU"/>
        </w:rPr>
        <w:t xml:space="preserve"> </w:t>
      </w:r>
    </w:p>
    <w:p w14:paraId="3715315B" w14:textId="77777777" w:rsidR="006D3264" w:rsidRPr="00696A5F" w:rsidRDefault="006D3264" w:rsidP="006D3264">
      <w:pPr>
        <w:tabs>
          <w:tab w:val="left" w:pos="284"/>
        </w:tabs>
        <w:rPr>
          <w:rFonts w:eastAsia="Times New Roman" w:cstheme="minorHAnsi"/>
          <w:iCs/>
          <w:sz w:val="24"/>
          <w:szCs w:val="24"/>
          <w:lang w:val="en-AU"/>
        </w:rPr>
      </w:pPr>
      <w:r w:rsidRPr="00696A5F">
        <w:rPr>
          <w:rFonts w:eastAsia="Times New Roman" w:cstheme="minorHAnsi"/>
          <w:iCs/>
          <w:sz w:val="24"/>
          <w:szCs w:val="24"/>
          <w:lang w:val="en-AU"/>
        </w:rPr>
        <w:t xml:space="preserve">MAP Phase 2 meets the OECD DAC marker for a significant gender equality investment. </w:t>
      </w:r>
      <w:r w:rsidRPr="00696A5F">
        <w:rPr>
          <w:rFonts w:eastAsia="Calibri Light" w:cstheme="minorHAnsi"/>
          <w:sz w:val="24"/>
          <w:szCs w:val="24"/>
          <w:lang w:val="en-AU"/>
        </w:rPr>
        <w:t xml:space="preserve">The portfolio will support two out of the three priorities of DFAT’s </w:t>
      </w:r>
      <w:r w:rsidRPr="00696A5F">
        <w:rPr>
          <w:rFonts w:eastAsia="Calibri Light" w:cstheme="minorHAnsi"/>
          <w:i/>
          <w:iCs/>
          <w:sz w:val="24"/>
          <w:szCs w:val="24"/>
          <w:lang w:val="en-AU"/>
        </w:rPr>
        <w:t>Gender Equality and Women’s Empowerment Strategy</w:t>
      </w:r>
      <w:r w:rsidRPr="00696A5F">
        <w:rPr>
          <w:rFonts w:eastAsia="Calibri Light" w:cstheme="minorHAnsi"/>
          <w:sz w:val="24"/>
          <w:szCs w:val="24"/>
          <w:lang w:val="en-AU"/>
        </w:rPr>
        <w:t xml:space="preserve">, namely enhancing women’s voice in decision-making, leadership, and peace building, and promoting women’s economic empowerment. </w:t>
      </w:r>
    </w:p>
    <w:p w14:paraId="4313507E" w14:textId="56308221" w:rsidR="006D3264" w:rsidRPr="00696A5F" w:rsidRDefault="006D3264" w:rsidP="006D3264">
      <w:pPr>
        <w:tabs>
          <w:tab w:val="left" w:pos="284"/>
        </w:tabs>
        <w:rPr>
          <w:rFonts w:eastAsia="Times New Roman"/>
          <w:color w:val="495965"/>
          <w:sz w:val="24"/>
          <w:szCs w:val="24"/>
          <w:lang w:val="en-AU"/>
        </w:rPr>
      </w:pPr>
      <w:r w:rsidRPr="00696A5F">
        <w:rPr>
          <w:rFonts w:eastAsia="Times New Roman"/>
          <w:sz w:val="24"/>
          <w:szCs w:val="24"/>
          <w:lang w:val="en-AU"/>
        </w:rPr>
        <w:t xml:space="preserve">In line with </w:t>
      </w:r>
      <w:r w:rsidR="00344F96">
        <w:rPr>
          <w:rFonts w:eastAsia="Times New Roman"/>
          <w:sz w:val="24"/>
          <w:szCs w:val="24"/>
          <w:lang w:val="en-AU"/>
        </w:rPr>
        <w:t>broader DFAT GEDSI priorities</w:t>
      </w:r>
      <w:r w:rsidRPr="00696A5F">
        <w:rPr>
          <w:rFonts w:eastAsia="Times New Roman"/>
          <w:sz w:val="24"/>
          <w:szCs w:val="24"/>
          <w:lang w:val="en-AU"/>
        </w:rPr>
        <w:t>, 80 per cent of MAP funded investments will be gender responsive or gender transformati</w:t>
      </w:r>
      <w:r w:rsidR="004A7195">
        <w:rPr>
          <w:rFonts w:eastAsia="Times New Roman"/>
          <w:sz w:val="24"/>
          <w:szCs w:val="24"/>
          <w:lang w:val="en-AU"/>
        </w:rPr>
        <w:t>ve</w:t>
      </w:r>
      <w:r w:rsidRPr="00696A5F">
        <w:rPr>
          <w:rFonts w:eastAsia="Times New Roman"/>
          <w:sz w:val="24"/>
          <w:szCs w:val="24"/>
          <w:lang w:val="en-AU"/>
        </w:rPr>
        <w:t>, the remaining 20 per cent will be gender sensitive at a minimum. An explanation of gender responsive and transformative is included in Figure 3 below.</w:t>
      </w:r>
    </w:p>
    <w:p w14:paraId="5703C2D8" w14:textId="2BD04624" w:rsidR="006D3264" w:rsidRPr="00696A5F" w:rsidRDefault="006D3264" w:rsidP="006D3264">
      <w:pPr>
        <w:pStyle w:val="Caption"/>
        <w:keepNext/>
        <w:rPr>
          <w:sz w:val="24"/>
          <w:szCs w:val="24"/>
          <w:lang w:val="en-AU"/>
        </w:rPr>
      </w:pPr>
      <w:r w:rsidRPr="00696A5F">
        <w:rPr>
          <w:sz w:val="24"/>
          <w:szCs w:val="24"/>
          <w:lang w:val="en-AU"/>
        </w:rPr>
        <w:lastRenderedPageBreak/>
        <w:t xml:space="preserve">Figure </w:t>
      </w:r>
      <w:r w:rsidRPr="00696A5F">
        <w:rPr>
          <w:color w:val="2B579A"/>
          <w:sz w:val="24"/>
          <w:szCs w:val="24"/>
          <w:shd w:val="clear" w:color="auto" w:fill="E6E6E6"/>
          <w:lang w:val="en-AU"/>
        </w:rPr>
        <w:fldChar w:fldCharType="begin"/>
      </w:r>
      <w:r w:rsidRPr="00696A5F">
        <w:rPr>
          <w:sz w:val="24"/>
          <w:szCs w:val="24"/>
          <w:lang w:val="en-AU"/>
        </w:rPr>
        <w:instrText xml:space="preserve"> SEQ Figure \* ARABIC </w:instrText>
      </w:r>
      <w:r w:rsidRPr="00696A5F">
        <w:rPr>
          <w:color w:val="2B579A"/>
          <w:sz w:val="24"/>
          <w:szCs w:val="24"/>
          <w:shd w:val="clear" w:color="auto" w:fill="E6E6E6"/>
          <w:lang w:val="en-AU"/>
        </w:rPr>
        <w:fldChar w:fldCharType="separate"/>
      </w:r>
      <w:r w:rsidR="003E1E3C" w:rsidRPr="00696A5F">
        <w:rPr>
          <w:noProof/>
          <w:sz w:val="24"/>
          <w:szCs w:val="24"/>
          <w:lang w:val="en-AU"/>
        </w:rPr>
        <w:t>3</w:t>
      </w:r>
      <w:r w:rsidRPr="00696A5F">
        <w:rPr>
          <w:color w:val="2B579A"/>
          <w:sz w:val="24"/>
          <w:szCs w:val="24"/>
          <w:shd w:val="clear" w:color="auto" w:fill="E6E6E6"/>
          <w:lang w:val="en-AU"/>
        </w:rPr>
        <w:fldChar w:fldCharType="end"/>
      </w:r>
      <w:r w:rsidRPr="00696A5F">
        <w:rPr>
          <w:sz w:val="24"/>
          <w:szCs w:val="24"/>
          <w:lang w:val="en-AU"/>
        </w:rPr>
        <w:t>: Gender Responsive and Gender Transformative Programming</w:t>
      </w:r>
    </w:p>
    <w:p w14:paraId="4656C6D7" w14:textId="77777777" w:rsidR="006D3264" w:rsidRPr="001F14E7" w:rsidRDefault="006D3264" w:rsidP="006D3264">
      <w:pPr>
        <w:tabs>
          <w:tab w:val="left" w:pos="284"/>
        </w:tabs>
        <w:rPr>
          <w:rFonts w:eastAsia="Times New Roman"/>
          <w:color w:val="495965"/>
          <w:sz w:val="21"/>
          <w:szCs w:val="21"/>
          <w:lang w:val="en-AU"/>
        </w:rPr>
      </w:pPr>
      <w:r w:rsidRPr="001F14E7">
        <w:rPr>
          <w:rFonts w:eastAsia="Times New Roman" w:cstheme="minorHAnsi"/>
          <w:iCs/>
          <w:noProof/>
          <w:color w:val="495965"/>
          <w:sz w:val="21"/>
          <w:szCs w:val="21"/>
          <w:shd w:val="clear" w:color="auto" w:fill="E6E6E6"/>
          <w:lang w:val="en-AU"/>
        </w:rPr>
        <w:drawing>
          <wp:inline distT="0" distB="0" distL="0" distR="0" wp14:anchorId="0A16EEF0" wp14:editId="21F68CCE">
            <wp:extent cx="6072505" cy="1765738"/>
            <wp:effectExtent l="0" t="0" r="0" b="0"/>
            <wp:docPr id="1" name="Picture 1" descr="1. Gender discrimination, 2. Gender blind, 3. Gender sensitive, 4. Gender responsive, 5. Gender transform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 Gender discrimination, 2. Gender blind, 3. Gender sensitive, 4. Gender responsive, 5. Gender transformative."/>
                    <pic:cNvPicPr/>
                  </pic:nvPicPr>
                  <pic:blipFill rotWithShape="1">
                    <a:blip r:embed="rId15"/>
                    <a:srcRect l="6217" t="33140" r="6164" b="34127"/>
                    <a:stretch/>
                  </pic:blipFill>
                  <pic:spPr bwMode="auto">
                    <a:xfrm>
                      <a:off x="0" y="0"/>
                      <a:ext cx="6175892" cy="1795800"/>
                    </a:xfrm>
                    <a:prstGeom prst="rect">
                      <a:avLst/>
                    </a:prstGeom>
                    <a:ln>
                      <a:noFill/>
                    </a:ln>
                    <a:extLst>
                      <a:ext uri="{53640926-AAD7-44D8-BBD7-CCE9431645EC}">
                        <a14:shadowObscured xmlns:a14="http://schemas.microsoft.com/office/drawing/2010/main"/>
                      </a:ext>
                    </a:extLst>
                  </pic:spPr>
                </pic:pic>
              </a:graphicData>
            </a:graphic>
          </wp:inline>
        </w:drawing>
      </w:r>
    </w:p>
    <w:p w14:paraId="47E15510" w14:textId="77777777" w:rsidR="006D3264" w:rsidRPr="0058480B" w:rsidRDefault="006D3264" w:rsidP="0058480B">
      <w:pPr>
        <w:tabs>
          <w:tab w:val="left" w:pos="284"/>
        </w:tabs>
        <w:rPr>
          <w:rFonts w:eastAsia="Times New Roman" w:cstheme="minorHAnsi"/>
          <w:iCs/>
          <w:sz w:val="21"/>
          <w:szCs w:val="21"/>
          <w:lang w:val="en-AU"/>
        </w:rPr>
      </w:pPr>
    </w:p>
    <w:p w14:paraId="0A79996E" w14:textId="2096205F" w:rsidR="00A32858" w:rsidRPr="001F14E7" w:rsidRDefault="00A32858" w:rsidP="00403666">
      <w:pPr>
        <w:pStyle w:val="Heading2Numbered"/>
        <w:rPr>
          <w:lang w:val="en-AU"/>
        </w:rPr>
      </w:pPr>
      <w:bookmarkStart w:id="102" w:name="_Toc162287879"/>
      <w:bookmarkStart w:id="103" w:name="_Toc163539166"/>
      <w:bookmarkStart w:id="104" w:name="_Toc174029049"/>
      <w:r w:rsidRPr="2C480AEE">
        <w:rPr>
          <w:lang w:val="en-AU"/>
        </w:rPr>
        <w:t>Disability Inclusiveness</w:t>
      </w:r>
      <w:bookmarkEnd w:id="102"/>
      <w:bookmarkEnd w:id="103"/>
      <w:bookmarkEnd w:id="104"/>
    </w:p>
    <w:p w14:paraId="2723C766" w14:textId="15384739" w:rsidR="00A22D08" w:rsidRPr="00696A5F" w:rsidRDefault="00A22D08" w:rsidP="005A2AB3">
      <w:pPr>
        <w:rPr>
          <w:sz w:val="24"/>
          <w:szCs w:val="24"/>
          <w:lang w:val="en-AU"/>
        </w:rPr>
      </w:pPr>
      <w:r w:rsidRPr="00696A5F">
        <w:rPr>
          <w:sz w:val="24"/>
          <w:szCs w:val="24"/>
          <w:lang w:val="en-AU" w:eastAsia="en-GB"/>
        </w:rPr>
        <w:t xml:space="preserve">The ASEAN Declaration on Disability Inclusive Development and Partnership for a Resilient ASEAN Community acknowledges that </w:t>
      </w:r>
      <w:r w:rsidRPr="00696A5F">
        <w:rPr>
          <w:b/>
          <w:bCs/>
          <w:sz w:val="24"/>
          <w:szCs w:val="24"/>
          <w:lang w:val="en-AU" w:eastAsia="en-GB"/>
        </w:rPr>
        <w:t>attitudinal, environmental, institutional, and social barriers</w:t>
      </w:r>
      <w:r w:rsidRPr="00696A5F">
        <w:rPr>
          <w:b/>
          <w:bCs/>
          <w:sz w:val="24"/>
          <w:szCs w:val="24"/>
          <w:lang w:val="en-AU"/>
        </w:rPr>
        <w:t xml:space="preserve"> are </w:t>
      </w:r>
      <w:r w:rsidRPr="00696A5F">
        <w:rPr>
          <w:b/>
          <w:bCs/>
          <w:sz w:val="24"/>
          <w:szCs w:val="24"/>
          <w:lang w:val="en-AU" w:eastAsia="en-GB"/>
        </w:rPr>
        <w:t>challenges to promoting disability inclusion in the region</w:t>
      </w:r>
      <w:r w:rsidRPr="00696A5F">
        <w:rPr>
          <w:sz w:val="24"/>
          <w:szCs w:val="24"/>
          <w:lang w:val="en-AU" w:eastAsia="en-GB"/>
        </w:rPr>
        <w:t>. Weaknesses in government capacity to produce disability statistics hinders informed policy and planning. E</w:t>
      </w:r>
      <w:r w:rsidRPr="00696A5F">
        <w:rPr>
          <w:sz w:val="24"/>
          <w:szCs w:val="24"/>
          <w:lang w:val="en-AU"/>
        </w:rPr>
        <w:t>vidence shows that persons with disability in the Mekong experience significantly higher levels of multidimensional poverty than persons without disability and women with disability the highest.</w:t>
      </w:r>
      <w:r w:rsidRPr="00696A5F">
        <w:rPr>
          <w:sz w:val="24"/>
          <w:szCs w:val="24"/>
          <w:vertAlign w:val="superscript"/>
          <w:lang w:val="en-AU"/>
        </w:rPr>
        <w:footnoteReference w:id="26"/>
      </w:r>
      <w:r w:rsidRPr="00696A5F">
        <w:rPr>
          <w:sz w:val="24"/>
          <w:szCs w:val="24"/>
          <w:lang w:val="en-AU"/>
        </w:rPr>
        <w:t xml:space="preserve"> Women with disability are especially disadvantaged in accessing employment and face the additional social norms of unpaid care and domestic work and what is considered appropriate work for women and men. Persons with disability are highly under-represented in political and public life and even more so women with a disability. Membership of national coordination mechanisms on disability </w:t>
      </w:r>
      <w:r w:rsidR="00930EB4" w:rsidRPr="00696A5F">
        <w:rPr>
          <w:sz w:val="24"/>
          <w:szCs w:val="24"/>
          <w:lang w:val="en-AU"/>
        </w:rPr>
        <w:t>tend to be</w:t>
      </w:r>
      <w:r w:rsidRPr="00696A5F">
        <w:rPr>
          <w:sz w:val="24"/>
          <w:szCs w:val="24"/>
          <w:lang w:val="en-AU"/>
        </w:rPr>
        <w:t xml:space="preserve"> male dominated with few women members, and only a minority of members are persons with disability. </w:t>
      </w:r>
      <w:r w:rsidRPr="00696A5F">
        <w:rPr>
          <w:sz w:val="24"/>
          <w:szCs w:val="24"/>
          <w:lang w:val="en-AU" w:eastAsia="en-GB"/>
        </w:rPr>
        <w:t>Women’s leadership and participation in OPDs is also marginal compared to men. Climate change is exacerbating the vulnerability and social exclusion of people with disability in agriculture, fishing, food security, access to water and health</w:t>
      </w:r>
      <w:r w:rsidR="00803B10" w:rsidRPr="00696A5F">
        <w:rPr>
          <w:sz w:val="24"/>
          <w:szCs w:val="24"/>
          <w:lang w:val="en-AU" w:eastAsia="en-GB"/>
        </w:rPr>
        <w:t>. E</w:t>
      </w:r>
      <w:r w:rsidRPr="00696A5F">
        <w:rPr>
          <w:sz w:val="24"/>
          <w:szCs w:val="24"/>
          <w:lang w:val="en-AU" w:eastAsia="en-GB"/>
        </w:rPr>
        <w:t xml:space="preserve">xclusion from decision-making bodies means the interests </w:t>
      </w:r>
      <w:r w:rsidR="006C3F9C" w:rsidRPr="00696A5F">
        <w:rPr>
          <w:sz w:val="24"/>
          <w:szCs w:val="24"/>
          <w:lang w:val="en-AU" w:eastAsia="en-GB"/>
        </w:rPr>
        <w:t xml:space="preserve">of people with disabilities </w:t>
      </w:r>
      <w:r w:rsidRPr="00696A5F">
        <w:rPr>
          <w:sz w:val="24"/>
          <w:szCs w:val="24"/>
          <w:lang w:val="en-AU" w:eastAsia="en-GB"/>
        </w:rPr>
        <w:t>are often not heard and they miss out on adaptation initiatives.</w:t>
      </w:r>
    </w:p>
    <w:p w14:paraId="22A548E2" w14:textId="1FBD773E" w:rsidR="00A22D08" w:rsidRPr="00696A5F" w:rsidRDefault="0031225C" w:rsidP="005A2AB3">
      <w:pPr>
        <w:rPr>
          <w:color w:val="495965"/>
          <w:sz w:val="24"/>
          <w:szCs w:val="24"/>
          <w:lang w:val="en-AU" w:eastAsia="en-GB"/>
        </w:rPr>
      </w:pPr>
      <w:r w:rsidRPr="00696A5F">
        <w:rPr>
          <w:b/>
          <w:bCs/>
          <w:sz w:val="24"/>
          <w:szCs w:val="24"/>
          <w:lang w:val="en-AU" w:eastAsia="en-GB"/>
        </w:rPr>
        <w:t xml:space="preserve">In contrast to Phase 1, </w:t>
      </w:r>
      <w:r w:rsidR="00A22D08" w:rsidRPr="00696A5F">
        <w:rPr>
          <w:b/>
          <w:bCs/>
          <w:sz w:val="24"/>
          <w:szCs w:val="24"/>
          <w:lang w:val="en-AU" w:eastAsia="en-GB"/>
        </w:rPr>
        <w:t>MAP Phase 2 will take a</w:t>
      </w:r>
      <w:r w:rsidRPr="00696A5F">
        <w:rPr>
          <w:b/>
          <w:bCs/>
          <w:sz w:val="24"/>
          <w:szCs w:val="24"/>
          <w:lang w:val="en-AU" w:eastAsia="en-GB"/>
        </w:rPr>
        <w:t>n</w:t>
      </w:r>
      <w:r w:rsidR="00A22D08" w:rsidRPr="00696A5F">
        <w:rPr>
          <w:b/>
          <w:bCs/>
          <w:sz w:val="24"/>
          <w:szCs w:val="24"/>
          <w:lang w:val="en-AU" w:eastAsia="en-GB"/>
        </w:rPr>
        <w:t xml:space="preserve"> intentional approach to understanding and addressing disability inclusion across the MAP Phase 2 portfolio</w:t>
      </w:r>
      <w:r w:rsidR="00A22D08" w:rsidRPr="00696A5F">
        <w:rPr>
          <w:sz w:val="24"/>
          <w:szCs w:val="24"/>
          <w:lang w:val="en-AU" w:eastAsia="en-GB"/>
        </w:rPr>
        <w:t xml:space="preserve">. </w:t>
      </w:r>
      <w:r w:rsidRPr="00696A5F">
        <w:rPr>
          <w:sz w:val="24"/>
          <w:szCs w:val="24"/>
          <w:lang w:val="en-AU" w:eastAsia="en-GB"/>
        </w:rPr>
        <w:t xml:space="preserve">This </w:t>
      </w:r>
      <w:r w:rsidR="00A22D08" w:rsidRPr="00696A5F">
        <w:rPr>
          <w:sz w:val="24"/>
          <w:szCs w:val="24"/>
          <w:lang w:val="en-AU" w:eastAsia="en-GB"/>
        </w:rPr>
        <w:t xml:space="preserve">will include visibility and integration of disability inclusion in intersectional analysis and GEDSI mainstreaming, investing in disability targeted activities as well as ensuring access to disability specialists to support DFAT and partners to meaningfully mainstream disability inclusion across the Portfolio. </w:t>
      </w:r>
    </w:p>
    <w:p w14:paraId="331D5DD1" w14:textId="7E3E0E39" w:rsidR="00403666" w:rsidRPr="00696A5F" w:rsidRDefault="00A22D08" w:rsidP="005A2AB3">
      <w:pPr>
        <w:rPr>
          <w:color w:val="495965"/>
          <w:sz w:val="24"/>
          <w:szCs w:val="24"/>
          <w:lang w:val="en-AU" w:eastAsia="en-GB"/>
        </w:rPr>
      </w:pPr>
      <w:r w:rsidRPr="00696A5F">
        <w:rPr>
          <w:sz w:val="24"/>
          <w:szCs w:val="24"/>
          <w:lang w:val="en-AU" w:eastAsia="en-GB"/>
        </w:rPr>
        <w:t xml:space="preserve">This design is informed by available literature on disability inclusion. The design team consulted with DFAT’s Disability Section and Posts but was constrained in undertaking external consultations. Consultations with OPDs and people with disabilities will be undertaken in the development of </w:t>
      </w:r>
      <w:r w:rsidR="001415BF" w:rsidRPr="00696A5F">
        <w:rPr>
          <w:sz w:val="24"/>
          <w:szCs w:val="24"/>
          <w:lang w:val="en-AU" w:eastAsia="en-GB"/>
        </w:rPr>
        <w:t>delivery strategies</w:t>
      </w:r>
      <w:r w:rsidRPr="00696A5F">
        <w:rPr>
          <w:sz w:val="24"/>
          <w:szCs w:val="24"/>
          <w:lang w:val="en-AU" w:eastAsia="en-GB"/>
        </w:rPr>
        <w:t xml:space="preserve"> and the scoping of opportunities for disability specific investment</w:t>
      </w:r>
      <w:r w:rsidR="00021EB7" w:rsidRPr="00696A5F">
        <w:rPr>
          <w:sz w:val="24"/>
          <w:szCs w:val="24"/>
          <w:lang w:val="en-AU" w:eastAsia="en-GB"/>
        </w:rPr>
        <w:t>s</w:t>
      </w:r>
      <w:r w:rsidRPr="00696A5F">
        <w:rPr>
          <w:sz w:val="24"/>
          <w:szCs w:val="24"/>
          <w:lang w:val="en-AU" w:eastAsia="en-GB"/>
        </w:rPr>
        <w:t xml:space="preserve">. With this specific focus and earmarked GEDSI resources, it is expected that the participation of OPDs and people with disability will continue into </w:t>
      </w:r>
      <w:r w:rsidR="005508E7" w:rsidRPr="00696A5F">
        <w:rPr>
          <w:sz w:val="24"/>
          <w:szCs w:val="24"/>
          <w:lang w:val="en-AU" w:eastAsia="en-GB"/>
        </w:rPr>
        <w:t>investment</w:t>
      </w:r>
      <w:r w:rsidR="154FCD19" w:rsidRPr="00696A5F">
        <w:rPr>
          <w:sz w:val="24"/>
          <w:szCs w:val="24"/>
          <w:lang w:val="en-AU" w:eastAsia="en-GB"/>
        </w:rPr>
        <w:t xml:space="preserve"> design, </w:t>
      </w:r>
      <w:r w:rsidRPr="00696A5F">
        <w:rPr>
          <w:sz w:val="24"/>
          <w:szCs w:val="24"/>
          <w:lang w:val="en-AU" w:eastAsia="en-GB"/>
        </w:rPr>
        <w:t>implementation and MEL</w:t>
      </w:r>
      <w:r w:rsidR="00AA25EA" w:rsidRPr="00696A5F">
        <w:rPr>
          <w:sz w:val="24"/>
          <w:szCs w:val="24"/>
          <w:lang w:val="en-AU" w:eastAsia="en-GB"/>
        </w:rPr>
        <w:t>.</w:t>
      </w:r>
    </w:p>
    <w:p w14:paraId="3BB70DDB" w14:textId="56B007EA" w:rsidR="00C676AF" w:rsidRPr="001F14E7" w:rsidRDefault="00347686" w:rsidP="00C676AF">
      <w:pPr>
        <w:pStyle w:val="Heading2Numbered"/>
        <w:rPr>
          <w:lang w:val="en-AU"/>
        </w:rPr>
      </w:pPr>
      <w:bookmarkStart w:id="105" w:name="_Toc162287880"/>
      <w:bookmarkStart w:id="106" w:name="_Toc163539167"/>
      <w:bookmarkStart w:id="107" w:name="_Toc174029050"/>
      <w:r w:rsidRPr="2C480AEE">
        <w:rPr>
          <w:lang w:val="en-AU"/>
        </w:rPr>
        <w:lastRenderedPageBreak/>
        <w:t xml:space="preserve">Indigenous </w:t>
      </w:r>
      <w:r w:rsidR="00C676AF" w:rsidRPr="2C480AEE">
        <w:rPr>
          <w:lang w:val="en-AU"/>
        </w:rPr>
        <w:t>people</w:t>
      </w:r>
      <w:r w:rsidR="00BF6B1B">
        <w:rPr>
          <w:lang w:val="en-AU"/>
        </w:rPr>
        <w:t>s</w:t>
      </w:r>
      <w:r w:rsidR="00440176">
        <w:rPr>
          <w:lang w:val="en-AU"/>
        </w:rPr>
        <w:t xml:space="preserve">, </w:t>
      </w:r>
      <w:r w:rsidR="00C676AF" w:rsidRPr="2C480AEE">
        <w:rPr>
          <w:lang w:val="en-AU"/>
        </w:rPr>
        <w:t>ethnic minorities</w:t>
      </w:r>
      <w:bookmarkEnd w:id="105"/>
      <w:bookmarkEnd w:id="106"/>
      <w:r w:rsidR="00440176">
        <w:rPr>
          <w:lang w:val="en-AU"/>
        </w:rPr>
        <w:t xml:space="preserve"> and other marg</w:t>
      </w:r>
      <w:r w:rsidR="007D4207">
        <w:rPr>
          <w:lang w:val="en-AU"/>
        </w:rPr>
        <w:t>I</w:t>
      </w:r>
      <w:r w:rsidR="00440176">
        <w:rPr>
          <w:lang w:val="en-AU"/>
        </w:rPr>
        <w:t>nalised people</w:t>
      </w:r>
      <w:bookmarkEnd w:id="107"/>
    </w:p>
    <w:p w14:paraId="7F89B0DE" w14:textId="05A298FC" w:rsidR="00C676AF" w:rsidRPr="00696A5F" w:rsidRDefault="0ED0A20F" w:rsidP="005A2AB3">
      <w:pPr>
        <w:rPr>
          <w:sz w:val="24"/>
          <w:szCs w:val="24"/>
          <w:lang w:val="en-AU"/>
        </w:rPr>
      </w:pPr>
      <w:r w:rsidRPr="00696A5F">
        <w:rPr>
          <w:sz w:val="24"/>
          <w:szCs w:val="24"/>
          <w:lang w:val="en-AU"/>
        </w:rPr>
        <w:t>Indigenous people</w:t>
      </w:r>
      <w:r w:rsidR="00622A04" w:rsidRPr="00696A5F">
        <w:rPr>
          <w:sz w:val="24"/>
          <w:szCs w:val="24"/>
          <w:lang w:val="en-AU"/>
        </w:rPr>
        <w:t>s</w:t>
      </w:r>
      <w:r w:rsidRPr="00696A5F">
        <w:rPr>
          <w:sz w:val="24"/>
          <w:szCs w:val="24"/>
          <w:lang w:val="en-AU"/>
        </w:rPr>
        <w:t xml:space="preserve"> and ethnic minorities across the Mekong experience higher levels of deprivation and disadvantage than dominant groups</w:t>
      </w:r>
      <w:r w:rsidR="453D7221" w:rsidRPr="00696A5F">
        <w:rPr>
          <w:sz w:val="24"/>
          <w:szCs w:val="24"/>
          <w:lang w:val="en-AU"/>
        </w:rPr>
        <w:t xml:space="preserve">, are being </w:t>
      </w:r>
      <w:r w:rsidR="612D9679" w:rsidRPr="00696A5F">
        <w:rPr>
          <w:sz w:val="24"/>
          <w:szCs w:val="24"/>
          <w:lang w:val="en-AU"/>
        </w:rPr>
        <w:t xml:space="preserve">affected </w:t>
      </w:r>
      <w:r w:rsidR="453D7221" w:rsidRPr="00696A5F">
        <w:rPr>
          <w:sz w:val="24"/>
          <w:szCs w:val="24"/>
          <w:lang w:val="en-AU"/>
        </w:rPr>
        <w:t xml:space="preserve">by climate change </w:t>
      </w:r>
      <w:r w:rsidR="4DD41537" w:rsidRPr="00696A5F">
        <w:rPr>
          <w:sz w:val="24"/>
          <w:szCs w:val="24"/>
          <w:lang w:val="en-AU"/>
        </w:rPr>
        <w:t>due to</w:t>
      </w:r>
      <w:r w:rsidR="453D7221" w:rsidRPr="00696A5F">
        <w:rPr>
          <w:sz w:val="24"/>
          <w:szCs w:val="24"/>
          <w:lang w:val="en-AU"/>
        </w:rPr>
        <w:t xml:space="preserve"> their reliance on natural resources and relationship with </w:t>
      </w:r>
      <w:r w:rsidR="76C44E96" w:rsidRPr="00696A5F">
        <w:rPr>
          <w:sz w:val="24"/>
          <w:szCs w:val="24"/>
          <w:lang w:val="en-AU"/>
        </w:rPr>
        <w:t>land and</w:t>
      </w:r>
      <w:r w:rsidRPr="00696A5F">
        <w:rPr>
          <w:sz w:val="24"/>
          <w:szCs w:val="24"/>
          <w:lang w:val="en-AU"/>
        </w:rPr>
        <w:t xml:space="preserve"> face complex political realities that vary across the subregion. Marginalisation is often linked to cultural and language difference, isolation and remoteness, </w:t>
      </w:r>
      <w:r w:rsidR="5994AB65" w:rsidRPr="00696A5F">
        <w:rPr>
          <w:sz w:val="24"/>
          <w:szCs w:val="24"/>
          <w:lang w:val="en-AU"/>
        </w:rPr>
        <w:t>discrimination</w:t>
      </w:r>
      <w:r w:rsidRPr="00696A5F">
        <w:rPr>
          <w:sz w:val="24"/>
          <w:szCs w:val="24"/>
          <w:lang w:val="en-AU"/>
        </w:rPr>
        <w:t xml:space="preserve"> and historical affiliations. In MAP Phase 2, </w:t>
      </w:r>
      <w:r w:rsidR="3E3EA645" w:rsidRPr="00696A5F">
        <w:rPr>
          <w:sz w:val="24"/>
          <w:szCs w:val="24"/>
          <w:lang w:val="en-AU"/>
        </w:rPr>
        <w:t>i</w:t>
      </w:r>
      <w:r w:rsidRPr="00696A5F">
        <w:rPr>
          <w:sz w:val="24"/>
          <w:szCs w:val="24"/>
          <w:lang w:val="en-AU"/>
        </w:rPr>
        <w:t xml:space="preserve">ndigenous and ethnic minority inclusion is framed as an important piece of the equality thematic area along with gender equality and disability inclusion. However, </w:t>
      </w:r>
      <w:r w:rsidRPr="00696A5F">
        <w:rPr>
          <w:b/>
          <w:bCs/>
          <w:sz w:val="24"/>
          <w:szCs w:val="24"/>
          <w:lang w:val="en-AU"/>
        </w:rPr>
        <w:t xml:space="preserve">further work is needed to deepen the analysis including understanding the political economy context, to engage with organisations representing </w:t>
      </w:r>
      <w:r w:rsidR="3E3EA645" w:rsidRPr="00696A5F">
        <w:rPr>
          <w:b/>
          <w:bCs/>
          <w:sz w:val="24"/>
          <w:szCs w:val="24"/>
          <w:lang w:val="en-AU"/>
        </w:rPr>
        <w:t>i</w:t>
      </w:r>
      <w:r w:rsidRPr="00696A5F">
        <w:rPr>
          <w:b/>
          <w:bCs/>
          <w:sz w:val="24"/>
          <w:szCs w:val="24"/>
          <w:lang w:val="en-AU"/>
        </w:rPr>
        <w:t xml:space="preserve">ndigenous </w:t>
      </w:r>
      <w:r w:rsidR="16E2DD7D" w:rsidRPr="00696A5F">
        <w:rPr>
          <w:b/>
          <w:bCs/>
          <w:sz w:val="24"/>
          <w:szCs w:val="24"/>
          <w:lang w:val="en-AU"/>
        </w:rPr>
        <w:t>people</w:t>
      </w:r>
      <w:r w:rsidR="00622A04" w:rsidRPr="00696A5F">
        <w:rPr>
          <w:b/>
          <w:bCs/>
          <w:sz w:val="24"/>
          <w:szCs w:val="24"/>
          <w:lang w:val="en-AU"/>
        </w:rPr>
        <w:t>s</w:t>
      </w:r>
      <w:r w:rsidR="16E2DD7D" w:rsidRPr="00696A5F">
        <w:rPr>
          <w:b/>
          <w:bCs/>
          <w:sz w:val="24"/>
          <w:szCs w:val="24"/>
          <w:lang w:val="en-AU"/>
        </w:rPr>
        <w:t xml:space="preserve"> </w:t>
      </w:r>
      <w:r w:rsidRPr="00696A5F">
        <w:rPr>
          <w:b/>
          <w:bCs/>
          <w:sz w:val="24"/>
          <w:szCs w:val="24"/>
          <w:lang w:val="en-AU"/>
        </w:rPr>
        <w:t>and ethnic minorities, and to scope opportunities for MAP Phase 2</w:t>
      </w:r>
      <w:r w:rsidRPr="00696A5F">
        <w:rPr>
          <w:sz w:val="24"/>
          <w:szCs w:val="24"/>
          <w:lang w:val="en-AU"/>
        </w:rPr>
        <w:t xml:space="preserve"> to promote the leadership, agency, opportunities and participation of </w:t>
      </w:r>
      <w:r w:rsidR="3E3EA645" w:rsidRPr="00696A5F">
        <w:rPr>
          <w:sz w:val="24"/>
          <w:szCs w:val="24"/>
          <w:lang w:val="en-AU"/>
        </w:rPr>
        <w:t>i</w:t>
      </w:r>
      <w:r w:rsidRPr="00696A5F">
        <w:rPr>
          <w:sz w:val="24"/>
          <w:szCs w:val="24"/>
          <w:lang w:val="en-AU"/>
        </w:rPr>
        <w:t xml:space="preserve">ndigenous </w:t>
      </w:r>
      <w:r w:rsidR="16E2DD7D" w:rsidRPr="00696A5F">
        <w:rPr>
          <w:sz w:val="24"/>
          <w:szCs w:val="24"/>
          <w:lang w:val="en-AU"/>
        </w:rPr>
        <w:t>p</w:t>
      </w:r>
      <w:r w:rsidRPr="00696A5F">
        <w:rPr>
          <w:sz w:val="24"/>
          <w:szCs w:val="24"/>
          <w:lang w:val="en-AU"/>
        </w:rPr>
        <w:t>eople</w:t>
      </w:r>
      <w:r w:rsidR="00622A04" w:rsidRPr="00696A5F">
        <w:rPr>
          <w:sz w:val="24"/>
          <w:szCs w:val="24"/>
          <w:lang w:val="en-AU"/>
        </w:rPr>
        <w:t>s</w:t>
      </w:r>
      <w:r w:rsidRPr="00696A5F">
        <w:rPr>
          <w:sz w:val="24"/>
          <w:szCs w:val="24"/>
          <w:lang w:val="en-AU"/>
        </w:rPr>
        <w:t xml:space="preserve"> and ethnic minorities across the Portfolio. This will be undertaken during the development of </w:t>
      </w:r>
      <w:r w:rsidR="3E4BD758" w:rsidRPr="00696A5F">
        <w:rPr>
          <w:sz w:val="24"/>
          <w:szCs w:val="24"/>
          <w:lang w:val="en-AU"/>
        </w:rPr>
        <w:t>d</w:t>
      </w:r>
      <w:r w:rsidRPr="00696A5F">
        <w:rPr>
          <w:sz w:val="24"/>
          <w:szCs w:val="24"/>
          <w:lang w:val="en-AU"/>
        </w:rPr>
        <w:t xml:space="preserve">elivery </w:t>
      </w:r>
      <w:r w:rsidR="3E4BD758" w:rsidRPr="00696A5F">
        <w:rPr>
          <w:sz w:val="24"/>
          <w:szCs w:val="24"/>
          <w:lang w:val="en-AU"/>
        </w:rPr>
        <w:t>s</w:t>
      </w:r>
      <w:r w:rsidRPr="00696A5F">
        <w:rPr>
          <w:sz w:val="24"/>
          <w:szCs w:val="24"/>
          <w:lang w:val="en-AU"/>
        </w:rPr>
        <w:t>trateg</w:t>
      </w:r>
      <w:r w:rsidR="3E4BD758" w:rsidRPr="00696A5F">
        <w:rPr>
          <w:sz w:val="24"/>
          <w:szCs w:val="24"/>
          <w:lang w:val="en-AU"/>
        </w:rPr>
        <w:t>ies</w:t>
      </w:r>
      <w:r w:rsidRPr="00696A5F">
        <w:rPr>
          <w:sz w:val="24"/>
          <w:szCs w:val="24"/>
          <w:lang w:val="en-AU"/>
        </w:rPr>
        <w:t>.</w:t>
      </w:r>
      <w:r w:rsidR="773B5A87" w:rsidRPr="00696A5F">
        <w:rPr>
          <w:sz w:val="24"/>
          <w:szCs w:val="24"/>
          <w:lang w:val="en-AU"/>
        </w:rPr>
        <w:t xml:space="preserve"> Opportunities for exchange and knowledge sharing that draws on First Nations Australians will be sought, such as in the area</w:t>
      </w:r>
      <w:r w:rsidR="38190657" w:rsidRPr="00696A5F">
        <w:rPr>
          <w:sz w:val="24"/>
          <w:szCs w:val="24"/>
          <w:lang w:val="en-AU"/>
        </w:rPr>
        <w:t>s</w:t>
      </w:r>
      <w:r w:rsidR="773B5A87" w:rsidRPr="00696A5F">
        <w:rPr>
          <w:sz w:val="24"/>
          <w:szCs w:val="24"/>
          <w:lang w:val="en-AU"/>
        </w:rPr>
        <w:t xml:space="preserve"> of water security and climate resilience.</w:t>
      </w:r>
    </w:p>
    <w:p w14:paraId="0B49C902" w14:textId="39BEF6DB" w:rsidR="214009CC" w:rsidRPr="00696A5F" w:rsidRDefault="214009CC">
      <w:pPr>
        <w:rPr>
          <w:rFonts w:ascii="Calibri Light" w:eastAsia="Calibri Light" w:hAnsi="Calibri Light" w:cs="Calibri Light"/>
          <w:sz w:val="24"/>
          <w:szCs w:val="24"/>
          <w:lang w:val="en-AU"/>
        </w:rPr>
      </w:pPr>
      <w:r w:rsidRPr="00696A5F">
        <w:rPr>
          <w:rFonts w:ascii="Calibri Light" w:eastAsia="Calibri Light" w:hAnsi="Calibri Light" w:cs="Calibri Light"/>
          <w:sz w:val="24"/>
          <w:szCs w:val="24"/>
          <w:lang w:val="en-AU"/>
        </w:rPr>
        <w:t xml:space="preserve">On 1 March 2023, the Foreign Minister announced Australia will develop an LGBTQIA+ human rights engagement strategy to guide work across bilateral and multilateral diplomacy, development and humanitarian assistance.  </w:t>
      </w:r>
    </w:p>
    <w:p w14:paraId="51329C41" w14:textId="1DFD218E" w:rsidR="4C1C98D1" w:rsidRPr="00696A5F" w:rsidRDefault="214009CC" w:rsidP="4C1C98D1">
      <w:pPr>
        <w:rPr>
          <w:sz w:val="24"/>
          <w:szCs w:val="24"/>
          <w:lang w:val="en-AU"/>
        </w:rPr>
      </w:pPr>
      <w:r w:rsidRPr="00696A5F">
        <w:rPr>
          <w:rFonts w:ascii="Calibri Light" w:eastAsia="Calibri Light" w:hAnsi="Calibri Light" w:cs="Calibri Light"/>
          <w:sz w:val="24"/>
          <w:szCs w:val="24"/>
          <w:lang w:val="en-AU"/>
        </w:rPr>
        <w:t>MAP 2 will ensure LGBTQ</w:t>
      </w:r>
      <w:r w:rsidR="004A7195">
        <w:rPr>
          <w:rFonts w:ascii="Calibri Light" w:eastAsia="Calibri Light" w:hAnsi="Calibri Light" w:cs="Calibri Light"/>
          <w:sz w:val="24"/>
          <w:szCs w:val="24"/>
          <w:lang w:val="en-AU"/>
        </w:rPr>
        <w:t>I</w:t>
      </w:r>
      <w:r w:rsidRPr="00696A5F">
        <w:rPr>
          <w:rFonts w:ascii="Calibri Light" w:eastAsia="Calibri Light" w:hAnsi="Calibri Light" w:cs="Calibri Light"/>
          <w:sz w:val="24"/>
          <w:szCs w:val="24"/>
          <w:lang w:val="en-AU"/>
        </w:rPr>
        <w:t xml:space="preserve">A+ issues are incorporated in MAP thematic strategies and in MAP investments, as appropriate and consistent with the LGBTQIA+ human rights engagement strategy. </w:t>
      </w:r>
    </w:p>
    <w:p w14:paraId="6DC495D5" w14:textId="0A35930A" w:rsidR="003339D3" w:rsidRPr="001F14E7" w:rsidRDefault="003339D3" w:rsidP="003339D3">
      <w:pPr>
        <w:pStyle w:val="Heading2Numbered"/>
        <w:rPr>
          <w:lang w:val="en-AU"/>
        </w:rPr>
      </w:pPr>
      <w:bookmarkStart w:id="108" w:name="_Toc162287881"/>
      <w:bookmarkStart w:id="109" w:name="_Toc163539168"/>
      <w:bookmarkStart w:id="110" w:name="_Toc174029051"/>
      <w:r w:rsidRPr="2C480AEE">
        <w:rPr>
          <w:lang w:val="en-AU"/>
        </w:rPr>
        <w:t>Climate Change</w:t>
      </w:r>
      <w:bookmarkEnd w:id="108"/>
      <w:bookmarkEnd w:id="109"/>
      <w:bookmarkEnd w:id="110"/>
    </w:p>
    <w:p w14:paraId="12D810C2" w14:textId="5A3DF734" w:rsidR="005A0314" w:rsidRPr="00696A5F" w:rsidRDefault="005A0314" w:rsidP="00C86BC4">
      <w:pPr>
        <w:rPr>
          <w:sz w:val="24"/>
          <w:szCs w:val="24"/>
          <w:lang w:val="en-AU"/>
        </w:rPr>
      </w:pPr>
      <w:r w:rsidRPr="00696A5F">
        <w:rPr>
          <w:sz w:val="24"/>
          <w:szCs w:val="24"/>
          <w:lang w:val="en-AU"/>
        </w:rPr>
        <w:t xml:space="preserve">Climate change is a high priority </w:t>
      </w:r>
      <w:r w:rsidR="00EB1C56" w:rsidRPr="00696A5F">
        <w:rPr>
          <w:sz w:val="24"/>
          <w:szCs w:val="24"/>
          <w:lang w:val="en-AU"/>
        </w:rPr>
        <w:t xml:space="preserve">thematic </w:t>
      </w:r>
      <w:r w:rsidRPr="00696A5F">
        <w:rPr>
          <w:sz w:val="24"/>
          <w:szCs w:val="24"/>
          <w:lang w:val="en-AU"/>
        </w:rPr>
        <w:t xml:space="preserve">area of MAP Phase 2 and is integrated into </w:t>
      </w:r>
      <w:r w:rsidR="00EB1C56" w:rsidRPr="00696A5F">
        <w:rPr>
          <w:sz w:val="24"/>
          <w:szCs w:val="24"/>
          <w:lang w:val="en-AU"/>
        </w:rPr>
        <w:t xml:space="preserve">the </w:t>
      </w:r>
      <w:r w:rsidRPr="00696A5F">
        <w:rPr>
          <w:sz w:val="24"/>
          <w:szCs w:val="24"/>
          <w:lang w:val="en-AU"/>
        </w:rPr>
        <w:t xml:space="preserve">portfolio logic as an </w:t>
      </w:r>
      <w:r w:rsidR="00DA7705">
        <w:rPr>
          <w:sz w:val="24"/>
          <w:szCs w:val="24"/>
          <w:lang w:val="en-AU"/>
        </w:rPr>
        <w:t>EOPO</w:t>
      </w:r>
      <w:r w:rsidRPr="00696A5F">
        <w:rPr>
          <w:sz w:val="24"/>
          <w:szCs w:val="24"/>
          <w:lang w:val="en-AU"/>
        </w:rPr>
        <w:t xml:space="preserve"> (climate resilience). It is a prime example of a shared and transboundary challenge where stronger cooperation is both possible and necessary (</w:t>
      </w:r>
      <w:r w:rsidR="006C3F9C" w:rsidRPr="00696A5F">
        <w:rPr>
          <w:sz w:val="24"/>
          <w:szCs w:val="24"/>
          <w:lang w:val="en-AU"/>
        </w:rPr>
        <w:t>I</w:t>
      </w:r>
      <w:r w:rsidRPr="00696A5F">
        <w:rPr>
          <w:sz w:val="24"/>
          <w:szCs w:val="24"/>
          <w:lang w:val="en-AU"/>
        </w:rPr>
        <w:t>O</w:t>
      </w:r>
      <w:r w:rsidR="00DB70A7" w:rsidRPr="00696A5F">
        <w:rPr>
          <w:sz w:val="24"/>
          <w:szCs w:val="24"/>
          <w:lang w:val="en-AU"/>
        </w:rPr>
        <w:t xml:space="preserve"> </w:t>
      </w:r>
      <w:r w:rsidRPr="00696A5F">
        <w:rPr>
          <w:sz w:val="24"/>
          <w:szCs w:val="24"/>
          <w:lang w:val="en-AU"/>
        </w:rPr>
        <w:t>3), around which a wide diversity of partnerships can be formed (</w:t>
      </w:r>
      <w:r w:rsidR="006C3F9C" w:rsidRPr="00696A5F">
        <w:rPr>
          <w:sz w:val="24"/>
          <w:szCs w:val="24"/>
          <w:lang w:val="en-AU"/>
        </w:rPr>
        <w:t>I</w:t>
      </w:r>
      <w:r w:rsidRPr="00696A5F">
        <w:rPr>
          <w:sz w:val="24"/>
          <w:szCs w:val="24"/>
          <w:lang w:val="en-AU"/>
        </w:rPr>
        <w:t>O 1), and one that require more evidence-based and inclusive policies and practices (</w:t>
      </w:r>
      <w:r w:rsidR="006C3F9C" w:rsidRPr="00696A5F">
        <w:rPr>
          <w:sz w:val="24"/>
          <w:szCs w:val="24"/>
          <w:lang w:val="en-AU"/>
        </w:rPr>
        <w:t>I</w:t>
      </w:r>
      <w:r w:rsidRPr="00696A5F">
        <w:rPr>
          <w:sz w:val="24"/>
          <w:szCs w:val="24"/>
          <w:lang w:val="en-AU"/>
        </w:rPr>
        <w:t xml:space="preserve">O </w:t>
      </w:r>
      <w:r w:rsidR="00B24FAD" w:rsidRPr="00696A5F">
        <w:rPr>
          <w:sz w:val="24"/>
          <w:szCs w:val="24"/>
          <w:lang w:val="en-AU"/>
        </w:rPr>
        <w:t>2</w:t>
      </w:r>
      <w:r w:rsidRPr="00696A5F">
        <w:rPr>
          <w:sz w:val="24"/>
          <w:szCs w:val="24"/>
          <w:lang w:val="en-AU"/>
        </w:rPr>
        <w:t>).</w:t>
      </w:r>
      <w:r w:rsidR="00EB1C56" w:rsidRPr="00696A5F">
        <w:rPr>
          <w:sz w:val="24"/>
          <w:szCs w:val="24"/>
          <w:lang w:val="en-AU"/>
        </w:rPr>
        <w:t xml:space="preserve"> </w:t>
      </w:r>
      <w:r w:rsidR="00C86BC4" w:rsidRPr="00696A5F">
        <w:rPr>
          <w:sz w:val="24"/>
          <w:szCs w:val="24"/>
          <w:lang w:val="en-AU"/>
        </w:rPr>
        <w:t xml:space="preserve">It links closely to other thematic outcome areas, in particular, water security and GEDSI. </w:t>
      </w:r>
      <w:r w:rsidR="001F2EE8" w:rsidRPr="00696A5F">
        <w:rPr>
          <w:sz w:val="24"/>
          <w:szCs w:val="24"/>
          <w:lang w:val="en-AU"/>
        </w:rPr>
        <w:t xml:space="preserve">Climate change will feature prominently in MAP Phase 2: it was </w:t>
      </w:r>
      <w:r w:rsidR="00EB1C56" w:rsidRPr="00696A5F">
        <w:rPr>
          <w:sz w:val="24"/>
          <w:szCs w:val="24"/>
          <w:lang w:val="en-AU"/>
        </w:rPr>
        <w:t xml:space="preserve">significant </w:t>
      </w:r>
      <w:r w:rsidR="00C86BC4" w:rsidRPr="00696A5F">
        <w:rPr>
          <w:sz w:val="24"/>
          <w:szCs w:val="24"/>
          <w:lang w:val="en-AU"/>
        </w:rPr>
        <w:t>under</w:t>
      </w:r>
      <w:r w:rsidR="00EB1C56" w:rsidRPr="00696A5F">
        <w:rPr>
          <w:sz w:val="24"/>
          <w:szCs w:val="24"/>
          <w:lang w:val="en-AU"/>
        </w:rPr>
        <w:t xml:space="preserve"> MAP Phase 1 and will likely grow as a proportion of the portfolio </w:t>
      </w:r>
      <w:r w:rsidR="00C86BC4" w:rsidRPr="00696A5F">
        <w:rPr>
          <w:sz w:val="24"/>
          <w:szCs w:val="24"/>
          <w:lang w:val="en-AU"/>
        </w:rPr>
        <w:t>spend</w:t>
      </w:r>
      <w:r w:rsidR="00EB1C56" w:rsidRPr="00696A5F">
        <w:rPr>
          <w:sz w:val="24"/>
          <w:szCs w:val="24"/>
          <w:lang w:val="en-AU"/>
        </w:rPr>
        <w:t xml:space="preserve"> under MAP Phase 2.</w:t>
      </w:r>
    </w:p>
    <w:p w14:paraId="68BD901B" w14:textId="14873148" w:rsidR="00C86BC4" w:rsidRPr="00696A5F" w:rsidRDefault="38715059" w:rsidP="00C86BC4">
      <w:pPr>
        <w:rPr>
          <w:sz w:val="24"/>
          <w:szCs w:val="24"/>
          <w:lang w:val="en-AU"/>
        </w:rPr>
      </w:pPr>
      <w:r w:rsidRPr="00696A5F">
        <w:rPr>
          <w:sz w:val="24"/>
          <w:szCs w:val="24"/>
          <w:lang w:val="en-AU"/>
        </w:rPr>
        <w:t>The</w:t>
      </w:r>
      <w:r w:rsidR="0C239F7E" w:rsidRPr="00696A5F">
        <w:rPr>
          <w:sz w:val="24"/>
          <w:szCs w:val="24"/>
          <w:lang w:val="en-AU"/>
        </w:rPr>
        <w:t xml:space="preserve"> climate change </w:t>
      </w:r>
      <w:r w:rsidR="0538CDF4" w:rsidRPr="00696A5F">
        <w:rPr>
          <w:sz w:val="24"/>
          <w:szCs w:val="24"/>
          <w:lang w:val="en-AU"/>
        </w:rPr>
        <w:t>thematic</w:t>
      </w:r>
      <w:r w:rsidR="0C239F7E" w:rsidRPr="00696A5F">
        <w:rPr>
          <w:sz w:val="24"/>
          <w:szCs w:val="24"/>
          <w:lang w:val="en-AU"/>
        </w:rPr>
        <w:t xml:space="preserve"> </w:t>
      </w:r>
      <w:r w:rsidRPr="00696A5F">
        <w:rPr>
          <w:sz w:val="24"/>
          <w:szCs w:val="24"/>
          <w:lang w:val="en-AU"/>
        </w:rPr>
        <w:t xml:space="preserve">delivery </w:t>
      </w:r>
      <w:r w:rsidR="0C239F7E" w:rsidRPr="00696A5F">
        <w:rPr>
          <w:sz w:val="24"/>
          <w:szCs w:val="24"/>
          <w:lang w:val="en-AU"/>
        </w:rPr>
        <w:t xml:space="preserve">strategy will be developed </w:t>
      </w:r>
      <w:r w:rsidR="269D6027" w:rsidRPr="00696A5F">
        <w:rPr>
          <w:sz w:val="24"/>
          <w:szCs w:val="24"/>
          <w:lang w:val="en-AU"/>
        </w:rPr>
        <w:t xml:space="preserve">and </w:t>
      </w:r>
      <w:r w:rsidR="0C239F7E" w:rsidRPr="00696A5F">
        <w:rPr>
          <w:sz w:val="24"/>
          <w:szCs w:val="24"/>
          <w:lang w:val="en-AU"/>
        </w:rPr>
        <w:t xml:space="preserve">will outline a twin-track approach that includes targeted activities (under </w:t>
      </w:r>
      <w:r w:rsidR="1BEFDFCD" w:rsidRPr="00696A5F">
        <w:rPr>
          <w:sz w:val="24"/>
          <w:szCs w:val="24"/>
          <w:lang w:val="en-AU"/>
        </w:rPr>
        <w:t xml:space="preserve">EOPO </w:t>
      </w:r>
      <w:r w:rsidR="0C239F7E" w:rsidRPr="00696A5F">
        <w:rPr>
          <w:sz w:val="24"/>
          <w:szCs w:val="24"/>
          <w:lang w:val="en-AU"/>
        </w:rPr>
        <w:t xml:space="preserve">1) and the mainstreaming of climate change considerations across all MAP Phase 2 investments and operations. </w:t>
      </w:r>
      <w:r w:rsidR="269D6027" w:rsidRPr="00696A5F">
        <w:rPr>
          <w:sz w:val="24"/>
          <w:szCs w:val="24"/>
          <w:lang w:val="en-AU"/>
        </w:rPr>
        <w:t xml:space="preserve">The climate change strategy will be shared with potential partners to ensure they align their activities accordingly. As such, all investment </w:t>
      </w:r>
      <w:r w:rsidR="0C239F7E" w:rsidRPr="00696A5F">
        <w:rPr>
          <w:sz w:val="24"/>
          <w:szCs w:val="24"/>
          <w:lang w:val="en-AU"/>
        </w:rPr>
        <w:t>proposals</w:t>
      </w:r>
      <w:r w:rsidR="14220AD5" w:rsidRPr="00696A5F">
        <w:rPr>
          <w:sz w:val="24"/>
          <w:szCs w:val="24"/>
          <w:lang w:val="en-AU"/>
        </w:rPr>
        <w:t xml:space="preserve">, </w:t>
      </w:r>
      <w:r w:rsidR="0C239F7E" w:rsidRPr="00696A5F">
        <w:rPr>
          <w:sz w:val="24"/>
          <w:szCs w:val="24"/>
          <w:lang w:val="en-AU"/>
        </w:rPr>
        <w:t>grants applications</w:t>
      </w:r>
      <w:r w:rsidR="14220AD5" w:rsidRPr="00696A5F">
        <w:rPr>
          <w:sz w:val="24"/>
          <w:szCs w:val="24"/>
          <w:lang w:val="en-AU"/>
        </w:rPr>
        <w:t xml:space="preserve"> and designs will </w:t>
      </w:r>
      <w:r w:rsidR="6D794F82" w:rsidRPr="00696A5F">
        <w:rPr>
          <w:sz w:val="24"/>
          <w:szCs w:val="24"/>
          <w:lang w:val="en-AU"/>
        </w:rPr>
        <w:t xml:space="preserve">present a clear understanding of risks and opportunities related to climate change and environmental </w:t>
      </w:r>
      <w:r w:rsidR="31A8DDDC" w:rsidRPr="00696A5F">
        <w:rPr>
          <w:sz w:val="24"/>
          <w:szCs w:val="24"/>
          <w:lang w:val="en-AU"/>
        </w:rPr>
        <w:t>degradation and</w:t>
      </w:r>
      <w:r w:rsidR="6D794F82" w:rsidRPr="00696A5F">
        <w:rPr>
          <w:sz w:val="24"/>
          <w:szCs w:val="24"/>
          <w:lang w:val="en-AU"/>
        </w:rPr>
        <w:t xml:space="preserve"> articulate how they will address them in implementation. </w:t>
      </w:r>
    </w:p>
    <w:p w14:paraId="53D3E49C" w14:textId="25A7DAC0" w:rsidR="00647187" w:rsidRPr="00696A5F" w:rsidRDefault="005A0314" w:rsidP="00C86BC4">
      <w:pPr>
        <w:rPr>
          <w:sz w:val="24"/>
          <w:szCs w:val="24"/>
          <w:lang w:val="en-AU"/>
        </w:rPr>
      </w:pPr>
      <w:r w:rsidRPr="00696A5F">
        <w:rPr>
          <w:sz w:val="24"/>
          <w:szCs w:val="24"/>
          <w:lang w:val="en-AU"/>
        </w:rPr>
        <w:t xml:space="preserve">New ways of working promoted during the COVID-19 pandemic, including reduced travel, increased digital communications, and greater familiarity with online work, will also be encouraged to moderate the Mekong Hub’s own environmental footprint, particularly due </w:t>
      </w:r>
      <w:r w:rsidR="00B24FAD" w:rsidRPr="00696A5F">
        <w:rPr>
          <w:sz w:val="24"/>
          <w:szCs w:val="24"/>
          <w:lang w:val="en-AU"/>
        </w:rPr>
        <w:t xml:space="preserve">to </w:t>
      </w:r>
      <w:r w:rsidRPr="00696A5F">
        <w:rPr>
          <w:sz w:val="24"/>
          <w:szCs w:val="24"/>
          <w:lang w:val="en-AU"/>
        </w:rPr>
        <w:t xml:space="preserve">its decentralised configuration. </w:t>
      </w:r>
    </w:p>
    <w:p w14:paraId="3A241F17" w14:textId="44F82AAB" w:rsidR="00D20714" w:rsidRPr="001F14E7" w:rsidRDefault="00F7349C" w:rsidP="00403666">
      <w:pPr>
        <w:pStyle w:val="Heading2Numbered"/>
        <w:rPr>
          <w:lang w:val="en-AU"/>
        </w:rPr>
      </w:pPr>
      <w:bookmarkStart w:id="111" w:name="_Toc162287882"/>
      <w:bookmarkStart w:id="112" w:name="_Toc163539169"/>
      <w:bookmarkStart w:id="113" w:name="_Toc174029052"/>
      <w:r w:rsidRPr="2C480AEE">
        <w:rPr>
          <w:lang w:val="en-AU"/>
        </w:rPr>
        <w:lastRenderedPageBreak/>
        <w:t>Locally led development and localisation</w:t>
      </w:r>
      <w:bookmarkEnd w:id="111"/>
      <w:bookmarkEnd w:id="112"/>
      <w:bookmarkEnd w:id="113"/>
    </w:p>
    <w:p w14:paraId="5A4E4D92" w14:textId="69E2BD04" w:rsidR="00B055F6" w:rsidRPr="00696A5F" w:rsidRDefault="3E3EA645" w:rsidP="00340042">
      <w:pPr>
        <w:tabs>
          <w:tab w:val="left" w:pos="284"/>
        </w:tabs>
        <w:suppressAutoHyphens w:val="0"/>
        <w:spacing w:before="0" w:line="280" w:lineRule="exact"/>
        <w:rPr>
          <w:rFonts w:eastAsia="Times New Roman"/>
          <w:sz w:val="24"/>
          <w:szCs w:val="24"/>
          <w:lang w:val="en-AU"/>
        </w:rPr>
      </w:pPr>
      <w:r w:rsidRPr="00696A5F">
        <w:rPr>
          <w:rFonts w:eastAsia="Times New Roman"/>
          <w:sz w:val="24"/>
          <w:szCs w:val="24"/>
          <w:lang w:val="en-AU"/>
        </w:rPr>
        <w:t xml:space="preserve">Supporting and strengthening local partners and partnerships including government agencies, </w:t>
      </w:r>
      <w:r w:rsidR="623B0B79" w:rsidRPr="00696A5F">
        <w:rPr>
          <w:rFonts w:eastAsia="Times New Roman"/>
          <w:sz w:val="24"/>
          <w:szCs w:val="24"/>
          <w:lang w:val="en-AU"/>
        </w:rPr>
        <w:t>community organisations</w:t>
      </w:r>
      <w:r w:rsidRPr="00696A5F">
        <w:rPr>
          <w:rFonts w:eastAsia="Times New Roman"/>
          <w:sz w:val="24"/>
          <w:szCs w:val="24"/>
          <w:lang w:val="en-AU"/>
        </w:rPr>
        <w:t xml:space="preserve">, think tanks and subregional bodies is the essence of MAP Phase 2. </w:t>
      </w:r>
      <w:r w:rsidR="2AB0C87F" w:rsidRPr="00696A5F">
        <w:rPr>
          <w:rFonts w:eastAsia="Times New Roman"/>
          <w:sz w:val="24"/>
          <w:szCs w:val="24"/>
          <w:lang w:val="en-AU"/>
        </w:rPr>
        <w:t>Localisation approaches will be context specific and vary</w:t>
      </w:r>
      <w:r w:rsidR="036E2F59" w:rsidRPr="00696A5F">
        <w:rPr>
          <w:rFonts w:eastAsia="Times New Roman"/>
          <w:sz w:val="24"/>
          <w:szCs w:val="24"/>
          <w:lang w:val="en-AU"/>
        </w:rPr>
        <w:t xml:space="preserve"> to </w:t>
      </w:r>
      <w:r w:rsidR="2AB0C87F" w:rsidRPr="00696A5F">
        <w:rPr>
          <w:rFonts w:eastAsia="Times New Roman"/>
          <w:sz w:val="24"/>
          <w:szCs w:val="24"/>
          <w:lang w:val="en-AU"/>
        </w:rPr>
        <w:t>political, security and</w:t>
      </w:r>
      <w:r w:rsidR="036E2F59" w:rsidRPr="00696A5F">
        <w:rPr>
          <w:rFonts w:eastAsia="Times New Roman"/>
          <w:sz w:val="24"/>
          <w:szCs w:val="24"/>
          <w:lang w:val="en-AU"/>
        </w:rPr>
        <w:t xml:space="preserve"> operating environments across the Mekong subregion. </w:t>
      </w:r>
      <w:r w:rsidR="00642613" w:rsidRPr="00696A5F">
        <w:rPr>
          <w:rFonts w:eastAsia="Times New Roman"/>
          <w:sz w:val="24"/>
          <w:szCs w:val="24"/>
          <w:lang w:val="en-AU"/>
        </w:rPr>
        <w:t>These may include:</w:t>
      </w:r>
    </w:p>
    <w:p w14:paraId="609513FB" w14:textId="1AB3E3C4" w:rsidR="00DB2B3F" w:rsidRPr="00696A5F" w:rsidRDefault="00F53BAF" w:rsidP="00B055F6">
      <w:pPr>
        <w:pStyle w:val="ListParagraph"/>
        <w:numPr>
          <w:ilvl w:val="0"/>
          <w:numId w:val="64"/>
        </w:numPr>
        <w:tabs>
          <w:tab w:val="left" w:pos="284"/>
        </w:tabs>
        <w:suppressAutoHyphens w:val="0"/>
        <w:spacing w:before="0" w:line="280" w:lineRule="exact"/>
        <w:rPr>
          <w:rFonts w:eastAsia="Times New Roman"/>
          <w:sz w:val="24"/>
          <w:szCs w:val="24"/>
          <w:lang w:val="en-AU"/>
        </w:rPr>
      </w:pPr>
      <w:r w:rsidRPr="00696A5F">
        <w:rPr>
          <w:rFonts w:eastAsia="Times New Roman"/>
          <w:sz w:val="24"/>
          <w:szCs w:val="24"/>
          <w:lang w:val="en-AU"/>
        </w:rPr>
        <w:t xml:space="preserve">strengthening </w:t>
      </w:r>
      <w:r w:rsidR="3052667F" w:rsidRPr="00696A5F">
        <w:rPr>
          <w:rFonts w:eastAsia="Times New Roman"/>
          <w:sz w:val="24"/>
          <w:szCs w:val="24"/>
          <w:lang w:val="en-AU"/>
        </w:rPr>
        <w:t xml:space="preserve">locally led subregional architecture to amplify Mekong voices </w:t>
      </w:r>
      <w:r w:rsidR="1BCD845A" w:rsidRPr="00696A5F">
        <w:rPr>
          <w:rFonts w:eastAsia="Times New Roman"/>
          <w:sz w:val="24"/>
          <w:szCs w:val="24"/>
          <w:lang w:val="en-AU"/>
        </w:rPr>
        <w:t>in regional dialogue</w:t>
      </w:r>
    </w:p>
    <w:p w14:paraId="4620FB93" w14:textId="76D54707" w:rsidR="00C676AF" w:rsidRPr="00696A5F" w:rsidRDefault="00F53BAF" w:rsidP="00B055F6">
      <w:pPr>
        <w:pStyle w:val="ListParagraph"/>
        <w:numPr>
          <w:ilvl w:val="0"/>
          <w:numId w:val="64"/>
        </w:numPr>
        <w:tabs>
          <w:tab w:val="left" w:pos="284"/>
        </w:tabs>
        <w:suppressAutoHyphens w:val="0"/>
        <w:spacing w:before="0" w:line="280" w:lineRule="exact"/>
        <w:rPr>
          <w:rFonts w:eastAsia="Times New Roman" w:cstheme="minorHAnsi"/>
          <w:sz w:val="24"/>
          <w:szCs w:val="24"/>
          <w:lang w:val="en-AU"/>
        </w:rPr>
      </w:pPr>
      <w:r w:rsidRPr="00696A5F">
        <w:rPr>
          <w:rFonts w:eastAsia="Times New Roman"/>
          <w:sz w:val="24"/>
          <w:szCs w:val="24"/>
          <w:lang w:val="en-AU"/>
        </w:rPr>
        <w:t xml:space="preserve">supporting </w:t>
      </w:r>
      <w:r w:rsidR="00C676AF" w:rsidRPr="00696A5F">
        <w:rPr>
          <w:rFonts w:eastAsia="Times New Roman"/>
          <w:sz w:val="24"/>
          <w:szCs w:val="24"/>
          <w:lang w:val="en-AU"/>
        </w:rPr>
        <w:t xml:space="preserve">local think tanks and research institutes to undertake analytics and strengthen the evidence base </w:t>
      </w:r>
      <w:r w:rsidR="00642613" w:rsidRPr="00696A5F">
        <w:rPr>
          <w:rFonts w:eastAsia="Times New Roman"/>
          <w:sz w:val="24"/>
          <w:szCs w:val="24"/>
          <w:lang w:val="en-AU"/>
        </w:rPr>
        <w:t>for</w:t>
      </w:r>
      <w:r w:rsidR="00C676AF" w:rsidRPr="00696A5F">
        <w:rPr>
          <w:rFonts w:eastAsia="Times New Roman"/>
          <w:sz w:val="24"/>
          <w:szCs w:val="24"/>
          <w:lang w:val="en-AU"/>
        </w:rPr>
        <w:t xml:space="preserve"> locally led policy making</w:t>
      </w:r>
    </w:p>
    <w:p w14:paraId="7A601808" w14:textId="05261AB2" w:rsidR="00C676AF" w:rsidRPr="00696A5F" w:rsidRDefault="00F53BAF" w:rsidP="002E677B">
      <w:pPr>
        <w:pStyle w:val="ListParagraph"/>
        <w:numPr>
          <w:ilvl w:val="0"/>
          <w:numId w:val="64"/>
        </w:numPr>
        <w:tabs>
          <w:tab w:val="left" w:pos="284"/>
        </w:tabs>
        <w:suppressAutoHyphens w:val="0"/>
        <w:spacing w:before="0" w:line="280" w:lineRule="exact"/>
        <w:rPr>
          <w:rFonts w:eastAsia="Times New Roman" w:cstheme="minorHAnsi"/>
          <w:sz w:val="24"/>
          <w:szCs w:val="24"/>
          <w:lang w:val="en-AU"/>
        </w:rPr>
      </w:pPr>
      <w:r w:rsidRPr="00696A5F">
        <w:rPr>
          <w:rFonts w:eastAsia="Times New Roman"/>
          <w:sz w:val="24"/>
          <w:szCs w:val="24"/>
          <w:lang w:val="en-AU"/>
        </w:rPr>
        <w:t xml:space="preserve">enabling </w:t>
      </w:r>
      <w:r w:rsidR="00C676AF" w:rsidRPr="00696A5F">
        <w:rPr>
          <w:rFonts w:eastAsia="Times New Roman"/>
          <w:sz w:val="24"/>
          <w:szCs w:val="24"/>
          <w:lang w:val="en-AU"/>
        </w:rPr>
        <w:t xml:space="preserve">partners to create space and convene diverse and inclusive participation in dialogue and policy making forums </w:t>
      </w:r>
      <w:r w:rsidR="00B254FC" w:rsidRPr="00696A5F">
        <w:rPr>
          <w:rFonts w:eastAsia="Times New Roman"/>
          <w:sz w:val="24"/>
          <w:szCs w:val="24"/>
          <w:lang w:val="en-AU"/>
        </w:rPr>
        <w:t xml:space="preserve">to </w:t>
      </w:r>
      <w:r w:rsidR="00C676AF" w:rsidRPr="00696A5F">
        <w:rPr>
          <w:rFonts w:eastAsia="Times New Roman"/>
          <w:sz w:val="24"/>
          <w:szCs w:val="24"/>
          <w:lang w:val="en-AU"/>
        </w:rPr>
        <w:t>support more inclusive and locally led development decisions</w:t>
      </w:r>
    </w:p>
    <w:p w14:paraId="5386DEBF" w14:textId="6309A623" w:rsidR="00C676AF" w:rsidRPr="00696A5F" w:rsidRDefault="00F53BAF" w:rsidP="4C1C98D1">
      <w:pPr>
        <w:pStyle w:val="ListParagraph"/>
        <w:numPr>
          <w:ilvl w:val="0"/>
          <w:numId w:val="64"/>
        </w:numPr>
        <w:tabs>
          <w:tab w:val="left" w:pos="284"/>
        </w:tabs>
        <w:suppressAutoHyphens w:val="0"/>
        <w:spacing w:before="0" w:line="280" w:lineRule="exact"/>
        <w:rPr>
          <w:rFonts w:eastAsia="Times New Roman"/>
          <w:sz w:val="24"/>
          <w:szCs w:val="24"/>
          <w:lang w:val="en-AU"/>
        </w:rPr>
      </w:pPr>
      <w:r w:rsidRPr="00696A5F">
        <w:rPr>
          <w:rFonts w:eastAsia="Times New Roman"/>
          <w:sz w:val="24"/>
          <w:szCs w:val="24"/>
          <w:lang w:val="en-AU"/>
        </w:rPr>
        <w:t xml:space="preserve">investing </w:t>
      </w:r>
      <w:r w:rsidR="3E3EA645" w:rsidRPr="00696A5F">
        <w:rPr>
          <w:rFonts w:eastAsia="Times New Roman"/>
          <w:sz w:val="24"/>
          <w:szCs w:val="24"/>
          <w:lang w:val="en-AU"/>
        </w:rPr>
        <w:t>in leadership development of people from diverse backgrounds including women, people with disability and minorities</w:t>
      </w:r>
      <w:r w:rsidR="581EB8D8" w:rsidRPr="00696A5F">
        <w:rPr>
          <w:rFonts w:eastAsia="Times New Roman"/>
          <w:sz w:val="24"/>
          <w:szCs w:val="24"/>
          <w:lang w:val="en-AU"/>
        </w:rPr>
        <w:t xml:space="preserve"> (such as through short courses and peer-based networks)</w:t>
      </w:r>
      <w:r w:rsidR="3E3EA645" w:rsidRPr="00696A5F">
        <w:rPr>
          <w:rFonts w:eastAsia="Times New Roman"/>
          <w:sz w:val="24"/>
          <w:szCs w:val="24"/>
          <w:lang w:val="en-AU"/>
        </w:rPr>
        <w:t xml:space="preserve"> and building the capacity and skills of local partner organisations </w:t>
      </w:r>
      <w:r w:rsidR="00B254FC" w:rsidRPr="00696A5F">
        <w:rPr>
          <w:rFonts w:eastAsia="Times New Roman"/>
          <w:sz w:val="24"/>
          <w:szCs w:val="24"/>
          <w:lang w:val="en-AU"/>
        </w:rPr>
        <w:t xml:space="preserve">to </w:t>
      </w:r>
      <w:r w:rsidR="3E3EA645" w:rsidRPr="00696A5F">
        <w:rPr>
          <w:rFonts w:eastAsia="Times New Roman"/>
          <w:sz w:val="24"/>
          <w:szCs w:val="24"/>
          <w:lang w:val="en-AU"/>
        </w:rPr>
        <w:t>enhance local capability</w:t>
      </w:r>
    </w:p>
    <w:p w14:paraId="542CF992" w14:textId="0966931B" w:rsidR="008839EB" w:rsidRPr="00696A5F" w:rsidRDefault="00F53BAF" w:rsidP="002E677B">
      <w:pPr>
        <w:pStyle w:val="ListParagraph"/>
        <w:numPr>
          <w:ilvl w:val="0"/>
          <w:numId w:val="64"/>
        </w:numPr>
        <w:tabs>
          <w:tab w:val="left" w:pos="284"/>
        </w:tabs>
        <w:suppressAutoHyphens w:val="0"/>
        <w:spacing w:before="0" w:line="280" w:lineRule="exact"/>
        <w:rPr>
          <w:rFonts w:eastAsia="Times New Roman"/>
          <w:sz w:val="24"/>
          <w:szCs w:val="24"/>
          <w:lang w:val="en-AU"/>
        </w:rPr>
      </w:pPr>
      <w:r w:rsidRPr="00696A5F">
        <w:rPr>
          <w:rFonts w:eastAsia="Times New Roman"/>
          <w:sz w:val="24"/>
          <w:szCs w:val="24"/>
          <w:lang w:val="en-AU"/>
        </w:rPr>
        <w:t xml:space="preserve">strengthening </w:t>
      </w:r>
      <w:r w:rsidR="3E3EA645" w:rsidRPr="00696A5F">
        <w:rPr>
          <w:rFonts w:eastAsia="Times New Roman"/>
          <w:sz w:val="24"/>
          <w:szCs w:val="24"/>
          <w:lang w:val="en-AU"/>
        </w:rPr>
        <w:t>subregional platforms and networks and creating opportunities for diverse leaders across different sectors to engage with Mekong counterparts on areas of mutual interest to strengthen connections, confidence and shared understanding of common development challenges and Mekong strengths and solutions.</w:t>
      </w:r>
    </w:p>
    <w:p w14:paraId="5B5107F9" w14:textId="77777777" w:rsidR="003A3AD7" w:rsidRPr="001F14E7" w:rsidRDefault="003A3AD7" w:rsidP="00156916">
      <w:pPr>
        <w:pStyle w:val="Heading1Numbered"/>
        <w:rPr>
          <w:szCs w:val="21"/>
          <w:lang w:val="en-AU"/>
        </w:rPr>
      </w:pPr>
      <w:bookmarkStart w:id="114" w:name="_Toc162287883"/>
      <w:bookmarkStart w:id="115" w:name="_Toc163539170"/>
      <w:bookmarkStart w:id="116" w:name="_Toc174029053"/>
      <w:r w:rsidRPr="2C480AEE">
        <w:rPr>
          <w:lang w:val="en-AU"/>
        </w:rPr>
        <w:t>Monitoring, Evaluation and Learning</w:t>
      </w:r>
      <w:bookmarkEnd w:id="114"/>
      <w:bookmarkEnd w:id="115"/>
      <w:bookmarkEnd w:id="116"/>
    </w:p>
    <w:p w14:paraId="4A0C8548" w14:textId="77777777" w:rsidR="00503503" w:rsidRPr="00696A5F" w:rsidRDefault="00503503" w:rsidP="00503503">
      <w:pPr>
        <w:tabs>
          <w:tab w:val="left" w:pos="284"/>
        </w:tabs>
        <w:suppressAutoHyphens w:val="0"/>
        <w:spacing w:before="0" w:line="280" w:lineRule="exact"/>
        <w:rPr>
          <w:rFonts w:eastAsia="Times New Roman" w:cs="Times New Roman"/>
          <w:sz w:val="24"/>
          <w:szCs w:val="24"/>
          <w:lang w:val="en-AU"/>
        </w:rPr>
      </w:pPr>
      <w:bookmarkStart w:id="117" w:name="_Hlk131516736"/>
      <w:r w:rsidRPr="00696A5F">
        <w:rPr>
          <w:rFonts w:eastAsia="Times New Roman" w:cs="Times New Roman"/>
          <w:sz w:val="24"/>
          <w:szCs w:val="24"/>
          <w:lang w:val="en-AU"/>
        </w:rPr>
        <w:t xml:space="preserve">MAP will establish a proportionate and robust Monitoring, Evaluation and Learning (MEL) approach to assess achievements; regularly review portfolio objectives, strategies, and activities; learn lessons from ongoing implementation; and adjust and strengthen approaches for improved results. The MAP Phase 2 MEL system has three main objectives: </w:t>
      </w:r>
    </w:p>
    <w:p w14:paraId="5D62015B" w14:textId="77777777" w:rsidR="00503503" w:rsidRPr="00696A5F" w:rsidRDefault="00503503" w:rsidP="002E677B">
      <w:pPr>
        <w:pStyle w:val="ListParagraph"/>
        <w:numPr>
          <w:ilvl w:val="0"/>
          <w:numId w:val="65"/>
        </w:numPr>
        <w:tabs>
          <w:tab w:val="left" w:pos="284"/>
        </w:tabs>
        <w:suppressAutoHyphens w:val="0"/>
        <w:spacing w:before="60" w:line="240" w:lineRule="auto"/>
        <w:ind w:left="714" w:hanging="357"/>
        <w:contextualSpacing w:val="0"/>
        <w:rPr>
          <w:rFonts w:eastAsia="Times New Roman" w:cs="Times New Roman"/>
          <w:sz w:val="24"/>
          <w:szCs w:val="24"/>
          <w:lang w:val="en-AU"/>
        </w:rPr>
      </w:pPr>
      <w:r w:rsidRPr="00696A5F">
        <w:rPr>
          <w:rFonts w:eastAsia="Times New Roman" w:cs="Times New Roman"/>
          <w:sz w:val="24"/>
          <w:szCs w:val="24"/>
          <w:lang w:val="en-AU"/>
        </w:rPr>
        <w:t xml:space="preserve">Enable strategic decision-making: high level monitoring of the portfolio’s context, political economy, and opportunities will enable DFAT to assess strategic directions, determine investment priorities, and ensure appropriate engagement with key counterparts and stakeholders. </w:t>
      </w:r>
    </w:p>
    <w:p w14:paraId="13DAF6F9" w14:textId="3F261859" w:rsidR="00503503" w:rsidRPr="00696A5F" w:rsidRDefault="00503503" w:rsidP="002E677B">
      <w:pPr>
        <w:pStyle w:val="ListParagraph"/>
        <w:numPr>
          <w:ilvl w:val="0"/>
          <w:numId w:val="65"/>
        </w:numPr>
        <w:tabs>
          <w:tab w:val="left" w:pos="284"/>
        </w:tabs>
        <w:suppressAutoHyphens w:val="0"/>
        <w:spacing w:before="60" w:line="240" w:lineRule="auto"/>
        <w:ind w:left="714" w:hanging="357"/>
        <w:contextualSpacing w:val="0"/>
        <w:rPr>
          <w:rFonts w:eastAsia="Times New Roman" w:cs="Times New Roman"/>
          <w:sz w:val="24"/>
          <w:szCs w:val="24"/>
          <w:lang w:val="en-AU"/>
        </w:rPr>
      </w:pPr>
      <w:r w:rsidRPr="00696A5F">
        <w:rPr>
          <w:rFonts w:eastAsia="Times New Roman" w:cs="Times New Roman"/>
          <w:sz w:val="24"/>
          <w:szCs w:val="24"/>
          <w:lang w:val="en-AU"/>
        </w:rPr>
        <w:t>Understand and learn from results: much of MEL efforts will focus on assessing the appropriateness and sufficiency of the portfolio achievements, particularly against high level outcomes (IOs and EOPOs). While the accountability is to the level of EOPOs, tracking and learning about the visibility of and trust in Australia as a development partner will be important to inform continuous improvement.</w:t>
      </w:r>
    </w:p>
    <w:p w14:paraId="52416C0C" w14:textId="77777777" w:rsidR="00503503" w:rsidRPr="00696A5F" w:rsidRDefault="00503503" w:rsidP="002E677B">
      <w:pPr>
        <w:pStyle w:val="ListParagraph"/>
        <w:numPr>
          <w:ilvl w:val="0"/>
          <w:numId w:val="65"/>
        </w:numPr>
        <w:tabs>
          <w:tab w:val="left" w:pos="284"/>
        </w:tabs>
        <w:suppressAutoHyphens w:val="0"/>
        <w:spacing w:before="60" w:line="240" w:lineRule="auto"/>
        <w:ind w:left="714" w:hanging="357"/>
        <w:contextualSpacing w:val="0"/>
        <w:rPr>
          <w:rFonts w:eastAsia="Times New Roman" w:cs="Times New Roman"/>
          <w:sz w:val="24"/>
          <w:szCs w:val="24"/>
          <w:lang w:val="en-AU"/>
        </w:rPr>
      </w:pPr>
      <w:r w:rsidRPr="00696A5F">
        <w:rPr>
          <w:rFonts w:eastAsia="Times New Roman" w:cs="Times New Roman"/>
          <w:sz w:val="24"/>
          <w:szCs w:val="24"/>
          <w:lang w:val="en-AU"/>
        </w:rPr>
        <w:t>Ensure efficient management: the MEL function will provide information on investments inputs, activities, and outputs as required to fulfil public resource accountability requirements, ensure value for money, manage risk, and prepare annual plans and budgets.</w:t>
      </w:r>
    </w:p>
    <w:p w14:paraId="32DAEE0A" w14:textId="77777777" w:rsidR="00503503" w:rsidRPr="00696A5F" w:rsidRDefault="00503503" w:rsidP="005A2AB3">
      <w:pPr>
        <w:rPr>
          <w:sz w:val="24"/>
          <w:szCs w:val="24"/>
          <w:lang w:val="en-AU"/>
        </w:rPr>
      </w:pPr>
      <w:r w:rsidRPr="00696A5F">
        <w:rPr>
          <w:sz w:val="24"/>
          <w:szCs w:val="24"/>
          <w:lang w:val="en-AU"/>
        </w:rPr>
        <w:t>To fulfill these objectives the MEL approach will cover the performance of individual investments funded, as well the added value of their integration at aggregated levels, such as thematic, country, or overall portfolio levels. It will include mechanisms for periodic independent assessment to review and enhance strategic performance and ensure the portfolio is on track and delivering on expectations.</w:t>
      </w:r>
    </w:p>
    <w:p w14:paraId="13EABBC5" w14:textId="77777777" w:rsidR="00503503" w:rsidRPr="00696A5F" w:rsidRDefault="00503503" w:rsidP="005A2AB3">
      <w:pPr>
        <w:rPr>
          <w:sz w:val="24"/>
          <w:szCs w:val="24"/>
          <w:lang w:val="en-AU"/>
        </w:rPr>
      </w:pPr>
      <w:r w:rsidRPr="00696A5F">
        <w:rPr>
          <w:sz w:val="24"/>
          <w:szCs w:val="24"/>
          <w:lang w:val="en-AU"/>
        </w:rPr>
        <w:lastRenderedPageBreak/>
        <w:t>A summary of core elements of MAP Phase 2 MEL approach is provided below, distinguishing between the portfolio MEL system, the investments MEL requirements, and suggested independent review and quality assurance mechanisms.</w:t>
      </w:r>
    </w:p>
    <w:p w14:paraId="38C2C5E3" w14:textId="77777777" w:rsidR="00503503" w:rsidRPr="001F14E7" w:rsidRDefault="00503503" w:rsidP="00503503">
      <w:pPr>
        <w:pStyle w:val="Heading2Numbered"/>
        <w:rPr>
          <w:lang w:val="en-AU"/>
        </w:rPr>
      </w:pPr>
      <w:bookmarkStart w:id="118" w:name="_Toc163539171"/>
      <w:bookmarkStart w:id="119" w:name="_Toc174029054"/>
      <w:r w:rsidRPr="2C480AEE">
        <w:rPr>
          <w:lang w:val="en-AU"/>
        </w:rPr>
        <w:t>Portfolio MEL</w:t>
      </w:r>
      <w:bookmarkEnd w:id="118"/>
      <w:bookmarkEnd w:id="119"/>
      <w:r w:rsidRPr="2C480AEE">
        <w:rPr>
          <w:lang w:val="en-AU"/>
        </w:rPr>
        <w:t xml:space="preserve"> </w:t>
      </w:r>
    </w:p>
    <w:p w14:paraId="232E675D" w14:textId="3638DC78" w:rsidR="00503503" w:rsidRPr="00696A5F" w:rsidRDefault="005C4C69" w:rsidP="005A2AB3">
      <w:pPr>
        <w:rPr>
          <w:sz w:val="24"/>
          <w:szCs w:val="24"/>
          <w:lang w:val="en-AU"/>
        </w:rPr>
      </w:pPr>
      <w:r w:rsidRPr="00696A5F">
        <w:rPr>
          <w:sz w:val="24"/>
          <w:szCs w:val="24"/>
          <w:lang w:val="en-AU"/>
        </w:rPr>
        <w:t>A portfolio MEL plan and system will be developed by the Mekong Hub within the MAP Phase 2 inception period, in collaboration with Posts</w:t>
      </w:r>
      <w:r w:rsidR="1403A271" w:rsidRPr="00696A5F">
        <w:rPr>
          <w:sz w:val="24"/>
          <w:szCs w:val="24"/>
          <w:lang w:val="en-AU"/>
        </w:rPr>
        <w:t xml:space="preserve"> and MKS</w:t>
      </w:r>
      <w:r w:rsidRPr="00696A5F">
        <w:rPr>
          <w:sz w:val="24"/>
          <w:szCs w:val="24"/>
          <w:lang w:val="en-AU"/>
        </w:rPr>
        <w:t>. The system will cover MEL needs at portfolio level, describing the overall methodology to assess progress at each level of the portfolio logic, including processes, methods and tools, responsibilities and expected deliverables. It will be shared with the Steering Committee during the first year of implementation</w:t>
      </w:r>
      <w:r w:rsidR="005508E7" w:rsidRPr="00696A5F">
        <w:rPr>
          <w:sz w:val="24"/>
          <w:szCs w:val="24"/>
          <w:lang w:val="en-AU"/>
        </w:rPr>
        <w:t xml:space="preserve"> for review and comment</w:t>
      </w:r>
      <w:r w:rsidR="00503503" w:rsidRPr="00696A5F">
        <w:rPr>
          <w:sz w:val="24"/>
          <w:szCs w:val="24"/>
          <w:lang w:val="en-AU"/>
        </w:rPr>
        <w:t xml:space="preserve">. The plan will outline MEL activities, resources, and budget to be undertaken each year, including a schedule of </w:t>
      </w:r>
      <w:r w:rsidR="007B1CB2" w:rsidRPr="00696A5F">
        <w:rPr>
          <w:sz w:val="24"/>
          <w:szCs w:val="24"/>
          <w:lang w:val="en-AU"/>
        </w:rPr>
        <w:t>deliverables,</w:t>
      </w:r>
      <w:r w:rsidR="00503503" w:rsidRPr="00696A5F">
        <w:rPr>
          <w:sz w:val="24"/>
          <w:szCs w:val="24"/>
          <w:lang w:val="en-AU"/>
        </w:rPr>
        <w:t xml:space="preserve"> and learning events, and an analytical agenda. The plan will be updated each year as part of the annual planning process.</w:t>
      </w:r>
    </w:p>
    <w:p w14:paraId="464022B7" w14:textId="6E1113D0" w:rsidR="00503503" w:rsidRPr="00696A5F" w:rsidRDefault="00503503" w:rsidP="005A2AB3">
      <w:pPr>
        <w:rPr>
          <w:sz w:val="24"/>
          <w:szCs w:val="24"/>
          <w:lang w:val="en-AU"/>
        </w:rPr>
      </w:pPr>
      <w:r w:rsidRPr="00696A5F">
        <w:rPr>
          <w:sz w:val="24"/>
          <w:szCs w:val="24"/>
          <w:lang w:val="en-AU"/>
        </w:rPr>
        <w:t xml:space="preserve">The MEL system will generate evidence of contextual and portfolio performance that can be acted </w:t>
      </w:r>
      <w:r w:rsidR="007B1CB2" w:rsidRPr="00696A5F">
        <w:rPr>
          <w:sz w:val="24"/>
          <w:szCs w:val="24"/>
          <w:lang w:val="en-AU"/>
        </w:rPr>
        <w:t>upon and</w:t>
      </w:r>
      <w:r w:rsidRPr="00696A5F">
        <w:rPr>
          <w:sz w:val="24"/>
          <w:szCs w:val="24"/>
          <w:lang w:val="en-AU"/>
        </w:rPr>
        <w:t xml:space="preserve"> </w:t>
      </w:r>
      <w:r w:rsidR="0057356D" w:rsidRPr="00696A5F">
        <w:rPr>
          <w:sz w:val="24"/>
          <w:szCs w:val="24"/>
          <w:lang w:val="en-AU"/>
        </w:rPr>
        <w:t xml:space="preserve">will </w:t>
      </w:r>
      <w:r w:rsidRPr="00696A5F">
        <w:rPr>
          <w:sz w:val="24"/>
          <w:szCs w:val="24"/>
          <w:lang w:val="en-AU"/>
        </w:rPr>
        <w:t xml:space="preserve">describe ways in which different stakeholders can use such information. It will be </w:t>
      </w:r>
      <w:r w:rsidR="0057356D" w:rsidRPr="00696A5F">
        <w:rPr>
          <w:sz w:val="24"/>
          <w:szCs w:val="24"/>
          <w:lang w:val="en-AU"/>
        </w:rPr>
        <w:t xml:space="preserve">strategic, </w:t>
      </w:r>
      <w:r w:rsidRPr="00696A5F">
        <w:rPr>
          <w:sz w:val="24"/>
          <w:szCs w:val="24"/>
          <w:lang w:val="en-AU"/>
        </w:rPr>
        <w:t xml:space="preserve">practical and utilisation-focused, to support </w:t>
      </w:r>
      <w:r w:rsidR="005508E7" w:rsidRPr="00696A5F">
        <w:rPr>
          <w:sz w:val="24"/>
          <w:szCs w:val="24"/>
          <w:lang w:val="en-AU"/>
        </w:rPr>
        <w:t>DFAT meet</w:t>
      </w:r>
      <w:r w:rsidR="00EF7A8C" w:rsidRPr="00696A5F">
        <w:rPr>
          <w:sz w:val="24"/>
          <w:szCs w:val="24"/>
          <w:lang w:val="en-AU"/>
        </w:rPr>
        <w:t xml:space="preserve"> reporting obligations, and foster </w:t>
      </w:r>
      <w:r w:rsidRPr="00696A5F">
        <w:rPr>
          <w:sz w:val="24"/>
          <w:szCs w:val="24"/>
          <w:lang w:val="en-AU"/>
        </w:rPr>
        <w:t xml:space="preserve">a performance and learning </w:t>
      </w:r>
      <w:r w:rsidR="00D36D0D" w:rsidRPr="00696A5F">
        <w:rPr>
          <w:sz w:val="24"/>
          <w:szCs w:val="24"/>
          <w:lang w:val="en-AU"/>
        </w:rPr>
        <w:t xml:space="preserve">culture </w:t>
      </w:r>
      <w:r w:rsidRPr="00696A5F">
        <w:rPr>
          <w:sz w:val="24"/>
          <w:szCs w:val="24"/>
          <w:lang w:val="en-AU"/>
        </w:rPr>
        <w:t xml:space="preserve">among MAP Phase 2 decision makers. It will utilise existing dataset when relevant, including performance information generated by individual investments, and suggest additional data collection operations when necessary. </w:t>
      </w:r>
    </w:p>
    <w:p w14:paraId="77E35201" w14:textId="581A86CD" w:rsidR="002B0A8C" w:rsidRPr="001F14E7" w:rsidRDefault="002B0A8C" w:rsidP="00A30A99">
      <w:pPr>
        <w:pStyle w:val="Heading3Numbered"/>
        <w:rPr>
          <w:lang w:val="en-AU"/>
        </w:rPr>
      </w:pPr>
      <w:r w:rsidRPr="2C480AEE">
        <w:rPr>
          <w:lang w:val="en-AU"/>
        </w:rPr>
        <w:t>Key elements of Portfolio MEL</w:t>
      </w:r>
    </w:p>
    <w:p w14:paraId="66CDE0E7" w14:textId="042DDEA3" w:rsidR="002B0A8C" w:rsidRPr="0097193D" w:rsidRDefault="002B0A8C" w:rsidP="002B0A8C">
      <w:pPr>
        <w:tabs>
          <w:tab w:val="left" w:pos="284"/>
        </w:tabs>
        <w:suppressAutoHyphens w:val="0"/>
        <w:spacing w:before="0" w:line="280" w:lineRule="exact"/>
        <w:rPr>
          <w:rFonts w:eastAsia="Times New Roman" w:cs="Times New Roman"/>
          <w:sz w:val="24"/>
          <w:szCs w:val="24"/>
          <w:lang w:val="en-AU"/>
        </w:rPr>
      </w:pPr>
      <w:r w:rsidRPr="0097193D">
        <w:rPr>
          <w:rFonts w:eastAsia="Times New Roman" w:cs="Times New Roman"/>
          <w:sz w:val="24"/>
          <w:szCs w:val="24"/>
          <w:lang w:val="en-AU"/>
        </w:rPr>
        <w:t>The system will follow DFAT ME</w:t>
      </w:r>
      <w:r w:rsidR="6AC3F1E2" w:rsidRPr="0097193D">
        <w:rPr>
          <w:rFonts w:eastAsia="Times New Roman" w:cs="Times New Roman"/>
          <w:sz w:val="24"/>
          <w:szCs w:val="24"/>
          <w:lang w:val="en-AU"/>
        </w:rPr>
        <w:t>L</w:t>
      </w:r>
      <w:r w:rsidRPr="0097193D">
        <w:rPr>
          <w:rFonts w:eastAsia="Times New Roman" w:cs="Times New Roman"/>
          <w:sz w:val="24"/>
          <w:szCs w:val="24"/>
          <w:lang w:val="en-AU"/>
        </w:rPr>
        <w:t xml:space="preserve"> standards and include Key Performance </w:t>
      </w:r>
      <w:r w:rsidR="00AF3CC6" w:rsidRPr="0097193D">
        <w:rPr>
          <w:rFonts w:eastAsia="Times New Roman" w:cs="Times New Roman"/>
          <w:sz w:val="24"/>
          <w:szCs w:val="24"/>
          <w:lang w:val="en-AU"/>
        </w:rPr>
        <w:t>Questions to</w:t>
      </w:r>
      <w:r w:rsidRPr="0097193D">
        <w:rPr>
          <w:rFonts w:eastAsia="Times New Roman" w:cs="Times New Roman"/>
          <w:sz w:val="24"/>
          <w:szCs w:val="24"/>
          <w:lang w:val="en-AU"/>
        </w:rPr>
        <w:t xml:space="preserve"> guide the analysis and synthesis of performance information across the portfolio. In addition, it will include:</w:t>
      </w:r>
    </w:p>
    <w:p w14:paraId="0339F788" w14:textId="55112C5F" w:rsidR="002B0A8C" w:rsidRPr="0097193D" w:rsidRDefault="002B0A8C" w:rsidP="002E677B">
      <w:pPr>
        <w:numPr>
          <w:ilvl w:val="0"/>
          <w:numId w:val="37"/>
        </w:numPr>
        <w:tabs>
          <w:tab w:val="left" w:pos="284"/>
        </w:tabs>
        <w:suppressAutoHyphens w:val="0"/>
        <w:spacing w:before="60" w:line="240" w:lineRule="auto"/>
        <w:ind w:left="714" w:hanging="357"/>
        <w:rPr>
          <w:rFonts w:eastAsia="Times New Roman" w:cs="Times New Roman"/>
          <w:sz w:val="24"/>
          <w:szCs w:val="24"/>
          <w:lang w:val="en-AU"/>
        </w:rPr>
      </w:pPr>
      <w:r w:rsidRPr="0097193D">
        <w:rPr>
          <w:rFonts w:eastAsia="Times New Roman" w:cs="Times New Roman"/>
          <w:sz w:val="24"/>
          <w:szCs w:val="24"/>
          <w:lang w:val="en-AU"/>
        </w:rPr>
        <w:t xml:space="preserve">A Performance Assessment Framework (PAF) with key performance indicators, baseline measures and targets, to measure progress against each level of the portfolio logic. </w:t>
      </w:r>
      <w:r w:rsidR="005C4C69" w:rsidRPr="0097193D">
        <w:rPr>
          <w:rFonts w:eastAsia="Times New Roman" w:cs="Times New Roman"/>
          <w:sz w:val="24"/>
          <w:szCs w:val="24"/>
          <w:lang w:val="en-AU"/>
        </w:rPr>
        <w:t>The PAF will be updated during the first 6 months of implementation as art of the MEL system development and may draw on useful elements of DFAT guidance note on PAF for Facilities</w:t>
      </w:r>
      <w:r w:rsidRPr="0097193D">
        <w:rPr>
          <w:rFonts w:eastAsia="Times New Roman" w:cs="Times New Roman"/>
          <w:sz w:val="24"/>
          <w:szCs w:val="24"/>
          <w:lang w:val="en-AU"/>
        </w:rPr>
        <w:t>.</w:t>
      </w:r>
    </w:p>
    <w:p w14:paraId="61D9C850" w14:textId="54647B47" w:rsidR="002B0A8C" w:rsidRPr="0097193D" w:rsidRDefault="002B0A8C" w:rsidP="491FEDF7">
      <w:pPr>
        <w:numPr>
          <w:ilvl w:val="0"/>
          <w:numId w:val="37"/>
        </w:numPr>
        <w:tabs>
          <w:tab w:val="left" w:pos="284"/>
        </w:tabs>
        <w:suppressAutoHyphens w:val="0"/>
        <w:spacing w:before="60" w:line="240" w:lineRule="auto"/>
        <w:ind w:left="714" w:hanging="357"/>
        <w:rPr>
          <w:sz w:val="24"/>
          <w:szCs w:val="24"/>
        </w:rPr>
      </w:pPr>
      <w:r w:rsidRPr="0097193D">
        <w:rPr>
          <w:sz w:val="24"/>
          <w:szCs w:val="24"/>
        </w:rPr>
        <w:t>Description of monitoring processes and/or evaluation studies</w:t>
      </w:r>
      <w:r w:rsidR="00EF5117" w:rsidRPr="0097193D">
        <w:rPr>
          <w:rStyle w:val="FootnoteReference"/>
          <w:sz w:val="24"/>
          <w:szCs w:val="24"/>
        </w:rPr>
        <w:footnoteReference w:id="27"/>
      </w:r>
      <w:r w:rsidRPr="0097193D">
        <w:rPr>
          <w:sz w:val="24"/>
          <w:szCs w:val="24"/>
        </w:rPr>
        <w:t xml:space="preserve"> to assess the achievement of immediate, intermediate, and end of portfolio outcomes (in addition to performance information from individual investments), as well as broader contribution to the purpose (e.g. based on a perception survey of key stakeholders across the </w:t>
      </w:r>
      <w:r w:rsidR="00D70B4D" w:rsidRPr="0097193D">
        <w:rPr>
          <w:sz w:val="24"/>
          <w:szCs w:val="24"/>
        </w:rPr>
        <w:t>Mekong subregion</w:t>
      </w:r>
      <w:r w:rsidRPr="0097193D">
        <w:rPr>
          <w:sz w:val="24"/>
          <w:szCs w:val="24"/>
        </w:rPr>
        <w:t>).</w:t>
      </w:r>
    </w:p>
    <w:p w14:paraId="7AE68FD6" w14:textId="0CBF597D" w:rsidR="002B0A8C" w:rsidRPr="0097193D" w:rsidRDefault="002B0A8C" w:rsidP="002E677B">
      <w:pPr>
        <w:numPr>
          <w:ilvl w:val="0"/>
          <w:numId w:val="37"/>
        </w:numPr>
        <w:tabs>
          <w:tab w:val="left" w:pos="284"/>
        </w:tabs>
        <w:suppressAutoHyphens w:val="0"/>
        <w:spacing w:before="60" w:line="240" w:lineRule="auto"/>
        <w:ind w:left="714" w:hanging="357"/>
        <w:rPr>
          <w:rFonts w:eastAsia="Times New Roman" w:cs="Times New Roman"/>
          <w:sz w:val="24"/>
          <w:szCs w:val="24"/>
          <w:lang w:val="en-AU"/>
        </w:rPr>
      </w:pPr>
      <w:r w:rsidRPr="0097193D">
        <w:rPr>
          <w:rFonts w:eastAsia="Times New Roman" w:cs="Times New Roman"/>
          <w:sz w:val="24"/>
          <w:szCs w:val="24"/>
          <w:lang w:val="en-AU"/>
        </w:rPr>
        <w:t>An analytical agenda that outlines contextual studies on relevant issues and trends at national, transnational and/or subregional levels, some of which could be undertaken in collaboration with individual investments.</w:t>
      </w:r>
      <w:r w:rsidR="005A2AB3" w:rsidRPr="0097193D">
        <w:rPr>
          <w:rStyle w:val="FootnoteReference"/>
          <w:rFonts w:eastAsia="Times New Roman" w:cs="Times New Roman"/>
          <w:sz w:val="24"/>
          <w:szCs w:val="24"/>
          <w:lang w:val="en-AU"/>
        </w:rPr>
        <w:footnoteReference w:id="28"/>
      </w:r>
      <w:r w:rsidRPr="0097193D">
        <w:rPr>
          <w:rFonts w:eastAsia="Times New Roman" w:cs="Times New Roman"/>
          <w:sz w:val="24"/>
          <w:szCs w:val="24"/>
          <w:lang w:val="en-AU"/>
        </w:rPr>
        <w:t xml:space="preserve"> </w:t>
      </w:r>
    </w:p>
    <w:p w14:paraId="7A28EF5D" w14:textId="617127D2" w:rsidR="002B0A8C" w:rsidRPr="0097193D" w:rsidRDefault="002B0A8C" w:rsidP="002E677B">
      <w:pPr>
        <w:numPr>
          <w:ilvl w:val="0"/>
          <w:numId w:val="37"/>
        </w:numPr>
        <w:tabs>
          <w:tab w:val="left" w:pos="284"/>
        </w:tabs>
        <w:suppressAutoHyphens w:val="0"/>
        <w:spacing w:before="60" w:line="240" w:lineRule="auto"/>
        <w:ind w:left="714" w:hanging="357"/>
        <w:rPr>
          <w:rFonts w:eastAsia="Times New Roman" w:cs="Times New Roman"/>
          <w:sz w:val="24"/>
          <w:szCs w:val="24"/>
          <w:lang w:val="en-AU"/>
        </w:rPr>
      </w:pPr>
      <w:r w:rsidRPr="0097193D">
        <w:rPr>
          <w:rFonts w:eastAsia="Times New Roman" w:cs="Times New Roman"/>
          <w:sz w:val="24"/>
          <w:szCs w:val="24"/>
          <w:lang w:val="en-AU"/>
        </w:rPr>
        <w:t>A schedule of learning and reflection events, including specific outputs and/or protocols to generate and disseminate portfolio-wide lessons</w:t>
      </w:r>
      <w:r w:rsidR="005A2AB3" w:rsidRPr="0097193D">
        <w:rPr>
          <w:rFonts w:eastAsia="Times New Roman" w:cs="Times New Roman"/>
          <w:sz w:val="24"/>
          <w:szCs w:val="24"/>
          <w:lang w:val="en-AU"/>
        </w:rPr>
        <w:t>.</w:t>
      </w:r>
    </w:p>
    <w:p w14:paraId="0F73AEE9" w14:textId="4FB06C33" w:rsidR="002B0A8C" w:rsidRPr="0097193D" w:rsidRDefault="002B0A8C" w:rsidP="002E677B">
      <w:pPr>
        <w:numPr>
          <w:ilvl w:val="0"/>
          <w:numId w:val="37"/>
        </w:numPr>
        <w:tabs>
          <w:tab w:val="left" w:pos="284"/>
        </w:tabs>
        <w:suppressAutoHyphens w:val="0"/>
        <w:spacing w:before="60" w:line="240" w:lineRule="auto"/>
        <w:ind w:left="714" w:hanging="357"/>
        <w:rPr>
          <w:rFonts w:eastAsia="Times New Roman" w:cs="Times New Roman"/>
          <w:sz w:val="24"/>
          <w:szCs w:val="24"/>
          <w:lang w:val="en-AU"/>
        </w:rPr>
      </w:pPr>
      <w:r w:rsidRPr="0097193D">
        <w:rPr>
          <w:rFonts w:eastAsia="Times New Roman" w:cs="Times New Roman"/>
          <w:sz w:val="24"/>
          <w:szCs w:val="24"/>
          <w:lang w:val="en-AU"/>
        </w:rPr>
        <w:t>A deliverable</w:t>
      </w:r>
      <w:r w:rsidR="00D36D0D" w:rsidRPr="0097193D">
        <w:rPr>
          <w:rFonts w:eastAsia="Times New Roman" w:cs="Times New Roman"/>
          <w:sz w:val="24"/>
          <w:szCs w:val="24"/>
          <w:lang w:val="en-AU"/>
        </w:rPr>
        <w:t>s</w:t>
      </w:r>
      <w:r w:rsidRPr="0097193D">
        <w:rPr>
          <w:rFonts w:eastAsia="Times New Roman" w:cs="Times New Roman"/>
          <w:sz w:val="24"/>
          <w:szCs w:val="24"/>
          <w:lang w:val="en-AU"/>
        </w:rPr>
        <w:t xml:space="preserve"> framework that includes a list of reports and information sharing events, including required DFAT internal reports (e.g. </w:t>
      </w:r>
      <w:r w:rsidR="00EF7A8C" w:rsidRPr="0097193D">
        <w:rPr>
          <w:rFonts w:eastAsia="Times New Roman" w:cs="Times New Roman"/>
          <w:sz w:val="24"/>
          <w:szCs w:val="24"/>
          <w:lang w:val="en-AU"/>
        </w:rPr>
        <w:t xml:space="preserve">Performance and Delivery Framework reporting (Tier 2 and Tier 3 indicators), </w:t>
      </w:r>
      <w:r w:rsidR="000F65E7" w:rsidRPr="0097193D">
        <w:rPr>
          <w:rFonts w:eastAsia="Times New Roman" w:cs="Times New Roman"/>
          <w:sz w:val="24"/>
          <w:szCs w:val="24"/>
          <w:lang w:val="en-AU"/>
        </w:rPr>
        <w:t>Investment Monitoring Reports (</w:t>
      </w:r>
      <w:r w:rsidRPr="0097193D">
        <w:rPr>
          <w:rFonts w:eastAsia="Times New Roman" w:cs="Times New Roman"/>
          <w:sz w:val="24"/>
          <w:szCs w:val="24"/>
          <w:lang w:val="en-AU"/>
        </w:rPr>
        <w:t>IMR</w:t>
      </w:r>
      <w:r w:rsidR="000F65E7" w:rsidRPr="0097193D">
        <w:rPr>
          <w:rFonts w:eastAsia="Times New Roman" w:cs="Times New Roman"/>
          <w:sz w:val="24"/>
          <w:szCs w:val="24"/>
          <w:lang w:val="en-AU"/>
        </w:rPr>
        <w:t>)</w:t>
      </w:r>
      <w:r w:rsidRPr="0097193D">
        <w:rPr>
          <w:rFonts w:eastAsia="Times New Roman" w:cs="Times New Roman"/>
          <w:sz w:val="24"/>
          <w:szCs w:val="24"/>
          <w:lang w:val="en-AU"/>
        </w:rPr>
        <w:t xml:space="preserve"> and F</w:t>
      </w:r>
      <w:r w:rsidR="000F65E7" w:rsidRPr="0097193D">
        <w:rPr>
          <w:rFonts w:eastAsia="Times New Roman" w:cs="Times New Roman"/>
          <w:sz w:val="24"/>
          <w:szCs w:val="24"/>
          <w:lang w:val="en-AU"/>
        </w:rPr>
        <w:t xml:space="preserve">inal </w:t>
      </w:r>
      <w:r w:rsidRPr="0097193D">
        <w:rPr>
          <w:rFonts w:eastAsia="Times New Roman" w:cs="Times New Roman"/>
          <w:sz w:val="24"/>
          <w:szCs w:val="24"/>
          <w:lang w:val="en-AU"/>
        </w:rPr>
        <w:t xml:space="preserve">IMR, etc) and, if different, specific reports to the </w:t>
      </w:r>
      <w:r w:rsidR="000F65E7" w:rsidRPr="0097193D">
        <w:rPr>
          <w:rFonts w:eastAsia="Times New Roman" w:cs="Times New Roman"/>
          <w:sz w:val="24"/>
          <w:szCs w:val="24"/>
          <w:lang w:val="en-AU"/>
        </w:rPr>
        <w:t>Steering Committee</w:t>
      </w:r>
      <w:r w:rsidRPr="0097193D">
        <w:rPr>
          <w:rFonts w:eastAsia="Times New Roman" w:cs="Times New Roman"/>
          <w:sz w:val="24"/>
          <w:szCs w:val="24"/>
          <w:lang w:val="en-AU"/>
        </w:rPr>
        <w:t>.</w:t>
      </w:r>
    </w:p>
    <w:p w14:paraId="6409D850" w14:textId="77777777" w:rsidR="002B0A8C" w:rsidRPr="0097193D" w:rsidRDefault="002B0A8C" w:rsidP="002E677B">
      <w:pPr>
        <w:numPr>
          <w:ilvl w:val="0"/>
          <w:numId w:val="37"/>
        </w:numPr>
        <w:tabs>
          <w:tab w:val="left" w:pos="284"/>
        </w:tabs>
        <w:suppressAutoHyphens w:val="0"/>
        <w:spacing w:before="60" w:line="240" w:lineRule="auto"/>
        <w:ind w:left="714" w:hanging="357"/>
        <w:rPr>
          <w:rFonts w:eastAsia="Times New Roman" w:cs="Times New Roman"/>
          <w:sz w:val="24"/>
          <w:szCs w:val="24"/>
          <w:lang w:val="en-AU"/>
        </w:rPr>
      </w:pPr>
      <w:r w:rsidRPr="0097193D">
        <w:rPr>
          <w:rFonts w:eastAsia="Times New Roman" w:cs="Times New Roman"/>
          <w:sz w:val="24"/>
          <w:szCs w:val="24"/>
          <w:lang w:val="en-AU"/>
        </w:rPr>
        <w:t>Specific responsibilities, resources requirements and an overall budget.</w:t>
      </w:r>
    </w:p>
    <w:p w14:paraId="68BC73B0" w14:textId="5F6CCB7C" w:rsidR="002B0A8C" w:rsidRPr="0097193D" w:rsidRDefault="002B0A8C" w:rsidP="002E677B">
      <w:pPr>
        <w:numPr>
          <w:ilvl w:val="0"/>
          <w:numId w:val="37"/>
        </w:numPr>
        <w:tabs>
          <w:tab w:val="left" w:pos="284"/>
        </w:tabs>
        <w:suppressAutoHyphens w:val="0"/>
        <w:spacing w:before="60" w:line="240" w:lineRule="auto"/>
        <w:ind w:left="714" w:hanging="357"/>
        <w:rPr>
          <w:rFonts w:eastAsia="Times New Roman" w:cs="Times New Roman"/>
          <w:sz w:val="24"/>
          <w:szCs w:val="24"/>
          <w:lang w:val="en-AU"/>
        </w:rPr>
      </w:pPr>
      <w:r w:rsidRPr="0097193D">
        <w:rPr>
          <w:rFonts w:eastAsia="Times New Roman" w:cs="Times New Roman"/>
          <w:sz w:val="24"/>
          <w:szCs w:val="24"/>
          <w:lang w:val="en-AU"/>
        </w:rPr>
        <w:lastRenderedPageBreak/>
        <w:t>A timeline with key activities and deliverables.</w:t>
      </w:r>
      <w:r w:rsidR="003F26E0" w:rsidRPr="0097193D">
        <w:rPr>
          <w:rFonts w:eastAsia="Times New Roman" w:cs="Times New Roman"/>
          <w:sz w:val="24"/>
          <w:szCs w:val="24"/>
          <w:lang w:val="en-AU"/>
        </w:rPr>
        <w:t xml:space="preserve"> Subject to the final MEL Plan, this is likely to include </w:t>
      </w:r>
      <w:r w:rsidR="00937679" w:rsidRPr="0097193D">
        <w:rPr>
          <w:rFonts w:eastAsia="Times New Roman" w:cs="Times New Roman"/>
          <w:sz w:val="24"/>
          <w:szCs w:val="24"/>
          <w:lang w:val="en-AU"/>
        </w:rPr>
        <w:t xml:space="preserve">an </w:t>
      </w:r>
      <w:r w:rsidR="00937679" w:rsidRPr="0097193D">
        <w:rPr>
          <w:rFonts w:eastAsia="Times New Roman" w:cs="Times New Roman"/>
          <w:b/>
          <w:sz w:val="24"/>
          <w:szCs w:val="24"/>
          <w:lang w:val="en-AU"/>
        </w:rPr>
        <w:t>annual portfolio progress report</w:t>
      </w:r>
      <w:r w:rsidR="00937679" w:rsidRPr="0097193D">
        <w:rPr>
          <w:rFonts w:eastAsia="Times New Roman" w:cs="Times New Roman"/>
          <w:sz w:val="24"/>
          <w:szCs w:val="24"/>
          <w:lang w:val="en-AU"/>
        </w:rPr>
        <w:t xml:space="preserve"> and a </w:t>
      </w:r>
      <w:r w:rsidR="00937679" w:rsidRPr="0097193D">
        <w:rPr>
          <w:rFonts w:eastAsia="Times New Roman" w:cs="Times New Roman"/>
          <w:b/>
          <w:sz w:val="24"/>
          <w:szCs w:val="24"/>
          <w:lang w:val="en-AU"/>
        </w:rPr>
        <w:t>semi-annual progress update</w:t>
      </w:r>
      <w:r w:rsidR="00937679" w:rsidRPr="0097193D">
        <w:rPr>
          <w:rFonts w:eastAsia="Times New Roman" w:cs="Times New Roman"/>
          <w:sz w:val="24"/>
          <w:szCs w:val="24"/>
          <w:lang w:val="en-AU"/>
        </w:rPr>
        <w:t xml:space="preserve"> each year</w:t>
      </w:r>
      <w:r w:rsidR="007045F8" w:rsidRPr="0097193D">
        <w:rPr>
          <w:rFonts w:eastAsia="Times New Roman" w:cs="Times New Roman"/>
          <w:sz w:val="24"/>
          <w:szCs w:val="24"/>
          <w:lang w:val="en-AU"/>
        </w:rPr>
        <w:t>, aligned with DFAT IMR reporting cycles</w:t>
      </w:r>
      <w:r w:rsidR="00937679" w:rsidRPr="0097193D">
        <w:rPr>
          <w:rFonts w:eastAsia="Times New Roman" w:cs="Times New Roman"/>
          <w:sz w:val="24"/>
          <w:szCs w:val="24"/>
          <w:lang w:val="en-AU"/>
        </w:rPr>
        <w:t>.</w:t>
      </w:r>
    </w:p>
    <w:p w14:paraId="20AF2618" w14:textId="2031F937" w:rsidR="002B0A8C" w:rsidRPr="0097193D" w:rsidRDefault="002B0A8C" w:rsidP="002B0A8C">
      <w:pPr>
        <w:tabs>
          <w:tab w:val="left" w:pos="284"/>
        </w:tabs>
        <w:suppressAutoHyphens w:val="0"/>
        <w:spacing w:before="0" w:line="280" w:lineRule="exact"/>
        <w:rPr>
          <w:rFonts w:eastAsia="Times New Roman" w:cs="Times New Roman"/>
          <w:sz w:val="24"/>
          <w:szCs w:val="24"/>
          <w:lang w:val="en-AU"/>
        </w:rPr>
      </w:pPr>
      <w:r w:rsidRPr="0097193D">
        <w:rPr>
          <w:rFonts w:eastAsia="Times New Roman" w:cs="Times New Roman"/>
          <w:sz w:val="24"/>
          <w:szCs w:val="24"/>
          <w:lang w:val="en-AU"/>
        </w:rPr>
        <w:t xml:space="preserve">To host </w:t>
      </w:r>
      <w:r w:rsidR="007D6581" w:rsidRPr="0097193D">
        <w:rPr>
          <w:rFonts w:eastAsia="Times New Roman" w:cs="Times New Roman"/>
          <w:sz w:val="24"/>
          <w:szCs w:val="24"/>
          <w:lang w:val="en-AU"/>
        </w:rPr>
        <w:t xml:space="preserve">and facilitate access to </w:t>
      </w:r>
      <w:r w:rsidRPr="0097193D">
        <w:rPr>
          <w:rFonts w:eastAsia="Times New Roman" w:cs="Times New Roman"/>
          <w:sz w:val="24"/>
          <w:szCs w:val="24"/>
          <w:lang w:val="en-AU"/>
        </w:rPr>
        <w:t xml:space="preserve">all this information, the Mekong Hub </w:t>
      </w:r>
      <w:r w:rsidR="00163C16" w:rsidRPr="0097193D">
        <w:rPr>
          <w:rFonts w:eastAsia="Times New Roman" w:cs="Times New Roman"/>
          <w:sz w:val="24"/>
          <w:szCs w:val="24"/>
          <w:lang w:val="en-AU"/>
        </w:rPr>
        <w:t xml:space="preserve">will </w:t>
      </w:r>
      <w:r w:rsidR="00DD1BDC" w:rsidRPr="0097193D">
        <w:rPr>
          <w:rFonts w:eastAsia="Times New Roman" w:cs="Times New Roman"/>
          <w:sz w:val="24"/>
          <w:szCs w:val="24"/>
          <w:lang w:val="en-AU"/>
        </w:rPr>
        <w:t>utilise</w:t>
      </w:r>
      <w:r w:rsidR="007D6581" w:rsidRPr="0097193D">
        <w:rPr>
          <w:rFonts w:eastAsia="Times New Roman" w:cs="Times New Roman"/>
          <w:sz w:val="24"/>
          <w:szCs w:val="24"/>
          <w:lang w:val="en-AU"/>
        </w:rPr>
        <w:t xml:space="preserve"> data storage tools and processes that are compatible with DFAT system</w:t>
      </w:r>
      <w:r w:rsidR="00DD1BDC" w:rsidRPr="0097193D">
        <w:rPr>
          <w:rFonts w:eastAsia="Times New Roman" w:cs="Times New Roman"/>
          <w:sz w:val="24"/>
          <w:szCs w:val="24"/>
          <w:lang w:val="en-AU"/>
        </w:rPr>
        <w:t>s and security requirements</w:t>
      </w:r>
      <w:r w:rsidR="007D6581" w:rsidRPr="0097193D">
        <w:rPr>
          <w:rFonts w:eastAsia="Times New Roman" w:cs="Times New Roman"/>
          <w:sz w:val="24"/>
          <w:szCs w:val="24"/>
          <w:lang w:val="en-AU"/>
        </w:rPr>
        <w:t xml:space="preserve">. </w:t>
      </w:r>
      <w:r w:rsidRPr="0097193D">
        <w:rPr>
          <w:rFonts w:eastAsia="Times New Roman" w:cs="Times New Roman"/>
          <w:sz w:val="24"/>
          <w:szCs w:val="24"/>
          <w:lang w:val="en-AU"/>
        </w:rPr>
        <w:t>Th</w:t>
      </w:r>
      <w:r w:rsidR="007D6581" w:rsidRPr="0097193D">
        <w:rPr>
          <w:rFonts w:eastAsia="Times New Roman" w:cs="Times New Roman"/>
          <w:sz w:val="24"/>
          <w:szCs w:val="24"/>
          <w:lang w:val="en-AU"/>
        </w:rPr>
        <w:t xml:space="preserve">ese processes </w:t>
      </w:r>
      <w:r w:rsidRPr="0097193D">
        <w:rPr>
          <w:rFonts w:eastAsia="Times New Roman" w:cs="Times New Roman"/>
          <w:sz w:val="24"/>
          <w:szCs w:val="24"/>
          <w:lang w:val="en-AU"/>
        </w:rPr>
        <w:t>will enable efficient tracking and visualisation of resources,</w:t>
      </w:r>
      <w:r w:rsidR="007D6581" w:rsidRPr="0097193D">
        <w:rPr>
          <w:rFonts w:eastAsia="Times New Roman" w:cs="Times New Roman"/>
          <w:sz w:val="24"/>
          <w:szCs w:val="24"/>
          <w:lang w:val="en-AU"/>
        </w:rPr>
        <w:t xml:space="preserve"> contracts,</w:t>
      </w:r>
      <w:r w:rsidRPr="0097193D">
        <w:rPr>
          <w:rFonts w:eastAsia="Times New Roman" w:cs="Times New Roman"/>
          <w:sz w:val="24"/>
          <w:szCs w:val="24"/>
          <w:lang w:val="en-AU"/>
        </w:rPr>
        <w:t xml:space="preserve"> activities, outputs and </w:t>
      </w:r>
      <w:r w:rsidR="007D6581" w:rsidRPr="0097193D">
        <w:rPr>
          <w:rFonts w:eastAsia="Times New Roman" w:cs="Times New Roman"/>
          <w:sz w:val="24"/>
          <w:szCs w:val="24"/>
          <w:lang w:val="en-AU"/>
        </w:rPr>
        <w:t>achievements</w:t>
      </w:r>
      <w:r w:rsidRPr="0097193D">
        <w:rPr>
          <w:rFonts w:eastAsia="Times New Roman" w:cs="Times New Roman"/>
          <w:sz w:val="24"/>
          <w:szCs w:val="24"/>
          <w:lang w:val="en-AU"/>
        </w:rPr>
        <w:t xml:space="preserve">. </w:t>
      </w:r>
    </w:p>
    <w:p w14:paraId="7A55238F" w14:textId="77777777" w:rsidR="002B0A8C" w:rsidRPr="001F14E7" w:rsidRDefault="002B0A8C" w:rsidP="00A30A99">
      <w:pPr>
        <w:pStyle w:val="Heading3Numbered"/>
        <w:rPr>
          <w:lang w:val="en-AU"/>
        </w:rPr>
      </w:pPr>
      <w:r w:rsidRPr="2C480AEE">
        <w:rPr>
          <w:lang w:val="en-AU"/>
        </w:rPr>
        <w:t>MEL of GEDSI</w:t>
      </w:r>
    </w:p>
    <w:p w14:paraId="2F4211AC" w14:textId="0B291268" w:rsidR="002B0A8C" w:rsidRPr="0097193D" w:rsidRDefault="002B0A8C" w:rsidP="005A2AB3">
      <w:pPr>
        <w:rPr>
          <w:sz w:val="24"/>
          <w:szCs w:val="24"/>
          <w:lang w:val="en-AU"/>
        </w:rPr>
      </w:pPr>
      <w:r w:rsidRPr="0097193D">
        <w:rPr>
          <w:sz w:val="24"/>
          <w:szCs w:val="24"/>
          <w:lang w:val="en-AU"/>
        </w:rPr>
        <w:t xml:space="preserve">MAP Phase 2 central commitment to GEDSI will require specific </w:t>
      </w:r>
      <w:r w:rsidR="000F65E7" w:rsidRPr="0097193D">
        <w:rPr>
          <w:sz w:val="24"/>
          <w:szCs w:val="24"/>
          <w:lang w:val="en-AU"/>
        </w:rPr>
        <w:t>MEL</w:t>
      </w:r>
      <w:r w:rsidRPr="0097193D">
        <w:rPr>
          <w:sz w:val="24"/>
          <w:szCs w:val="24"/>
          <w:lang w:val="en-AU"/>
        </w:rPr>
        <w:t xml:space="preserve"> activities. Beyond producing disaggregated data by gender,</w:t>
      </w:r>
      <w:r w:rsidR="00803B10" w:rsidRPr="0097193D">
        <w:rPr>
          <w:sz w:val="24"/>
          <w:szCs w:val="24"/>
          <w:lang w:val="en-AU"/>
        </w:rPr>
        <w:t xml:space="preserve"> age and</w:t>
      </w:r>
      <w:r w:rsidRPr="0097193D">
        <w:rPr>
          <w:sz w:val="24"/>
          <w:szCs w:val="24"/>
          <w:lang w:val="en-AU"/>
        </w:rPr>
        <w:t xml:space="preserve"> disability </w:t>
      </w:r>
      <w:r w:rsidR="00803B10" w:rsidRPr="0097193D">
        <w:rPr>
          <w:sz w:val="24"/>
          <w:szCs w:val="24"/>
          <w:lang w:val="en-AU"/>
        </w:rPr>
        <w:t>status</w:t>
      </w:r>
      <w:r w:rsidR="00163C16" w:rsidRPr="0097193D">
        <w:rPr>
          <w:sz w:val="24"/>
          <w:szCs w:val="24"/>
          <w:lang w:val="en-AU"/>
        </w:rPr>
        <w:t xml:space="preserve"> (</w:t>
      </w:r>
      <w:r w:rsidR="00803B10" w:rsidRPr="0097193D">
        <w:rPr>
          <w:sz w:val="24"/>
          <w:szCs w:val="24"/>
          <w:lang w:val="en-AU"/>
        </w:rPr>
        <w:t>and where feasible other identity indicators such as ethnicity</w:t>
      </w:r>
      <w:r w:rsidR="00163C16" w:rsidRPr="0097193D">
        <w:rPr>
          <w:sz w:val="24"/>
          <w:szCs w:val="24"/>
          <w:lang w:val="en-AU"/>
        </w:rPr>
        <w:t>)</w:t>
      </w:r>
      <w:r w:rsidRPr="0097193D">
        <w:rPr>
          <w:sz w:val="24"/>
          <w:szCs w:val="24"/>
          <w:lang w:val="en-AU"/>
        </w:rPr>
        <w:t xml:space="preserve">, the MEL system will enable the tracking of intended and unintended </w:t>
      </w:r>
      <w:r w:rsidR="0080174C" w:rsidRPr="0097193D">
        <w:rPr>
          <w:sz w:val="24"/>
          <w:szCs w:val="24"/>
          <w:lang w:val="en-AU"/>
        </w:rPr>
        <w:t>GEDSI</w:t>
      </w:r>
      <w:r w:rsidRPr="0097193D">
        <w:rPr>
          <w:sz w:val="24"/>
          <w:szCs w:val="24"/>
          <w:lang w:val="en-AU"/>
        </w:rPr>
        <w:t xml:space="preserve"> dimensions of the portfolio, including changes in </w:t>
      </w:r>
      <w:r w:rsidR="00803B10" w:rsidRPr="0097193D">
        <w:rPr>
          <w:sz w:val="24"/>
          <w:szCs w:val="24"/>
          <w:lang w:val="en-AU"/>
        </w:rPr>
        <w:t>agency</w:t>
      </w:r>
      <w:r w:rsidR="00A123FF" w:rsidRPr="0097193D">
        <w:rPr>
          <w:sz w:val="24"/>
          <w:szCs w:val="24"/>
          <w:lang w:val="en-AU"/>
        </w:rPr>
        <w:t>, nudging</w:t>
      </w:r>
      <w:r w:rsidR="00803B10" w:rsidRPr="0097193D">
        <w:rPr>
          <w:sz w:val="24"/>
          <w:szCs w:val="24"/>
          <w:lang w:val="en-AU"/>
        </w:rPr>
        <w:t xml:space="preserve"> underlying social </w:t>
      </w:r>
      <w:r w:rsidRPr="0097193D">
        <w:rPr>
          <w:sz w:val="24"/>
          <w:szCs w:val="24"/>
          <w:lang w:val="en-AU"/>
        </w:rPr>
        <w:t>norms and power distribution, and the extent to which people with disabilities are actively participating in and benefiting from portfolio</w:t>
      </w:r>
      <w:r w:rsidR="00163C16" w:rsidRPr="0097193D">
        <w:rPr>
          <w:sz w:val="24"/>
          <w:szCs w:val="24"/>
          <w:lang w:val="en-AU"/>
        </w:rPr>
        <w:t xml:space="preserve"> activities</w:t>
      </w:r>
      <w:r w:rsidRPr="0097193D">
        <w:rPr>
          <w:sz w:val="24"/>
          <w:szCs w:val="24"/>
          <w:lang w:val="en-AU"/>
        </w:rPr>
        <w:t xml:space="preserve">. This will be explored as per </w:t>
      </w:r>
      <w:r w:rsidR="000F65E7" w:rsidRPr="0097193D">
        <w:rPr>
          <w:sz w:val="24"/>
          <w:szCs w:val="24"/>
          <w:lang w:val="en-AU"/>
        </w:rPr>
        <w:t xml:space="preserve">relevant </w:t>
      </w:r>
      <w:r w:rsidRPr="0097193D">
        <w:rPr>
          <w:sz w:val="24"/>
          <w:szCs w:val="24"/>
          <w:lang w:val="en-AU"/>
        </w:rPr>
        <w:t>key performance question</w:t>
      </w:r>
      <w:r w:rsidR="000F65E7" w:rsidRPr="0097193D">
        <w:rPr>
          <w:sz w:val="24"/>
          <w:szCs w:val="24"/>
          <w:lang w:val="en-AU"/>
        </w:rPr>
        <w:t>s</w:t>
      </w:r>
      <w:r w:rsidRPr="0097193D">
        <w:rPr>
          <w:sz w:val="24"/>
          <w:szCs w:val="24"/>
          <w:lang w:val="en-AU"/>
        </w:rPr>
        <w:t xml:space="preserve">, drawing on data from individual investments and Mekong Hub monitoring systems. Based on the GEDSI findings, </w:t>
      </w:r>
      <w:r w:rsidR="000F65E7" w:rsidRPr="0097193D">
        <w:rPr>
          <w:sz w:val="24"/>
          <w:szCs w:val="24"/>
          <w:lang w:val="en-AU"/>
        </w:rPr>
        <w:t>actions will be</w:t>
      </w:r>
      <w:r w:rsidRPr="0097193D">
        <w:rPr>
          <w:sz w:val="24"/>
          <w:szCs w:val="24"/>
          <w:lang w:val="en-AU"/>
        </w:rPr>
        <w:t xml:space="preserve"> identif</w:t>
      </w:r>
      <w:r w:rsidR="000F65E7" w:rsidRPr="0097193D">
        <w:rPr>
          <w:sz w:val="24"/>
          <w:szCs w:val="24"/>
          <w:lang w:val="en-AU"/>
        </w:rPr>
        <w:t>ied</w:t>
      </w:r>
      <w:r w:rsidRPr="0097193D">
        <w:rPr>
          <w:sz w:val="24"/>
          <w:szCs w:val="24"/>
          <w:lang w:val="en-AU"/>
        </w:rPr>
        <w:t xml:space="preserve"> to improve and address unintended consequences and risks. This will provide an opportunity for contributing to a wider knowledge base about effective strategies for elevating GEDSI attention in the Mekong subregion, </w:t>
      </w:r>
      <w:r w:rsidR="3B9A21F4" w:rsidRPr="0097193D">
        <w:rPr>
          <w:sz w:val="24"/>
          <w:szCs w:val="24"/>
          <w:lang w:val="en-AU"/>
        </w:rPr>
        <w:t>addressing multidimensional inequalities</w:t>
      </w:r>
      <w:r w:rsidRPr="0097193D">
        <w:rPr>
          <w:sz w:val="24"/>
          <w:szCs w:val="24"/>
          <w:lang w:val="en-AU"/>
        </w:rPr>
        <w:t xml:space="preserve"> and GEDSI responsive or transformative solutions to relevant development challenges.</w:t>
      </w:r>
    </w:p>
    <w:p w14:paraId="14ACBC8B" w14:textId="77777777" w:rsidR="002B0A8C" w:rsidRPr="001F14E7" w:rsidRDefault="002B0A8C" w:rsidP="00A30A99">
      <w:pPr>
        <w:pStyle w:val="Heading3Numbered"/>
        <w:rPr>
          <w:lang w:val="en-AU"/>
        </w:rPr>
      </w:pPr>
      <w:r w:rsidRPr="2C480AEE">
        <w:rPr>
          <w:lang w:val="en-AU"/>
        </w:rPr>
        <w:t xml:space="preserve">Key Performance Questions </w:t>
      </w:r>
    </w:p>
    <w:p w14:paraId="41C9D7CB" w14:textId="3E28AFB3" w:rsidR="002B0A8C" w:rsidRPr="0097193D" w:rsidRDefault="002B0A8C" w:rsidP="005A2AB3">
      <w:pPr>
        <w:rPr>
          <w:sz w:val="24"/>
          <w:szCs w:val="24"/>
          <w:lang w:val="en-AU"/>
        </w:rPr>
      </w:pPr>
      <w:r w:rsidRPr="0097193D">
        <w:rPr>
          <w:sz w:val="24"/>
          <w:szCs w:val="24"/>
          <w:lang w:val="en-AU"/>
        </w:rPr>
        <w:t>The MEL system will be structured around a set of Key Performance Questions, whose answers will enable the construct of a portfolio performance story</w:t>
      </w:r>
      <w:r w:rsidR="000F65E7" w:rsidRPr="0097193D">
        <w:rPr>
          <w:sz w:val="24"/>
          <w:szCs w:val="24"/>
          <w:lang w:val="en-AU"/>
        </w:rPr>
        <w:t xml:space="preserve"> over time</w:t>
      </w:r>
      <w:r w:rsidRPr="0097193D">
        <w:rPr>
          <w:sz w:val="24"/>
          <w:szCs w:val="24"/>
          <w:lang w:val="en-AU"/>
        </w:rPr>
        <w:t>. These questions</w:t>
      </w:r>
      <w:r w:rsidR="00163C16" w:rsidRPr="0097193D">
        <w:rPr>
          <w:sz w:val="24"/>
          <w:szCs w:val="24"/>
          <w:lang w:val="en-AU"/>
        </w:rPr>
        <w:t xml:space="preserve"> </w:t>
      </w:r>
      <w:r w:rsidRPr="0097193D">
        <w:rPr>
          <w:sz w:val="24"/>
          <w:szCs w:val="24"/>
          <w:lang w:val="en-AU"/>
        </w:rPr>
        <w:t xml:space="preserve">will provide a structure for the portfolio’s annual report, and some learning or reflection events. The preliminary questions </w:t>
      </w:r>
      <w:r w:rsidR="0096502A">
        <w:rPr>
          <w:sz w:val="24"/>
          <w:szCs w:val="24"/>
          <w:lang w:val="en-AU"/>
        </w:rPr>
        <w:t>will</w:t>
      </w:r>
      <w:r w:rsidRPr="0097193D">
        <w:rPr>
          <w:sz w:val="24"/>
          <w:szCs w:val="24"/>
          <w:lang w:val="en-AU"/>
        </w:rPr>
        <w:t xml:space="preserve"> align with the current design and the criteria used in the DFAT </w:t>
      </w:r>
      <w:r w:rsidR="000F65E7" w:rsidRPr="0097193D">
        <w:rPr>
          <w:sz w:val="24"/>
          <w:szCs w:val="24"/>
          <w:lang w:val="en-AU"/>
        </w:rPr>
        <w:t>IMR</w:t>
      </w:r>
      <w:r w:rsidRPr="0097193D">
        <w:rPr>
          <w:sz w:val="24"/>
          <w:szCs w:val="24"/>
          <w:lang w:val="en-AU"/>
        </w:rPr>
        <w:t xml:space="preserve">. They will be refined and agreed during the development of the MEL system. </w:t>
      </w:r>
    </w:p>
    <w:p w14:paraId="77686288" w14:textId="77777777" w:rsidR="002B0A8C" w:rsidRPr="001F14E7" w:rsidRDefault="002B0A8C" w:rsidP="00A30A99">
      <w:pPr>
        <w:pStyle w:val="Heading3Numbered"/>
        <w:rPr>
          <w:lang w:val="en-AU"/>
        </w:rPr>
      </w:pPr>
      <w:r w:rsidRPr="2C480AEE">
        <w:rPr>
          <w:lang w:val="en-AU"/>
        </w:rPr>
        <w:t xml:space="preserve">Learning function </w:t>
      </w:r>
    </w:p>
    <w:p w14:paraId="7A98E8CC" w14:textId="05CC53DC" w:rsidR="002B0A8C" w:rsidRPr="0097193D" w:rsidRDefault="002B0A8C" w:rsidP="005A2AB3">
      <w:pPr>
        <w:rPr>
          <w:sz w:val="24"/>
          <w:szCs w:val="24"/>
          <w:lang w:val="en-AU"/>
        </w:rPr>
      </w:pPr>
      <w:r w:rsidRPr="0097193D">
        <w:rPr>
          <w:sz w:val="24"/>
          <w:szCs w:val="24"/>
          <w:lang w:val="en-AU"/>
        </w:rPr>
        <w:t xml:space="preserve">The MAP Phase 2 portfolio will consist of multiple investments and activities, implemented at different speeds and timeframes, and with different but connected cross-fertilisation and learning opportunities. </w:t>
      </w:r>
      <w:r w:rsidR="000F65E7" w:rsidRPr="0097193D">
        <w:rPr>
          <w:sz w:val="24"/>
          <w:szCs w:val="24"/>
          <w:lang w:val="en-AU"/>
        </w:rPr>
        <w:t>T</w:t>
      </w:r>
      <w:r w:rsidRPr="0097193D">
        <w:rPr>
          <w:sz w:val="24"/>
          <w:szCs w:val="24"/>
          <w:lang w:val="en-AU"/>
        </w:rPr>
        <w:t>he portfolio MEL system will play a critical role in facilitating strategic learning and adaptation. Ensuring the sum is more than the parts, the learning function will enable lessons to be shared and learned across individual investments in ways that support the achievement of portfolio outcomes (IOs and EOPOs).</w:t>
      </w:r>
    </w:p>
    <w:p w14:paraId="26C8860E" w14:textId="75CB84C0" w:rsidR="00163C16" w:rsidRPr="0097193D" w:rsidRDefault="002B0A8C" w:rsidP="005A2AB3">
      <w:pPr>
        <w:rPr>
          <w:sz w:val="24"/>
          <w:szCs w:val="24"/>
          <w:lang w:val="en-AU"/>
        </w:rPr>
      </w:pPr>
      <w:r w:rsidRPr="0097193D">
        <w:rPr>
          <w:sz w:val="24"/>
          <w:szCs w:val="24"/>
          <w:lang w:val="en-AU"/>
        </w:rPr>
        <w:t xml:space="preserve">Based on the portfolio coverage and structure, the learning function </w:t>
      </w:r>
      <w:r w:rsidR="000F65E7" w:rsidRPr="0097193D">
        <w:rPr>
          <w:sz w:val="24"/>
          <w:szCs w:val="24"/>
          <w:lang w:val="en-AU"/>
        </w:rPr>
        <w:t xml:space="preserve">will </w:t>
      </w:r>
      <w:r w:rsidRPr="0097193D">
        <w:rPr>
          <w:sz w:val="24"/>
          <w:szCs w:val="24"/>
          <w:lang w:val="en-AU"/>
        </w:rPr>
        <w:t xml:space="preserve">generate lessons at three levels (country, thematic area, and portfolio levels) and of two types (process and content). Lessons for process improvement will necessitate reflections on operations, delivery process and modality, and management structure, whereas lessons on content will require reflections on contextual evolutions and the technical </w:t>
      </w:r>
      <w:r w:rsidR="00646E71" w:rsidRPr="0097193D">
        <w:rPr>
          <w:sz w:val="24"/>
          <w:szCs w:val="24"/>
          <w:lang w:val="en-AU"/>
        </w:rPr>
        <w:t>substance</w:t>
      </w:r>
      <w:r w:rsidR="00163C16" w:rsidRPr="0097193D">
        <w:rPr>
          <w:sz w:val="24"/>
          <w:szCs w:val="24"/>
          <w:lang w:val="en-AU"/>
        </w:rPr>
        <w:t xml:space="preserve"> of activities</w:t>
      </w:r>
      <w:r w:rsidRPr="0097193D">
        <w:rPr>
          <w:sz w:val="24"/>
          <w:szCs w:val="24"/>
          <w:lang w:val="en-AU"/>
        </w:rPr>
        <w:t xml:space="preserve">. To generate and synthesise these lessons, the MEL system will include clear learning events and processes, including an analytical agenda (see below). </w:t>
      </w:r>
    </w:p>
    <w:p w14:paraId="300E73E1" w14:textId="42E00264" w:rsidR="002B0A8C" w:rsidRPr="0097193D" w:rsidRDefault="002B0A8C" w:rsidP="005A2AB3">
      <w:pPr>
        <w:rPr>
          <w:sz w:val="24"/>
          <w:szCs w:val="24"/>
          <w:lang w:val="en-AU"/>
        </w:rPr>
      </w:pPr>
      <w:r w:rsidRPr="0097193D">
        <w:rPr>
          <w:sz w:val="24"/>
          <w:szCs w:val="24"/>
          <w:lang w:val="en-AU"/>
        </w:rPr>
        <w:t xml:space="preserve">As a key learning event, a </w:t>
      </w:r>
      <w:r w:rsidRPr="0097193D">
        <w:rPr>
          <w:b/>
          <w:sz w:val="24"/>
          <w:szCs w:val="24"/>
          <w:lang w:val="en-AU"/>
        </w:rPr>
        <w:t>portfolio reflection workshop</w:t>
      </w:r>
      <w:r w:rsidRPr="0097193D">
        <w:rPr>
          <w:sz w:val="24"/>
          <w:szCs w:val="24"/>
          <w:lang w:val="en-AU"/>
        </w:rPr>
        <w:t xml:space="preserve"> will be organised annually, involving DFAT and relevant stakeholders. The workshop will host discussions on contextual changes and portfolio achievements,</w:t>
      </w:r>
      <w:r w:rsidR="00163C16" w:rsidRPr="0097193D">
        <w:rPr>
          <w:sz w:val="24"/>
          <w:szCs w:val="24"/>
          <w:lang w:val="en-AU"/>
        </w:rPr>
        <w:t xml:space="preserve"> to</w:t>
      </w:r>
      <w:r w:rsidRPr="0097193D">
        <w:rPr>
          <w:sz w:val="24"/>
          <w:szCs w:val="24"/>
          <w:lang w:val="en-AU"/>
        </w:rPr>
        <w:t xml:space="preserve"> </w:t>
      </w:r>
      <w:r w:rsidR="000267F5" w:rsidRPr="0097193D">
        <w:rPr>
          <w:sz w:val="24"/>
          <w:szCs w:val="24"/>
          <w:lang w:val="en-AU"/>
        </w:rPr>
        <w:t xml:space="preserve">test and refine </w:t>
      </w:r>
      <w:r w:rsidRPr="0097193D">
        <w:rPr>
          <w:sz w:val="24"/>
          <w:szCs w:val="24"/>
          <w:lang w:val="en-AU"/>
        </w:rPr>
        <w:t>portfolio direction</w:t>
      </w:r>
      <w:r w:rsidR="000267F5" w:rsidRPr="0097193D">
        <w:rPr>
          <w:sz w:val="24"/>
          <w:szCs w:val="24"/>
          <w:lang w:val="en-AU"/>
        </w:rPr>
        <w:t>s</w:t>
      </w:r>
      <w:r w:rsidRPr="0097193D">
        <w:rPr>
          <w:sz w:val="24"/>
          <w:szCs w:val="24"/>
          <w:lang w:val="en-AU"/>
        </w:rPr>
        <w:t xml:space="preserve"> and identify key lessons and their application in </w:t>
      </w:r>
      <w:r w:rsidRPr="0097193D">
        <w:rPr>
          <w:sz w:val="24"/>
          <w:szCs w:val="24"/>
          <w:lang w:val="en-AU"/>
        </w:rPr>
        <w:lastRenderedPageBreak/>
        <w:t>portfolio activities. Key takeaways will then be summarised and shared with S</w:t>
      </w:r>
      <w:r w:rsidR="00803B10" w:rsidRPr="0097193D">
        <w:rPr>
          <w:sz w:val="24"/>
          <w:szCs w:val="24"/>
          <w:lang w:val="en-AU"/>
        </w:rPr>
        <w:t xml:space="preserve">teering </w:t>
      </w:r>
      <w:r w:rsidRPr="0097193D">
        <w:rPr>
          <w:sz w:val="24"/>
          <w:szCs w:val="24"/>
          <w:lang w:val="en-AU"/>
        </w:rPr>
        <w:t>C</w:t>
      </w:r>
      <w:r w:rsidR="00803B10" w:rsidRPr="0097193D">
        <w:rPr>
          <w:sz w:val="24"/>
          <w:szCs w:val="24"/>
          <w:lang w:val="en-AU"/>
        </w:rPr>
        <w:t>ommittee</w:t>
      </w:r>
      <w:r w:rsidRPr="0097193D">
        <w:rPr>
          <w:sz w:val="24"/>
          <w:szCs w:val="24"/>
          <w:lang w:val="en-AU"/>
        </w:rPr>
        <w:t xml:space="preserve"> members and feed into the preparation of relevant portfolio plans and reports.</w:t>
      </w:r>
    </w:p>
    <w:p w14:paraId="1488BD55" w14:textId="1ADA7FB9" w:rsidR="002B0A8C" w:rsidRPr="0097193D" w:rsidRDefault="00163105" w:rsidP="005A2AB3">
      <w:pPr>
        <w:rPr>
          <w:sz w:val="24"/>
          <w:szCs w:val="24"/>
          <w:lang w:val="en-AU"/>
        </w:rPr>
      </w:pPr>
      <w:r w:rsidRPr="0097193D">
        <w:rPr>
          <w:sz w:val="24"/>
          <w:szCs w:val="24"/>
          <w:lang w:val="en-AU"/>
        </w:rPr>
        <w:t xml:space="preserve">The Mekong Hub may utilise </w:t>
      </w:r>
      <w:r w:rsidRPr="0097193D">
        <w:rPr>
          <w:b/>
          <w:sz w:val="24"/>
          <w:szCs w:val="24"/>
          <w:lang w:val="en-AU"/>
        </w:rPr>
        <w:t>portfolio strategy testing</w:t>
      </w:r>
      <w:r w:rsidRPr="0097193D">
        <w:rPr>
          <w:sz w:val="24"/>
          <w:szCs w:val="24"/>
          <w:lang w:val="en-AU"/>
        </w:rPr>
        <w:t xml:space="preserve"> </w:t>
      </w:r>
      <w:r w:rsidR="0D0D0BC0" w:rsidRPr="0097193D">
        <w:rPr>
          <w:sz w:val="24"/>
          <w:szCs w:val="24"/>
          <w:lang w:val="en-AU"/>
        </w:rPr>
        <w:t xml:space="preserve">(or similar) </w:t>
      </w:r>
      <w:r w:rsidR="57C8926A" w:rsidRPr="0097193D">
        <w:rPr>
          <w:sz w:val="24"/>
          <w:szCs w:val="24"/>
          <w:lang w:val="en-AU"/>
        </w:rPr>
        <w:t>processes</w:t>
      </w:r>
      <w:r w:rsidR="24260ACC" w:rsidRPr="0097193D">
        <w:rPr>
          <w:sz w:val="24"/>
          <w:szCs w:val="24"/>
          <w:lang w:val="en-AU"/>
        </w:rPr>
        <w:t xml:space="preserve"> to reflect on, test and adapt the portfolio logic</w:t>
      </w:r>
      <w:r w:rsidR="57C8926A" w:rsidRPr="0097193D">
        <w:rPr>
          <w:sz w:val="24"/>
          <w:szCs w:val="24"/>
          <w:lang w:val="en-AU"/>
        </w:rPr>
        <w:t xml:space="preserve">, risk register </w:t>
      </w:r>
      <w:r w:rsidR="24260ACC" w:rsidRPr="0097193D">
        <w:rPr>
          <w:sz w:val="24"/>
          <w:szCs w:val="24"/>
          <w:lang w:val="en-AU"/>
        </w:rPr>
        <w:t>and main strategies</w:t>
      </w:r>
      <w:r w:rsidR="57C8926A" w:rsidRPr="0097193D">
        <w:rPr>
          <w:sz w:val="24"/>
          <w:szCs w:val="24"/>
          <w:lang w:val="en-AU"/>
        </w:rPr>
        <w:t xml:space="preserve">, </w:t>
      </w:r>
      <w:r w:rsidR="7B3CF1E1" w:rsidRPr="0097193D">
        <w:rPr>
          <w:sz w:val="24"/>
          <w:szCs w:val="24"/>
          <w:lang w:val="en-AU"/>
        </w:rPr>
        <w:t>(</w:t>
      </w:r>
      <w:r w:rsidR="57C8926A" w:rsidRPr="0097193D">
        <w:rPr>
          <w:sz w:val="24"/>
          <w:szCs w:val="24"/>
          <w:lang w:val="en-AU"/>
        </w:rPr>
        <w:t xml:space="preserve">such as </w:t>
      </w:r>
      <w:r w:rsidR="24260ACC" w:rsidRPr="0097193D">
        <w:rPr>
          <w:sz w:val="24"/>
          <w:szCs w:val="24"/>
          <w:lang w:val="en-AU"/>
        </w:rPr>
        <w:t>the GEDSI, climate change, MEL and communication strategies</w:t>
      </w:r>
      <w:r w:rsidR="2C80B613" w:rsidRPr="0097193D">
        <w:rPr>
          <w:sz w:val="24"/>
          <w:szCs w:val="24"/>
          <w:lang w:val="en-AU"/>
        </w:rPr>
        <w:t>) as required</w:t>
      </w:r>
      <w:r w:rsidR="24260ACC" w:rsidRPr="0097193D">
        <w:rPr>
          <w:sz w:val="24"/>
          <w:szCs w:val="24"/>
          <w:lang w:val="en-AU"/>
        </w:rPr>
        <w:t>. The</w:t>
      </w:r>
      <w:r w:rsidR="57C8926A" w:rsidRPr="0097193D">
        <w:rPr>
          <w:sz w:val="24"/>
          <w:szCs w:val="24"/>
          <w:lang w:val="en-AU"/>
        </w:rPr>
        <w:t>se</w:t>
      </w:r>
      <w:r w:rsidR="24260ACC" w:rsidRPr="0097193D">
        <w:rPr>
          <w:sz w:val="24"/>
          <w:szCs w:val="24"/>
          <w:lang w:val="en-AU"/>
        </w:rPr>
        <w:t xml:space="preserve"> process</w:t>
      </w:r>
      <w:r w:rsidR="57C8926A" w:rsidRPr="0097193D">
        <w:rPr>
          <w:sz w:val="24"/>
          <w:szCs w:val="24"/>
          <w:lang w:val="en-AU"/>
        </w:rPr>
        <w:t>es</w:t>
      </w:r>
      <w:r w:rsidR="24260ACC" w:rsidRPr="0097193D">
        <w:rPr>
          <w:sz w:val="24"/>
          <w:szCs w:val="24"/>
          <w:lang w:val="en-AU"/>
        </w:rPr>
        <w:t xml:space="preserve"> will inform portfolio adjustments, </w:t>
      </w:r>
      <w:r w:rsidR="57C8926A" w:rsidRPr="0097193D">
        <w:rPr>
          <w:sz w:val="24"/>
          <w:szCs w:val="24"/>
          <w:lang w:val="en-AU"/>
        </w:rPr>
        <w:t xml:space="preserve">and </w:t>
      </w:r>
      <w:r w:rsidR="24260ACC" w:rsidRPr="0097193D">
        <w:rPr>
          <w:sz w:val="24"/>
          <w:szCs w:val="24"/>
          <w:lang w:val="en-AU"/>
        </w:rPr>
        <w:t>determine new priorities and engagement</w:t>
      </w:r>
      <w:r w:rsidR="6F0D9168" w:rsidRPr="0097193D">
        <w:rPr>
          <w:sz w:val="24"/>
          <w:szCs w:val="24"/>
          <w:lang w:val="en-AU"/>
        </w:rPr>
        <w:t>, if necessary</w:t>
      </w:r>
      <w:r w:rsidR="24260ACC" w:rsidRPr="0097193D">
        <w:rPr>
          <w:sz w:val="24"/>
          <w:szCs w:val="24"/>
          <w:lang w:val="en-AU"/>
        </w:rPr>
        <w:t xml:space="preserve">. </w:t>
      </w:r>
    </w:p>
    <w:p w14:paraId="2BDE736C" w14:textId="273B923C" w:rsidR="005C4C69" w:rsidRPr="0097193D" w:rsidRDefault="005C4C69" w:rsidP="005A2AB3">
      <w:pPr>
        <w:rPr>
          <w:sz w:val="24"/>
          <w:szCs w:val="24"/>
          <w:lang w:val="en-AU"/>
        </w:rPr>
      </w:pPr>
      <w:r w:rsidRPr="0097193D">
        <w:rPr>
          <w:sz w:val="24"/>
          <w:szCs w:val="24"/>
          <w:lang w:val="en-AU"/>
        </w:rPr>
        <w:t>The MEL system</w:t>
      </w:r>
      <w:r w:rsidR="00B77D2B" w:rsidRPr="0097193D">
        <w:rPr>
          <w:sz w:val="24"/>
          <w:szCs w:val="24"/>
          <w:lang w:val="en-AU"/>
        </w:rPr>
        <w:t xml:space="preserve"> will</w:t>
      </w:r>
      <w:r w:rsidRPr="0097193D">
        <w:rPr>
          <w:sz w:val="24"/>
          <w:szCs w:val="24"/>
          <w:lang w:val="en-AU"/>
        </w:rPr>
        <w:t xml:space="preserve"> include a</w:t>
      </w:r>
      <w:r w:rsidR="00246A64" w:rsidRPr="0097193D">
        <w:rPr>
          <w:sz w:val="24"/>
          <w:szCs w:val="24"/>
          <w:lang w:val="en-AU"/>
        </w:rPr>
        <w:t xml:space="preserve"> realistic</w:t>
      </w:r>
      <w:r w:rsidRPr="0097193D">
        <w:rPr>
          <w:sz w:val="24"/>
          <w:szCs w:val="24"/>
          <w:lang w:val="en-AU"/>
        </w:rPr>
        <w:t xml:space="preserve"> </w:t>
      </w:r>
      <w:r w:rsidRPr="0097193D">
        <w:rPr>
          <w:b/>
          <w:sz w:val="24"/>
          <w:szCs w:val="24"/>
          <w:lang w:val="en-AU"/>
        </w:rPr>
        <w:t>analytical agenda</w:t>
      </w:r>
      <w:r w:rsidRPr="0097193D">
        <w:rPr>
          <w:sz w:val="24"/>
          <w:szCs w:val="24"/>
          <w:lang w:val="en-AU"/>
        </w:rPr>
        <w:t xml:space="preserve"> outlining </w:t>
      </w:r>
      <w:r w:rsidR="00246A64" w:rsidRPr="0097193D">
        <w:rPr>
          <w:sz w:val="24"/>
          <w:szCs w:val="24"/>
          <w:lang w:val="en-AU"/>
        </w:rPr>
        <w:t xml:space="preserve">a series of </w:t>
      </w:r>
      <w:r w:rsidRPr="0097193D">
        <w:rPr>
          <w:sz w:val="24"/>
          <w:szCs w:val="24"/>
          <w:lang w:val="en-AU"/>
        </w:rPr>
        <w:t>studies</w:t>
      </w:r>
      <w:r w:rsidR="00246A64" w:rsidRPr="0097193D">
        <w:rPr>
          <w:sz w:val="24"/>
          <w:szCs w:val="24"/>
          <w:lang w:val="en-AU"/>
        </w:rPr>
        <w:t xml:space="preserve"> and/or think pieces</w:t>
      </w:r>
      <w:r w:rsidRPr="0097193D">
        <w:rPr>
          <w:sz w:val="24"/>
          <w:szCs w:val="24"/>
          <w:lang w:val="en-AU"/>
        </w:rPr>
        <w:t xml:space="preserve"> on issues of relevance to the portfolio</w:t>
      </w:r>
      <w:r w:rsidR="00246A64" w:rsidRPr="0097193D">
        <w:rPr>
          <w:sz w:val="24"/>
          <w:szCs w:val="24"/>
          <w:lang w:val="en-AU"/>
        </w:rPr>
        <w:t>, i.e.</w:t>
      </w:r>
      <w:r w:rsidRPr="0097193D">
        <w:rPr>
          <w:sz w:val="24"/>
          <w:szCs w:val="24"/>
          <w:lang w:val="en-AU"/>
        </w:rPr>
        <w:t xml:space="preserve"> contextual trends and challenges that influence the achievement of MAP Phase 2 outcomes. Study findings may feed into learning events (including but not uniquely the portfolio reflection workshop), as well as broader discussions about MAP Phase 2 performance and strategic direction. </w:t>
      </w:r>
      <w:r w:rsidR="00FF3C77" w:rsidRPr="0097193D">
        <w:rPr>
          <w:sz w:val="24"/>
          <w:szCs w:val="24"/>
          <w:lang w:val="en-AU"/>
        </w:rPr>
        <w:t>Analytical work may be commissioned via the support services contractor</w:t>
      </w:r>
      <w:r w:rsidR="00163C16" w:rsidRPr="0097193D">
        <w:rPr>
          <w:sz w:val="24"/>
          <w:szCs w:val="24"/>
          <w:lang w:val="en-AU"/>
        </w:rPr>
        <w:t>,</w:t>
      </w:r>
      <w:r w:rsidR="00FF3C77" w:rsidRPr="0097193D">
        <w:rPr>
          <w:sz w:val="24"/>
          <w:szCs w:val="24"/>
          <w:lang w:val="en-AU"/>
        </w:rPr>
        <w:t xml:space="preserve"> or through other delivery mechanisms.</w:t>
      </w:r>
    </w:p>
    <w:p w14:paraId="36C7FA61" w14:textId="070EF69A" w:rsidR="005C4C69" w:rsidRPr="0097193D" w:rsidRDefault="005C4C69" w:rsidP="005A2AB3">
      <w:pPr>
        <w:rPr>
          <w:sz w:val="24"/>
          <w:szCs w:val="24"/>
          <w:lang w:val="en-AU"/>
        </w:rPr>
      </w:pPr>
      <w:r w:rsidRPr="0097193D">
        <w:rPr>
          <w:sz w:val="24"/>
          <w:szCs w:val="24"/>
          <w:lang w:val="en-AU"/>
        </w:rPr>
        <w:t>The agenda will be developed by the Mekong Hub in consultation with Posts and MKS and be updated annually as part of the MEL plan. It will include a dedicated budget and retain some flexibility: although some studies can be identified in advance, others will be mobilised quickly outside of the planning cycle, to respond to short windows of opportunit</w:t>
      </w:r>
      <w:r w:rsidR="0096502A">
        <w:rPr>
          <w:sz w:val="24"/>
          <w:szCs w:val="24"/>
          <w:lang w:val="en-AU"/>
        </w:rPr>
        <w:t>y</w:t>
      </w:r>
      <w:r w:rsidRPr="0097193D">
        <w:rPr>
          <w:sz w:val="24"/>
          <w:szCs w:val="24"/>
          <w:lang w:val="en-AU"/>
        </w:rPr>
        <w:t>.</w:t>
      </w:r>
    </w:p>
    <w:p w14:paraId="5A13C1F6" w14:textId="65CFB8CD" w:rsidR="002B0A8C" w:rsidRPr="001F14E7" w:rsidRDefault="002B0A8C" w:rsidP="002B0A8C">
      <w:pPr>
        <w:pStyle w:val="Heading2Numbered"/>
        <w:rPr>
          <w:lang w:val="en-AU"/>
        </w:rPr>
      </w:pPr>
      <w:bookmarkStart w:id="120" w:name="_Toc163539172"/>
      <w:bookmarkStart w:id="121" w:name="_Toc174029055"/>
      <w:r w:rsidRPr="2C480AEE">
        <w:rPr>
          <w:lang w:val="en-AU"/>
        </w:rPr>
        <w:t>Investment MEL</w:t>
      </w:r>
      <w:bookmarkEnd w:id="120"/>
      <w:bookmarkEnd w:id="121"/>
    </w:p>
    <w:p w14:paraId="4304D5B4" w14:textId="64173754" w:rsidR="002B0A8C" w:rsidRPr="0097193D" w:rsidRDefault="002B0A8C" w:rsidP="005A2AB3">
      <w:pPr>
        <w:rPr>
          <w:sz w:val="24"/>
          <w:szCs w:val="24"/>
          <w:lang w:val="en-AU"/>
        </w:rPr>
      </w:pPr>
      <w:r w:rsidRPr="0097193D">
        <w:rPr>
          <w:sz w:val="24"/>
          <w:szCs w:val="24"/>
          <w:lang w:val="en-AU"/>
        </w:rPr>
        <w:t>MAP Phase 2 investment</w:t>
      </w:r>
      <w:r w:rsidR="00D36D0D" w:rsidRPr="0097193D">
        <w:rPr>
          <w:sz w:val="24"/>
          <w:szCs w:val="24"/>
          <w:lang w:val="en-AU"/>
        </w:rPr>
        <w:t>s</w:t>
      </w:r>
      <w:r w:rsidRPr="0097193D">
        <w:rPr>
          <w:sz w:val="24"/>
          <w:szCs w:val="24"/>
          <w:lang w:val="en-AU"/>
        </w:rPr>
        <w:t xml:space="preserve"> will be required to develop </w:t>
      </w:r>
      <w:r w:rsidR="00D36D0D" w:rsidRPr="0097193D">
        <w:rPr>
          <w:sz w:val="24"/>
          <w:szCs w:val="24"/>
          <w:lang w:val="en-AU"/>
        </w:rPr>
        <w:t xml:space="preserve">their </w:t>
      </w:r>
      <w:r w:rsidRPr="0097193D">
        <w:rPr>
          <w:sz w:val="24"/>
          <w:szCs w:val="24"/>
          <w:lang w:val="en-AU"/>
        </w:rPr>
        <w:t xml:space="preserve">own MEL framework or strategy. Bilateral investments that are managed and overseen by </w:t>
      </w:r>
      <w:r w:rsidR="00BB2501" w:rsidRPr="0097193D">
        <w:rPr>
          <w:sz w:val="24"/>
          <w:szCs w:val="24"/>
          <w:lang w:val="en-AU"/>
        </w:rPr>
        <w:t>Post</w:t>
      </w:r>
      <w:r w:rsidRPr="0097193D">
        <w:rPr>
          <w:sz w:val="24"/>
          <w:szCs w:val="24"/>
          <w:lang w:val="en-AU"/>
        </w:rPr>
        <w:t xml:space="preserve">s will follow requirements from </w:t>
      </w:r>
      <w:r w:rsidR="00BB2501" w:rsidRPr="0097193D">
        <w:rPr>
          <w:sz w:val="24"/>
          <w:szCs w:val="24"/>
          <w:lang w:val="en-AU"/>
        </w:rPr>
        <w:t>Post</w:t>
      </w:r>
      <w:r w:rsidRPr="0097193D">
        <w:rPr>
          <w:sz w:val="24"/>
          <w:szCs w:val="24"/>
          <w:lang w:val="en-AU"/>
        </w:rPr>
        <w:t>s</w:t>
      </w:r>
      <w:r w:rsidR="00812A37" w:rsidRPr="0097193D">
        <w:rPr>
          <w:sz w:val="24"/>
          <w:szCs w:val="24"/>
          <w:lang w:val="en-AU"/>
        </w:rPr>
        <w:t xml:space="preserve"> and may be reported directly under bilateral DPPs</w:t>
      </w:r>
      <w:r w:rsidRPr="0097193D">
        <w:rPr>
          <w:sz w:val="24"/>
          <w:szCs w:val="24"/>
          <w:lang w:val="en-AU"/>
        </w:rPr>
        <w:t xml:space="preserve">. For the other investments, managed and overseen by the Mekong Hub, the portfolio MEL system will provide guidance on minimum MEL standards and expectations. These requirements will be fit-for-purpose, reflect the type of investment (grants and/or subcontracts), and include nested investment logics, reporting against key activities and outputs, contribution to investment-specific and portfolio outcomes, tracking of GEDSI </w:t>
      </w:r>
      <w:r w:rsidR="00803B10" w:rsidRPr="0097193D">
        <w:rPr>
          <w:sz w:val="24"/>
          <w:szCs w:val="24"/>
          <w:lang w:val="en-AU"/>
        </w:rPr>
        <w:t>responsive</w:t>
      </w:r>
      <w:r w:rsidR="002F099A" w:rsidRPr="0097193D">
        <w:rPr>
          <w:sz w:val="24"/>
          <w:szCs w:val="24"/>
          <w:lang w:val="en-AU"/>
        </w:rPr>
        <w:t>/</w:t>
      </w:r>
      <w:r w:rsidR="00803B10" w:rsidRPr="0097193D">
        <w:rPr>
          <w:sz w:val="24"/>
          <w:szCs w:val="24"/>
          <w:lang w:val="en-AU"/>
        </w:rPr>
        <w:t>transformati</w:t>
      </w:r>
      <w:r w:rsidR="00BC2F35">
        <w:rPr>
          <w:sz w:val="24"/>
          <w:szCs w:val="24"/>
          <w:lang w:val="en-AU"/>
        </w:rPr>
        <w:t>ve</w:t>
      </w:r>
      <w:r w:rsidR="00803B10" w:rsidRPr="0097193D">
        <w:rPr>
          <w:sz w:val="24"/>
          <w:szCs w:val="24"/>
          <w:lang w:val="en-AU"/>
        </w:rPr>
        <w:t xml:space="preserve"> standard </w:t>
      </w:r>
      <w:r w:rsidRPr="0097193D">
        <w:rPr>
          <w:sz w:val="24"/>
          <w:szCs w:val="24"/>
          <w:lang w:val="en-AU"/>
        </w:rPr>
        <w:t>and climate change responsiveness, lessons and risks.</w:t>
      </w:r>
    </w:p>
    <w:p w14:paraId="2B874457" w14:textId="29D2E423" w:rsidR="002B0A8C" w:rsidRPr="0097193D" w:rsidRDefault="002B0A8C" w:rsidP="005A2AB3">
      <w:pPr>
        <w:rPr>
          <w:sz w:val="24"/>
          <w:szCs w:val="24"/>
          <w:lang w:val="en-AU"/>
        </w:rPr>
      </w:pPr>
      <w:r w:rsidRPr="0097193D">
        <w:rPr>
          <w:sz w:val="24"/>
          <w:szCs w:val="24"/>
          <w:lang w:val="en-AU"/>
        </w:rPr>
        <w:t>The</w:t>
      </w:r>
      <w:r w:rsidR="00803B10" w:rsidRPr="0097193D">
        <w:rPr>
          <w:sz w:val="24"/>
          <w:szCs w:val="24"/>
          <w:lang w:val="en-AU"/>
        </w:rPr>
        <w:t xml:space="preserve"> Mekong</w:t>
      </w:r>
      <w:r w:rsidRPr="0097193D">
        <w:rPr>
          <w:sz w:val="24"/>
          <w:szCs w:val="24"/>
          <w:lang w:val="en-AU"/>
        </w:rPr>
        <w:t xml:space="preserve"> Hub MEL team will facilitate a quality assurance process for key investment outputs, conducted at two </w:t>
      </w:r>
      <w:r w:rsidR="00803B10" w:rsidRPr="0097193D">
        <w:rPr>
          <w:sz w:val="24"/>
          <w:szCs w:val="24"/>
          <w:lang w:val="en-AU"/>
        </w:rPr>
        <w:t xml:space="preserve">main </w:t>
      </w:r>
      <w:r w:rsidRPr="0097193D">
        <w:rPr>
          <w:sz w:val="24"/>
          <w:szCs w:val="24"/>
          <w:lang w:val="en-AU"/>
        </w:rPr>
        <w:t xml:space="preserve">points: </w:t>
      </w:r>
    </w:p>
    <w:p w14:paraId="7F55914C" w14:textId="69B272FF" w:rsidR="002B0A8C" w:rsidRPr="0097193D" w:rsidRDefault="00D36D0D" w:rsidP="002E677B">
      <w:pPr>
        <w:pStyle w:val="ListParagraph"/>
        <w:numPr>
          <w:ilvl w:val="0"/>
          <w:numId w:val="66"/>
        </w:numPr>
        <w:tabs>
          <w:tab w:val="left" w:pos="284"/>
        </w:tabs>
        <w:suppressAutoHyphens w:val="0"/>
        <w:spacing w:before="60" w:line="240" w:lineRule="auto"/>
        <w:ind w:left="714" w:hanging="357"/>
        <w:contextualSpacing w:val="0"/>
        <w:rPr>
          <w:rFonts w:eastAsia="Times New Roman" w:cs="Times New Roman"/>
          <w:sz w:val="24"/>
          <w:szCs w:val="24"/>
          <w:lang w:val="en-AU"/>
        </w:rPr>
      </w:pPr>
      <w:r w:rsidRPr="0097193D">
        <w:rPr>
          <w:rFonts w:eastAsia="Times New Roman" w:cs="Times New Roman"/>
          <w:sz w:val="24"/>
          <w:szCs w:val="24"/>
          <w:lang w:val="en-AU"/>
        </w:rPr>
        <w:t>I</w:t>
      </w:r>
      <w:r w:rsidR="002B0A8C" w:rsidRPr="0097193D">
        <w:rPr>
          <w:rFonts w:eastAsia="Times New Roman" w:cs="Times New Roman"/>
          <w:sz w:val="24"/>
          <w:szCs w:val="24"/>
          <w:lang w:val="en-AU"/>
        </w:rPr>
        <w:t xml:space="preserve">nvestment </w:t>
      </w:r>
      <w:r w:rsidRPr="0097193D">
        <w:rPr>
          <w:rFonts w:eastAsia="Times New Roman" w:cs="Times New Roman"/>
          <w:sz w:val="24"/>
          <w:szCs w:val="24"/>
          <w:lang w:val="en-AU"/>
        </w:rPr>
        <w:t xml:space="preserve">concept and/or </w:t>
      </w:r>
      <w:r w:rsidR="002B0A8C" w:rsidRPr="0097193D">
        <w:rPr>
          <w:rFonts w:eastAsia="Times New Roman" w:cs="Times New Roman"/>
          <w:sz w:val="24"/>
          <w:szCs w:val="24"/>
          <w:lang w:val="en-AU"/>
        </w:rPr>
        <w:t>proposal</w:t>
      </w:r>
      <w:r w:rsidR="00CA0296" w:rsidRPr="0097193D">
        <w:rPr>
          <w:rFonts w:eastAsia="Times New Roman" w:cs="Times New Roman"/>
          <w:sz w:val="24"/>
          <w:szCs w:val="24"/>
          <w:lang w:val="en-AU"/>
        </w:rPr>
        <w:t>s</w:t>
      </w:r>
      <w:r w:rsidR="002B0A8C" w:rsidRPr="0097193D">
        <w:rPr>
          <w:rFonts w:eastAsia="Times New Roman" w:cs="Times New Roman"/>
          <w:sz w:val="24"/>
          <w:szCs w:val="24"/>
          <w:lang w:val="en-AU"/>
        </w:rPr>
        <w:t xml:space="preserve"> – assessment of the foundational problem analysis and link to proposed solution</w:t>
      </w:r>
      <w:r w:rsidR="00EF7A8C" w:rsidRPr="0097193D">
        <w:rPr>
          <w:rFonts w:eastAsia="Times New Roman" w:cs="Times New Roman"/>
          <w:sz w:val="24"/>
          <w:szCs w:val="24"/>
          <w:lang w:val="en-AU"/>
        </w:rPr>
        <w:t xml:space="preserve"> and opportunities</w:t>
      </w:r>
      <w:r w:rsidR="002B0A8C" w:rsidRPr="0097193D">
        <w:rPr>
          <w:rFonts w:eastAsia="Times New Roman" w:cs="Times New Roman"/>
          <w:sz w:val="24"/>
          <w:szCs w:val="24"/>
          <w:lang w:val="en-AU"/>
        </w:rPr>
        <w:t xml:space="preserve">; clarity of nested investment logic; appropriateness of implementation methods; GEDSI </w:t>
      </w:r>
      <w:r w:rsidR="00803B10" w:rsidRPr="0097193D">
        <w:rPr>
          <w:rFonts w:eastAsia="Times New Roman" w:cs="Times New Roman"/>
          <w:sz w:val="24"/>
          <w:szCs w:val="24"/>
          <w:lang w:val="en-AU"/>
        </w:rPr>
        <w:t>responsive/transformati</w:t>
      </w:r>
      <w:r w:rsidR="00BC2F35">
        <w:rPr>
          <w:rFonts w:eastAsia="Times New Roman" w:cs="Times New Roman"/>
          <w:sz w:val="24"/>
          <w:szCs w:val="24"/>
          <w:lang w:val="en-AU"/>
        </w:rPr>
        <w:t>ve</w:t>
      </w:r>
      <w:r w:rsidR="00803B10" w:rsidRPr="0097193D">
        <w:rPr>
          <w:rFonts w:eastAsia="Times New Roman" w:cs="Times New Roman"/>
          <w:sz w:val="24"/>
          <w:szCs w:val="24"/>
          <w:lang w:val="en-AU"/>
        </w:rPr>
        <w:t xml:space="preserve"> </w:t>
      </w:r>
      <w:r w:rsidR="002B0A8C" w:rsidRPr="0097193D">
        <w:rPr>
          <w:rFonts w:eastAsia="Times New Roman" w:cs="Times New Roman"/>
          <w:sz w:val="24"/>
          <w:szCs w:val="24"/>
          <w:lang w:val="en-AU"/>
        </w:rPr>
        <w:t xml:space="preserve">and climate change responsiveness; and MEL framework or strategy. </w:t>
      </w:r>
    </w:p>
    <w:p w14:paraId="10B40CB2" w14:textId="0EA951B9" w:rsidR="002B0A8C" w:rsidRPr="0097193D" w:rsidRDefault="00D36D0D" w:rsidP="002E677B">
      <w:pPr>
        <w:pStyle w:val="ListParagraph"/>
        <w:numPr>
          <w:ilvl w:val="0"/>
          <w:numId w:val="66"/>
        </w:numPr>
        <w:tabs>
          <w:tab w:val="left" w:pos="284"/>
        </w:tabs>
        <w:suppressAutoHyphens w:val="0"/>
        <w:spacing w:before="60" w:line="240" w:lineRule="auto"/>
        <w:ind w:left="714" w:hanging="357"/>
        <w:contextualSpacing w:val="0"/>
        <w:rPr>
          <w:rFonts w:eastAsia="Times New Roman" w:cs="Times New Roman"/>
          <w:sz w:val="24"/>
          <w:szCs w:val="24"/>
          <w:lang w:val="en-AU"/>
        </w:rPr>
      </w:pPr>
      <w:r w:rsidRPr="0097193D">
        <w:rPr>
          <w:rFonts w:eastAsia="Times New Roman" w:cs="Times New Roman"/>
          <w:sz w:val="24"/>
          <w:szCs w:val="24"/>
          <w:lang w:val="en-AU"/>
        </w:rPr>
        <w:t>I</w:t>
      </w:r>
      <w:r w:rsidR="002B0A8C" w:rsidRPr="0097193D">
        <w:rPr>
          <w:rFonts w:eastAsia="Times New Roman" w:cs="Times New Roman"/>
          <w:sz w:val="24"/>
          <w:szCs w:val="24"/>
          <w:lang w:val="en-AU"/>
        </w:rPr>
        <w:t xml:space="preserve">nvestment progress and final reports – robustness of evidence; fulfilment of GEDSI and climate change intentions in proposal; credibility and clarity of findings; attention to accessibility in dissemination; outcomes achieved or planned. </w:t>
      </w:r>
    </w:p>
    <w:p w14:paraId="3F65EFBE" w14:textId="7F504B03" w:rsidR="009F2B68" w:rsidRPr="0097193D" w:rsidRDefault="52159EAD" w:rsidP="003A3AD7">
      <w:pPr>
        <w:tabs>
          <w:tab w:val="left" w:pos="284"/>
        </w:tabs>
        <w:suppressAutoHyphens w:val="0"/>
        <w:spacing w:before="0" w:line="280" w:lineRule="exact"/>
        <w:rPr>
          <w:rFonts w:eastAsia="Times New Roman" w:cs="Times New Roman"/>
          <w:sz w:val="24"/>
          <w:szCs w:val="24"/>
          <w:lang w:val="en-AU"/>
        </w:rPr>
      </w:pPr>
      <w:r w:rsidRPr="120220CA">
        <w:rPr>
          <w:rFonts w:eastAsia="Times New Roman" w:cs="Times New Roman"/>
          <w:sz w:val="24"/>
          <w:szCs w:val="24"/>
          <w:lang w:val="en-AU"/>
        </w:rPr>
        <w:t>The i</w:t>
      </w:r>
      <w:r w:rsidR="005C4C69" w:rsidRPr="120220CA">
        <w:rPr>
          <w:rFonts w:eastAsia="Times New Roman" w:cs="Times New Roman"/>
          <w:sz w:val="24"/>
          <w:szCs w:val="24"/>
          <w:lang w:val="en-AU"/>
        </w:rPr>
        <w:t>nvestment MEL strategy will include a monitoring function, i.e. a set of processes to routinely collect and report data relevant to the achievement of sought-after results, including specific performance indicators related to level of inputs, activities produced and achievement of outcomes.</w:t>
      </w:r>
      <w:r w:rsidR="009F2B68" w:rsidRPr="120220CA">
        <w:rPr>
          <w:rFonts w:eastAsia="Times New Roman" w:cs="Times New Roman"/>
          <w:sz w:val="24"/>
          <w:szCs w:val="24"/>
          <w:lang w:val="en-AU"/>
        </w:rPr>
        <w:t xml:space="preserve"> The Mekong Hub will manage a </w:t>
      </w:r>
      <w:r w:rsidR="00B25890" w:rsidRPr="120220CA">
        <w:rPr>
          <w:rFonts w:eastAsia="Times New Roman" w:cs="Times New Roman"/>
          <w:sz w:val="24"/>
          <w:szCs w:val="24"/>
          <w:lang w:val="en-AU"/>
        </w:rPr>
        <w:t>dashboard to efficiently and consistently collect, track and utilise MEL information</w:t>
      </w:r>
      <w:r w:rsidR="009F318A" w:rsidRPr="120220CA">
        <w:rPr>
          <w:rFonts w:eastAsia="Times New Roman" w:cs="Times New Roman"/>
          <w:sz w:val="24"/>
          <w:szCs w:val="24"/>
          <w:lang w:val="en-AU"/>
        </w:rPr>
        <w:t xml:space="preserve"> across the portfolio and track resources, activities and outputs against all levels of the portfolio logic.</w:t>
      </w:r>
      <w:r w:rsidR="00B25890" w:rsidRPr="120220CA">
        <w:rPr>
          <w:rFonts w:eastAsia="Times New Roman" w:cs="Times New Roman"/>
          <w:sz w:val="24"/>
          <w:szCs w:val="24"/>
          <w:lang w:val="en-AU"/>
        </w:rPr>
        <w:t xml:space="preserve"> </w:t>
      </w:r>
      <w:r w:rsidR="005C4C69" w:rsidRPr="120220CA">
        <w:rPr>
          <w:rFonts w:eastAsia="Times New Roman" w:cs="Times New Roman"/>
          <w:sz w:val="24"/>
          <w:szCs w:val="24"/>
          <w:lang w:val="en-AU"/>
        </w:rPr>
        <w:t xml:space="preserve"> </w:t>
      </w:r>
      <w:r w:rsidR="00B77D2B" w:rsidRPr="120220CA">
        <w:rPr>
          <w:rFonts w:eastAsia="Times New Roman" w:cs="Times New Roman"/>
          <w:sz w:val="24"/>
          <w:szCs w:val="24"/>
          <w:lang w:val="en-AU"/>
        </w:rPr>
        <w:t xml:space="preserve">They </w:t>
      </w:r>
      <w:r w:rsidR="005C4C69" w:rsidRPr="120220CA">
        <w:rPr>
          <w:rFonts w:eastAsia="Times New Roman" w:cs="Times New Roman"/>
          <w:sz w:val="24"/>
          <w:szCs w:val="24"/>
          <w:lang w:val="en-AU"/>
        </w:rPr>
        <w:t>will also include an evaluation function to punctually investigate specific aspects of their operations, including for instance operational reviews, outcome evaluations</w:t>
      </w:r>
      <w:r w:rsidR="7C035C65" w:rsidRPr="120220CA">
        <w:rPr>
          <w:rFonts w:eastAsia="Times New Roman" w:cs="Times New Roman"/>
          <w:sz w:val="24"/>
          <w:szCs w:val="24"/>
          <w:lang w:val="en-AU"/>
        </w:rPr>
        <w:t xml:space="preserve"> </w:t>
      </w:r>
      <w:r w:rsidR="005C4C69" w:rsidRPr="120220CA">
        <w:rPr>
          <w:rFonts w:eastAsia="Times New Roman" w:cs="Times New Roman"/>
          <w:sz w:val="24"/>
          <w:szCs w:val="24"/>
          <w:lang w:val="en-AU"/>
        </w:rPr>
        <w:t>and/or case studie</w:t>
      </w:r>
      <w:r w:rsidR="00B77D2B" w:rsidRPr="120220CA">
        <w:rPr>
          <w:rFonts w:eastAsia="Times New Roman" w:cs="Times New Roman"/>
          <w:sz w:val="24"/>
          <w:szCs w:val="24"/>
          <w:lang w:val="en-AU"/>
        </w:rPr>
        <w:t>s</w:t>
      </w:r>
      <w:r w:rsidR="005C4C69" w:rsidRPr="120220CA">
        <w:rPr>
          <w:rFonts w:eastAsia="Times New Roman" w:cs="Times New Roman"/>
          <w:sz w:val="24"/>
          <w:szCs w:val="24"/>
          <w:lang w:val="en-AU"/>
        </w:rPr>
        <w:t xml:space="preserve">. </w:t>
      </w:r>
      <w:r w:rsidR="002B0A8C" w:rsidRPr="120220CA">
        <w:rPr>
          <w:rFonts w:eastAsia="Times New Roman" w:cs="Times New Roman"/>
          <w:sz w:val="24"/>
          <w:szCs w:val="24"/>
          <w:lang w:val="en-AU"/>
        </w:rPr>
        <w:t xml:space="preserve">These evaluation studies will be identified and designed early on, cognisant of existing </w:t>
      </w:r>
      <w:r w:rsidR="002B0A8C" w:rsidRPr="120220CA">
        <w:rPr>
          <w:rFonts w:eastAsia="Times New Roman" w:cs="Times New Roman"/>
          <w:sz w:val="24"/>
          <w:szCs w:val="24"/>
          <w:lang w:val="en-AU"/>
        </w:rPr>
        <w:lastRenderedPageBreak/>
        <w:t>datasets</w:t>
      </w:r>
      <w:r w:rsidR="00B77D2B" w:rsidRPr="120220CA">
        <w:rPr>
          <w:rFonts w:eastAsia="Times New Roman" w:cs="Times New Roman"/>
          <w:sz w:val="24"/>
          <w:szCs w:val="24"/>
          <w:lang w:val="en-AU"/>
        </w:rPr>
        <w:t xml:space="preserve"> </w:t>
      </w:r>
      <w:r w:rsidR="002B0A8C" w:rsidRPr="120220CA">
        <w:rPr>
          <w:rFonts w:eastAsia="Times New Roman" w:cs="Times New Roman"/>
          <w:sz w:val="24"/>
          <w:szCs w:val="24"/>
          <w:lang w:val="en-AU"/>
        </w:rPr>
        <w:t>and processes. In some cases</w:t>
      </w:r>
      <w:r w:rsidR="00B77D2B" w:rsidRPr="120220CA">
        <w:rPr>
          <w:rFonts w:eastAsia="Times New Roman" w:cs="Times New Roman"/>
          <w:sz w:val="24"/>
          <w:szCs w:val="24"/>
          <w:lang w:val="en-AU"/>
        </w:rPr>
        <w:t xml:space="preserve"> (particularly large investments),</w:t>
      </w:r>
      <w:r w:rsidR="002B0A8C" w:rsidRPr="120220CA">
        <w:rPr>
          <w:rFonts w:eastAsia="Times New Roman" w:cs="Times New Roman"/>
          <w:sz w:val="24"/>
          <w:szCs w:val="24"/>
          <w:lang w:val="en-AU"/>
        </w:rPr>
        <w:t xml:space="preserve"> external mid-term and/or final reviews will be mandated to complement the basis of information available. </w:t>
      </w:r>
    </w:p>
    <w:p w14:paraId="3EA48E8F" w14:textId="77777777" w:rsidR="002B0A8C" w:rsidRPr="001F14E7" w:rsidRDefault="24260ACC" w:rsidP="002B0A8C">
      <w:pPr>
        <w:pStyle w:val="Heading2Numbered"/>
        <w:rPr>
          <w:lang w:val="en-AU"/>
        </w:rPr>
      </w:pPr>
      <w:bookmarkStart w:id="122" w:name="_Toc163539173"/>
      <w:bookmarkStart w:id="123" w:name="_Toc174029056"/>
      <w:r w:rsidRPr="2C480AEE">
        <w:rPr>
          <w:lang w:val="en-AU"/>
        </w:rPr>
        <w:t>Independent Quality Assurance and Review</w:t>
      </w:r>
      <w:bookmarkEnd w:id="122"/>
      <w:bookmarkEnd w:id="123"/>
    </w:p>
    <w:p w14:paraId="4EF146AA" w14:textId="799A42F4" w:rsidR="002B0A8C" w:rsidRPr="0097193D" w:rsidRDefault="23A3F784" w:rsidP="00AD71BD">
      <w:pPr>
        <w:rPr>
          <w:rFonts w:eastAsia="Times New Roman" w:cs="Times New Roman"/>
          <w:sz w:val="24"/>
          <w:szCs w:val="24"/>
          <w:lang w:val="en-AU"/>
        </w:rPr>
      </w:pPr>
      <w:r w:rsidRPr="0097193D">
        <w:rPr>
          <w:sz w:val="24"/>
          <w:szCs w:val="24"/>
          <w:lang w:val="en-AU"/>
        </w:rPr>
        <w:t xml:space="preserve">A practical and proportional approach will be taken to independent quality assurance and review to ensure it does not duplicate existing and robust evaluation mechanisms.  </w:t>
      </w:r>
      <w:r w:rsidR="00AD71BD">
        <w:rPr>
          <w:rFonts w:eastAsia="Times New Roman" w:cs="Times New Roman"/>
          <w:sz w:val="24"/>
          <w:szCs w:val="24"/>
          <w:lang w:val="en-AU"/>
        </w:rPr>
        <w:t>DFAT may engage</w:t>
      </w:r>
      <w:r w:rsidR="57B279BA" w:rsidRPr="0097193D">
        <w:rPr>
          <w:rFonts w:eastAsia="Times New Roman" w:cs="Times New Roman"/>
          <w:sz w:val="24"/>
          <w:szCs w:val="24"/>
          <w:lang w:val="en-AU"/>
        </w:rPr>
        <w:t xml:space="preserve"> independent expertise in reviewing the portfolio’s performance including for strategic coherence and relevance, investment effectiveness</w:t>
      </w:r>
      <w:r w:rsidR="301E3415" w:rsidRPr="0097193D">
        <w:rPr>
          <w:rFonts w:eastAsia="Times New Roman" w:cs="Times New Roman"/>
          <w:sz w:val="24"/>
          <w:szCs w:val="24"/>
          <w:lang w:val="en-AU"/>
        </w:rPr>
        <w:t xml:space="preserve"> and operational efficiencies</w:t>
      </w:r>
      <w:r w:rsidR="57B279BA" w:rsidRPr="0097193D">
        <w:rPr>
          <w:rFonts w:eastAsia="Times New Roman" w:cs="Times New Roman"/>
          <w:sz w:val="24"/>
          <w:szCs w:val="24"/>
          <w:lang w:val="en-AU"/>
        </w:rPr>
        <w:t xml:space="preserve">. At the discretion of DFAT, </w:t>
      </w:r>
      <w:r w:rsidR="00AD71BD">
        <w:rPr>
          <w:rFonts w:eastAsia="Times New Roman" w:cs="Times New Roman"/>
          <w:sz w:val="24"/>
          <w:szCs w:val="24"/>
          <w:lang w:val="en-AU"/>
        </w:rPr>
        <w:t>independent specialists</w:t>
      </w:r>
      <w:r w:rsidR="57B279BA" w:rsidRPr="0097193D">
        <w:rPr>
          <w:rFonts w:eastAsia="Times New Roman" w:cs="Times New Roman"/>
          <w:sz w:val="24"/>
          <w:szCs w:val="24"/>
          <w:lang w:val="en-AU"/>
        </w:rPr>
        <w:t xml:space="preserve"> may review and validate the portfolio MEL system, plans, and reports and ensure sufficient evidence and analysis is presented</w:t>
      </w:r>
      <w:r w:rsidR="00AD71BD">
        <w:rPr>
          <w:rFonts w:eastAsia="Times New Roman" w:cs="Times New Roman"/>
          <w:sz w:val="24"/>
          <w:szCs w:val="24"/>
          <w:lang w:val="en-AU"/>
        </w:rPr>
        <w:t xml:space="preserve"> and </w:t>
      </w:r>
      <w:r w:rsidR="57B279BA" w:rsidRPr="0097193D">
        <w:rPr>
          <w:rFonts w:eastAsia="Times New Roman" w:cs="Times New Roman"/>
          <w:sz w:val="24"/>
          <w:szCs w:val="24"/>
          <w:lang w:val="en-AU"/>
        </w:rPr>
        <w:t>may suggest studies for the analytical agenda, and advise on plans and reports of selected investment</w:t>
      </w:r>
      <w:r w:rsidR="00AD71BD">
        <w:rPr>
          <w:rFonts w:eastAsia="Times New Roman" w:cs="Times New Roman"/>
          <w:sz w:val="24"/>
          <w:szCs w:val="24"/>
          <w:lang w:val="en-AU"/>
        </w:rPr>
        <w:t>s</w:t>
      </w:r>
      <w:r w:rsidR="57B279BA" w:rsidRPr="0097193D">
        <w:rPr>
          <w:rFonts w:eastAsia="Times New Roman" w:cs="Times New Roman"/>
          <w:sz w:val="24"/>
          <w:szCs w:val="24"/>
          <w:lang w:val="en-AU"/>
        </w:rPr>
        <w:t xml:space="preserve">, including evaluations and reviews. </w:t>
      </w:r>
    </w:p>
    <w:p w14:paraId="00A7C36D" w14:textId="2086FC67" w:rsidR="002B0A8C" w:rsidRPr="0097193D" w:rsidRDefault="005C4C69" w:rsidP="005A2AB3">
      <w:pPr>
        <w:rPr>
          <w:rFonts w:eastAsia="Times New Roman" w:cs="Times New Roman"/>
          <w:sz w:val="24"/>
          <w:szCs w:val="24"/>
          <w:lang w:val="en-AU"/>
        </w:rPr>
      </w:pPr>
      <w:r w:rsidRPr="0097193D">
        <w:rPr>
          <w:rFonts w:eastAsia="Times New Roman" w:cs="Times New Roman"/>
          <w:sz w:val="24"/>
          <w:szCs w:val="24"/>
          <w:lang w:val="en-AU"/>
        </w:rPr>
        <w:t xml:space="preserve">MKS will commission an independent </w:t>
      </w:r>
      <w:r w:rsidRPr="0097193D">
        <w:rPr>
          <w:rFonts w:eastAsia="Times New Roman" w:cs="Times New Roman"/>
          <w:b/>
          <w:sz w:val="24"/>
          <w:szCs w:val="24"/>
          <w:lang w:val="en-AU"/>
        </w:rPr>
        <w:t>Mid-Term Review</w:t>
      </w:r>
      <w:r w:rsidRPr="0097193D">
        <w:rPr>
          <w:rFonts w:eastAsia="Times New Roman" w:cs="Times New Roman"/>
          <w:sz w:val="24"/>
          <w:szCs w:val="24"/>
          <w:lang w:val="en-AU"/>
        </w:rPr>
        <w:t xml:space="preserve"> (MTR) of the portfolio </w:t>
      </w:r>
      <w:r w:rsidR="00345BFF">
        <w:rPr>
          <w:rFonts w:eastAsia="Times New Roman" w:cs="Times New Roman"/>
          <w:sz w:val="24"/>
          <w:szCs w:val="24"/>
          <w:lang w:val="en-AU"/>
        </w:rPr>
        <w:t>to be undertaken</w:t>
      </w:r>
      <w:r w:rsidRPr="0097193D">
        <w:rPr>
          <w:rFonts w:eastAsia="Times New Roman" w:cs="Times New Roman"/>
          <w:sz w:val="24"/>
          <w:szCs w:val="24"/>
          <w:lang w:val="en-AU"/>
        </w:rPr>
        <w:t xml:space="preserve"> in the first half of 2027. The MTR will consider changes in the context, including updated priorities from DFAT and Mekong partners. Based on an analysis of progress against proposed outcomes, it will focus on the relevance and effectiveness of (a) the overall portfolio logic, (b) the implementation strategies, (c) the portfolio governance and management arrangements. The results of the MTR will inform </w:t>
      </w:r>
      <w:r w:rsidR="005A47A4" w:rsidRPr="0097193D">
        <w:rPr>
          <w:rFonts w:eastAsia="Times New Roman" w:cs="Times New Roman"/>
          <w:sz w:val="24"/>
          <w:szCs w:val="24"/>
          <w:lang w:val="en-AU"/>
        </w:rPr>
        <w:t xml:space="preserve">DFAT’s </w:t>
      </w:r>
      <w:r w:rsidRPr="0097193D">
        <w:rPr>
          <w:rFonts w:eastAsia="Times New Roman" w:cs="Times New Roman"/>
          <w:sz w:val="24"/>
          <w:szCs w:val="24"/>
          <w:lang w:val="en-AU"/>
        </w:rPr>
        <w:t>decision</w:t>
      </w:r>
      <w:r w:rsidR="008813C2">
        <w:rPr>
          <w:rFonts w:eastAsia="Times New Roman" w:cs="Times New Roman"/>
          <w:sz w:val="24"/>
          <w:szCs w:val="24"/>
          <w:lang w:val="en-AU"/>
        </w:rPr>
        <w:t>s related to a subsequent phase of MAP</w:t>
      </w:r>
      <w:r w:rsidRPr="0097193D">
        <w:rPr>
          <w:rFonts w:eastAsia="Times New Roman" w:cs="Times New Roman"/>
          <w:sz w:val="24"/>
          <w:szCs w:val="24"/>
          <w:lang w:val="en-AU"/>
        </w:rPr>
        <w:t xml:space="preserve"> and suggest necessary changes and adaptations to its design. Specific terms of reference with review questions will be developed in due course</w:t>
      </w:r>
      <w:r w:rsidR="002B0A8C" w:rsidRPr="0097193D">
        <w:rPr>
          <w:rFonts w:eastAsia="Times New Roman" w:cs="Times New Roman"/>
          <w:sz w:val="24"/>
          <w:szCs w:val="24"/>
          <w:lang w:val="en-AU"/>
        </w:rPr>
        <w:t>.</w:t>
      </w:r>
    </w:p>
    <w:p w14:paraId="3F00EE03" w14:textId="77777777" w:rsidR="002B0A8C" w:rsidRPr="001F14E7" w:rsidRDefault="002B0A8C" w:rsidP="00EE6CC0">
      <w:pPr>
        <w:pStyle w:val="Heading2Numbered"/>
        <w:rPr>
          <w:lang w:val="en-AU"/>
        </w:rPr>
      </w:pPr>
      <w:bookmarkStart w:id="124" w:name="_Toc163539174"/>
      <w:bookmarkStart w:id="125" w:name="_Toc174029057"/>
      <w:r w:rsidRPr="2C480AEE">
        <w:rPr>
          <w:lang w:val="en-AU"/>
        </w:rPr>
        <w:t>MEL Resourcing</w:t>
      </w:r>
      <w:bookmarkEnd w:id="124"/>
      <w:bookmarkEnd w:id="125"/>
    </w:p>
    <w:p w14:paraId="6DC069F9" w14:textId="2A74639F" w:rsidR="003B5D74" w:rsidRPr="0097193D" w:rsidRDefault="0D1F9FEF" w:rsidP="005A2AB3">
      <w:pPr>
        <w:rPr>
          <w:sz w:val="24"/>
          <w:szCs w:val="24"/>
          <w:lang w:val="en-AU"/>
        </w:rPr>
      </w:pPr>
      <w:r w:rsidRPr="0097193D">
        <w:rPr>
          <w:sz w:val="24"/>
          <w:szCs w:val="24"/>
          <w:lang w:val="en-AU"/>
        </w:rPr>
        <w:t xml:space="preserve">The Mekong Hub </w:t>
      </w:r>
      <w:r w:rsidR="4C52A7F2" w:rsidRPr="0097193D">
        <w:rPr>
          <w:sz w:val="24"/>
          <w:szCs w:val="24"/>
          <w:lang w:val="en-AU"/>
        </w:rPr>
        <w:t xml:space="preserve">will manage portfolio MEL. </w:t>
      </w:r>
      <w:r w:rsidR="36CFF585" w:rsidRPr="0097193D">
        <w:rPr>
          <w:sz w:val="24"/>
          <w:szCs w:val="24"/>
          <w:lang w:val="en-AU"/>
        </w:rPr>
        <w:t xml:space="preserve">MAP Phase 2’s approach to MEL has been informed by lessons from MAP Phase 1 and the Strategic Review. </w:t>
      </w:r>
    </w:p>
    <w:p w14:paraId="71B6CED7" w14:textId="72DF3DA0" w:rsidR="009F2B68" w:rsidRPr="0097193D" w:rsidRDefault="00FC4164" w:rsidP="005A2AB3">
      <w:pPr>
        <w:rPr>
          <w:sz w:val="24"/>
          <w:szCs w:val="24"/>
          <w:lang w:val="en-AU"/>
        </w:rPr>
      </w:pPr>
      <w:r w:rsidRPr="0097193D">
        <w:rPr>
          <w:sz w:val="24"/>
          <w:szCs w:val="24"/>
          <w:lang w:val="en-AU"/>
        </w:rPr>
        <w:t>The</w:t>
      </w:r>
      <w:r w:rsidR="003B5D74" w:rsidRPr="0097193D">
        <w:rPr>
          <w:sz w:val="24"/>
          <w:szCs w:val="24"/>
          <w:lang w:val="en-AU"/>
        </w:rPr>
        <w:t xml:space="preserve"> Mekong</w:t>
      </w:r>
      <w:r w:rsidRPr="0097193D">
        <w:rPr>
          <w:sz w:val="24"/>
          <w:szCs w:val="24"/>
          <w:lang w:val="en-AU"/>
        </w:rPr>
        <w:t xml:space="preserve"> Hub </w:t>
      </w:r>
      <w:r w:rsidR="005C4C69" w:rsidRPr="0097193D">
        <w:rPr>
          <w:sz w:val="24"/>
          <w:szCs w:val="24"/>
          <w:lang w:val="en-AU"/>
        </w:rPr>
        <w:t xml:space="preserve">will include a core MEL team, composed of a small number of full-time staff in various locations. The head of MEL team should preferably be co-located with the Mekong Hub leadership team to ensure efficient use of MEL information for management purpose. </w:t>
      </w:r>
      <w:r w:rsidR="00F211FC" w:rsidRPr="0097193D">
        <w:rPr>
          <w:sz w:val="24"/>
          <w:szCs w:val="24"/>
          <w:lang w:val="en-AU"/>
        </w:rPr>
        <w:t xml:space="preserve">Additional </w:t>
      </w:r>
      <w:r w:rsidR="005C4C69" w:rsidRPr="0097193D">
        <w:rPr>
          <w:sz w:val="24"/>
          <w:szCs w:val="24"/>
          <w:lang w:val="en-AU"/>
        </w:rPr>
        <w:t>MEL officer</w:t>
      </w:r>
      <w:r w:rsidR="00F211FC" w:rsidRPr="0097193D">
        <w:rPr>
          <w:sz w:val="24"/>
          <w:szCs w:val="24"/>
          <w:lang w:val="en-AU"/>
        </w:rPr>
        <w:t>s</w:t>
      </w:r>
      <w:r w:rsidR="005C4C69" w:rsidRPr="0097193D">
        <w:rPr>
          <w:sz w:val="24"/>
          <w:szCs w:val="24"/>
          <w:lang w:val="en-AU"/>
        </w:rPr>
        <w:t xml:space="preserve"> </w:t>
      </w:r>
      <w:r w:rsidR="001F14E7" w:rsidRPr="0097193D">
        <w:rPr>
          <w:sz w:val="24"/>
          <w:szCs w:val="24"/>
          <w:lang w:val="en-AU"/>
        </w:rPr>
        <w:t>may</w:t>
      </w:r>
      <w:r w:rsidR="005C4C69" w:rsidRPr="0097193D">
        <w:rPr>
          <w:sz w:val="24"/>
          <w:szCs w:val="24"/>
          <w:lang w:val="en-AU"/>
        </w:rPr>
        <w:t xml:space="preserve"> be based in </w:t>
      </w:r>
      <w:r w:rsidR="00F211FC" w:rsidRPr="0097193D">
        <w:rPr>
          <w:sz w:val="24"/>
          <w:szCs w:val="24"/>
          <w:lang w:val="en-AU"/>
        </w:rPr>
        <w:t>other posts</w:t>
      </w:r>
      <w:r w:rsidR="005C4C69" w:rsidRPr="0097193D">
        <w:rPr>
          <w:sz w:val="24"/>
          <w:szCs w:val="24"/>
          <w:lang w:val="en-AU"/>
        </w:rPr>
        <w:t xml:space="preserve"> to coordinate regular portfolio MEL functions and manage activities targeting investments MEL needs. The MEL team </w:t>
      </w:r>
      <w:r w:rsidR="00B77D2B" w:rsidRPr="0097193D">
        <w:rPr>
          <w:sz w:val="24"/>
          <w:szCs w:val="24"/>
          <w:lang w:val="en-AU"/>
        </w:rPr>
        <w:t>may also</w:t>
      </w:r>
      <w:r w:rsidR="005C4C69" w:rsidRPr="0097193D">
        <w:rPr>
          <w:sz w:val="24"/>
          <w:szCs w:val="24"/>
          <w:lang w:val="en-AU"/>
        </w:rPr>
        <w:t xml:space="preserve"> use a pool of qualified consultants to support the implementation of portfolio MEL activities, such as specific evaluations and studies. </w:t>
      </w:r>
    </w:p>
    <w:p w14:paraId="60D255FF" w14:textId="1FF9D06D" w:rsidR="00AF5B63" w:rsidRPr="0097193D" w:rsidRDefault="005C4C69" w:rsidP="005A2AB3">
      <w:pPr>
        <w:rPr>
          <w:sz w:val="24"/>
          <w:szCs w:val="24"/>
          <w:lang w:val="en-AU"/>
        </w:rPr>
      </w:pPr>
      <w:r w:rsidRPr="0097193D">
        <w:rPr>
          <w:sz w:val="24"/>
          <w:szCs w:val="24"/>
          <w:lang w:val="en-AU"/>
        </w:rPr>
        <w:t xml:space="preserve">The allocation of budget and resources for portfolio MEL activities will be reviewed annually as part of the planning and budgeting process and based on an updated MEL Plan. The indicative </w:t>
      </w:r>
      <w:r w:rsidR="00B77D2B" w:rsidRPr="0097193D">
        <w:rPr>
          <w:sz w:val="24"/>
          <w:szCs w:val="24"/>
          <w:lang w:val="en-AU"/>
        </w:rPr>
        <w:t xml:space="preserve">portfolio </w:t>
      </w:r>
      <w:r w:rsidRPr="0097193D">
        <w:rPr>
          <w:sz w:val="24"/>
          <w:szCs w:val="24"/>
          <w:lang w:val="en-AU"/>
        </w:rPr>
        <w:t>MEL budget is</w:t>
      </w:r>
      <w:r w:rsidR="00F43FE2">
        <w:rPr>
          <w:sz w:val="24"/>
          <w:szCs w:val="24"/>
          <w:lang w:val="en-AU"/>
        </w:rPr>
        <w:t xml:space="preserve"> approximately</w:t>
      </w:r>
      <w:r w:rsidRPr="0097193D">
        <w:rPr>
          <w:sz w:val="24"/>
          <w:szCs w:val="24"/>
          <w:lang w:val="en-AU"/>
        </w:rPr>
        <w:t xml:space="preserve"> five per cent of the overall MAP Phase 2 budget (excluding investments</w:t>
      </w:r>
      <w:r w:rsidR="00484FAF" w:rsidRPr="0097193D">
        <w:rPr>
          <w:sz w:val="24"/>
          <w:szCs w:val="24"/>
          <w:lang w:val="en-AU"/>
        </w:rPr>
        <w:t>’</w:t>
      </w:r>
      <w:r w:rsidRPr="0097193D">
        <w:rPr>
          <w:sz w:val="24"/>
          <w:szCs w:val="24"/>
          <w:lang w:val="en-AU"/>
        </w:rPr>
        <w:t xml:space="preserve"> MEL activities covered in investment budget</w:t>
      </w:r>
      <w:r w:rsidR="00484FAF" w:rsidRPr="0097193D">
        <w:rPr>
          <w:sz w:val="24"/>
          <w:szCs w:val="24"/>
          <w:lang w:val="en-AU"/>
        </w:rPr>
        <w:t>s</w:t>
      </w:r>
      <w:r w:rsidRPr="0097193D">
        <w:rPr>
          <w:sz w:val="24"/>
          <w:szCs w:val="24"/>
          <w:lang w:val="en-AU"/>
        </w:rPr>
        <w:t>), a proportion justified by</w:t>
      </w:r>
      <w:r w:rsidR="00AF5B63" w:rsidRPr="0097193D">
        <w:rPr>
          <w:sz w:val="24"/>
          <w:szCs w:val="24"/>
          <w:lang w:val="en-AU"/>
        </w:rPr>
        <w:t>:</w:t>
      </w:r>
    </w:p>
    <w:p w14:paraId="053E820E" w14:textId="794C0B46" w:rsidR="00AF5B63" w:rsidRPr="0097193D" w:rsidRDefault="002B0A8C" w:rsidP="002E677B">
      <w:pPr>
        <w:pStyle w:val="ListParagraph"/>
        <w:numPr>
          <w:ilvl w:val="0"/>
          <w:numId w:val="42"/>
        </w:numPr>
        <w:tabs>
          <w:tab w:val="left" w:pos="284"/>
        </w:tabs>
        <w:suppressAutoHyphens w:val="0"/>
        <w:spacing w:before="60" w:line="240" w:lineRule="auto"/>
        <w:ind w:left="714" w:hanging="357"/>
        <w:contextualSpacing w:val="0"/>
        <w:rPr>
          <w:rFonts w:eastAsia="Times New Roman" w:cs="Times New Roman"/>
          <w:sz w:val="24"/>
          <w:szCs w:val="24"/>
          <w:lang w:val="en-AU"/>
        </w:rPr>
      </w:pPr>
      <w:r w:rsidRPr="0097193D">
        <w:rPr>
          <w:rFonts w:eastAsia="Times New Roman" w:cs="Times New Roman"/>
          <w:sz w:val="24"/>
          <w:szCs w:val="24"/>
          <w:lang w:val="en-AU"/>
        </w:rPr>
        <w:t>the desire to develop robust evidence of achievements at outcome and purpose levels</w:t>
      </w:r>
    </w:p>
    <w:p w14:paraId="6653D767" w14:textId="755968D9" w:rsidR="00AF5B63" w:rsidRPr="0097193D" w:rsidRDefault="002B0A8C" w:rsidP="002E677B">
      <w:pPr>
        <w:pStyle w:val="ListParagraph"/>
        <w:numPr>
          <w:ilvl w:val="0"/>
          <w:numId w:val="42"/>
        </w:numPr>
        <w:tabs>
          <w:tab w:val="left" w:pos="284"/>
        </w:tabs>
        <w:suppressAutoHyphens w:val="0"/>
        <w:spacing w:before="60" w:line="240" w:lineRule="auto"/>
        <w:ind w:left="714" w:hanging="357"/>
        <w:contextualSpacing w:val="0"/>
        <w:rPr>
          <w:rFonts w:eastAsia="Times New Roman" w:cs="Times New Roman"/>
          <w:sz w:val="24"/>
          <w:szCs w:val="24"/>
          <w:lang w:val="en-AU"/>
        </w:rPr>
      </w:pPr>
      <w:r w:rsidRPr="0097193D">
        <w:rPr>
          <w:rFonts w:eastAsia="Times New Roman" w:cs="Times New Roman"/>
          <w:sz w:val="24"/>
          <w:szCs w:val="24"/>
          <w:lang w:val="en-AU"/>
        </w:rPr>
        <w:t xml:space="preserve">an ambitious learning function and analytical agenda that will help to continuously assess, </w:t>
      </w:r>
      <w:r w:rsidR="00AF5B63" w:rsidRPr="0097193D">
        <w:rPr>
          <w:rFonts w:eastAsia="Times New Roman" w:cs="Times New Roman"/>
          <w:sz w:val="24"/>
          <w:szCs w:val="24"/>
          <w:lang w:val="en-AU"/>
        </w:rPr>
        <w:t>understand,</w:t>
      </w:r>
      <w:r w:rsidRPr="0097193D">
        <w:rPr>
          <w:rFonts w:eastAsia="Times New Roman" w:cs="Times New Roman"/>
          <w:sz w:val="24"/>
          <w:szCs w:val="24"/>
          <w:lang w:val="en-AU"/>
        </w:rPr>
        <w:t xml:space="preserve"> and adapt portfolio performance</w:t>
      </w:r>
    </w:p>
    <w:p w14:paraId="1F487DEC" w14:textId="7FE66ABF" w:rsidR="002B0A8C" w:rsidRPr="0097193D" w:rsidRDefault="002B0A8C" w:rsidP="002E677B">
      <w:pPr>
        <w:pStyle w:val="ListParagraph"/>
        <w:numPr>
          <w:ilvl w:val="0"/>
          <w:numId w:val="42"/>
        </w:numPr>
        <w:tabs>
          <w:tab w:val="left" w:pos="284"/>
        </w:tabs>
        <w:suppressAutoHyphens w:val="0"/>
        <w:spacing w:before="60" w:line="240" w:lineRule="auto"/>
        <w:ind w:left="714" w:hanging="357"/>
        <w:contextualSpacing w:val="0"/>
        <w:rPr>
          <w:rFonts w:eastAsia="Times New Roman" w:cs="Times New Roman"/>
          <w:sz w:val="24"/>
          <w:szCs w:val="24"/>
          <w:lang w:val="en-AU"/>
        </w:rPr>
      </w:pPr>
      <w:r w:rsidRPr="0097193D">
        <w:rPr>
          <w:rFonts w:eastAsia="Times New Roman" w:cs="Times New Roman"/>
          <w:sz w:val="24"/>
          <w:szCs w:val="24"/>
          <w:lang w:val="en-AU"/>
        </w:rPr>
        <w:t>the</w:t>
      </w:r>
      <w:r w:rsidR="00B77D2B" w:rsidRPr="0097193D">
        <w:rPr>
          <w:rFonts w:eastAsia="Times New Roman" w:cs="Times New Roman"/>
          <w:sz w:val="24"/>
          <w:szCs w:val="24"/>
          <w:lang w:val="en-AU"/>
        </w:rPr>
        <w:t xml:space="preserve"> </w:t>
      </w:r>
      <w:r w:rsidRPr="0097193D">
        <w:rPr>
          <w:rFonts w:eastAsia="Times New Roman" w:cs="Times New Roman"/>
          <w:sz w:val="24"/>
          <w:szCs w:val="24"/>
          <w:lang w:val="en-AU"/>
        </w:rPr>
        <w:t xml:space="preserve">inclusion of </w:t>
      </w:r>
      <w:r w:rsidR="009B0A2F" w:rsidRPr="0097193D">
        <w:rPr>
          <w:rFonts w:eastAsia="Times New Roman" w:cs="Times New Roman"/>
          <w:sz w:val="24"/>
          <w:szCs w:val="24"/>
          <w:lang w:val="en-AU"/>
        </w:rPr>
        <w:t>an</w:t>
      </w:r>
      <w:r w:rsidR="00AF3CC6" w:rsidRPr="0097193D">
        <w:rPr>
          <w:rFonts w:eastAsia="Times New Roman" w:cs="Times New Roman"/>
          <w:sz w:val="24"/>
          <w:szCs w:val="24"/>
          <w:lang w:val="en-AU"/>
        </w:rPr>
        <w:t xml:space="preserve"> MTR</w:t>
      </w:r>
      <w:r w:rsidRPr="0097193D">
        <w:rPr>
          <w:rFonts w:eastAsia="Times New Roman" w:cs="Times New Roman"/>
          <w:sz w:val="24"/>
          <w:szCs w:val="24"/>
          <w:lang w:val="en-AU"/>
        </w:rPr>
        <w:t>.</w:t>
      </w:r>
    </w:p>
    <w:p w14:paraId="3B1385E6" w14:textId="3A9B6B4B" w:rsidR="002B0A8C" w:rsidRPr="0097193D" w:rsidRDefault="147B5BFF" w:rsidP="4C1C98D1">
      <w:pPr>
        <w:rPr>
          <w:sz w:val="24"/>
          <w:szCs w:val="24"/>
          <w:lang w:val="en-AU"/>
        </w:rPr>
      </w:pPr>
      <w:r w:rsidRPr="0097193D">
        <w:rPr>
          <w:sz w:val="24"/>
          <w:szCs w:val="24"/>
          <w:lang w:val="en-AU"/>
        </w:rPr>
        <w:t>I</w:t>
      </w:r>
      <w:r w:rsidR="049D3443" w:rsidRPr="0097193D">
        <w:rPr>
          <w:sz w:val="24"/>
          <w:szCs w:val="24"/>
          <w:lang w:val="en-AU"/>
        </w:rPr>
        <w:t xml:space="preserve">ndividual investments will be required to cost and resource MEL activities from within their budget, with guidance of about </w:t>
      </w:r>
      <w:r w:rsidR="534D1C9C" w:rsidRPr="0097193D">
        <w:rPr>
          <w:sz w:val="24"/>
          <w:szCs w:val="24"/>
          <w:lang w:val="en-AU"/>
        </w:rPr>
        <w:t xml:space="preserve">five </w:t>
      </w:r>
      <w:r w:rsidR="049D3443" w:rsidRPr="0097193D">
        <w:rPr>
          <w:sz w:val="24"/>
          <w:szCs w:val="24"/>
          <w:lang w:val="en-AU"/>
        </w:rPr>
        <w:t>per</w:t>
      </w:r>
      <w:r w:rsidR="10D543B6" w:rsidRPr="0097193D">
        <w:rPr>
          <w:sz w:val="24"/>
          <w:szCs w:val="24"/>
          <w:lang w:val="en-AU"/>
        </w:rPr>
        <w:t xml:space="preserve"> </w:t>
      </w:r>
      <w:r w:rsidR="049D3443" w:rsidRPr="0097193D">
        <w:rPr>
          <w:sz w:val="24"/>
          <w:szCs w:val="24"/>
          <w:lang w:val="en-AU"/>
        </w:rPr>
        <w:t>cent of the investment budget, including designated staff time.</w:t>
      </w:r>
    </w:p>
    <w:p w14:paraId="7704A71C" w14:textId="77777777" w:rsidR="002B0A8C" w:rsidRPr="001F14E7" w:rsidRDefault="002B0A8C" w:rsidP="00EE6CC0">
      <w:pPr>
        <w:pStyle w:val="Heading2Numbered"/>
        <w:rPr>
          <w:lang w:val="en-AU"/>
        </w:rPr>
      </w:pPr>
      <w:bookmarkStart w:id="126" w:name="_Toc163539175"/>
      <w:bookmarkStart w:id="127" w:name="_Toc174029058"/>
      <w:r w:rsidRPr="2C480AEE">
        <w:rPr>
          <w:lang w:val="en-AU"/>
        </w:rPr>
        <w:lastRenderedPageBreak/>
        <w:t>MEL Risks</w:t>
      </w:r>
      <w:bookmarkEnd w:id="126"/>
      <w:bookmarkEnd w:id="127"/>
    </w:p>
    <w:p w14:paraId="6271A1C1" w14:textId="4AF695FC" w:rsidR="009819AB" w:rsidRPr="0097193D" w:rsidRDefault="009819AB" w:rsidP="002B0A8C">
      <w:pPr>
        <w:tabs>
          <w:tab w:val="left" w:pos="284"/>
        </w:tabs>
        <w:suppressAutoHyphens w:val="0"/>
        <w:spacing w:before="0" w:line="280" w:lineRule="exact"/>
        <w:rPr>
          <w:rFonts w:eastAsia="Times New Roman" w:cs="Times New Roman"/>
          <w:sz w:val="24"/>
          <w:szCs w:val="24"/>
          <w:lang w:val="en-AU"/>
        </w:rPr>
      </w:pPr>
      <w:r w:rsidRPr="0097193D">
        <w:rPr>
          <w:rFonts w:eastAsia="Times New Roman" w:cs="Times New Roman"/>
          <w:sz w:val="24"/>
          <w:szCs w:val="24"/>
          <w:lang w:val="en-AU"/>
        </w:rPr>
        <w:t>T</w:t>
      </w:r>
      <w:r w:rsidR="002B0A8C" w:rsidRPr="0097193D">
        <w:rPr>
          <w:rFonts w:eastAsia="Times New Roman" w:cs="Times New Roman"/>
          <w:sz w:val="24"/>
          <w:szCs w:val="24"/>
          <w:lang w:val="en-AU"/>
        </w:rPr>
        <w:t xml:space="preserve">he main risks </w:t>
      </w:r>
      <w:r w:rsidR="00ED5CAE" w:rsidRPr="0097193D">
        <w:rPr>
          <w:rFonts w:eastAsia="Times New Roman" w:cs="Times New Roman"/>
          <w:sz w:val="24"/>
          <w:szCs w:val="24"/>
          <w:lang w:val="en-AU"/>
        </w:rPr>
        <w:t xml:space="preserve">and mitigation strategies </w:t>
      </w:r>
      <w:r w:rsidR="002B0A8C" w:rsidRPr="0097193D">
        <w:rPr>
          <w:rFonts w:eastAsia="Times New Roman" w:cs="Times New Roman"/>
          <w:sz w:val="24"/>
          <w:szCs w:val="24"/>
          <w:lang w:val="en-AU"/>
        </w:rPr>
        <w:t xml:space="preserve">around the portfolio MEL system </w:t>
      </w:r>
      <w:r w:rsidR="00A046C1" w:rsidRPr="0097193D">
        <w:rPr>
          <w:rFonts w:eastAsia="Times New Roman" w:cs="Times New Roman"/>
          <w:sz w:val="24"/>
          <w:szCs w:val="24"/>
          <w:lang w:val="en-AU"/>
        </w:rPr>
        <w:t>are included in the Risk Register and summarised in Section 9</w:t>
      </w:r>
      <w:r w:rsidR="00ED5CAE" w:rsidRPr="0097193D">
        <w:rPr>
          <w:rFonts w:eastAsia="Times New Roman" w:cs="Times New Roman"/>
          <w:sz w:val="24"/>
          <w:szCs w:val="24"/>
          <w:lang w:val="en-AU"/>
        </w:rPr>
        <w:t>.</w:t>
      </w:r>
      <w:r w:rsidR="00A046C1" w:rsidRPr="0097193D">
        <w:rPr>
          <w:rFonts w:eastAsia="Times New Roman" w:cs="Times New Roman"/>
          <w:sz w:val="24"/>
          <w:szCs w:val="24"/>
          <w:lang w:val="en-AU"/>
        </w:rPr>
        <w:t xml:space="preserve"> They </w:t>
      </w:r>
      <w:r w:rsidR="002B0A8C" w:rsidRPr="0097193D">
        <w:rPr>
          <w:rFonts w:eastAsia="Times New Roman" w:cs="Times New Roman"/>
          <w:sz w:val="24"/>
          <w:szCs w:val="24"/>
          <w:lang w:val="en-AU"/>
        </w:rPr>
        <w:t>include</w:t>
      </w:r>
      <w:r w:rsidRPr="0097193D">
        <w:rPr>
          <w:rFonts w:eastAsia="Times New Roman" w:cs="Times New Roman"/>
          <w:sz w:val="24"/>
          <w:szCs w:val="24"/>
          <w:lang w:val="en-AU"/>
        </w:rPr>
        <w:t>:</w:t>
      </w:r>
    </w:p>
    <w:p w14:paraId="2F662EA9" w14:textId="0E1E57C6" w:rsidR="009819AB" w:rsidRPr="0097193D" w:rsidRDefault="00EA2266" w:rsidP="00CF0522">
      <w:pPr>
        <w:pStyle w:val="ListParagraph"/>
        <w:numPr>
          <w:ilvl w:val="0"/>
          <w:numId w:val="81"/>
        </w:numPr>
        <w:tabs>
          <w:tab w:val="left" w:pos="284"/>
        </w:tabs>
        <w:suppressAutoHyphens w:val="0"/>
        <w:spacing w:before="0" w:line="280" w:lineRule="exact"/>
        <w:rPr>
          <w:rFonts w:eastAsia="Times New Roman" w:cs="Times New Roman"/>
          <w:sz w:val="24"/>
          <w:szCs w:val="24"/>
          <w:lang w:val="en-AU"/>
        </w:rPr>
      </w:pPr>
      <w:r w:rsidRPr="0097193D">
        <w:rPr>
          <w:rFonts w:eastAsia="Times New Roman" w:cs="Times New Roman"/>
          <w:sz w:val="24"/>
          <w:szCs w:val="24"/>
          <w:lang w:val="en-AU"/>
        </w:rPr>
        <w:t>implementing partners’</w:t>
      </w:r>
      <w:r w:rsidR="049D3443" w:rsidRPr="0097193D">
        <w:rPr>
          <w:rFonts w:eastAsia="Times New Roman" w:cs="Times New Roman"/>
          <w:sz w:val="24"/>
          <w:szCs w:val="24"/>
          <w:lang w:val="en-AU"/>
        </w:rPr>
        <w:t xml:space="preserve"> </w:t>
      </w:r>
      <w:r w:rsidR="00AB356B" w:rsidRPr="0097193D">
        <w:rPr>
          <w:rFonts w:eastAsia="Times New Roman" w:cs="Times New Roman"/>
          <w:sz w:val="24"/>
          <w:szCs w:val="24"/>
          <w:lang w:val="en-AU"/>
        </w:rPr>
        <w:t>lack of</w:t>
      </w:r>
      <w:r w:rsidR="049D3443" w:rsidRPr="0097193D">
        <w:rPr>
          <w:rFonts w:eastAsia="Times New Roman" w:cs="Times New Roman"/>
          <w:sz w:val="24"/>
          <w:szCs w:val="24"/>
          <w:lang w:val="en-AU"/>
        </w:rPr>
        <w:t xml:space="preserve"> interest, </w:t>
      </w:r>
      <w:r w:rsidR="3B673516" w:rsidRPr="0097193D">
        <w:rPr>
          <w:rFonts w:eastAsia="Times New Roman" w:cs="Times New Roman"/>
          <w:sz w:val="24"/>
          <w:szCs w:val="24"/>
          <w:lang w:val="en-AU"/>
        </w:rPr>
        <w:t>capacity</w:t>
      </w:r>
      <w:r w:rsidR="049D3443" w:rsidRPr="0097193D">
        <w:rPr>
          <w:rFonts w:eastAsia="Times New Roman" w:cs="Times New Roman"/>
          <w:sz w:val="24"/>
          <w:szCs w:val="24"/>
          <w:lang w:val="en-AU"/>
        </w:rPr>
        <w:t xml:space="preserve"> and expertise to prioritise MEL activities</w:t>
      </w:r>
    </w:p>
    <w:p w14:paraId="17547A34" w14:textId="4EAA4647" w:rsidR="009819AB" w:rsidRPr="0097193D" w:rsidRDefault="00EA2266" w:rsidP="00CF0522">
      <w:pPr>
        <w:pStyle w:val="ListParagraph"/>
        <w:numPr>
          <w:ilvl w:val="0"/>
          <w:numId w:val="81"/>
        </w:numPr>
        <w:tabs>
          <w:tab w:val="left" w:pos="284"/>
        </w:tabs>
        <w:suppressAutoHyphens w:val="0"/>
        <w:spacing w:before="0" w:line="280" w:lineRule="exact"/>
        <w:rPr>
          <w:rFonts w:eastAsia="Times New Roman" w:cs="Times New Roman"/>
          <w:sz w:val="24"/>
          <w:szCs w:val="24"/>
          <w:lang w:val="en-AU"/>
        </w:rPr>
      </w:pPr>
      <w:r w:rsidRPr="0097193D">
        <w:rPr>
          <w:rFonts w:eastAsia="Times New Roman" w:cs="Times New Roman"/>
          <w:sz w:val="24"/>
          <w:szCs w:val="24"/>
          <w:lang w:val="en-AU"/>
        </w:rPr>
        <w:t xml:space="preserve">fragmentation </w:t>
      </w:r>
      <w:r w:rsidR="002B0A8C" w:rsidRPr="0097193D">
        <w:rPr>
          <w:rFonts w:eastAsia="Times New Roman" w:cs="Times New Roman"/>
          <w:sz w:val="24"/>
          <w:szCs w:val="24"/>
          <w:lang w:val="en-AU"/>
        </w:rPr>
        <w:t>and inconsistency of performance information across the diverse set of investments and the challenge these pose for the synthesis of performance information at aggregated levels</w:t>
      </w:r>
    </w:p>
    <w:p w14:paraId="76E7088D" w14:textId="1291EA2D" w:rsidR="009819AB" w:rsidRPr="0097193D" w:rsidRDefault="00EA2266" w:rsidP="00CF0522">
      <w:pPr>
        <w:pStyle w:val="ListParagraph"/>
        <w:numPr>
          <w:ilvl w:val="0"/>
          <w:numId w:val="81"/>
        </w:numPr>
        <w:tabs>
          <w:tab w:val="left" w:pos="284"/>
        </w:tabs>
        <w:suppressAutoHyphens w:val="0"/>
        <w:spacing w:before="0" w:line="280" w:lineRule="exact"/>
        <w:rPr>
          <w:rFonts w:eastAsia="Times New Roman" w:cs="Times New Roman"/>
          <w:sz w:val="24"/>
          <w:szCs w:val="24"/>
          <w:lang w:val="en-AU"/>
        </w:rPr>
      </w:pPr>
      <w:r w:rsidRPr="0097193D">
        <w:rPr>
          <w:rFonts w:eastAsia="Times New Roman" w:cs="Times New Roman"/>
          <w:sz w:val="24"/>
          <w:szCs w:val="24"/>
          <w:lang w:val="en-AU"/>
        </w:rPr>
        <w:t xml:space="preserve">challenges </w:t>
      </w:r>
      <w:r w:rsidR="009819AB" w:rsidRPr="0097193D">
        <w:rPr>
          <w:rFonts w:eastAsia="Times New Roman" w:cs="Times New Roman"/>
          <w:sz w:val="24"/>
          <w:szCs w:val="24"/>
          <w:lang w:val="en-AU"/>
        </w:rPr>
        <w:t>accounting</w:t>
      </w:r>
      <w:r w:rsidR="002B0A8C" w:rsidRPr="0097193D">
        <w:rPr>
          <w:rFonts w:eastAsia="Times New Roman" w:cs="Times New Roman"/>
          <w:sz w:val="24"/>
          <w:szCs w:val="24"/>
          <w:lang w:val="en-AU"/>
        </w:rPr>
        <w:t xml:space="preserve"> for the performance of all MAP-funded investments, particularly bilateral investments directly managed directly by </w:t>
      </w:r>
      <w:r w:rsidR="00BB2501" w:rsidRPr="0097193D">
        <w:rPr>
          <w:rFonts w:eastAsia="Times New Roman" w:cs="Times New Roman"/>
          <w:sz w:val="24"/>
          <w:szCs w:val="24"/>
          <w:lang w:val="en-AU"/>
        </w:rPr>
        <w:t>Post</w:t>
      </w:r>
      <w:r w:rsidR="002B0A8C" w:rsidRPr="0097193D">
        <w:rPr>
          <w:rFonts w:eastAsia="Times New Roman" w:cs="Times New Roman"/>
          <w:sz w:val="24"/>
          <w:szCs w:val="24"/>
          <w:lang w:val="en-AU"/>
        </w:rPr>
        <w:t xml:space="preserve">s. </w:t>
      </w:r>
    </w:p>
    <w:p w14:paraId="2CA87065" w14:textId="255DCC13" w:rsidR="004F2AF9" w:rsidRPr="001F14E7" w:rsidRDefault="004F2AF9" w:rsidP="00156916">
      <w:pPr>
        <w:pStyle w:val="Heading1Numbered"/>
        <w:rPr>
          <w:lang w:val="en-AU"/>
        </w:rPr>
      </w:pPr>
      <w:bookmarkStart w:id="128" w:name="_Toc162287884"/>
      <w:bookmarkStart w:id="129" w:name="_Toc163539176"/>
      <w:bookmarkStart w:id="130" w:name="_Toc174029059"/>
      <w:bookmarkEnd w:id="117"/>
      <w:r w:rsidRPr="2C480AEE">
        <w:rPr>
          <w:lang w:val="en-AU"/>
        </w:rPr>
        <w:t>Budget and Resources</w:t>
      </w:r>
      <w:bookmarkEnd w:id="128"/>
      <w:bookmarkEnd w:id="129"/>
      <w:bookmarkEnd w:id="130"/>
    </w:p>
    <w:p w14:paraId="54ECAAF5" w14:textId="77777777" w:rsidR="004F2AF9" w:rsidRPr="001F14E7" w:rsidRDefault="004F2AF9" w:rsidP="0005032F">
      <w:pPr>
        <w:pStyle w:val="Heading2Numbered"/>
        <w:rPr>
          <w:lang w:val="en-AU"/>
        </w:rPr>
      </w:pPr>
      <w:bookmarkStart w:id="131" w:name="_Toc162287885"/>
      <w:bookmarkStart w:id="132" w:name="_Toc163539177"/>
      <w:bookmarkStart w:id="133" w:name="_Toc174029060"/>
      <w:r w:rsidRPr="2C480AEE">
        <w:rPr>
          <w:lang w:val="en-AU"/>
        </w:rPr>
        <w:t>Budget</w:t>
      </w:r>
      <w:bookmarkEnd w:id="131"/>
      <w:bookmarkEnd w:id="132"/>
      <w:bookmarkEnd w:id="133"/>
    </w:p>
    <w:p w14:paraId="103B996D" w14:textId="6948CF60" w:rsidR="00F41496" w:rsidRPr="0000253E" w:rsidRDefault="00F41496" w:rsidP="000E74D5">
      <w:pPr>
        <w:rPr>
          <w:sz w:val="24"/>
          <w:szCs w:val="24"/>
          <w:highlight w:val="cyan"/>
          <w:lang w:val="en-AU"/>
        </w:rPr>
      </w:pPr>
      <w:r w:rsidRPr="0097193D">
        <w:rPr>
          <w:sz w:val="24"/>
          <w:szCs w:val="24"/>
          <w:lang w:val="en-AU"/>
        </w:rPr>
        <w:t xml:space="preserve">The </w:t>
      </w:r>
      <w:r w:rsidR="0040169E" w:rsidRPr="0097193D">
        <w:rPr>
          <w:sz w:val="24"/>
          <w:szCs w:val="24"/>
          <w:lang w:val="en-AU"/>
        </w:rPr>
        <w:t>portfolio</w:t>
      </w:r>
      <w:r w:rsidRPr="0097193D">
        <w:rPr>
          <w:sz w:val="24"/>
          <w:szCs w:val="24"/>
          <w:lang w:val="en-AU"/>
        </w:rPr>
        <w:t xml:space="preserve"> budget </w:t>
      </w:r>
      <w:r w:rsidR="00316228" w:rsidRPr="0097193D">
        <w:rPr>
          <w:sz w:val="24"/>
          <w:szCs w:val="24"/>
          <w:lang w:val="en-AU"/>
        </w:rPr>
        <w:t>will be</w:t>
      </w:r>
      <w:r w:rsidRPr="0097193D">
        <w:rPr>
          <w:sz w:val="24"/>
          <w:szCs w:val="24"/>
          <w:lang w:val="en-AU"/>
        </w:rPr>
        <w:t xml:space="preserve"> </w:t>
      </w:r>
      <w:r w:rsidR="00484FAF" w:rsidRPr="0097193D">
        <w:rPr>
          <w:sz w:val="24"/>
          <w:szCs w:val="24"/>
          <w:lang w:val="en-AU"/>
        </w:rPr>
        <w:t>$</w:t>
      </w:r>
      <w:r w:rsidRPr="0097193D">
        <w:rPr>
          <w:sz w:val="24"/>
          <w:szCs w:val="24"/>
          <w:lang w:val="en-AU"/>
        </w:rPr>
        <w:t xml:space="preserve">222.5 million over five </w:t>
      </w:r>
      <w:r w:rsidR="00AF3CC6" w:rsidRPr="0097193D">
        <w:rPr>
          <w:sz w:val="24"/>
          <w:szCs w:val="24"/>
          <w:lang w:val="en-AU"/>
        </w:rPr>
        <w:t>years</w:t>
      </w:r>
      <w:r w:rsidR="00AF3CC6">
        <w:rPr>
          <w:sz w:val="24"/>
          <w:szCs w:val="24"/>
          <w:lang w:val="en-AU"/>
        </w:rPr>
        <w:t>.</w:t>
      </w:r>
      <w:r w:rsidR="007B739E">
        <w:rPr>
          <w:sz w:val="24"/>
          <w:szCs w:val="24"/>
          <w:lang w:val="en-AU"/>
        </w:rPr>
        <w:t xml:space="preserve"> </w:t>
      </w:r>
      <w:r w:rsidRPr="0097193D">
        <w:rPr>
          <w:sz w:val="24"/>
          <w:szCs w:val="24"/>
          <w:lang w:val="en-AU"/>
        </w:rPr>
        <w:t xml:space="preserve">The budget is managed directly by DFAT. </w:t>
      </w:r>
    </w:p>
    <w:p w14:paraId="7C1F2C33" w14:textId="77777777" w:rsidR="004F2AF9" w:rsidRPr="001F14E7" w:rsidRDefault="004F2AF9" w:rsidP="00156916">
      <w:pPr>
        <w:pStyle w:val="Heading1Numbered"/>
        <w:rPr>
          <w:szCs w:val="21"/>
          <w:lang w:val="en-AU"/>
        </w:rPr>
      </w:pPr>
      <w:bookmarkStart w:id="134" w:name="_Toc162287887"/>
      <w:bookmarkStart w:id="135" w:name="_Toc163539179"/>
      <w:bookmarkStart w:id="136" w:name="_Toc174029061"/>
      <w:r w:rsidRPr="2C480AEE">
        <w:rPr>
          <w:lang w:val="en-AU"/>
        </w:rPr>
        <w:t>Procurement and Partnering</w:t>
      </w:r>
      <w:bookmarkEnd w:id="134"/>
      <w:bookmarkEnd w:id="135"/>
      <w:bookmarkEnd w:id="136"/>
    </w:p>
    <w:p w14:paraId="0CD63085" w14:textId="670A878B" w:rsidR="00A732E3" w:rsidRPr="0097193D" w:rsidRDefault="00A732E3" w:rsidP="00B24EDF">
      <w:pPr>
        <w:rPr>
          <w:sz w:val="24"/>
          <w:szCs w:val="24"/>
          <w:lang w:val="en-AU"/>
        </w:rPr>
      </w:pPr>
      <w:r w:rsidRPr="0097193D">
        <w:rPr>
          <w:sz w:val="24"/>
          <w:szCs w:val="24"/>
          <w:lang w:val="en-AU"/>
        </w:rPr>
        <w:t xml:space="preserve">Procurement and partnering will be undertaken in a variety of ways. </w:t>
      </w:r>
      <w:r w:rsidR="004E175D" w:rsidRPr="0097193D">
        <w:rPr>
          <w:sz w:val="24"/>
          <w:szCs w:val="24"/>
          <w:lang w:val="en-AU"/>
        </w:rPr>
        <w:t xml:space="preserve">As mentioned elsewhere, </w:t>
      </w:r>
      <w:r w:rsidRPr="0097193D">
        <w:rPr>
          <w:sz w:val="24"/>
          <w:szCs w:val="24"/>
          <w:lang w:val="en-AU"/>
        </w:rPr>
        <w:t xml:space="preserve">long term, </w:t>
      </w:r>
      <w:r w:rsidR="292135BB" w:rsidRPr="0097193D">
        <w:rPr>
          <w:sz w:val="24"/>
          <w:szCs w:val="24"/>
          <w:lang w:val="en-AU"/>
        </w:rPr>
        <w:t xml:space="preserve">high impact </w:t>
      </w:r>
      <w:r w:rsidRPr="0097193D">
        <w:rPr>
          <w:sz w:val="24"/>
          <w:szCs w:val="24"/>
          <w:lang w:val="en-AU"/>
        </w:rPr>
        <w:t>partnerships</w:t>
      </w:r>
      <w:r w:rsidR="004E175D" w:rsidRPr="0097193D">
        <w:rPr>
          <w:sz w:val="24"/>
          <w:szCs w:val="24"/>
          <w:lang w:val="en-AU"/>
        </w:rPr>
        <w:t xml:space="preserve"> are a key delivery approach. </w:t>
      </w:r>
      <w:r w:rsidR="00700D3D" w:rsidRPr="0097193D">
        <w:rPr>
          <w:sz w:val="24"/>
          <w:szCs w:val="24"/>
          <w:lang w:val="en-AU"/>
        </w:rPr>
        <w:t xml:space="preserve">These partnerships will be managed by the Mekong Hub or delegated </w:t>
      </w:r>
      <w:r w:rsidR="00BB2501" w:rsidRPr="0097193D">
        <w:rPr>
          <w:sz w:val="24"/>
          <w:szCs w:val="24"/>
          <w:lang w:val="en-AU"/>
        </w:rPr>
        <w:t>Post</w:t>
      </w:r>
      <w:r w:rsidR="000545AB" w:rsidRPr="0097193D">
        <w:rPr>
          <w:sz w:val="24"/>
          <w:szCs w:val="24"/>
          <w:lang w:val="en-AU"/>
        </w:rPr>
        <w:t>s</w:t>
      </w:r>
      <w:r w:rsidR="00700D3D" w:rsidRPr="0097193D">
        <w:rPr>
          <w:sz w:val="24"/>
          <w:szCs w:val="24"/>
          <w:lang w:val="en-AU"/>
        </w:rPr>
        <w:t xml:space="preserve">. DFAT will likely extend and amend funding agreements with </w:t>
      </w:r>
      <w:r w:rsidR="000545AB" w:rsidRPr="0097193D">
        <w:rPr>
          <w:sz w:val="24"/>
          <w:szCs w:val="24"/>
          <w:lang w:val="en-AU"/>
        </w:rPr>
        <w:t>current implementing</w:t>
      </w:r>
      <w:r w:rsidR="00700D3D" w:rsidRPr="0097193D">
        <w:rPr>
          <w:sz w:val="24"/>
          <w:szCs w:val="24"/>
          <w:lang w:val="en-AU"/>
        </w:rPr>
        <w:t xml:space="preserve"> organisations as part of early activities</w:t>
      </w:r>
      <w:r w:rsidR="72D1B391" w:rsidRPr="0097193D">
        <w:rPr>
          <w:sz w:val="24"/>
          <w:szCs w:val="24"/>
          <w:lang w:val="en-AU"/>
        </w:rPr>
        <w:t xml:space="preserve"> (see section 4.5)</w:t>
      </w:r>
      <w:r w:rsidR="00700D3D" w:rsidRPr="0097193D">
        <w:rPr>
          <w:sz w:val="24"/>
          <w:szCs w:val="24"/>
          <w:lang w:val="en-AU"/>
        </w:rPr>
        <w:t>. Some consolidation of funding arrangements will be undertaken.</w:t>
      </w:r>
    </w:p>
    <w:p w14:paraId="03E838C6" w14:textId="23D001FF" w:rsidR="008E609F" w:rsidRPr="0097193D" w:rsidRDefault="008E609F" w:rsidP="00B24EDF">
      <w:pPr>
        <w:rPr>
          <w:sz w:val="24"/>
          <w:szCs w:val="24"/>
          <w:lang w:val="en-AU"/>
        </w:rPr>
      </w:pPr>
      <w:r w:rsidRPr="0097193D">
        <w:rPr>
          <w:sz w:val="24"/>
          <w:szCs w:val="24"/>
          <w:lang w:val="en-AU"/>
        </w:rPr>
        <w:t xml:space="preserve">The choice of the contracting modality (grant agreement or subcontract) will depend on the nature of the investment and the lead implementing partner. As per DFAT standards, all investments will be required to meet DFAT due diligence and integrity policy requirements, including ensuring that implementing and downstream partners are not included on registers of ineligible firms and organisations, sanctions, or terrorist organisations; have appropriate financial controls and systems in place including to mitigate and manage the risk of fraud and corruption; have policies, procedures and practices to safeguard children that comply with </w:t>
      </w:r>
      <w:hyperlink r:id="rId16">
        <w:r w:rsidRPr="0097193D">
          <w:rPr>
            <w:rStyle w:val="Hyperlink"/>
            <w:rFonts w:cstheme="minorBidi"/>
            <w:sz w:val="24"/>
            <w:szCs w:val="24"/>
            <w:lang w:val="en-AU"/>
          </w:rPr>
          <w:t>DFAT’s Child Protection Policy</w:t>
        </w:r>
      </w:hyperlink>
      <w:r w:rsidRPr="0097193D">
        <w:rPr>
          <w:sz w:val="24"/>
          <w:szCs w:val="24"/>
          <w:lang w:val="en-AU"/>
        </w:rPr>
        <w:t xml:space="preserve">; have policies and procedures which comply with </w:t>
      </w:r>
      <w:bookmarkStart w:id="137" w:name="_Int_93RI6S8A"/>
      <w:r w:rsidRPr="0097193D">
        <w:rPr>
          <w:sz w:val="24"/>
          <w:szCs w:val="24"/>
          <w:lang w:val="en-AU"/>
        </w:rPr>
        <w:t>DFATs</w:t>
      </w:r>
      <w:bookmarkEnd w:id="137"/>
      <w:r w:rsidRPr="0097193D">
        <w:rPr>
          <w:sz w:val="24"/>
          <w:szCs w:val="24"/>
          <w:lang w:val="en-AU"/>
        </w:rPr>
        <w:t xml:space="preserve"> prevention of sexual exploitation, abuse and harassment (PSEAH) policy; and meet any other necessary requirements of DFAT’s safeguarding policies that may be relevant to the investment focus.</w:t>
      </w:r>
    </w:p>
    <w:p w14:paraId="284055B1" w14:textId="0770BFEC" w:rsidR="00A732E3" w:rsidRPr="0097193D" w:rsidRDefault="00A732E3" w:rsidP="00B24EDF">
      <w:pPr>
        <w:rPr>
          <w:sz w:val="24"/>
          <w:szCs w:val="24"/>
          <w:lang w:val="en-AU"/>
        </w:rPr>
      </w:pPr>
      <w:r w:rsidRPr="0097193D">
        <w:rPr>
          <w:sz w:val="24"/>
          <w:szCs w:val="24"/>
          <w:lang w:val="en-AU"/>
        </w:rPr>
        <w:t xml:space="preserve">To support management and implementation of MAP Phase 2, a </w:t>
      </w:r>
      <w:r w:rsidR="4ED6FD9B" w:rsidRPr="0097193D">
        <w:rPr>
          <w:sz w:val="24"/>
          <w:szCs w:val="24"/>
          <w:lang w:val="en-AU"/>
        </w:rPr>
        <w:t xml:space="preserve">Support Services </w:t>
      </w:r>
      <w:r w:rsidRPr="0097193D">
        <w:rPr>
          <w:sz w:val="24"/>
          <w:szCs w:val="24"/>
          <w:lang w:val="en-AU"/>
        </w:rPr>
        <w:t xml:space="preserve">Contractor will be procured through a competitive </w:t>
      </w:r>
      <w:r w:rsidR="0FAC20C9" w:rsidRPr="0097193D">
        <w:rPr>
          <w:sz w:val="24"/>
          <w:szCs w:val="24"/>
          <w:lang w:val="en-AU"/>
        </w:rPr>
        <w:t xml:space="preserve">two-step </w:t>
      </w:r>
      <w:r w:rsidRPr="0097193D">
        <w:rPr>
          <w:sz w:val="24"/>
          <w:szCs w:val="24"/>
          <w:lang w:val="en-AU"/>
        </w:rPr>
        <w:t xml:space="preserve">DFAT-managed open tender process and engaged deliver the services described in the draft Statement of Requirement. </w:t>
      </w:r>
    </w:p>
    <w:p w14:paraId="47243287" w14:textId="25CFBFF1" w:rsidR="00A732E3" w:rsidRPr="0097193D" w:rsidRDefault="00A732E3" w:rsidP="00B24EDF">
      <w:pPr>
        <w:rPr>
          <w:sz w:val="24"/>
          <w:szCs w:val="24"/>
          <w:lang w:val="en-AU"/>
        </w:rPr>
      </w:pPr>
      <w:r w:rsidRPr="0097193D">
        <w:rPr>
          <w:sz w:val="24"/>
          <w:szCs w:val="24"/>
          <w:lang w:val="en-AU"/>
        </w:rPr>
        <w:t xml:space="preserve">The </w:t>
      </w:r>
      <w:r w:rsidR="6CFE47B8" w:rsidRPr="0097193D">
        <w:rPr>
          <w:sz w:val="24"/>
          <w:szCs w:val="24"/>
          <w:lang w:val="en-AU"/>
        </w:rPr>
        <w:t xml:space="preserve">Support Services </w:t>
      </w:r>
      <w:r w:rsidRPr="0097193D">
        <w:rPr>
          <w:sz w:val="24"/>
          <w:szCs w:val="24"/>
          <w:lang w:val="en-AU"/>
        </w:rPr>
        <w:t xml:space="preserve">Contractor will follow relevant Australian legislation and DFAT policy frameworks including the Public Governance, Performance and Accountability Act 2013, the Financial Framework (Supplementary Powers) Act 1997 and the Commonwealth Procurement Rules. The </w:t>
      </w:r>
      <w:r w:rsidR="11B8836F" w:rsidRPr="0097193D">
        <w:rPr>
          <w:sz w:val="24"/>
          <w:szCs w:val="24"/>
          <w:lang w:val="en-AU"/>
        </w:rPr>
        <w:t xml:space="preserve">Support Services </w:t>
      </w:r>
      <w:r w:rsidRPr="0097193D">
        <w:rPr>
          <w:sz w:val="24"/>
          <w:szCs w:val="24"/>
          <w:lang w:val="en-AU"/>
        </w:rPr>
        <w:t>Contractor will be subject to standard internal and external audit requirements.</w:t>
      </w:r>
    </w:p>
    <w:p w14:paraId="611AAEC9" w14:textId="52018633" w:rsidR="00462421" w:rsidRPr="0097193D" w:rsidRDefault="00A732E3" w:rsidP="00B24EDF">
      <w:pPr>
        <w:rPr>
          <w:sz w:val="24"/>
          <w:szCs w:val="24"/>
          <w:lang w:val="en-AU"/>
        </w:rPr>
      </w:pPr>
      <w:r w:rsidRPr="0097193D">
        <w:rPr>
          <w:sz w:val="24"/>
          <w:szCs w:val="24"/>
          <w:lang w:val="en-AU"/>
        </w:rPr>
        <w:t xml:space="preserve">While this </w:t>
      </w:r>
      <w:r w:rsidR="0040169E" w:rsidRPr="0097193D">
        <w:rPr>
          <w:sz w:val="24"/>
          <w:szCs w:val="24"/>
          <w:lang w:val="en-AU"/>
        </w:rPr>
        <w:t>portfolio</w:t>
      </w:r>
      <w:r w:rsidRPr="0097193D">
        <w:rPr>
          <w:sz w:val="24"/>
          <w:szCs w:val="24"/>
          <w:lang w:val="en-AU"/>
        </w:rPr>
        <w:t xml:space="preserve"> supports and coordinates with </w:t>
      </w:r>
      <w:r w:rsidR="00700D3D" w:rsidRPr="0097193D">
        <w:rPr>
          <w:sz w:val="24"/>
          <w:szCs w:val="24"/>
          <w:lang w:val="en-AU"/>
        </w:rPr>
        <w:t xml:space="preserve">partner government </w:t>
      </w:r>
      <w:r w:rsidRPr="0097193D">
        <w:rPr>
          <w:sz w:val="24"/>
          <w:szCs w:val="24"/>
          <w:lang w:val="en-AU"/>
        </w:rPr>
        <w:t>systems, it</w:t>
      </w:r>
      <w:r w:rsidR="00856DF6" w:rsidRPr="0097193D">
        <w:rPr>
          <w:sz w:val="24"/>
          <w:szCs w:val="24"/>
          <w:lang w:val="en-AU"/>
        </w:rPr>
        <w:t xml:space="preserve"> is not envisaged that DFAT will utilise partner systems as a </w:t>
      </w:r>
      <w:r w:rsidR="002C71F1" w:rsidRPr="0097193D">
        <w:rPr>
          <w:sz w:val="24"/>
          <w:szCs w:val="24"/>
          <w:lang w:val="en-AU"/>
        </w:rPr>
        <w:t>principal delivery mechanism</w:t>
      </w:r>
      <w:r w:rsidR="00926C5B" w:rsidRPr="0097193D">
        <w:rPr>
          <w:sz w:val="24"/>
          <w:szCs w:val="24"/>
          <w:lang w:val="en-AU"/>
        </w:rPr>
        <w:t xml:space="preserve"> to channel ODA funds</w:t>
      </w:r>
      <w:r w:rsidR="002C71F1" w:rsidRPr="0097193D">
        <w:rPr>
          <w:sz w:val="24"/>
          <w:szCs w:val="24"/>
          <w:lang w:val="en-AU"/>
        </w:rPr>
        <w:t xml:space="preserve"> due to risk factors and MAP’s focus on subregional engagement. </w:t>
      </w:r>
      <w:r w:rsidR="00926C5B" w:rsidRPr="0097193D">
        <w:rPr>
          <w:sz w:val="24"/>
          <w:szCs w:val="24"/>
          <w:lang w:val="en-AU"/>
        </w:rPr>
        <w:t xml:space="preserve">However, if partner systems are identified as the most appropriate delivery mechanism for a MAP-funded activity, </w:t>
      </w:r>
      <w:r w:rsidR="002C71F1" w:rsidRPr="0097193D">
        <w:rPr>
          <w:sz w:val="24"/>
          <w:szCs w:val="24"/>
          <w:lang w:val="en-AU"/>
        </w:rPr>
        <w:t xml:space="preserve">DFAT will conduct detailed risk assessments </w:t>
      </w:r>
      <w:r w:rsidR="00926C5B" w:rsidRPr="0097193D">
        <w:rPr>
          <w:sz w:val="24"/>
          <w:szCs w:val="24"/>
          <w:lang w:val="en-AU"/>
        </w:rPr>
        <w:t>and seek relevant delegate approval.</w:t>
      </w:r>
    </w:p>
    <w:p w14:paraId="7731A9E3" w14:textId="1E034FEF" w:rsidR="004F2AF9" w:rsidRPr="001F14E7" w:rsidRDefault="004F2AF9" w:rsidP="00156916">
      <w:pPr>
        <w:pStyle w:val="Heading1Numbered"/>
        <w:rPr>
          <w:szCs w:val="21"/>
          <w:lang w:val="en-AU"/>
        </w:rPr>
      </w:pPr>
      <w:bookmarkStart w:id="138" w:name="_Toc162287888"/>
      <w:bookmarkStart w:id="139" w:name="_Toc163539180"/>
      <w:bookmarkStart w:id="140" w:name="_Toc174029062"/>
      <w:r w:rsidRPr="2C480AEE">
        <w:rPr>
          <w:lang w:val="en-AU"/>
        </w:rPr>
        <w:lastRenderedPageBreak/>
        <w:t>Risk Management and Safeguards</w:t>
      </w:r>
      <w:bookmarkEnd w:id="138"/>
      <w:bookmarkEnd w:id="139"/>
      <w:bookmarkEnd w:id="140"/>
    </w:p>
    <w:p w14:paraId="3EA7B12F" w14:textId="2888C039" w:rsidR="001F341F" w:rsidRPr="0097193D" w:rsidRDefault="001F341F" w:rsidP="00B24EDF">
      <w:pPr>
        <w:rPr>
          <w:sz w:val="24"/>
          <w:szCs w:val="24"/>
          <w:lang w:val="en-AU"/>
        </w:rPr>
      </w:pPr>
      <w:r w:rsidRPr="0097193D">
        <w:rPr>
          <w:sz w:val="24"/>
          <w:szCs w:val="24"/>
          <w:lang w:val="en-AU"/>
        </w:rPr>
        <w:t xml:space="preserve">MAP Phase 2 is a strategic </w:t>
      </w:r>
      <w:r w:rsidR="007978D8">
        <w:rPr>
          <w:sz w:val="24"/>
          <w:szCs w:val="24"/>
          <w:lang w:val="en-AU"/>
        </w:rPr>
        <w:t xml:space="preserve">portfolio </w:t>
      </w:r>
      <w:r w:rsidRPr="0097193D">
        <w:rPr>
          <w:sz w:val="24"/>
          <w:szCs w:val="24"/>
          <w:lang w:val="en-AU"/>
        </w:rPr>
        <w:t xml:space="preserve">investment </w:t>
      </w:r>
      <w:r w:rsidR="00322660" w:rsidRPr="0097193D">
        <w:rPr>
          <w:sz w:val="24"/>
          <w:szCs w:val="24"/>
          <w:lang w:val="en-AU"/>
        </w:rPr>
        <w:t xml:space="preserve">led by DFAT and delivered through a range of modalities </w:t>
      </w:r>
      <w:r w:rsidRPr="0097193D">
        <w:rPr>
          <w:sz w:val="24"/>
          <w:szCs w:val="24"/>
          <w:lang w:val="en-AU"/>
        </w:rPr>
        <w:t>in a variety of contexts</w:t>
      </w:r>
      <w:r w:rsidR="00322660" w:rsidRPr="0097193D">
        <w:rPr>
          <w:sz w:val="24"/>
          <w:szCs w:val="24"/>
          <w:lang w:val="en-AU"/>
        </w:rPr>
        <w:t xml:space="preserve"> </w:t>
      </w:r>
      <w:r w:rsidR="006B3983" w:rsidRPr="0097193D">
        <w:rPr>
          <w:sz w:val="24"/>
          <w:szCs w:val="24"/>
          <w:lang w:val="en-AU"/>
        </w:rPr>
        <w:t xml:space="preserve">and </w:t>
      </w:r>
      <w:r w:rsidR="00322660" w:rsidRPr="0097193D">
        <w:rPr>
          <w:sz w:val="24"/>
          <w:szCs w:val="24"/>
          <w:lang w:val="en-AU"/>
        </w:rPr>
        <w:t>overseen by various DFAT teams</w:t>
      </w:r>
      <w:r w:rsidRPr="0097193D">
        <w:rPr>
          <w:sz w:val="24"/>
          <w:szCs w:val="24"/>
          <w:lang w:val="en-AU"/>
        </w:rPr>
        <w:t xml:space="preserve">. </w:t>
      </w:r>
    </w:p>
    <w:p w14:paraId="136BD217" w14:textId="081A1DE1" w:rsidR="3A89D462" w:rsidRPr="0097193D" w:rsidRDefault="25DC89B8" w:rsidP="00B24EDF">
      <w:pPr>
        <w:rPr>
          <w:rFonts w:ascii="Calibri Light" w:eastAsia="Calibri Light" w:hAnsi="Calibri Light" w:cs="Calibri Light"/>
          <w:sz w:val="24"/>
          <w:szCs w:val="24"/>
          <w:lang w:val="en-AU"/>
        </w:rPr>
      </w:pPr>
      <w:r w:rsidRPr="0097193D">
        <w:rPr>
          <w:rFonts w:ascii="Calibri Light" w:eastAsia="Calibri Light" w:hAnsi="Calibri Light" w:cs="Calibri Light"/>
          <w:sz w:val="24"/>
          <w:szCs w:val="24"/>
          <w:lang w:val="en-AU"/>
        </w:rPr>
        <w:t xml:space="preserve">While the Mekong subregion is vulnerable to a range of risks, including but not limited to natural disasters, complex political and security situations, </w:t>
      </w:r>
      <w:r w:rsidR="3A89D462" w:rsidRPr="0097193D">
        <w:rPr>
          <w:rFonts w:ascii="Calibri Light" w:eastAsia="Calibri Light" w:hAnsi="Calibri Light" w:cs="Calibri Light"/>
          <w:sz w:val="24"/>
          <w:szCs w:val="24"/>
          <w:lang w:val="en-AU"/>
        </w:rPr>
        <w:t xml:space="preserve">MAP </w:t>
      </w:r>
      <w:r w:rsidR="2DA8D0A5" w:rsidRPr="0097193D">
        <w:rPr>
          <w:rFonts w:ascii="Calibri Light" w:eastAsia="Calibri Light" w:hAnsi="Calibri Light" w:cs="Calibri Light"/>
          <w:sz w:val="24"/>
          <w:szCs w:val="24"/>
          <w:lang w:val="en-AU"/>
        </w:rPr>
        <w:t>P</w:t>
      </w:r>
      <w:r w:rsidR="3A89D462" w:rsidRPr="0097193D">
        <w:rPr>
          <w:rFonts w:ascii="Calibri Light" w:eastAsia="Calibri Light" w:hAnsi="Calibri Light" w:cs="Calibri Light"/>
          <w:sz w:val="24"/>
          <w:szCs w:val="24"/>
          <w:lang w:val="en-AU"/>
        </w:rPr>
        <w:t xml:space="preserve">hase 2 will operate in a </w:t>
      </w:r>
      <w:r w:rsidR="00C80C4D" w:rsidRPr="0097193D">
        <w:rPr>
          <w:rFonts w:ascii="Calibri Light" w:eastAsia="Calibri Light" w:hAnsi="Calibri Light" w:cs="Calibri Light"/>
          <w:sz w:val="24"/>
          <w:szCs w:val="24"/>
          <w:lang w:val="en-AU"/>
        </w:rPr>
        <w:t>well-known</w:t>
      </w:r>
      <w:r w:rsidR="00E86B12" w:rsidRPr="0097193D">
        <w:rPr>
          <w:rFonts w:ascii="Calibri Light" w:eastAsia="Calibri Light" w:hAnsi="Calibri Light" w:cs="Calibri Light"/>
          <w:sz w:val="24"/>
          <w:szCs w:val="24"/>
          <w:lang w:val="en-AU"/>
        </w:rPr>
        <w:t xml:space="preserve">, </w:t>
      </w:r>
      <w:r w:rsidR="3A89D462" w:rsidRPr="0097193D">
        <w:rPr>
          <w:rFonts w:ascii="Calibri Light" w:eastAsia="Calibri Light" w:hAnsi="Calibri Light" w:cs="Calibri Light"/>
          <w:sz w:val="24"/>
          <w:szCs w:val="24"/>
          <w:lang w:val="en-AU"/>
        </w:rPr>
        <w:t xml:space="preserve">largely low risk environment, in countries where Australia has established bilateral programs, using familiar delivery mechanisms. MAP </w:t>
      </w:r>
      <w:r w:rsidR="7B05B16C" w:rsidRPr="0097193D">
        <w:rPr>
          <w:rFonts w:ascii="Calibri Light" w:eastAsia="Calibri Light" w:hAnsi="Calibri Light" w:cs="Calibri Light"/>
          <w:sz w:val="24"/>
          <w:szCs w:val="24"/>
          <w:lang w:val="en-AU"/>
        </w:rPr>
        <w:t>P</w:t>
      </w:r>
      <w:r w:rsidR="3A89D462" w:rsidRPr="0097193D">
        <w:rPr>
          <w:rFonts w:ascii="Calibri Light" w:eastAsia="Calibri Light" w:hAnsi="Calibri Light" w:cs="Calibri Light"/>
          <w:sz w:val="24"/>
          <w:szCs w:val="24"/>
          <w:lang w:val="en-AU"/>
        </w:rPr>
        <w:t xml:space="preserve">hase 2 will </w:t>
      </w:r>
      <w:r w:rsidR="00635CBA" w:rsidRPr="0097193D">
        <w:rPr>
          <w:rFonts w:ascii="Calibri Light" w:eastAsia="Calibri Light" w:hAnsi="Calibri Light" w:cs="Calibri Light"/>
          <w:sz w:val="24"/>
          <w:szCs w:val="24"/>
          <w:lang w:val="en-AU"/>
        </w:rPr>
        <w:t>apply additional risk manageme</w:t>
      </w:r>
      <w:r w:rsidR="000B5D32" w:rsidRPr="0097193D">
        <w:rPr>
          <w:rFonts w:ascii="Calibri Light" w:eastAsia="Calibri Light" w:hAnsi="Calibri Light" w:cs="Calibri Light"/>
          <w:sz w:val="24"/>
          <w:szCs w:val="24"/>
          <w:lang w:val="en-AU"/>
        </w:rPr>
        <w:t>nt processes related to any potential</w:t>
      </w:r>
      <w:r w:rsidR="3A89D462" w:rsidRPr="0097193D">
        <w:rPr>
          <w:rFonts w:ascii="Calibri Light" w:eastAsia="Calibri Light" w:hAnsi="Calibri Light" w:cs="Calibri Light"/>
          <w:sz w:val="24"/>
          <w:szCs w:val="24"/>
          <w:lang w:val="en-AU"/>
        </w:rPr>
        <w:t xml:space="preserve"> Myanmar </w:t>
      </w:r>
      <w:r w:rsidR="000B5D32" w:rsidRPr="0097193D">
        <w:rPr>
          <w:rFonts w:ascii="Calibri Light" w:eastAsia="Calibri Light" w:hAnsi="Calibri Light" w:cs="Calibri Light"/>
          <w:sz w:val="24"/>
          <w:szCs w:val="24"/>
          <w:lang w:val="en-AU"/>
        </w:rPr>
        <w:t xml:space="preserve">engagement </w:t>
      </w:r>
      <w:r w:rsidR="3A89D462" w:rsidRPr="0097193D">
        <w:rPr>
          <w:rFonts w:ascii="Calibri Light" w:eastAsia="Calibri Light" w:hAnsi="Calibri Light" w:cs="Calibri Light"/>
          <w:sz w:val="24"/>
          <w:szCs w:val="24"/>
          <w:lang w:val="en-AU"/>
        </w:rPr>
        <w:t>and will continue to monitor risks to changing political and security circumstances in the subregion</w:t>
      </w:r>
      <w:r w:rsidR="342E0141" w:rsidRPr="0097193D">
        <w:rPr>
          <w:rFonts w:ascii="Calibri Light" w:eastAsia="Calibri Light" w:hAnsi="Calibri Light" w:cs="Calibri Light"/>
          <w:sz w:val="24"/>
          <w:szCs w:val="24"/>
          <w:lang w:val="en-AU"/>
        </w:rPr>
        <w:t>, including internal and cross-border conflicts</w:t>
      </w:r>
      <w:r w:rsidR="3A89D462" w:rsidRPr="0097193D">
        <w:rPr>
          <w:rFonts w:ascii="Calibri Light" w:eastAsia="Calibri Light" w:hAnsi="Calibri Light" w:cs="Calibri Light"/>
          <w:sz w:val="24"/>
          <w:szCs w:val="24"/>
          <w:lang w:val="en-AU"/>
        </w:rPr>
        <w:t xml:space="preserve">. Most risks relate to the management of DFAT bilateral and regional resources to support the effective implementation of the </w:t>
      </w:r>
      <w:r w:rsidR="0040169E" w:rsidRPr="0097193D">
        <w:rPr>
          <w:rFonts w:ascii="Calibri Light" w:eastAsia="Calibri Light" w:hAnsi="Calibri Light" w:cs="Calibri Light"/>
          <w:sz w:val="24"/>
          <w:szCs w:val="24"/>
          <w:lang w:val="en-AU"/>
        </w:rPr>
        <w:t>portfolio</w:t>
      </w:r>
      <w:r w:rsidR="3A89D462" w:rsidRPr="0097193D">
        <w:rPr>
          <w:rFonts w:ascii="Calibri Light" w:eastAsia="Calibri Light" w:hAnsi="Calibri Light" w:cs="Calibri Light"/>
          <w:sz w:val="24"/>
          <w:szCs w:val="24"/>
          <w:lang w:val="en-AU"/>
        </w:rPr>
        <w:t>. Fraud</w:t>
      </w:r>
      <w:r w:rsidR="00734BA9" w:rsidRPr="0097193D">
        <w:rPr>
          <w:rFonts w:ascii="Calibri Light" w:eastAsia="Calibri Light" w:hAnsi="Calibri Light" w:cs="Calibri Light"/>
          <w:sz w:val="24"/>
          <w:szCs w:val="24"/>
          <w:lang w:val="en-AU"/>
        </w:rPr>
        <w:t xml:space="preserve">, </w:t>
      </w:r>
      <w:r w:rsidR="00DA6C5F" w:rsidRPr="0097193D">
        <w:rPr>
          <w:rFonts w:ascii="Calibri Light" w:eastAsia="Calibri Light" w:hAnsi="Calibri Light" w:cs="Calibri Light"/>
          <w:sz w:val="24"/>
          <w:szCs w:val="24"/>
          <w:lang w:val="en-AU"/>
        </w:rPr>
        <w:t>corruption</w:t>
      </w:r>
      <w:r w:rsidR="3A89D462" w:rsidRPr="0097193D">
        <w:rPr>
          <w:rFonts w:ascii="Calibri Light" w:eastAsia="Calibri Light" w:hAnsi="Calibri Light" w:cs="Calibri Light"/>
          <w:sz w:val="24"/>
          <w:szCs w:val="24"/>
          <w:lang w:val="en-AU"/>
        </w:rPr>
        <w:t xml:space="preserve"> </w:t>
      </w:r>
      <w:r w:rsidR="00F01D3A" w:rsidRPr="0097193D">
        <w:rPr>
          <w:rFonts w:ascii="Calibri Light" w:eastAsia="Calibri Light" w:hAnsi="Calibri Light" w:cs="Calibri Light"/>
          <w:sz w:val="24"/>
          <w:szCs w:val="24"/>
          <w:lang w:val="en-AU"/>
        </w:rPr>
        <w:t xml:space="preserve">and </w:t>
      </w:r>
      <w:r w:rsidR="000D260D" w:rsidRPr="0097193D">
        <w:rPr>
          <w:rFonts w:ascii="Calibri Light" w:eastAsia="Calibri Light" w:hAnsi="Calibri Light" w:cs="Calibri Light"/>
          <w:sz w:val="24"/>
          <w:szCs w:val="24"/>
          <w:lang w:val="en-AU"/>
        </w:rPr>
        <w:t>counter-</w:t>
      </w:r>
      <w:r w:rsidR="00F01D3A" w:rsidRPr="0097193D">
        <w:rPr>
          <w:rFonts w:ascii="Calibri Light" w:eastAsia="Calibri Light" w:hAnsi="Calibri Light" w:cs="Calibri Light"/>
          <w:sz w:val="24"/>
          <w:szCs w:val="24"/>
          <w:lang w:val="en-AU"/>
        </w:rPr>
        <w:t xml:space="preserve">terrorism </w:t>
      </w:r>
      <w:r w:rsidR="00734BA9" w:rsidRPr="0097193D">
        <w:rPr>
          <w:rFonts w:ascii="Calibri Light" w:eastAsia="Calibri Light" w:hAnsi="Calibri Light" w:cs="Calibri Light"/>
          <w:sz w:val="24"/>
          <w:szCs w:val="24"/>
          <w:lang w:val="en-AU"/>
        </w:rPr>
        <w:t>resourcing risks</w:t>
      </w:r>
      <w:r w:rsidR="3A89D462" w:rsidRPr="0097193D">
        <w:rPr>
          <w:rFonts w:ascii="Calibri Light" w:eastAsia="Calibri Light" w:hAnsi="Calibri Light" w:cs="Calibri Light"/>
          <w:sz w:val="24"/>
          <w:szCs w:val="24"/>
          <w:lang w:val="en-AU"/>
        </w:rPr>
        <w:t xml:space="preserve"> will be actively managed.</w:t>
      </w:r>
      <w:r w:rsidR="59FAD0EC" w:rsidRPr="0097193D">
        <w:rPr>
          <w:rFonts w:ascii="Calibri Light" w:eastAsia="Calibri Light" w:hAnsi="Calibri Light" w:cs="Calibri Light"/>
          <w:sz w:val="24"/>
          <w:szCs w:val="24"/>
          <w:lang w:val="en-AU"/>
        </w:rPr>
        <w:t xml:space="preserve"> </w:t>
      </w:r>
    </w:p>
    <w:p w14:paraId="42453A4E" w14:textId="5107B392" w:rsidR="001F341F" w:rsidRPr="0097193D" w:rsidRDefault="001F341F" w:rsidP="00B24EDF">
      <w:pPr>
        <w:rPr>
          <w:sz w:val="24"/>
          <w:szCs w:val="24"/>
          <w:lang w:val="en-AU"/>
        </w:rPr>
      </w:pPr>
      <w:r w:rsidRPr="0097193D">
        <w:rPr>
          <w:sz w:val="24"/>
          <w:szCs w:val="24"/>
          <w:lang w:val="en-AU"/>
        </w:rPr>
        <w:t xml:space="preserve">A full Risk and Safeguard Assessment </w:t>
      </w:r>
      <w:r w:rsidR="00876181">
        <w:rPr>
          <w:sz w:val="24"/>
          <w:szCs w:val="24"/>
          <w:lang w:val="en-AU"/>
        </w:rPr>
        <w:t>has been undertaken</w:t>
      </w:r>
      <w:r w:rsidRPr="0097193D">
        <w:rPr>
          <w:sz w:val="24"/>
          <w:szCs w:val="24"/>
          <w:lang w:val="en-AU"/>
        </w:rPr>
        <w:t xml:space="preserve">. Based on this assessment, the </w:t>
      </w:r>
      <w:r w:rsidR="0040169E" w:rsidRPr="0097193D">
        <w:rPr>
          <w:sz w:val="24"/>
          <w:szCs w:val="24"/>
          <w:lang w:val="en-AU"/>
        </w:rPr>
        <w:t>portfolio</w:t>
      </w:r>
      <w:r w:rsidRPr="0097193D">
        <w:rPr>
          <w:sz w:val="24"/>
          <w:szCs w:val="24"/>
          <w:lang w:val="en-AU"/>
        </w:rPr>
        <w:t xml:space="preserve"> has </w:t>
      </w:r>
      <w:r w:rsidR="00322660" w:rsidRPr="0097193D">
        <w:rPr>
          <w:sz w:val="24"/>
          <w:szCs w:val="24"/>
          <w:lang w:val="en-AU"/>
        </w:rPr>
        <w:t>a</w:t>
      </w:r>
      <w:r w:rsidR="006B3983" w:rsidRPr="0097193D">
        <w:rPr>
          <w:sz w:val="24"/>
          <w:szCs w:val="24"/>
          <w:lang w:val="en-AU"/>
        </w:rPr>
        <w:t>n</w:t>
      </w:r>
      <w:r w:rsidR="00322660" w:rsidRPr="0097193D">
        <w:rPr>
          <w:sz w:val="24"/>
          <w:szCs w:val="24"/>
          <w:lang w:val="en-AU"/>
        </w:rPr>
        <w:t xml:space="preserve"> </w:t>
      </w:r>
      <w:r w:rsidR="006B3983" w:rsidRPr="0097193D">
        <w:rPr>
          <w:sz w:val="24"/>
          <w:szCs w:val="24"/>
          <w:lang w:val="en-AU"/>
        </w:rPr>
        <w:t xml:space="preserve">overall </w:t>
      </w:r>
      <w:r w:rsidR="00322660" w:rsidRPr="0097193D">
        <w:rPr>
          <w:sz w:val="24"/>
          <w:szCs w:val="24"/>
          <w:lang w:val="en-AU"/>
        </w:rPr>
        <w:t xml:space="preserve">residual risk rating of </w:t>
      </w:r>
      <w:r w:rsidRPr="0097193D">
        <w:rPr>
          <w:b/>
          <w:sz w:val="24"/>
          <w:szCs w:val="24"/>
          <w:lang w:val="en-AU"/>
        </w:rPr>
        <w:t>medium</w:t>
      </w:r>
      <w:r w:rsidRPr="0097193D">
        <w:rPr>
          <w:sz w:val="24"/>
          <w:szCs w:val="24"/>
          <w:lang w:val="en-AU"/>
        </w:rPr>
        <w:t xml:space="preserve">. The key risks and proposed mitigation strategies for </w:t>
      </w:r>
      <w:r w:rsidR="003C02C1" w:rsidRPr="0097193D">
        <w:rPr>
          <w:sz w:val="24"/>
          <w:szCs w:val="24"/>
          <w:lang w:val="en-AU"/>
        </w:rPr>
        <w:t>MAP Phase 2</w:t>
      </w:r>
      <w:r w:rsidRPr="0097193D">
        <w:rPr>
          <w:sz w:val="24"/>
          <w:szCs w:val="24"/>
          <w:lang w:val="en-AU"/>
        </w:rPr>
        <w:t xml:space="preserve"> are summarised in Table </w:t>
      </w:r>
      <w:r w:rsidR="00EF5117" w:rsidRPr="0097193D">
        <w:rPr>
          <w:sz w:val="24"/>
          <w:szCs w:val="24"/>
          <w:lang w:val="en-AU"/>
        </w:rPr>
        <w:t>6</w:t>
      </w:r>
      <w:r w:rsidRPr="0097193D">
        <w:rPr>
          <w:sz w:val="24"/>
          <w:szCs w:val="24"/>
          <w:lang w:val="en-AU"/>
        </w:rPr>
        <w:t xml:space="preserve"> below. </w:t>
      </w:r>
    </w:p>
    <w:p w14:paraId="6EC302A1" w14:textId="060C4059" w:rsidR="00EF5117" w:rsidRDefault="00EF5117" w:rsidP="00EF5117">
      <w:pPr>
        <w:pStyle w:val="Caption"/>
        <w:keepNext/>
        <w:spacing w:before="120" w:after="120"/>
        <w:rPr>
          <w:sz w:val="24"/>
          <w:szCs w:val="24"/>
          <w:lang w:val="en-AU"/>
        </w:rPr>
      </w:pPr>
      <w:r w:rsidRPr="0097193D">
        <w:rPr>
          <w:sz w:val="24"/>
          <w:szCs w:val="24"/>
          <w:lang w:val="en-AU"/>
        </w:rPr>
        <w:t xml:space="preserve">Table </w:t>
      </w:r>
      <w:r w:rsidRPr="0097193D">
        <w:rPr>
          <w:sz w:val="24"/>
          <w:szCs w:val="24"/>
          <w:lang w:val="en-AU"/>
        </w:rPr>
        <w:fldChar w:fldCharType="begin"/>
      </w:r>
      <w:r w:rsidRPr="0097193D">
        <w:rPr>
          <w:sz w:val="24"/>
          <w:szCs w:val="24"/>
          <w:lang w:val="en-AU"/>
        </w:rPr>
        <w:instrText xml:space="preserve"> SEQ Table \* ARABIC </w:instrText>
      </w:r>
      <w:r w:rsidRPr="0097193D">
        <w:rPr>
          <w:sz w:val="24"/>
          <w:szCs w:val="24"/>
          <w:lang w:val="en-AU"/>
        </w:rPr>
        <w:fldChar w:fldCharType="separate"/>
      </w:r>
      <w:r w:rsidR="003E1E3C" w:rsidRPr="0097193D">
        <w:rPr>
          <w:sz w:val="24"/>
          <w:szCs w:val="24"/>
          <w:lang w:val="en-AU"/>
        </w:rPr>
        <w:t>6</w:t>
      </w:r>
      <w:r w:rsidRPr="0097193D">
        <w:rPr>
          <w:sz w:val="24"/>
          <w:szCs w:val="24"/>
          <w:lang w:val="en-AU"/>
        </w:rPr>
        <w:fldChar w:fldCharType="end"/>
      </w:r>
      <w:r w:rsidRPr="0097193D">
        <w:rPr>
          <w:sz w:val="24"/>
          <w:szCs w:val="24"/>
          <w:lang w:val="en-AU"/>
        </w:rPr>
        <w:t>: Summary of MAP Phase 2 key risks and mitigating strategies</w:t>
      </w:r>
    </w:p>
    <w:tbl>
      <w:tblPr>
        <w:tblStyle w:val="TableGrid"/>
        <w:tblW w:w="9640" w:type="dxa"/>
        <w:tblInd w:w="101" w:type="dxa"/>
        <w:shd w:val="clear" w:color="auto" w:fill="C1E7E0" w:themeFill="accent1" w:themeFillTint="66"/>
        <w:tblLook w:val="04A0" w:firstRow="1" w:lastRow="0" w:firstColumn="1" w:lastColumn="0" w:noHBand="0" w:noVBand="1"/>
      </w:tblPr>
      <w:tblGrid>
        <w:gridCol w:w="4147"/>
        <w:gridCol w:w="5493"/>
      </w:tblGrid>
      <w:tr w:rsidR="000B597F" w:rsidRPr="0097193D" w14:paraId="3FA4AB62" w14:textId="77777777" w:rsidTr="000B597F">
        <w:trPr>
          <w:tblHeader/>
        </w:trPr>
        <w:tc>
          <w:tcPr>
            <w:tcW w:w="4147" w:type="dxa"/>
            <w:shd w:val="clear" w:color="auto" w:fill="EEF5E7" w:themeFill="accent2" w:themeFillTint="33"/>
          </w:tcPr>
          <w:p w14:paraId="6ECE8614" w14:textId="1FD54B7C" w:rsidR="000B597F" w:rsidRPr="000B597F" w:rsidRDefault="000B597F"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Risk</w:t>
            </w:r>
            <w:r>
              <w:rPr>
                <w:rFonts w:ascii="Calibri Light" w:hAnsi="Calibri Light" w:cs="Calibri Light"/>
                <w:b/>
                <w:color w:val="auto"/>
                <w:sz w:val="24"/>
                <w:szCs w:val="24"/>
                <w:lang w:val="en-AU"/>
              </w:rPr>
              <w:t>: Stakeholder</w:t>
            </w:r>
          </w:p>
        </w:tc>
        <w:tc>
          <w:tcPr>
            <w:tcW w:w="5493" w:type="dxa"/>
            <w:shd w:val="clear" w:color="auto" w:fill="EEF5E7" w:themeFill="accent2" w:themeFillTint="33"/>
          </w:tcPr>
          <w:p w14:paraId="03FA97F8" w14:textId="77777777" w:rsidR="000B597F" w:rsidRPr="000B597F" w:rsidRDefault="000B597F"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Mitigation strategies</w:t>
            </w:r>
          </w:p>
        </w:tc>
      </w:tr>
      <w:tr w:rsidR="00745196" w:rsidRPr="0097193D" w14:paraId="523A8021" w14:textId="77777777" w:rsidTr="00535020">
        <w:tblPrEx>
          <w:shd w:val="clear" w:color="auto" w:fill="auto"/>
        </w:tblPrEx>
        <w:tc>
          <w:tcPr>
            <w:tcW w:w="4147" w:type="dxa"/>
          </w:tcPr>
          <w:p w14:paraId="2879DC11" w14:textId="77777777" w:rsidR="00745196" w:rsidRPr="0097193D" w:rsidRDefault="00745196" w:rsidP="00745196">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Key subregional counterparts do not engage with MAP, leading to reduced buy in, lack of progress towards sustainable outcomes, inability to engage effectively with counterparts and reputational damage to Australia.</w:t>
            </w:r>
          </w:p>
        </w:tc>
        <w:tc>
          <w:tcPr>
            <w:tcW w:w="5493" w:type="dxa"/>
          </w:tcPr>
          <w:p w14:paraId="65FC3850" w14:textId="77777777" w:rsidR="00745196" w:rsidRPr="0097193D" w:rsidRDefault="00745196" w:rsidP="00745196">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MAP design includes multiple levels of policy engagement and dialogue.</w:t>
            </w:r>
          </w:p>
          <w:p w14:paraId="1809417D" w14:textId="77777777" w:rsidR="00745196" w:rsidRPr="0097193D" w:rsidRDefault="00745196" w:rsidP="00745196">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A communications strategy will be developed, and a strategic communications adviser appointed to support consistent messaging and common understanding of MAP.</w:t>
            </w:r>
          </w:p>
          <w:p w14:paraId="36220585" w14:textId="77777777" w:rsidR="00745196" w:rsidRPr="0097193D" w:rsidRDefault="00745196" w:rsidP="00745196">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Routine political economy analysis is built into design.</w:t>
            </w:r>
          </w:p>
        </w:tc>
      </w:tr>
    </w:tbl>
    <w:p w14:paraId="70F68702" w14:textId="77777777" w:rsidR="007906A6" w:rsidRDefault="007906A6" w:rsidP="007906A6">
      <w:pPr>
        <w:rPr>
          <w:lang w:val="en-AU"/>
        </w:rPr>
      </w:pPr>
    </w:p>
    <w:tbl>
      <w:tblPr>
        <w:tblStyle w:val="TableGrid"/>
        <w:tblW w:w="9640" w:type="dxa"/>
        <w:tblInd w:w="101" w:type="dxa"/>
        <w:tblLook w:val="04A0" w:firstRow="1" w:lastRow="0" w:firstColumn="1" w:lastColumn="0" w:noHBand="0" w:noVBand="1"/>
      </w:tblPr>
      <w:tblGrid>
        <w:gridCol w:w="4147"/>
        <w:gridCol w:w="5493"/>
      </w:tblGrid>
      <w:tr w:rsidR="000B597F" w:rsidRPr="000B597F" w14:paraId="296750F6" w14:textId="77777777" w:rsidTr="000B597F">
        <w:tc>
          <w:tcPr>
            <w:tcW w:w="4147" w:type="dxa"/>
            <w:shd w:val="clear" w:color="auto" w:fill="EEF5E7" w:themeFill="accent2" w:themeFillTint="33"/>
          </w:tcPr>
          <w:p w14:paraId="37D12E0B" w14:textId="4FD044F9" w:rsidR="000B597F" w:rsidRPr="000B597F" w:rsidRDefault="000B597F"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Risk</w:t>
            </w:r>
            <w:r>
              <w:rPr>
                <w:rFonts w:ascii="Calibri Light" w:hAnsi="Calibri Light" w:cs="Calibri Light"/>
                <w:b/>
                <w:color w:val="auto"/>
                <w:sz w:val="24"/>
                <w:szCs w:val="24"/>
                <w:lang w:val="en-AU"/>
              </w:rPr>
              <w:t>: Contextual</w:t>
            </w:r>
          </w:p>
        </w:tc>
        <w:tc>
          <w:tcPr>
            <w:tcW w:w="5493" w:type="dxa"/>
            <w:shd w:val="clear" w:color="auto" w:fill="EEF5E7" w:themeFill="accent2" w:themeFillTint="33"/>
          </w:tcPr>
          <w:p w14:paraId="6EE02E91" w14:textId="77777777" w:rsidR="000B597F" w:rsidRPr="000B597F" w:rsidRDefault="000B597F"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Mitigation strategies</w:t>
            </w:r>
          </w:p>
        </w:tc>
      </w:tr>
      <w:tr w:rsidR="00E67B74" w:rsidRPr="0097193D" w14:paraId="74A8E052" w14:textId="77777777" w:rsidTr="000B597F">
        <w:trPr>
          <w:trHeight w:val="300"/>
        </w:trPr>
        <w:tc>
          <w:tcPr>
            <w:tcW w:w="4147" w:type="dxa"/>
          </w:tcPr>
          <w:p w14:paraId="017B8DA0" w14:textId="77777777" w:rsidR="00E67B74" w:rsidRPr="0097193D" w:rsidRDefault="00E67B74" w:rsidP="00693432">
            <w:pPr>
              <w:spacing w:before="40" w:after="40" w:line="240" w:lineRule="auto"/>
              <w:rPr>
                <w:rFonts w:ascii="Calibri Light" w:eastAsia="Calibri Light" w:hAnsi="Calibri Light" w:cs="Calibri Light"/>
                <w:sz w:val="24"/>
                <w:szCs w:val="24"/>
                <w:lang w:val="en-AU"/>
              </w:rPr>
            </w:pPr>
            <w:r w:rsidRPr="0097193D">
              <w:rPr>
                <w:rFonts w:ascii="Calibri Light" w:eastAsia="Calibri" w:hAnsi="Calibri Light" w:cs="Calibri Light"/>
                <w:sz w:val="24"/>
                <w:szCs w:val="24"/>
                <w:lang w:val="en-AU"/>
              </w:rPr>
              <w:t>Political or security situation in operating environments in one or more partner countries deteriorates affecting implementation.</w:t>
            </w:r>
          </w:p>
        </w:tc>
        <w:tc>
          <w:tcPr>
            <w:tcW w:w="5493" w:type="dxa"/>
          </w:tcPr>
          <w:p w14:paraId="7BF4E1CD" w14:textId="77777777" w:rsidR="00E67B74" w:rsidRPr="0097193D" w:rsidRDefault="00E67B74"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t>Canberra and Mekong Posts monitor political and security situation in Mekong countries and regional dynamics to assess impacts on portfolio implementation.</w:t>
            </w:r>
          </w:p>
          <w:p w14:paraId="7C877BE4" w14:textId="77777777" w:rsidR="00E67B74" w:rsidRPr="0097193D" w:rsidRDefault="00E67B74"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t xml:space="preserve">Posts maintain engagement with government stakeholders, delivery partners and relevant agencies. </w:t>
            </w:r>
          </w:p>
        </w:tc>
      </w:tr>
      <w:tr w:rsidR="00E67B74" w:rsidRPr="0097193D" w14:paraId="1974FA48" w14:textId="77777777" w:rsidTr="000B597F">
        <w:trPr>
          <w:trHeight w:val="300"/>
        </w:trPr>
        <w:tc>
          <w:tcPr>
            <w:tcW w:w="4147" w:type="dxa"/>
            <w:tcBorders>
              <w:bottom w:val="single" w:sz="4" w:space="0" w:color="auto"/>
            </w:tcBorders>
          </w:tcPr>
          <w:p w14:paraId="0DB2ABCB" w14:textId="77777777" w:rsidR="00E67B74" w:rsidRPr="0097193D" w:rsidRDefault="00E67B7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Portfolio outcomes stalled or reversed due to uncontrollable effects of climate change and/or ecosystems degradation.</w:t>
            </w:r>
          </w:p>
          <w:p w14:paraId="1A7543EB" w14:textId="77777777" w:rsidR="00E67B74" w:rsidRPr="0097193D" w:rsidRDefault="00E67B7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Natural disaster such as flood, drought, or cyclone in a MAP investment area result in loss of life, illness and/or injury, disruption to investments, and progress towards outcomes stalled and reputational damage to Australia.</w:t>
            </w:r>
          </w:p>
        </w:tc>
        <w:tc>
          <w:tcPr>
            <w:tcW w:w="5493" w:type="dxa"/>
            <w:tcBorders>
              <w:bottom w:val="single" w:sz="4" w:space="0" w:color="auto"/>
            </w:tcBorders>
          </w:tcPr>
          <w:p w14:paraId="1FBB588D" w14:textId="77777777" w:rsidR="00E67B74" w:rsidRPr="0097193D" w:rsidRDefault="00E67B7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 xml:space="preserve">Implementing partners and the support services contractor will be required to have proportionate disaster risk management procedures in place, including training and insurance for staff. </w:t>
            </w:r>
          </w:p>
          <w:p w14:paraId="7140EC51" w14:textId="77777777" w:rsidR="00E67B74" w:rsidRPr="0097193D" w:rsidRDefault="00E67B7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Climate related investment partners can provide context analysis, and teams will monitor disaster risks closely via relevant early warning systems.</w:t>
            </w:r>
          </w:p>
          <w:p w14:paraId="62B6CA1F" w14:textId="77777777" w:rsidR="00E67B74" w:rsidRPr="0097193D" w:rsidRDefault="00E67B7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MAP has sufficient diversity and flexibility to enable shifts in investment choices as needed.</w:t>
            </w:r>
          </w:p>
        </w:tc>
      </w:tr>
    </w:tbl>
    <w:p w14:paraId="75CE4317" w14:textId="77777777" w:rsidR="000B597F" w:rsidRDefault="000B597F" w:rsidP="007906A6">
      <w:pPr>
        <w:rPr>
          <w:lang w:val="en-AU"/>
        </w:rPr>
      </w:pPr>
    </w:p>
    <w:p w14:paraId="208AA8AD" w14:textId="77777777" w:rsidR="00D0575A" w:rsidRDefault="00D0575A" w:rsidP="007906A6">
      <w:pPr>
        <w:rPr>
          <w:lang w:val="en-AU"/>
        </w:rPr>
      </w:pPr>
    </w:p>
    <w:tbl>
      <w:tblPr>
        <w:tblStyle w:val="TableGrid"/>
        <w:tblW w:w="9640" w:type="dxa"/>
        <w:tblInd w:w="101" w:type="dxa"/>
        <w:tblLook w:val="04A0" w:firstRow="1" w:lastRow="0" w:firstColumn="1" w:lastColumn="0" w:noHBand="0" w:noVBand="1"/>
      </w:tblPr>
      <w:tblGrid>
        <w:gridCol w:w="4147"/>
        <w:gridCol w:w="5493"/>
      </w:tblGrid>
      <w:tr w:rsidR="00D0575A" w:rsidRPr="000B597F" w14:paraId="113FA90D" w14:textId="77777777" w:rsidTr="00693432">
        <w:tc>
          <w:tcPr>
            <w:tcW w:w="4147" w:type="dxa"/>
            <w:shd w:val="clear" w:color="auto" w:fill="EEF5E7" w:themeFill="accent2" w:themeFillTint="33"/>
          </w:tcPr>
          <w:p w14:paraId="6D4898C4" w14:textId="77777777" w:rsidR="00D0575A" w:rsidRPr="000B597F" w:rsidRDefault="00D0575A"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Risk</w:t>
            </w:r>
            <w:r>
              <w:rPr>
                <w:rFonts w:ascii="Calibri Light" w:hAnsi="Calibri Light" w:cs="Calibri Light"/>
                <w:b/>
                <w:color w:val="auto"/>
                <w:sz w:val="24"/>
                <w:szCs w:val="24"/>
                <w:lang w:val="en-AU"/>
              </w:rPr>
              <w:t>: Resources</w:t>
            </w:r>
          </w:p>
        </w:tc>
        <w:tc>
          <w:tcPr>
            <w:tcW w:w="5493" w:type="dxa"/>
            <w:shd w:val="clear" w:color="auto" w:fill="EEF5E7" w:themeFill="accent2" w:themeFillTint="33"/>
          </w:tcPr>
          <w:p w14:paraId="15199396" w14:textId="77777777" w:rsidR="00D0575A" w:rsidRPr="000B597F" w:rsidRDefault="00D0575A"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Mitigation strategies</w:t>
            </w:r>
          </w:p>
        </w:tc>
      </w:tr>
      <w:tr w:rsidR="00D0575A" w:rsidRPr="0097193D" w14:paraId="0A3D0987" w14:textId="77777777" w:rsidTr="00693432">
        <w:tc>
          <w:tcPr>
            <w:tcW w:w="4147" w:type="dxa"/>
          </w:tcPr>
          <w:p w14:paraId="52451D1B" w14:textId="77777777" w:rsidR="00D0575A" w:rsidRPr="0097193D" w:rsidRDefault="00D0575A" w:rsidP="00693432">
            <w:pPr>
              <w:spacing w:before="40" w:after="40" w:line="240" w:lineRule="auto"/>
              <w:rPr>
                <w:rFonts w:ascii="Calibri Light" w:hAnsi="Calibri Light" w:cs="Calibri Light"/>
                <w:sz w:val="24"/>
                <w:szCs w:val="24"/>
                <w:lang w:val="en-AU"/>
              </w:rPr>
            </w:pPr>
            <w:r w:rsidRPr="0097193D">
              <w:rPr>
                <w:rFonts w:ascii="Calibri Light" w:eastAsia="Calibri" w:hAnsi="Calibri Light" w:cs="Calibri Light"/>
                <w:sz w:val="24"/>
                <w:szCs w:val="24"/>
                <w:lang w:val="en-AU"/>
              </w:rPr>
              <w:t xml:space="preserve">Portfolio funds are misappropriated or diverted by a contracted implementing partner or subcontractor. ODA funds are misused, </w:t>
            </w:r>
            <w:r w:rsidRPr="0097193D">
              <w:rPr>
                <w:rFonts w:ascii="Calibri Light" w:hAnsi="Calibri Light" w:cs="Calibri Light"/>
                <w:sz w:val="24"/>
                <w:szCs w:val="24"/>
                <w:lang w:val="en-AU"/>
              </w:rPr>
              <w:t>resulting in investment loss and reputational damage. Note that no MAP funding is going through partner government systems.</w:t>
            </w:r>
          </w:p>
        </w:tc>
        <w:tc>
          <w:tcPr>
            <w:tcW w:w="5493" w:type="dxa"/>
          </w:tcPr>
          <w:p w14:paraId="407A764A" w14:textId="77777777" w:rsidR="00D0575A" w:rsidRPr="0097193D" w:rsidRDefault="00D0575A"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t>Subcontractors and implementing partners managing portfolio funds are obliged to adhere to DFAT fraud provisions and measures, including mandatory reporting.</w:t>
            </w:r>
            <w:r w:rsidRPr="0097193D">
              <w:rPr>
                <w:rFonts w:ascii="Calibri Light" w:hAnsi="Calibri Light" w:cs="Calibri Light"/>
                <w:sz w:val="24"/>
                <w:szCs w:val="24"/>
                <w:lang w:val="en-AU"/>
              </w:rPr>
              <w:br/>
            </w:r>
            <w:r w:rsidRPr="0097193D">
              <w:rPr>
                <w:rFonts w:ascii="Calibri Light" w:eastAsia="Calibri" w:hAnsi="Calibri Light" w:cs="Calibri Light"/>
                <w:sz w:val="24"/>
                <w:szCs w:val="24"/>
                <w:lang w:val="en-AU"/>
              </w:rPr>
              <w:t>Existing DFAT Fraud Control Toolkit and ODA eligibility requirements are available to all program managers and implementing partners.</w:t>
            </w:r>
          </w:p>
          <w:p w14:paraId="3518DAC9" w14:textId="77777777" w:rsidR="00D0575A" w:rsidRPr="0097193D" w:rsidRDefault="00D0575A"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Fraud control provisions will be included in contracts, grant agreements, and terms of reference, and partners will receive training on DFAT's fraud control and anticorruption policies.</w:t>
            </w:r>
          </w:p>
          <w:p w14:paraId="158E2C0F" w14:textId="77777777" w:rsidR="00D0575A" w:rsidRPr="0097193D" w:rsidRDefault="00D0575A"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Due diligence checks and audits will be undertaken on implementing partners and the contractor. MAP staff sign code of conduct and follow operational and procurement SOPs (Standard Operating Procedure).</w:t>
            </w:r>
          </w:p>
        </w:tc>
      </w:tr>
    </w:tbl>
    <w:p w14:paraId="225D06F9" w14:textId="77777777" w:rsidR="00D0575A" w:rsidRDefault="00D0575A" w:rsidP="007906A6">
      <w:pPr>
        <w:rPr>
          <w:lang w:val="en-AU"/>
        </w:rPr>
      </w:pPr>
    </w:p>
    <w:tbl>
      <w:tblPr>
        <w:tblStyle w:val="TableGrid"/>
        <w:tblW w:w="9640" w:type="dxa"/>
        <w:tblInd w:w="101" w:type="dxa"/>
        <w:tblLook w:val="04A0" w:firstRow="1" w:lastRow="0" w:firstColumn="1" w:lastColumn="0" w:noHBand="0" w:noVBand="1"/>
      </w:tblPr>
      <w:tblGrid>
        <w:gridCol w:w="4147"/>
        <w:gridCol w:w="5493"/>
      </w:tblGrid>
      <w:tr w:rsidR="000B597F" w:rsidRPr="000B597F" w14:paraId="75959CF3" w14:textId="77777777" w:rsidTr="00693432">
        <w:tc>
          <w:tcPr>
            <w:tcW w:w="4147" w:type="dxa"/>
            <w:shd w:val="clear" w:color="auto" w:fill="EEF5E7" w:themeFill="accent2" w:themeFillTint="33"/>
          </w:tcPr>
          <w:p w14:paraId="4F45DAE6" w14:textId="08A30844" w:rsidR="000B597F" w:rsidRPr="000B597F" w:rsidRDefault="000B597F"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Risk</w:t>
            </w:r>
            <w:r>
              <w:rPr>
                <w:rFonts w:ascii="Calibri Light" w:hAnsi="Calibri Light" w:cs="Calibri Light"/>
                <w:b/>
                <w:color w:val="auto"/>
                <w:sz w:val="24"/>
                <w:szCs w:val="24"/>
                <w:lang w:val="en-AU"/>
              </w:rPr>
              <w:t>: Programming</w:t>
            </w:r>
          </w:p>
        </w:tc>
        <w:tc>
          <w:tcPr>
            <w:tcW w:w="5493" w:type="dxa"/>
            <w:shd w:val="clear" w:color="auto" w:fill="EEF5E7" w:themeFill="accent2" w:themeFillTint="33"/>
          </w:tcPr>
          <w:p w14:paraId="45EB7934" w14:textId="77777777" w:rsidR="000B597F" w:rsidRPr="000B597F" w:rsidRDefault="000B597F"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Mitigation strategies</w:t>
            </w:r>
          </w:p>
        </w:tc>
      </w:tr>
      <w:tr w:rsidR="000B597F" w:rsidRPr="0097193D" w14:paraId="4CA7CE2B" w14:textId="77777777" w:rsidTr="00693432">
        <w:tc>
          <w:tcPr>
            <w:tcW w:w="4147" w:type="dxa"/>
          </w:tcPr>
          <w:p w14:paraId="0D1EFBF1" w14:textId="77777777" w:rsidR="000B597F" w:rsidRPr="0097193D" w:rsidRDefault="000B597F"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MAP investment choices are fragmented and/or duplicated, do not align with strategic objectives due to the large and diverse nature of this subregional portfolio responding to competing priorities, and are managed through layers of DFAT decision-making. This results in strategic objectives not being met, reduced portfolio effectiveness and efficiency, and reputational damage to Australia.</w:t>
            </w:r>
          </w:p>
        </w:tc>
        <w:tc>
          <w:tcPr>
            <w:tcW w:w="5493" w:type="dxa"/>
          </w:tcPr>
          <w:p w14:paraId="78B3F23D" w14:textId="77777777" w:rsidR="000B597F" w:rsidRPr="0097193D" w:rsidRDefault="000B597F"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 xml:space="preserve">The design has been developed collaboratively with MKS, Mekong Hub and Posts, and includes additional resourcing for DFAT in Mekong Hub and at Posts to help mitigate risks of loss of strategic vision and oversight. </w:t>
            </w:r>
          </w:p>
          <w:p w14:paraId="2A60F603" w14:textId="77777777" w:rsidR="000B597F" w:rsidRPr="0097193D" w:rsidRDefault="000B597F"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Pipeline planning process is collaborative to ensure trade-offs are understood and agreed.</w:t>
            </w:r>
          </w:p>
          <w:p w14:paraId="64CAA1A3" w14:textId="77777777" w:rsidR="000B597F" w:rsidRPr="0097193D" w:rsidRDefault="000B597F"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 xml:space="preserve">The thematic strategies development process will be collaborative to maximise cohesion across teams and alignment of investment choices with strategic objectives </w:t>
            </w:r>
          </w:p>
        </w:tc>
      </w:tr>
      <w:tr w:rsidR="000B597F" w:rsidRPr="0097193D" w14:paraId="22EFEE69" w14:textId="77777777" w:rsidTr="00693432">
        <w:tc>
          <w:tcPr>
            <w:tcW w:w="4147" w:type="dxa"/>
          </w:tcPr>
          <w:p w14:paraId="5C9D2D4C" w14:textId="77777777" w:rsidR="000B597F" w:rsidRPr="0097193D" w:rsidRDefault="000B597F"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 xml:space="preserve">Effective portfolio MEL may be constrained by: </w:t>
            </w:r>
          </w:p>
          <w:p w14:paraId="14DFA91C" w14:textId="77777777" w:rsidR="000B597F" w:rsidRPr="0097193D" w:rsidRDefault="000B597F" w:rsidP="00693432">
            <w:pPr>
              <w:pStyle w:val="ListParagraph"/>
              <w:numPr>
                <w:ilvl w:val="0"/>
                <w:numId w:val="47"/>
              </w:numPr>
              <w:spacing w:before="40" w:after="40" w:line="240" w:lineRule="auto"/>
              <w:contextualSpacing w:val="0"/>
              <w:rPr>
                <w:rFonts w:ascii="Calibri Light" w:hAnsi="Calibri Light" w:cs="Calibri Light"/>
                <w:sz w:val="24"/>
                <w:szCs w:val="24"/>
                <w:lang w:val="en-AU"/>
              </w:rPr>
            </w:pPr>
            <w:r w:rsidRPr="0097193D">
              <w:rPr>
                <w:rFonts w:ascii="Calibri Light" w:eastAsia="Times New Roman" w:hAnsi="Calibri Light" w:cs="Calibri Light"/>
                <w:sz w:val="24"/>
                <w:szCs w:val="24"/>
                <w:lang w:val="en-AU"/>
              </w:rPr>
              <w:t>The number of investments and their disparity across different countries and thematic areas.</w:t>
            </w:r>
          </w:p>
          <w:p w14:paraId="63674B3F" w14:textId="77777777" w:rsidR="000B597F" w:rsidRPr="0097193D" w:rsidRDefault="000B597F" w:rsidP="00693432">
            <w:pPr>
              <w:pStyle w:val="ListParagraph"/>
              <w:numPr>
                <w:ilvl w:val="0"/>
                <w:numId w:val="47"/>
              </w:numPr>
              <w:spacing w:before="40" w:after="40" w:line="240" w:lineRule="auto"/>
              <w:contextualSpacing w:val="0"/>
              <w:rPr>
                <w:rFonts w:ascii="Calibri Light" w:hAnsi="Calibri Light" w:cs="Calibri Light"/>
                <w:sz w:val="24"/>
                <w:szCs w:val="24"/>
                <w:lang w:val="en-AU"/>
              </w:rPr>
            </w:pPr>
            <w:r w:rsidRPr="0097193D">
              <w:rPr>
                <w:rFonts w:ascii="Calibri Light" w:eastAsia="Times New Roman" w:hAnsi="Calibri Light" w:cs="Calibri Light"/>
                <w:sz w:val="24"/>
                <w:szCs w:val="24"/>
                <w:lang w:val="en-AU"/>
              </w:rPr>
              <w:t>Implementing partners providing inconsistent level and quality of data and information, hindering synthesis of portfolio results.</w:t>
            </w:r>
          </w:p>
          <w:p w14:paraId="0CBE92F2" w14:textId="77777777" w:rsidR="000B597F" w:rsidRPr="0097193D" w:rsidRDefault="000B597F" w:rsidP="00693432">
            <w:pPr>
              <w:pStyle w:val="ListParagraph"/>
              <w:numPr>
                <w:ilvl w:val="0"/>
                <w:numId w:val="47"/>
              </w:numPr>
              <w:spacing w:before="40" w:after="40" w:line="240" w:lineRule="auto"/>
              <w:contextualSpacing w:val="0"/>
              <w:rPr>
                <w:rFonts w:ascii="Calibri Light" w:hAnsi="Calibri Light" w:cs="Calibri Light"/>
                <w:sz w:val="24"/>
                <w:szCs w:val="24"/>
                <w:lang w:val="en-AU"/>
              </w:rPr>
            </w:pPr>
            <w:r w:rsidRPr="0097193D">
              <w:rPr>
                <w:rFonts w:ascii="Calibri Light" w:eastAsia="Times New Roman" w:hAnsi="Calibri Light" w:cs="Calibri Light"/>
                <w:sz w:val="24"/>
                <w:szCs w:val="24"/>
                <w:lang w:val="en-AU"/>
              </w:rPr>
              <w:t xml:space="preserve">Bilateral investments directly managed by Posts do not contribute performance information to the </w:t>
            </w:r>
            <w:r w:rsidRPr="0097193D">
              <w:rPr>
                <w:rFonts w:ascii="Calibri Light" w:eastAsia="Times New Roman" w:hAnsi="Calibri Light" w:cs="Calibri Light"/>
                <w:sz w:val="24"/>
                <w:szCs w:val="24"/>
                <w:lang w:val="en-AU"/>
              </w:rPr>
              <w:lastRenderedPageBreak/>
              <w:t>portfolio MEL system, or contribute insufficiently</w:t>
            </w:r>
          </w:p>
        </w:tc>
        <w:tc>
          <w:tcPr>
            <w:tcW w:w="5493" w:type="dxa"/>
          </w:tcPr>
          <w:p w14:paraId="06180657" w14:textId="77777777" w:rsidR="000B597F" w:rsidRPr="0097193D" w:rsidRDefault="000B597F" w:rsidP="00693432">
            <w:pPr>
              <w:tabs>
                <w:tab w:val="left" w:pos="284"/>
              </w:tabs>
              <w:suppressAutoHyphens w:val="0"/>
              <w:spacing w:before="40" w:after="40" w:line="240" w:lineRule="auto"/>
              <w:rPr>
                <w:rFonts w:ascii="Calibri Light" w:eastAsia="Times New Roman" w:hAnsi="Calibri Light" w:cs="Calibri Light"/>
                <w:sz w:val="24"/>
                <w:szCs w:val="24"/>
                <w:lang w:val="en-AU"/>
              </w:rPr>
            </w:pPr>
            <w:r w:rsidRPr="0097193D">
              <w:rPr>
                <w:rFonts w:ascii="Calibri Light" w:eastAsia="Times New Roman" w:hAnsi="Calibri Light" w:cs="Calibri Light"/>
                <w:sz w:val="24"/>
                <w:szCs w:val="24"/>
                <w:lang w:val="en-AU"/>
              </w:rPr>
              <w:lastRenderedPageBreak/>
              <w:t>Mekong Hub team develops and socialises standardised approaches to core elements of investment proposals and MEL frameworks, including setting and measuring objectives, data collection and reporting to ensure appropriate degree of consistency.</w:t>
            </w:r>
          </w:p>
          <w:p w14:paraId="62B7E276" w14:textId="77777777" w:rsidR="000B597F" w:rsidRPr="0097193D" w:rsidRDefault="000B597F" w:rsidP="00693432">
            <w:pPr>
              <w:tabs>
                <w:tab w:val="left" w:pos="284"/>
              </w:tabs>
              <w:suppressAutoHyphens w:val="0"/>
              <w:spacing w:before="40" w:after="40" w:line="240" w:lineRule="auto"/>
              <w:rPr>
                <w:rFonts w:ascii="Calibri Light" w:eastAsia="Times New Roman" w:hAnsi="Calibri Light" w:cs="Calibri Light"/>
                <w:sz w:val="24"/>
                <w:szCs w:val="24"/>
                <w:lang w:val="en-AU"/>
              </w:rPr>
            </w:pPr>
            <w:r w:rsidRPr="0097193D">
              <w:rPr>
                <w:rFonts w:ascii="Calibri Light" w:hAnsi="Calibri Light" w:cs="Calibri Light"/>
                <w:sz w:val="24"/>
                <w:szCs w:val="24"/>
                <w:lang w:val="en-AU"/>
              </w:rPr>
              <w:t xml:space="preserve">Mekong </w:t>
            </w:r>
            <w:r w:rsidRPr="0097193D">
              <w:rPr>
                <w:rFonts w:ascii="Calibri Light" w:eastAsia="Times New Roman" w:hAnsi="Calibri Light" w:cs="Calibri Light"/>
                <w:sz w:val="24"/>
                <w:szCs w:val="24"/>
                <w:lang w:val="en-AU"/>
              </w:rPr>
              <w:t>Hub MEL team provides QA support for the development of investment proposals and progress reports.</w:t>
            </w:r>
          </w:p>
          <w:p w14:paraId="4377C52C" w14:textId="77777777" w:rsidR="000B597F" w:rsidRPr="0097193D" w:rsidRDefault="000B597F" w:rsidP="00693432">
            <w:pPr>
              <w:spacing w:before="40" w:after="40" w:line="240" w:lineRule="auto"/>
              <w:rPr>
                <w:rFonts w:ascii="Calibri Light" w:eastAsia="Times New Roman" w:hAnsi="Calibri Light" w:cs="Calibri Light"/>
                <w:sz w:val="24"/>
                <w:szCs w:val="24"/>
                <w:lang w:val="en-AU"/>
              </w:rPr>
            </w:pPr>
            <w:r w:rsidRPr="0097193D">
              <w:rPr>
                <w:rFonts w:ascii="Calibri Light" w:hAnsi="Calibri Light" w:cs="Calibri Light"/>
                <w:sz w:val="24"/>
                <w:szCs w:val="24"/>
                <w:lang w:val="en-AU"/>
              </w:rPr>
              <w:t xml:space="preserve">Mekong </w:t>
            </w:r>
            <w:r w:rsidRPr="0097193D">
              <w:rPr>
                <w:rFonts w:ascii="Calibri Light" w:eastAsia="Times New Roman" w:hAnsi="Calibri Light" w:cs="Calibri Light"/>
                <w:sz w:val="24"/>
                <w:szCs w:val="24"/>
                <w:lang w:val="en-AU"/>
              </w:rPr>
              <w:t>Hub MEL team complements investment-level information with additional methods to investigate achievement of portfolio outcomes (IOs and EOPOs).</w:t>
            </w:r>
          </w:p>
          <w:p w14:paraId="64D40FEF" w14:textId="77777777" w:rsidR="000B597F" w:rsidRPr="0097193D" w:rsidRDefault="000B597F" w:rsidP="00693432">
            <w:pPr>
              <w:tabs>
                <w:tab w:val="left" w:pos="284"/>
              </w:tabs>
              <w:suppressAutoHyphens w:val="0"/>
              <w:spacing w:before="40" w:after="40" w:line="240" w:lineRule="auto"/>
              <w:rPr>
                <w:rFonts w:ascii="Calibri Light" w:eastAsia="Times New Roman" w:hAnsi="Calibri Light" w:cs="Calibri Light"/>
                <w:sz w:val="24"/>
                <w:szCs w:val="24"/>
                <w:lang w:val="en-AU"/>
              </w:rPr>
            </w:pPr>
            <w:r w:rsidRPr="0097193D">
              <w:rPr>
                <w:rFonts w:ascii="Calibri Light" w:eastAsia="Times New Roman" w:hAnsi="Calibri Light" w:cs="Calibri Light"/>
                <w:sz w:val="24"/>
                <w:szCs w:val="24"/>
                <w:lang w:val="en-AU"/>
              </w:rPr>
              <w:lastRenderedPageBreak/>
              <w:t>Mekong Hub liaises regularly with Posts and provide clear guidelines and instructions on the need, timing, and format of required performance information to share.</w:t>
            </w:r>
          </w:p>
          <w:p w14:paraId="367433B1" w14:textId="77777777" w:rsidR="000B597F" w:rsidRPr="0097193D" w:rsidRDefault="000B597F"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 xml:space="preserve">Mekong </w:t>
            </w:r>
            <w:r w:rsidRPr="0097193D">
              <w:rPr>
                <w:rFonts w:ascii="Calibri Light" w:eastAsia="Times New Roman" w:hAnsi="Calibri Light" w:cs="Calibri Light"/>
                <w:sz w:val="24"/>
                <w:szCs w:val="24"/>
                <w:lang w:val="en-AU"/>
              </w:rPr>
              <w:t>Hub MEL team includes capacity to support all posts to ensure consistent MEL advice and sufficient MEL support to all MAP-funded investments, including those managed directly by Posts</w:t>
            </w:r>
          </w:p>
        </w:tc>
      </w:tr>
      <w:tr w:rsidR="000B597F" w:rsidRPr="0097193D" w14:paraId="44A89474" w14:textId="77777777" w:rsidTr="00693432">
        <w:tc>
          <w:tcPr>
            <w:tcW w:w="4147" w:type="dxa"/>
          </w:tcPr>
          <w:p w14:paraId="6999F534" w14:textId="77777777" w:rsidR="000B597F" w:rsidRPr="0097193D" w:rsidRDefault="000B597F"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lastRenderedPageBreak/>
              <w:t>Effective investment level MEL may be constrained by:</w:t>
            </w:r>
          </w:p>
          <w:p w14:paraId="5260BB88" w14:textId="77777777" w:rsidR="000B597F" w:rsidRPr="0097193D" w:rsidRDefault="000B597F" w:rsidP="00693432">
            <w:pPr>
              <w:pStyle w:val="ListParagraph"/>
              <w:numPr>
                <w:ilvl w:val="0"/>
                <w:numId w:val="48"/>
              </w:numPr>
              <w:spacing w:before="40" w:after="40" w:line="240" w:lineRule="auto"/>
              <w:contextualSpacing w:val="0"/>
              <w:rPr>
                <w:rFonts w:ascii="Calibri Light" w:hAnsi="Calibri Light" w:cs="Calibri Light"/>
                <w:sz w:val="24"/>
                <w:szCs w:val="24"/>
                <w:lang w:val="en-AU"/>
              </w:rPr>
            </w:pPr>
            <w:r w:rsidRPr="0097193D">
              <w:rPr>
                <w:rFonts w:ascii="Calibri Light" w:hAnsi="Calibri Light" w:cs="Calibri Light"/>
                <w:sz w:val="24"/>
                <w:szCs w:val="24"/>
                <w:lang w:val="en-AU"/>
              </w:rPr>
              <w:t>Investment proposals lacking coherence, clear objectives and/or link to the portfolio logic.</w:t>
            </w:r>
          </w:p>
          <w:p w14:paraId="640742F8" w14:textId="77777777" w:rsidR="000B597F" w:rsidRPr="0097193D" w:rsidRDefault="000B597F" w:rsidP="00693432">
            <w:pPr>
              <w:pStyle w:val="ListParagraph"/>
              <w:numPr>
                <w:ilvl w:val="0"/>
                <w:numId w:val="48"/>
              </w:numPr>
              <w:spacing w:before="40" w:after="40" w:line="240" w:lineRule="auto"/>
              <w:contextualSpacing w:val="0"/>
              <w:rPr>
                <w:rFonts w:ascii="Calibri Light" w:hAnsi="Calibri Light" w:cs="Calibri Light"/>
                <w:sz w:val="24"/>
                <w:szCs w:val="24"/>
                <w:lang w:val="en-AU"/>
              </w:rPr>
            </w:pPr>
            <w:r w:rsidRPr="0097193D">
              <w:rPr>
                <w:rFonts w:ascii="Calibri Light" w:hAnsi="Calibri Light" w:cs="Calibri Light"/>
                <w:sz w:val="24"/>
                <w:szCs w:val="24"/>
                <w:lang w:val="en-AU"/>
              </w:rPr>
              <w:t>Investment implementing partners’ suboptimal interest, expertise, capacity and/or staff to provide relevant, sufficient, quality, and timely performance information.</w:t>
            </w:r>
          </w:p>
          <w:p w14:paraId="05A119E3" w14:textId="77777777" w:rsidR="000B597F" w:rsidRPr="0097193D" w:rsidRDefault="000B597F" w:rsidP="00693432">
            <w:pPr>
              <w:pStyle w:val="ListParagraph"/>
              <w:numPr>
                <w:ilvl w:val="0"/>
                <w:numId w:val="48"/>
              </w:numPr>
              <w:spacing w:before="40" w:after="40" w:line="240" w:lineRule="auto"/>
              <w:contextualSpacing w:val="0"/>
              <w:rPr>
                <w:rFonts w:ascii="Calibri Light" w:hAnsi="Calibri Light" w:cs="Calibri Light"/>
                <w:sz w:val="24"/>
                <w:szCs w:val="24"/>
                <w:lang w:val="en-AU"/>
              </w:rPr>
            </w:pPr>
            <w:r w:rsidRPr="0097193D">
              <w:rPr>
                <w:rFonts w:ascii="Calibri Light" w:hAnsi="Calibri Light" w:cs="Calibri Light"/>
                <w:sz w:val="24"/>
                <w:szCs w:val="24"/>
                <w:lang w:val="en-AU"/>
              </w:rPr>
              <w:t>Implementing partners not prioritising mainstreaming of GEDSI and/or climate change priorities resulting in insufficient performance information.</w:t>
            </w:r>
          </w:p>
        </w:tc>
        <w:tc>
          <w:tcPr>
            <w:tcW w:w="5493" w:type="dxa"/>
          </w:tcPr>
          <w:p w14:paraId="106ABB43" w14:textId="77777777" w:rsidR="000B597F" w:rsidRPr="0097193D" w:rsidRDefault="000B597F" w:rsidP="00693432">
            <w:pPr>
              <w:tabs>
                <w:tab w:val="left" w:pos="284"/>
              </w:tabs>
              <w:suppressAutoHyphens w:val="0"/>
              <w:spacing w:before="40" w:after="40" w:line="240" w:lineRule="auto"/>
              <w:rPr>
                <w:rFonts w:ascii="Calibri Light" w:eastAsia="Times New Roman" w:hAnsi="Calibri Light" w:cs="Calibri Light"/>
                <w:sz w:val="24"/>
                <w:szCs w:val="24"/>
                <w:lang w:val="en-AU"/>
              </w:rPr>
            </w:pPr>
            <w:r w:rsidRPr="0097193D">
              <w:rPr>
                <w:rFonts w:ascii="Calibri Light" w:eastAsia="Times New Roman" w:hAnsi="Calibri Light" w:cs="Calibri Light"/>
                <w:sz w:val="24"/>
                <w:szCs w:val="24"/>
                <w:lang w:val="en-AU"/>
              </w:rPr>
              <w:t>Implementing partners receive clear advice and support on proposals and MEL, GEDSI and climate change requirements, including the need to mobilise sufficient expertise and resources.</w:t>
            </w:r>
          </w:p>
          <w:p w14:paraId="699EA9BE" w14:textId="77777777" w:rsidR="000B597F" w:rsidRPr="0097193D" w:rsidRDefault="000B597F" w:rsidP="00693432">
            <w:pPr>
              <w:tabs>
                <w:tab w:val="left" w:pos="284"/>
              </w:tabs>
              <w:suppressAutoHyphens w:val="0"/>
              <w:spacing w:before="40" w:after="40" w:line="240" w:lineRule="auto"/>
              <w:rPr>
                <w:rFonts w:ascii="Calibri Light" w:eastAsia="Times New Roman" w:hAnsi="Calibri Light" w:cs="Calibri Light"/>
                <w:sz w:val="24"/>
                <w:szCs w:val="24"/>
                <w:lang w:val="en-AU"/>
              </w:rPr>
            </w:pPr>
            <w:r w:rsidRPr="0097193D">
              <w:rPr>
                <w:rFonts w:ascii="Calibri Light" w:eastAsia="Times New Roman" w:hAnsi="Calibri Light" w:cs="Calibri Light"/>
                <w:sz w:val="24"/>
                <w:szCs w:val="24"/>
                <w:lang w:val="en-AU"/>
              </w:rPr>
              <w:t>Investment grant or subcontract agreements include clear description of MEL, GEDSI and climate change requirements, including timelines of deliverables and reference to necessary standards.</w:t>
            </w:r>
          </w:p>
          <w:p w14:paraId="06E2C4E7" w14:textId="77777777" w:rsidR="000B597F" w:rsidRPr="0097193D" w:rsidRDefault="000B597F" w:rsidP="00693432">
            <w:pPr>
              <w:tabs>
                <w:tab w:val="left" w:pos="284"/>
              </w:tabs>
              <w:suppressAutoHyphens w:val="0"/>
              <w:spacing w:before="40" w:after="40" w:line="240" w:lineRule="auto"/>
              <w:rPr>
                <w:rFonts w:ascii="Calibri Light" w:eastAsia="Times New Roman" w:hAnsi="Calibri Light" w:cs="Calibri Light"/>
                <w:sz w:val="24"/>
                <w:szCs w:val="24"/>
                <w:lang w:val="en-AU"/>
              </w:rPr>
            </w:pPr>
            <w:r w:rsidRPr="0097193D">
              <w:rPr>
                <w:rFonts w:ascii="Calibri Light" w:hAnsi="Calibri Light" w:cs="Calibri Light"/>
                <w:sz w:val="24"/>
                <w:szCs w:val="24"/>
                <w:lang w:val="en-AU"/>
              </w:rPr>
              <w:t xml:space="preserve">Mekong </w:t>
            </w:r>
            <w:r w:rsidRPr="0097193D">
              <w:rPr>
                <w:rFonts w:ascii="Calibri Light" w:eastAsia="Times New Roman" w:hAnsi="Calibri Light" w:cs="Calibri Light"/>
                <w:sz w:val="24"/>
                <w:szCs w:val="24"/>
                <w:lang w:val="en-AU"/>
              </w:rPr>
              <w:t>Hub MEL team provides QA support for the development of investment proposals and progress reports.</w:t>
            </w:r>
          </w:p>
        </w:tc>
      </w:tr>
      <w:tr w:rsidR="000B597F" w:rsidRPr="0097193D" w14:paraId="4BBC0F3C" w14:textId="77777777" w:rsidTr="00693432">
        <w:tc>
          <w:tcPr>
            <w:tcW w:w="4147" w:type="dxa"/>
          </w:tcPr>
          <w:p w14:paraId="12540B5F" w14:textId="77777777" w:rsidR="000B597F" w:rsidRPr="0097193D" w:rsidRDefault="000B597F" w:rsidP="00693432">
            <w:pPr>
              <w:spacing w:before="40" w:after="40" w:line="240" w:lineRule="auto"/>
              <w:rPr>
                <w:rFonts w:ascii="Calibri Light" w:hAnsi="Calibri Light" w:cs="Calibri Light"/>
                <w:sz w:val="24"/>
                <w:szCs w:val="24"/>
                <w:lang w:val="en-AU"/>
              </w:rPr>
            </w:pPr>
            <w:r w:rsidRPr="004B7BF7">
              <w:rPr>
                <w:rFonts w:ascii="Calibri Light" w:hAnsi="Calibri Light" w:cs="Calibri Light"/>
                <w:sz w:val="24"/>
                <w:szCs w:val="24"/>
                <w:lang w:val="en-AU"/>
              </w:rPr>
              <w:t>Failure to embed GEDSI across MAP portfolio and achieve GEDSI outcomes due to lack of commitment, mixed GEDSI capability within DFAT MAP</w:t>
            </w:r>
            <w:r w:rsidRPr="0097193D">
              <w:rPr>
                <w:rFonts w:ascii="Calibri Light" w:hAnsi="Calibri Light" w:cs="Calibri Light"/>
                <w:sz w:val="24"/>
                <w:szCs w:val="24"/>
                <w:lang w:val="en-AU"/>
              </w:rPr>
              <w:t xml:space="preserve"> teams, and cultural and other barriers to participation in investments for women, people with disabilities and other marginalised groups. This perpetuates inequality and exclusion and leads to poor investment outcomes and reputation damage to Australia.</w:t>
            </w:r>
          </w:p>
        </w:tc>
        <w:tc>
          <w:tcPr>
            <w:tcW w:w="5493" w:type="dxa"/>
          </w:tcPr>
          <w:p w14:paraId="3D44FE33" w14:textId="77777777" w:rsidR="000B597F" w:rsidRPr="0097193D" w:rsidRDefault="000B597F"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 xml:space="preserve">GEDSI is included as a standalone thematic area with dedicated budget allocation in this design. GEDSI is mainstreamed across other thematic areas in the portfolio design. </w:t>
            </w:r>
          </w:p>
          <w:p w14:paraId="1AD8B755" w14:textId="77777777" w:rsidR="000B597F" w:rsidRPr="0097193D" w:rsidRDefault="000B597F"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 xml:space="preserve">GEDSI mainstreaming standards are to be defined, measured, </w:t>
            </w:r>
            <w:proofErr w:type="gramStart"/>
            <w:r w:rsidRPr="0097193D">
              <w:rPr>
                <w:rFonts w:ascii="Calibri Light" w:hAnsi="Calibri Light" w:cs="Calibri Light"/>
                <w:sz w:val="24"/>
                <w:szCs w:val="24"/>
                <w:lang w:val="en-AU"/>
              </w:rPr>
              <w:t>monitored</w:t>
            </w:r>
            <w:proofErr w:type="gramEnd"/>
            <w:r w:rsidRPr="0097193D">
              <w:rPr>
                <w:rFonts w:ascii="Calibri Light" w:hAnsi="Calibri Light" w:cs="Calibri Light"/>
                <w:sz w:val="24"/>
                <w:szCs w:val="24"/>
                <w:lang w:val="en-AU"/>
              </w:rPr>
              <w:t xml:space="preserve"> and reported at investment and portfolio levels.</w:t>
            </w:r>
          </w:p>
          <w:p w14:paraId="06FDF254" w14:textId="77777777" w:rsidR="000B597F" w:rsidRPr="0097193D" w:rsidRDefault="000B597F"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GEDSI is integrated into the portfolio logic and MEL system.</w:t>
            </w:r>
          </w:p>
          <w:p w14:paraId="574627B4" w14:textId="77777777" w:rsidR="000B597F" w:rsidRPr="0097193D" w:rsidRDefault="000B597F"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GEDSI advisory resources will be included in Mekong Hub team.</w:t>
            </w:r>
          </w:p>
          <w:p w14:paraId="396DFE28" w14:textId="77777777" w:rsidR="000B597F" w:rsidRPr="0097193D" w:rsidRDefault="000B597F" w:rsidP="00693432">
            <w:pPr>
              <w:spacing w:before="40" w:after="40" w:line="240" w:lineRule="auto"/>
              <w:rPr>
                <w:rFonts w:ascii="Calibri Light" w:hAnsi="Calibri Light" w:cs="Calibri Light"/>
                <w:sz w:val="24"/>
                <w:szCs w:val="24"/>
                <w:lang w:val="en-AU"/>
              </w:rPr>
            </w:pPr>
          </w:p>
        </w:tc>
      </w:tr>
      <w:tr w:rsidR="000B597F" w:rsidRPr="0097193D" w14:paraId="46DA9053" w14:textId="77777777" w:rsidTr="00693432">
        <w:trPr>
          <w:trHeight w:val="300"/>
        </w:trPr>
        <w:tc>
          <w:tcPr>
            <w:tcW w:w="4147" w:type="dxa"/>
          </w:tcPr>
          <w:p w14:paraId="08A14E50" w14:textId="77777777" w:rsidR="000B597F" w:rsidRPr="0097193D" w:rsidRDefault="000B597F"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t>Delay and challenges to programming due to MAP Phase 2 design timeframes not being met</w:t>
            </w:r>
          </w:p>
        </w:tc>
        <w:tc>
          <w:tcPr>
            <w:tcW w:w="5493" w:type="dxa"/>
          </w:tcPr>
          <w:p w14:paraId="2F45FA8D" w14:textId="77777777" w:rsidR="000B597F" w:rsidRPr="0097193D" w:rsidRDefault="000B597F"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t xml:space="preserve">MAP Steering Committee approves interim pipeline of strategic investments to ensure expenditure and programming can continue to operate effectively and efficiently prior to MAP design being finalised.  </w:t>
            </w:r>
          </w:p>
          <w:p w14:paraId="2AA9C280" w14:textId="77777777" w:rsidR="000B597F" w:rsidRPr="0097193D" w:rsidRDefault="000B597F"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t xml:space="preserve">MAP Steering Committee oversee overall strategic direction and discuss programming risks as appropriate. </w:t>
            </w:r>
          </w:p>
          <w:p w14:paraId="4D9762B8" w14:textId="77777777" w:rsidR="000B597F" w:rsidRPr="0097193D" w:rsidRDefault="000B597F"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lastRenderedPageBreak/>
              <w:t xml:space="preserve">MAP Steering Committee meeting scheduled quarterly to identify and respond to programming risks and where needed approve investments. </w:t>
            </w:r>
          </w:p>
          <w:p w14:paraId="43B30BDA" w14:textId="77777777" w:rsidR="000B597F" w:rsidRPr="0097193D" w:rsidRDefault="000B597F"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t xml:space="preserve">MKS working closely with DVB to ensure any procurement processes for support services contractor reflect design timelines. </w:t>
            </w:r>
          </w:p>
        </w:tc>
      </w:tr>
      <w:tr w:rsidR="000B597F" w:rsidRPr="0097193D" w14:paraId="0083B191" w14:textId="77777777" w:rsidTr="00693432">
        <w:trPr>
          <w:trHeight w:val="300"/>
        </w:trPr>
        <w:tc>
          <w:tcPr>
            <w:tcW w:w="4147" w:type="dxa"/>
          </w:tcPr>
          <w:p w14:paraId="49DF89BB" w14:textId="77777777" w:rsidR="000B597F" w:rsidRPr="0097193D" w:rsidRDefault="000B597F"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lastRenderedPageBreak/>
              <w:t>Delays and challenges to programming due to political, legislative and implementation contexts for ODA across Mekong subregion</w:t>
            </w:r>
            <w:r>
              <w:rPr>
                <w:rFonts w:ascii="Calibri Light" w:eastAsia="Calibri" w:hAnsi="Calibri Light" w:cs="Calibri Light"/>
                <w:sz w:val="24"/>
                <w:szCs w:val="24"/>
                <w:lang w:val="en-AU"/>
              </w:rPr>
              <w:t>.</w:t>
            </w:r>
            <w:r w:rsidRPr="0097193D">
              <w:rPr>
                <w:rFonts w:ascii="Calibri Light" w:eastAsia="Calibri" w:hAnsi="Calibri Light" w:cs="Calibri Light"/>
                <w:sz w:val="24"/>
                <w:szCs w:val="24"/>
                <w:lang w:val="en-AU"/>
              </w:rPr>
              <w:t xml:space="preserve">  </w:t>
            </w:r>
          </w:p>
        </w:tc>
        <w:tc>
          <w:tcPr>
            <w:tcW w:w="5493" w:type="dxa"/>
          </w:tcPr>
          <w:p w14:paraId="1FB3B303" w14:textId="77777777" w:rsidR="000B597F" w:rsidRPr="0097193D" w:rsidRDefault="000B597F"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t xml:space="preserve">MAP Steering Committee meeting has standard agenda item on risk, including implementation risks per country context. </w:t>
            </w:r>
          </w:p>
          <w:p w14:paraId="4BE73907" w14:textId="77777777" w:rsidR="000B597F" w:rsidRPr="0097193D" w:rsidRDefault="000B597F"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t>Canberra and Mekong posts monitor political and legislative situation in Mekong countries and Australian legislation to assess impacts on portfolio implementation.</w:t>
            </w:r>
            <w:r w:rsidRPr="0097193D">
              <w:rPr>
                <w:rFonts w:ascii="Calibri Light" w:hAnsi="Calibri Light" w:cs="Calibri Light"/>
                <w:sz w:val="24"/>
                <w:szCs w:val="24"/>
                <w:lang w:val="en-AU"/>
              </w:rPr>
              <w:br/>
            </w:r>
            <w:r w:rsidRPr="0097193D">
              <w:rPr>
                <w:rFonts w:ascii="Calibri Light" w:eastAsia="Calibri" w:hAnsi="Calibri Light" w:cs="Calibri Light"/>
                <w:sz w:val="24"/>
                <w:szCs w:val="24"/>
                <w:lang w:val="en-AU"/>
              </w:rPr>
              <w:t xml:space="preserve">Posts maintain engagement with government stakeholders, where appropriate. </w:t>
            </w:r>
          </w:p>
        </w:tc>
      </w:tr>
    </w:tbl>
    <w:p w14:paraId="35E07747" w14:textId="77777777" w:rsidR="000B597F" w:rsidRDefault="000B597F" w:rsidP="007906A6">
      <w:pPr>
        <w:rPr>
          <w:lang w:val="en-AU"/>
        </w:rPr>
      </w:pPr>
    </w:p>
    <w:tbl>
      <w:tblPr>
        <w:tblStyle w:val="TableGrid"/>
        <w:tblW w:w="9640" w:type="dxa"/>
        <w:tblInd w:w="101" w:type="dxa"/>
        <w:tblLook w:val="04A0" w:firstRow="1" w:lastRow="0" w:firstColumn="1" w:lastColumn="0" w:noHBand="0" w:noVBand="1"/>
      </w:tblPr>
      <w:tblGrid>
        <w:gridCol w:w="4147"/>
        <w:gridCol w:w="5493"/>
      </w:tblGrid>
      <w:tr w:rsidR="00322E14" w:rsidRPr="000B597F" w14:paraId="2E321D15" w14:textId="77777777" w:rsidTr="00693432">
        <w:tc>
          <w:tcPr>
            <w:tcW w:w="4147" w:type="dxa"/>
            <w:shd w:val="clear" w:color="auto" w:fill="EEF5E7" w:themeFill="accent2" w:themeFillTint="33"/>
          </w:tcPr>
          <w:p w14:paraId="635AF9D9" w14:textId="74CC994A" w:rsidR="00322E14" w:rsidRPr="000B597F" w:rsidRDefault="00322E14"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Risk</w:t>
            </w:r>
            <w:r>
              <w:rPr>
                <w:rFonts w:ascii="Calibri Light" w:hAnsi="Calibri Light" w:cs="Calibri Light"/>
                <w:b/>
                <w:color w:val="auto"/>
                <w:sz w:val="24"/>
                <w:szCs w:val="24"/>
                <w:lang w:val="en-AU"/>
              </w:rPr>
              <w:t>: Legal</w:t>
            </w:r>
          </w:p>
        </w:tc>
        <w:tc>
          <w:tcPr>
            <w:tcW w:w="5493" w:type="dxa"/>
            <w:shd w:val="clear" w:color="auto" w:fill="EEF5E7" w:themeFill="accent2" w:themeFillTint="33"/>
          </w:tcPr>
          <w:p w14:paraId="342FF0B5" w14:textId="77777777" w:rsidR="00322E14" w:rsidRPr="000B597F" w:rsidRDefault="00322E14"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Mitigation strategies</w:t>
            </w:r>
          </w:p>
        </w:tc>
      </w:tr>
      <w:tr w:rsidR="00322E14" w:rsidRPr="0097193D" w14:paraId="01EFBBD9" w14:textId="77777777" w:rsidTr="00693432">
        <w:tc>
          <w:tcPr>
            <w:tcW w:w="4147" w:type="dxa"/>
          </w:tcPr>
          <w:p w14:paraId="06EC6126"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Portfolio staff, contractors, or implementing partners misuse Australian Government funds due to ineffective financial control monitoring or auditing systems.</w:t>
            </w:r>
          </w:p>
          <w:p w14:paraId="35579A0A"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This results in loss of taxpayer funds, reduced funds for MAP investments and reduced value for money.</w:t>
            </w:r>
          </w:p>
          <w:p w14:paraId="7CBD440D"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This delays or stalls pursuit and achievement of outcomes and could cause reputational and relationship damage, and legal consequences for perpetrators.</w:t>
            </w:r>
          </w:p>
        </w:tc>
        <w:tc>
          <w:tcPr>
            <w:tcW w:w="5493" w:type="dxa"/>
          </w:tcPr>
          <w:p w14:paraId="03E89F70"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Fraud and corruption control measures will be developed and implemented along with routine monitoring of funds, annual audits for implementing partners and the support services contractor, and inclusion of fraud control provisions and mandatory reporting requirements in all contracts, grant agreements and terms of reference.</w:t>
            </w:r>
          </w:p>
          <w:p w14:paraId="0E3930C8"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DFAT will undertake comprehensive due diligence checks on implementing partners, the support services contractor, and in-sourced technical advisers.</w:t>
            </w:r>
          </w:p>
          <w:p w14:paraId="431118C3"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Implementing partners and contractors will receive training on DFAT's fraud control and anticorruption policies.</w:t>
            </w:r>
          </w:p>
        </w:tc>
      </w:tr>
      <w:tr w:rsidR="00322E14" w:rsidRPr="0097193D" w14:paraId="0F70ADFE" w14:textId="77777777" w:rsidTr="00693432">
        <w:tc>
          <w:tcPr>
            <w:tcW w:w="4147" w:type="dxa"/>
          </w:tcPr>
          <w:p w14:paraId="6506207D"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sz w:val="24"/>
                <w:szCs w:val="24"/>
                <w:lang w:val="en-AU"/>
              </w:rPr>
              <w:t>There may be proscribed terrorist organisations active in Mekong countries. This heightens the risk of terrorism resourcing for MAP Phase 2 and the requirements for more stringent due diligence.</w:t>
            </w:r>
          </w:p>
        </w:tc>
        <w:tc>
          <w:tcPr>
            <w:tcW w:w="5493" w:type="dxa"/>
          </w:tcPr>
          <w:p w14:paraId="37193F25"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Terrorism financing control measures will be developed and implemented along with routine monitoring of funds, annual audits for implementing partners and the support services contractor, and inclusion of fraud control provisions and mandatory reporting requirements in all contracts, grant agreements and terms of reference.</w:t>
            </w:r>
          </w:p>
          <w:p w14:paraId="5E982FDA"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 xml:space="preserve">DFAT will undertake comprehensive due diligence checks on implementing partners, the support services contractor, and in-sourced technical advisers, including cross-checking any proscribed lists. Implementing partners and contractors will receive training on terrorism financing control measures as </w:t>
            </w:r>
            <w:r w:rsidRPr="0097193D">
              <w:rPr>
                <w:rFonts w:ascii="Calibri Light" w:hAnsi="Calibri Light" w:cs="Calibri Light"/>
                <w:sz w:val="24"/>
                <w:szCs w:val="24"/>
                <w:lang w:val="en-AU"/>
              </w:rPr>
              <w:lastRenderedPageBreak/>
              <w:t>part of DFAT's fraud control and anticorruption policies</w:t>
            </w:r>
            <w:r w:rsidRPr="0097193D">
              <w:rPr>
                <w:sz w:val="24"/>
                <w:szCs w:val="24"/>
                <w:lang w:val="en-AU"/>
              </w:rPr>
              <w:t xml:space="preserve">. </w:t>
            </w:r>
          </w:p>
        </w:tc>
      </w:tr>
    </w:tbl>
    <w:p w14:paraId="3CA8814A" w14:textId="77777777" w:rsidR="00322E14" w:rsidRDefault="00322E14" w:rsidP="007906A6">
      <w:pPr>
        <w:rPr>
          <w:lang w:val="en-AU"/>
        </w:rPr>
      </w:pPr>
    </w:p>
    <w:tbl>
      <w:tblPr>
        <w:tblStyle w:val="TableGrid"/>
        <w:tblW w:w="9640" w:type="dxa"/>
        <w:tblInd w:w="101" w:type="dxa"/>
        <w:tblLook w:val="04A0" w:firstRow="1" w:lastRow="0" w:firstColumn="1" w:lastColumn="0" w:noHBand="0" w:noVBand="1"/>
      </w:tblPr>
      <w:tblGrid>
        <w:gridCol w:w="4147"/>
        <w:gridCol w:w="5493"/>
      </w:tblGrid>
      <w:tr w:rsidR="00322E14" w:rsidRPr="000B597F" w14:paraId="48CCE639" w14:textId="77777777" w:rsidTr="00693432">
        <w:tc>
          <w:tcPr>
            <w:tcW w:w="4147" w:type="dxa"/>
            <w:shd w:val="clear" w:color="auto" w:fill="EEF5E7" w:themeFill="accent2" w:themeFillTint="33"/>
          </w:tcPr>
          <w:p w14:paraId="30F4B8B5" w14:textId="220A3252" w:rsidR="00322E14" w:rsidRPr="000B597F" w:rsidRDefault="00322E14"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Risk</w:t>
            </w:r>
            <w:r>
              <w:rPr>
                <w:rFonts w:ascii="Calibri Light" w:hAnsi="Calibri Light" w:cs="Calibri Light"/>
                <w:b/>
                <w:color w:val="auto"/>
                <w:sz w:val="24"/>
                <w:szCs w:val="24"/>
                <w:lang w:val="en-AU"/>
              </w:rPr>
              <w:t>: Environmental and social</w:t>
            </w:r>
          </w:p>
        </w:tc>
        <w:tc>
          <w:tcPr>
            <w:tcW w:w="5493" w:type="dxa"/>
            <w:shd w:val="clear" w:color="auto" w:fill="EEF5E7" w:themeFill="accent2" w:themeFillTint="33"/>
          </w:tcPr>
          <w:p w14:paraId="375EBEDD" w14:textId="77777777" w:rsidR="00322E14" w:rsidRPr="000B597F" w:rsidRDefault="00322E14" w:rsidP="00693432">
            <w:pPr>
              <w:spacing w:before="40" w:after="40" w:line="240" w:lineRule="auto"/>
              <w:rPr>
                <w:rFonts w:ascii="Calibri Light" w:hAnsi="Calibri Light" w:cs="Calibri Light"/>
                <w:b/>
                <w:color w:val="auto"/>
                <w:sz w:val="24"/>
                <w:szCs w:val="24"/>
                <w:lang w:val="en-AU"/>
              </w:rPr>
            </w:pPr>
            <w:r w:rsidRPr="000B597F">
              <w:rPr>
                <w:rFonts w:ascii="Calibri Light" w:hAnsi="Calibri Light" w:cs="Calibri Light"/>
                <w:b/>
                <w:color w:val="auto"/>
                <w:sz w:val="24"/>
                <w:szCs w:val="24"/>
                <w:lang w:val="en-AU"/>
              </w:rPr>
              <w:t>Mitigation strategies</w:t>
            </w:r>
          </w:p>
        </w:tc>
      </w:tr>
      <w:tr w:rsidR="00322E14" w:rsidRPr="0097193D" w14:paraId="512D512C" w14:textId="77777777" w:rsidTr="00693432">
        <w:trPr>
          <w:trHeight w:val="1716"/>
        </w:trPr>
        <w:tc>
          <w:tcPr>
            <w:tcW w:w="4147" w:type="dxa"/>
          </w:tcPr>
          <w:p w14:paraId="13CCF73D"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rFonts w:ascii="Calibri Light" w:eastAsia="Calibri" w:hAnsi="Calibri Light" w:cs="Calibri Light"/>
                <w:sz w:val="24"/>
                <w:szCs w:val="24"/>
                <w:lang w:val="en-AU"/>
              </w:rPr>
              <w:t>Possible sexual exploitation, abuse and harassment including to children, vulnerable people and people with disabilities and ethnic minorities through investment activities or management.</w:t>
            </w:r>
            <w:r w:rsidRPr="0097193D">
              <w:rPr>
                <w:rFonts w:ascii="Calibri Light" w:eastAsia="Calibri Light" w:hAnsi="Calibri Light" w:cs="Calibri Light"/>
                <w:sz w:val="24"/>
                <w:szCs w:val="24"/>
                <w:lang w:val="en-AU"/>
              </w:rPr>
              <w:t xml:space="preserve"> </w:t>
            </w:r>
          </w:p>
          <w:p w14:paraId="39358CDE" w14:textId="77777777" w:rsidR="00322E14" w:rsidRPr="0097193D" w:rsidRDefault="00322E14" w:rsidP="00693432">
            <w:pPr>
              <w:spacing w:before="40" w:after="40" w:line="240" w:lineRule="auto"/>
              <w:rPr>
                <w:rFonts w:ascii="Calibri Light" w:hAnsi="Calibri Light" w:cs="Calibri Light"/>
                <w:sz w:val="24"/>
                <w:szCs w:val="24"/>
                <w:lang w:val="en-AU"/>
              </w:rPr>
            </w:pPr>
          </w:p>
        </w:tc>
        <w:tc>
          <w:tcPr>
            <w:tcW w:w="5493" w:type="dxa"/>
          </w:tcPr>
          <w:p w14:paraId="5669F2D8"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All delivery partners must agree to follow DFAT PSEAH and Child Protection (CP) policies and safeguards (including report handling procedure)</w:t>
            </w:r>
            <w:r w:rsidRPr="0097193D">
              <w:rPr>
                <w:rFonts w:ascii="Calibri Light" w:hAnsi="Calibri Light" w:cs="Calibri Light"/>
                <w:sz w:val="24"/>
                <w:szCs w:val="24"/>
                <w:lang w:val="en-AU"/>
              </w:rPr>
              <w:br/>
              <w:t xml:space="preserve">Regular training for delivery partners and staff. </w:t>
            </w:r>
          </w:p>
          <w:p w14:paraId="39962C46" w14:textId="77777777" w:rsidR="00322E14" w:rsidRPr="0097193D" w:rsidRDefault="00322E14" w:rsidP="00693432">
            <w:pPr>
              <w:spacing w:before="40" w:after="40" w:line="240" w:lineRule="auto"/>
              <w:rPr>
                <w:rFonts w:ascii="Calibri Light" w:hAnsi="Calibri Light" w:cs="Calibri Light"/>
                <w:sz w:val="24"/>
                <w:szCs w:val="24"/>
                <w:lang w:val="en-AU"/>
              </w:rPr>
            </w:pPr>
            <w:r w:rsidRPr="0097193D">
              <w:rPr>
                <w:rFonts w:ascii="Calibri Light" w:hAnsi="Calibri Light" w:cs="Calibri Light"/>
                <w:sz w:val="24"/>
                <w:szCs w:val="24"/>
                <w:lang w:val="en-AU"/>
              </w:rPr>
              <w:t>Criminal record check of staff or subcontractors.</w:t>
            </w:r>
            <w:r w:rsidRPr="0097193D">
              <w:rPr>
                <w:sz w:val="24"/>
                <w:szCs w:val="24"/>
              </w:rPr>
              <w:br/>
            </w:r>
            <w:r w:rsidRPr="0097193D">
              <w:rPr>
                <w:rFonts w:ascii="Calibri Light" w:hAnsi="Calibri Light" w:cs="Calibri Light"/>
                <w:sz w:val="24"/>
                <w:szCs w:val="24"/>
                <w:lang w:val="en-AU"/>
              </w:rPr>
              <w:t>Risk register for annual work plans (including activities).</w:t>
            </w:r>
            <w:r w:rsidRPr="0097193D">
              <w:rPr>
                <w:sz w:val="24"/>
                <w:szCs w:val="24"/>
              </w:rPr>
              <w:br/>
            </w:r>
            <w:r w:rsidRPr="0097193D">
              <w:rPr>
                <w:rFonts w:ascii="Calibri Light" w:hAnsi="Calibri Light" w:cs="Calibri Light"/>
                <w:sz w:val="24"/>
                <w:szCs w:val="24"/>
                <w:lang w:val="en-AU"/>
              </w:rPr>
              <w:t>Regular coordination at Post to ensure compliance with CP of partners.</w:t>
            </w:r>
          </w:p>
        </w:tc>
      </w:tr>
      <w:tr w:rsidR="00322E14" w:rsidRPr="0097193D" w14:paraId="002F6682" w14:textId="77777777" w:rsidTr="00693432">
        <w:trPr>
          <w:trHeight w:val="300"/>
        </w:trPr>
        <w:tc>
          <w:tcPr>
            <w:tcW w:w="4147" w:type="dxa"/>
          </w:tcPr>
          <w:p w14:paraId="528FD35C" w14:textId="77777777" w:rsidR="00322E14" w:rsidRPr="0097193D" w:rsidRDefault="00322E14" w:rsidP="00693432">
            <w:pPr>
              <w:spacing w:before="40" w:after="40" w:line="240" w:lineRule="auto"/>
              <w:rPr>
                <w:rFonts w:ascii="Calibri Light" w:eastAsia="Calibri Light" w:hAnsi="Calibri Light" w:cs="Calibri Light"/>
                <w:sz w:val="24"/>
                <w:szCs w:val="24"/>
                <w:lang w:val="en-AU"/>
              </w:rPr>
            </w:pPr>
            <w:r w:rsidRPr="0097193D">
              <w:rPr>
                <w:rFonts w:ascii="Calibri Light" w:eastAsia="Calibri" w:hAnsi="Calibri Light" w:cs="Calibri Light"/>
                <w:sz w:val="24"/>
                <w:szCs w:val="24"/>
                <w:lang w:val="en-AU"/>
              </w:rPr>
              <w:t>MAP investments cause environmental, safeguard, social or cultural harm and/or are affected by environmental effects and natural disasters.</w:t>
            </w:r>
          </w:p>
        </w:tc>
        <w:tc>
          <w:tcPr>
            <w:tcW w:w="5493" w:type="dxa"/>
          </w:tcPr>
          <w:p w14:paraId="72AC4A1C" w14:textId="77777777" w:rsidR="00322E14" w:rsidRPr="0097193D" w:rsidRDefault="00322E14"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t xml:space="preserve">Implementing partners required to follow DFAT environmental and social safeguards policies and operational procedures.  Close attention paid to such risks throughout activity design and implementation. </w:t>
            </w:r>
          </w:p>
          <w:p w14:paraId="56A3FE45" w14:textId="77777777" w:rsidR="00322E14" w:rsidRPr="0097193D" w:rsidRDefault="00322E14" w:rsidP="00693432">
            <w:pPr>
              <w:spacing w:before="40" w:after="40" w:line="240" w:lineRule="auto"/>
              <w:rPr>
                <w:rFonts w:ascii="Calibri Light" w:eastAsia="Calibri Light" w:hAnsi="Calibri Light" w:cs="Calibri Light"/>
                <w:sz w:val="24"/>
                <w:szCs w:val="24"/>
                <w:lang w:val="en-AU"/>
              </w:rPr>
            </w:pPr>
            <w:r w:rsidRPr="0097193D">
              <w:rPr>
                <w:rFonts w:ascii="Calibri Light" w:eastAsia="Calibri" w:hAnsi="Calibri Light" w:cs="Calibri Light"/>
                <w:sz w:val="24"/>
                <w:szCs w:val="24"/>
                <w:lang w:val="en-AU"/>
              </w:rPr>
              <w:t xml:space="preserve">Climate and Disaster Risk Reduction consideration, identified, </w:t>
            </w:r>
            <w:proofErr w:type="gramStart"/>
            <w:r w:rsidRPr="0097193D">
              <w:rPr>
                <w:rFonts w:ascii="Calibri Light" w:eastAsia="Calibri" w:hAnsi="Calibri Light" w:cs="Calibri Light"/>
                <w:sz w:val="24"/>
                <w:szCs w:val="24"/>
                <w:lang w:val="en-AU"/>
              </w:rPr>
              <w:t>addressed</w:t>
            </w:r>
            <w:proofErr w:type="gramEnd"/>
            <w:r w:rsidRPr="0097193D">
              <w:rPr>
                <w:rFonts w:ascii="Calibri Light" w:eastAsia="Calibri" w:hAnsi="Calibri Light" w:cs="Calibri Light"/>
                <w:sz w:val="24"/>
                <w:szCs w:val="24"/>
                <w:lang w:val="en-AU"/>
              </w:rPr>
              <w:t xml:space="preserve"> and incorporated throughout design and implementation.</w:t>
            </w:r>
          </w:p>
          <w:p w14:paraId="6C5E7EB2" w14:textId="77777777" w:rsidR="00322E14" w:rsidRPr="0097193D" w:rsidRDefault="00322E14" w:rsidP="00693432">
            <w:pPr>
              <w:spacing w:before="40" w:after="40" w:line="240" w:lineRule="auto"/>
              <w:rPr>
                <w:rFonts w:ascii="Calibri Light" w:eastAsia="Calibri" w:hAnsi="Calibri Light" w:cs="Calibri Light"/>
                <w:sz w:val="24"/>
                <w:szCs w:val="24"/>
                <w:lang w:val="en-AU"/>
              </w:rPr>
            </w:pPr>
            <w:r w:rsidRPr="0097193D">
              <w:rPr>
                <w:rFonts w:ascii="Calibri Light" w:eastAsia="Calibri" w:hAnsi="Calibri Light" w:cs="Calibri Light"/>
                <w:sz w:val="24"/>
                <w:szCs w:val="24"/>
                <w:lang w:val="en-AU"/>
              </w:rPr>
              <w:t>Conduct safeguards screening at stage for each activity and ensure safeguards are regularly assessed during implementation</w:t>
            </w:r>
          </w:p>
        </w:tc>
      </w:tr>
    </w:tbl>
    <w:p w14:paraId="0E35ADC9" w14:textId="024D306C" w:rsidR="21492776" w:rsidRPr="001F14E7" w:rsidRDefault="21492776" w:rsidP="4C1C98D1">
      <w:pPr>
        <w:pStyle w:val="BodyTextHanging"/>
        <w:rPr>
          <w:rFonts w:asciiTheme="minorHAnsi" w:hAnsiTheme="minorHAnsi"/>
          <w:sz w:val="21"/>
          <w:szCs w:val="21"/>
          <w:lang w:eastAsia="en-US"/>
        </w:rPr>
      </w:pPr>
    </w:p>
    <w:p w14:paraId="5D72E5B7" w14:textId="05E8F4C7" w:rsidR="21492776" w:rsidRPr="004B7BF7" w:rsidRDefault="4C1C98D1" w:rsidP="6646200C">
      <w:pPr>
        <w:pStyle w:val="BodyTextHanging"/>
        <w:rPr>
          <w:rFonts w:asciiTheme="minorHAnsi" w:eastAsiaTheme="minorEastAsia" w:hAnsiTheme="minorHAnsi"/>
          <w:sz w:val="24"/>
          <w:szCs w:val="24"/>
          <w:lang w:eastAsia="en-US"/>
        </w:rPr>
      </w:pPr>
      <w:r w:rsidRPr="6646200C">
        <w:rPr>
          <w:rFonts w:asciiTheme="minorHAnsi" w:eastAsiaTheme="minorEastAsia" w:hAnsiTheme="minorHAnsi"/>
          <w:sz w:val="24"/>
          <w:szCs w:val="24"/>
          <w:lang w:eastAsia="en-US"/>
        </w:rPr>
        <w:t xml:space="preserve">The risk that the </w:t>
      </w:r>
      <w:r w:rsidR="00DA7705">
        <w:rPr>
          <w:rFonts w:asciiTheme="minorHAnsi" w:eastAsiaTheme="minorEastAsia" w:hAnsiTheme="minorHAnsi"/>
          <w:sz w:val="24"/>
          <w:szCs w:val="24"/>
          <w:lang w:eastAsia="en-US"/>
        </w:rPr>
        <w:t>portfolio’s</w:t>
      </w:r>
      <w:r w:rsidR="00DA7705" w:rsidRPr="6646200C">
        <w:rPr>
          <w:rFonts w:asciiTheme="minorHAnsi" w:eastAsiaTheme="minorEastAsia" w:hAnsiTheme="minorHAnsi"/>
          <w:sz w:val="24"/>
          <w:szCs w:val="24"/>
          <w:lang w:eastAsia="en-US"/>
        </w:rPr>
        <w:t xml:space="preserve"> </w:t>
      </w:r>
      <w:r w:rsidRPr="6646200C">
        <w:rPr>
          <w:rFonts w:asciiTheme="minorHAnsi" w:eastAsiaTheme="minorEastAsia" w:hAnsiTheme="minorHAnsi"/>
          <w:sz w:val="24"/>
          <w:szCs w:val="24"/>
          <w:lang w:eastAsia="en-US"/>
        </w:rPr>
        <w:t>resources will be diverted to finance terrorism activities is extremely small, however requires ongoing monitoring given political and security situation in Myanmar and foreign nationals residing in Mekong countries. Canberra and Mekong Posts will take a proportionate and risk-based approached to manage counter-terrorism financing when working with partners. This will include reasonable efforts to identify and manage any counter-terrorism risks such as</w:t>
      </w:r>
      <w:r w:rsidR="00674695" w:rsidRPr="6646200C">
        <w:rPr>
          <w:rFonts w:asciiTheme="minorHAnsi" w:eastAsiaTheme="minorEastAsia" w:hAnsiTheme="minorHAnsi"/>
          <w:sz w:val="24"/>
          <w:szCs w:val="24"/>
          <w:lang w:eastAsia="en-US"/>
        </w:rPr>
        <w:t>:</w:t>
      </w:r>
      <w:r w:rsidRPr="6646200C">
        <w:rPr>
          <w:rFonts w:asciiTheme="minorHAnsi" w:eastAsiaTheme="minorEastAsia" w:hAnsiTheme="minorHAnsi"/>
          <w:sz w:val="24"/>
          <w:szCs w:val="24"/>
          <w:lang w:eastAsia="en-US"/>
        </w:rPr>
        <w:t xml:space="preserve"> due diligence checks on potential partners</w:t>
      </w:r>
      <w:r w:rsidR="00674695" w:rsidRPr="6646200C">
        <w:rPr>
          <w:rFonts w:asciiTheme="minorHAnsi" w:eastAsiaTheme="minorEastAsia" w:hAnsiTheme="minorHAnsi"/>
          <w:sz w:val="24"/>
          <w:szCs w:val="24"/>
          <w:lang w:eastAsia="en-US"/>
        </w:rPr>
        <w:t>;</w:t>
      </w:r>
      <w:r w:rsidRPr="6646200C">
        <w:rPr>
          <w:rFonts w:asciiTheme="minorHAnsi" w:eastAsiaTheme="minorEastAsia" w:hAnsiTheme="minorHAnsi"/>
          <w:sz w:val="24"/>
          <w:szCs w:val="24"/>
          <w:lang w:eastAsia="en-US"/>
        </w:rPr>
        <w:t xml:space="preserve"> cross-check</w:t>
      </w:r>
      <w:r w:rsidR="00674695" w:rsidRPr="6646200C">
        <w:rPr>
          <w:rFonts w:asciiTheme="minorHAnsi" w:eastAsiaTheme="minorEastAsia" w:hAnsiTheme="minorHAnsi"/>
          <w:sz w:val="24"/>
          <w:szCs w:val="24"/>
          <w:lang w:eastAsia="en-US"/>
        </w:rPr>
        <w:t>ing</w:t>
      </w:r>
      <w:r w:rsidRPr="6646200C">
        <w:rPr>
          <w:rFonts w:asciiTheme="minorHAnsi" w:eastAsiaTheme="minorEastAsia" w:hAnsiTheme="minorHAnsi"/>
          <w:sz w:val="24"/>
          <w:szCs w:val="24"/>
          <w:lang w:eastAsia="en-US"/>
        </w:rPr>
        <w:t xml:space="preserve"> personnel and organisations against </w:t>
      </w:r>
      <w:r w:rsidR="00674695" w:rsidRPr="6646200C">
        <w:rPr>
          <w:rFonts w:asciiTheme="minorHAnsi" w:eastAsiaTheme="minorEastAsia" w:hAnsiTheme="minorHAnsi"/>
          <w:sz w:val="24"/>
          <w:szCs w:val="24"/>
          <w:lang w:eastAsia="en-US"/>
        </w:rPr>
        <w:t xml:space="preserve">those </w:t>
      </w:r>
      <w:r w:rsidRPr="6646200C">
        <w:rPr>
          <w:rFonts w:asciiTheme="minorHAnsi" w:eastAsiaTheme="minorEastAsia" w:hAnsiTheme="minorHAnsi"/>
          <w:sz w:val="24"/>
          <w:szCs w:val="24"/>
          <w:lang w:eastAsia="en-US"/>
        </w:rPr>
        <w:t>proscribed under Australian sanctions laws before entering into a funding arrangement</w:t>
      </w:r>
      <w:r w:rsidR="00674695" w:rsidRPr="6646200C">
        <w:rPr>
          <w:rFonts w:asciiTheme="minorHAnsi" w:eastAsiaTheme="minorEastAsia" w:hAnsiTheme="minorHAnsi"/>
          <w:sz w:val="24"/>
          <w:szCs w:val="24"/>
          <w:lang w:eastAsia="en-US"/>
        </w:rPr>
        <w:t>;</w:t>
      </w:r>
      <w:r w:rsidRPr="6646200C">
        <w:rPr>
          <w:rFonts w:asciiTheme="minorHAnsi" w:eastAsiaTheme="minorEastAsia" w:hAnsiTheme="minorHAnsi"/>
          <w:sz w:val="24"/>
          <w:szCs w:val="24"/>
          <w:lang w:eastAsia="en-US"/>
        </w:rPr>
        <w:t xml:space="preserve"> utilisation of additional counter-terrorism financing clauses in all agreements</w:t>
      </w:r>
      <w:r w:rsidR="00674695" w:rsidRPr="6646200C">
        <w:rPr>
          <w:rFonts w:asciiTheme="minorHAnsi" w:eastAsiaTheme="minorEastAsia" w:hAnsiTheme="minorHAnsi"/>
          <w:sz w:val="24"/>
          <w:szCs w:val="24"/>
          <w:lang w:eastAsia="en-US"/>
        </w:rPr>
        <w:t>;</w:t>
      </w:r>
      <w:r w:rsidRPr="6646200C">
        <w:rPr>
          <w:rFonts w:asciiTheme="minorHAnsi" w:eastAsiaTheme="minorEastAsia" w:hAnsiTheme="minorHAnsi"/>
          <w:sz w:val="24"/>
          <w:szCs w:val="24"/>
          <w:lang w:eastAsia="en-US"/>
        </w:rPr>
        <w:t xml:space="preserve"> ongoing/active monitoring</w:t>
      </w:r>
      <w:r w:rsidR="00674695" w:rsidRPr="6646200C">
        <w:rPr>
          <w:rFonts w:asciiTheme="minorHAnsi" w:eastAsiaTheme="minorEastAsia" w:hAnsiTheme="minorHAnsi"/>
          <w:sz w:val="24"/>
          <w:szCs w:val="24"/>
          <w:lang w:eastAsia="en-US"/>
        </w:rPr>
        <w:t>;</w:t>
      </w:r>
      <w:r w:rsidRPr="6646200C">
        <w:rPr>
          <w:rFonts w:asciiTheme="minorHAnsi" w:eastAsiaTheme="minorEastAsia" w:hAnsiTheme="minorHAnsi"/>
          <w:sz w:val="24"/>
          <w:szCs w:val="24"/>
          <w:lang w:eastAsia="en-US"/>
        </w:rPr>
        <w:t xml:space="preserve"> and </w:t>
      </w:r>
      <w:r w:rsidRPr="004B7BF7">
        <w:rPr>
          <w:rFonts w:asciiTheme="minorHAnsi" w:eastAsiaTheme="minorEastAsia" w:hAnsiTheme="minorHAnsi"/>
          <w:sz w:val="24"/>
          <w:szCs w:val="24"/>
          <w:lang w:eastAsia="en-US"/>
        </w:rPr>
        <w:t>implementing other controls as required</w:t>
      </w:r>
      <w:r w:rsidR="1823D6DD" w:rsidRPr="004B7BF7">
        <w:rPr>
          <w:rFonts w:asciiTheme="minorHAnsi" w:eastAsiaTheme="minorEastAsia" w:hAnsiTheme="minorHAnsi"/>
          <w:sz w:val="24"/>
          <w:szCs w:val="24"/>
          <w:lang w:eastAsia="en-US"/>
        </w:rPr>
        <w:t xml:space="preserve">. </w:t>
      </w:r>
    </w:p>
    <w:p w14:paraId="7BD68CB3" w14:textId="1A4273D7" w:rsidR="00AC1A2A" w:rsidRPr="0097193D" w:rsidRDefault="6848CFD6" w:rsidP="00C80C4D">
      <w:pPr>
        <w:rPr>
          <w:sz w:val="24"/>
          <w:szCs w:val="24"/>
          <w:lang w:val="en-AU"/>
        </w:rPr>
      </w:pPr>
      <w:r w:rsidRPr="004B7BF7">
        <w:rPr>
          <w:sz w:val="24"/>
          <w:szCs w:val="24"/>
          <w:lang w:val="en-AU"/>
        </w:rPr>
        <w:t xml:space="preserve">MKS will support the </w:t>
      </w:r>
      <w:r w:rsidRPr="004B7BF7">
        <w:rPr>
          <w:b/>
          <w:sz w:val="24"/>
          <w:szCs w:val="24"/>
          <w:lang w:val="en-AU"/>
        </w:rPr>
        <w:t>MAP</w:t>
      </w:r>
      <w:r w:rsidRPr="004B7BF7">
        <w:rPr>
          <w:sz w:val="24"/>
          <w:szCs w:val="24"/>
          <w:lang w:val="en-AU"/>
        </w:rPr>
        <w:t xml:space="preserve"> </w:t>
      </w:r>
      <w:r w:rsidRPr="004B7BF7">
        <w:rPr>
          <w:b/>
          <w:sz w:val="24"/>
          <w:szCs w:val="24"/>
          <w:lang w:val="en-AU"/>
        </w:rPr>
        <w:t>Steering Committee</w:t>
      </w:r>
      <w:r w:rsidRPr="004B7BF7">
        <w:rPr>
          <w:sz w:val="24"/>
          <w:szCs w:val="24"/>
          <w:lang w:val="en-AU"/>
        </w:rPr>
        <w:t xml:space="preserve"> to review and manage key strategic and portfolio management risks. The Steering Committee</w:t>
      </w:r>
      <w:r w:rsidRPr="004B7BF7">
        <w:rPr>
          <w:b/>
          <w:sz w:val="24"/>
          <w:szCs w:val="24"/>
          <w:lang w:val="en-AU"/>
        </w:rPr>
        <w:t xml:space="preserve"> </w:t>
      </w:r>
      <w:r w:rsidRPr="004B7BF7">
        <w:rPr>
          <w:sz w:val="24"/>
          <w:szCs w:val="24"/>
          <w:lang w:val="en-AU"/>
        </w:rPr>
        <w:t xml:space="preserve">will review and discuss key risks as a standing agenda item for all committee meetings. The Steering Committee may identify additional risk mitigation measures to be implemented by MKS and the Mekong Hub. </w:t>
      </w:r>
    </w:p>
    <w:p w14:paraId="44553BC8" w14:textId="0B80EC32" w:rsidR="00EF1828" w:rsidRPr="0097193D" w:rsidRDefault="6980B87E" w:rsidP="00740F65">
      <w:pPr>
        <w:rPr>
          <w:sz w:val="24"/>
          <w:szCs w:val="24"/>
          <w:lang w:val="en-AU"/>
        </w:rPr>
      </w:pPr>
      <w:r w:rsidRPr="0097193D">
        <w:rPr>
          <w:b/>
          <w:sz w:val="24"/>
          <w:szCs w:val="24"/>
          <w:lang w:val="en-AU"/>
        </w:rPr>
        <w:t xml:space="preserve">Implementing </w:t>
      </w:r>
      <w:r w:rsidR="00A87DA3" w:rsidRPr="0097193D">
        <w:rPr>
          <w:b/>
          <w:sz w:val="24"/>
          <w:szCs w:val="24"/>
          <w:lang w:val="en-AU"/>
        </w:rPr>
        <w:t>p</w:t>
      </w:r>
      <w:r w:rsidRPr="0097193D">
        <w:rPr>
          <w:b/>
          <w:sz w:val="24"/>
          <w:szCs w:val="24"/>
          <w:lang w:val="en-AU"/>
        </w:rPr>
        <w:t>artners</w:t>
      </w:r>
      <w:r w:rsidR="754CA43C" w:rsidRPr="0097193D">
        <w:rPr>
          <w:b/>
          <w:sz w:val="24"/>
          <w:szCs w:val="24"/>
          <w:lang w:val="en-AU"/>
        </w:rPr>
        <w:t xml:space="preserve"> and the </w:t>
      </w:r>
      <w:r w:rsidR="3FBC57D8" w:rsidRPr="0097193D">
        <w:rPr>
          <w:b/>
          <w:sz w:val="24"/>
          <w:szCs w:val="24"/>
          <w:lang w:val="en-AU"/>
        </w:rPr>
        <w:t>Support Services</w:t>
      </w:r>
      <w:r w:rsidR="3FBC57D8" w:rsidRPr="0097193D">
        <w:rPr>
          <w:sz w:val="24"/>
          <w:szCs w:val="24"/>
          <w:lang w:val="en-AU"/>
        </w:rPr>
        <w:t xml:space="preserve"> </w:t>
      </w:r>
      <w:r w:rsidR="754CA43C" w:rsidRPr="0097193D">
        <w:rPr>
          <w:b/>
          <w:sz w:val="24"/>
          <w:szCs w:val="24"/>
          <w:lang w:val="en-AU"/>
        </w:rPr>
        <w:t>Contractor</w:t>
      </w:r>
      <w:r w:rsidR="754CA43C" w:rsidRPr="0097193D">
        <w:rPr>
          <w:sz w:val="24"/>
          <w:szCs w:val="24"/>
          <w:lang w:val="en-AU"/>
        </w:rPr>
        <w:t xml:space="preserve"> w</w:t>
      </w:r>
      <w:r w:rsidRPr="0097193D">
        <w:rPr>
          <w:sz w:val="24"/>
          <w:szCs w:val="24"/>
          <w:lang w:val="en-AU"/>
        </w:rPr>
        <w:t>ill establish and maintain risk register</w:t>
      </w:r>
      <w:r w:rsidR="00A87DA3" w:rsidRPr="0097193D">
        <w:rPr>
          <w:sz w:val="24"/>
          <w:szCs w:val="24"/>
          <w:lang w:val="en-AU"/>
        </w:rPr>
        <w:t>s</w:t>
      </w:r>
      <w:r w:rsidR="00E21FBA" w:rsidRPr="0097193D">
        <w:rPr>
          <w:sz w:val="24"/>
          <w:szCs w:val="24"/>
          <w:lang w:val="en-AU"/>
        </w:rPr>
        <w:t xml:space="preserve"> </w:t>
      </w:r>
      <w:r w:rsidR="00A87DA3" w:rsidRPr="0097193D">
        <w:rPr>
          <w:sz w:val="24"/>
          <w:szCs w:val="24"/>
          <w:lang w:val="en-AU"/>
        </w:rPr>
        <w:t>corresponding to DFAT’s risk assessments and will liaise with DFAT officers regularly on risk</w:t>
      </w:r>
      <w:r w:rsidR="00E21FBA" w:rsidRPr="0097193D">
        <w:rPr>
          <w:sz w:val="24"/>
          <w:szCs w:val="24"/>
          <w:lang w:val="en-AU"/>
        </w:rPr>
        <w:t>. I</w:t>
      </w:r>
      <w:r w:rsidR="735AC4AE" w:rsidRPr="0097193D">
        <w:rPr>
          <w:sz w:val="24"/>
          <w:szCs w:val="24"/>
          <w:lang w:val="en-AU"/>
        </w:rPr>
        <w:t xml:space="preserve">mplementing partners and </w:t>
      </w:r>
      <w:r w:rsidR="00E21FBA" w:rsidRPr="0097193D">
        <w:rPr>
          <w:sz w:val="24"/>
          <w:szCs w:val="24"/>
          <w:lang w:val="en-AU"/>
        </w:rPr>
        <w:t xml:space="preserve">the </w:t>
      </w:r>
      <w:r w:rsidR="795229FA" w:rsidRPr="0097193D">
        <w:rPr>
          <w:sz w:val="24"/>
          <w:szCs w:val="24"/>
          <w:lang w:val="en-AU"/>
        </w:rPr>
        <w:t>Contractor will also be required to provide</w:t>
      </w:r>
      <w:r w:rsidR="44E918A8" w:rsidRPr="0097193D">
        <w:rPr>
          <w:sz w:val="24"/>
          <w:szCs w:val="24"/>
          <w:lang w:val="en-AU"/>
        </w:rPr>
        <w:t xml:space="preserve"> </w:t>
      </w:r>
      <w:r w:rsidR="0269BCA7" w:rsidRPr="0097193D">
        <w:rPr>
          <w:sz w:val="24"/>
          <w:szCs w:val="24"/>
          <w:lang w:val="en-AU"/>
        </w:rPr>
        <w:t xml:space="preserve">reports </w:t>
      </w:r>
      <w:r w:rsidR="44E918A8" w:rsidRPr="0097193D">
        <w:rPr>
          <w:sz w:val="24"/>
          <w:szCs w:val="24"/>
          <w:lang w:val="en-AU"/>
        </w:rPr>
        <w:t xml:space="preserve">to DFAT that will contribute to internal </w:t>
      </w:r>
      <w:r w:rsidR="17FD1A52" w:rsidRPr="0097193D">
        <w:rPr>
          <w:sz w:val="24"/>
          <w:szCs w:val="24"/>
          <w:lang w:val="en-AU"/>
        </w:rPr>
        <w:t xml:space="preserve">and standalone </w:t>
      </w:r>
      <w:r w:rsidR="44E918A8" w:rsidRPr="0097193D">
        <w:rPr>
          <w:sz w:val="24"/>
          <w:szCs w:val="24"/>
          <w:lang w:val="en-AU"/>
        </w:rPr>
        <w:t xml:space="preserve">processes </w:t>
      </w:r>
      <w:r w:rsidR="4602FD42" w:rsidRPr="0097193D">
        <w:rPr>
          <w:sz w:val="24"/>
          <w:szCs w:val="24"/>
          <w:lang w:val="en-AU"/>
        </w:rPr>
        <w:t>of assessing risk for the overall investment</w:t>
      </w:r>
      <w:r w:rsidRPr="0097193D">
        <w:rPr>
          <w:sz w:val="24"/>
          <w:szCs w:val="24"/>
          <w:lang w:val="en-AU"/>
        </w:rPr>
        <w:t xml:space="preserve">. </w:t>
      </w:r>
      <w:r w:rsidR="00733D14" w:rsidRPr="0097193D">
        <w:rPr>
          <w:sz w:val="24"/>
          <w:szCs w:val="24"/>
          <w:lang w:val="en-AU"/>
        </w:rPr>
        <w:t xml:space="preserve">They </w:t>
      </w:r>
      <w:r w:rsidRPr="0097193D">
        <w:rPr>
          <w:sz w:val="24"/>
          <w:szCs w:val="24"/>
          <w:lang w:val="en-AU"/>
        </w:rPr>
        <w:t xml:space="preserve">will establish, </w:t>
      </w:r>
      <w:r w:rsidR="754CA43C" w:rsidRPr="0097193D">
        <w:rPr>
          <w:sz w:val="24"/>
          <w:szCs w:val="24"/>
          <w:lang w:val="en-AU"/>
        </w:rPr>
        <w:t>implement,</w:t>
      </w:r>
      <w:r w:rsidRPr="0097193D">
        <w:rPr>
          <w:sz w:val="24"/>
          <w:szCs w:val="24"/>
          <w:lang w:val="en-AU"/>
        </w:rPr>
        <w:t xml:space="preserve"> and regularly review fraud </w:t>
      </w:r>
      <w:r w:rsidR="29C9BB20" w:rsidRPr="0097193D">
        <w:rPr>
          <w:sz w:val="24"/>
          <w:szCs w:val="24"/>
          <w:lang w:val="en-AU"/>
        </w:rPr>
        <w:t xml:space="preserve">and anti-corruption </w:t>
      </w:r>
      <w:r w:rsidRPr="0097193D">
        <w:rPr>
          <w:sz w:val="24"/>
          <w:szCs w:val="24"/>
          <w:lang w:val="en-AU"/>
        </w:rPr>
        <w:t>control polic</w:t>
      </w:r>
      <w:r w:rsidR="00733D14" w:rsidRPr="0097193D">
        <w:rPr>
          <w:sz w:val="24"/>
          <w:szCs w:val="24"/>
          <w:lang w:val="en-AU"/>
        </w:rPr>
        <w:t>ies</w:t>
      </w:r>
      <w:r w:rsidRPr="0097193D">
        <w:rPr>
          <w:sz w:val="24"/>
          <w:szCs w:val="24"/>
          <w:lang w:val="en-AU"/>
        </w:rPr>
        <w:t>. Th</w:t>
      </w:r>
      <w:r w:rsidR="00733D14" w:rsidRPr="0097193D">
        <w:rPr>
          <w:sz w:val="24"/>
          <w:szCs w:val="24"/>
          <w:lang w:val="en-AU"/>
        </w:rPr>
        <w:t>e</w:t>
      </w:r>
      <w:r w:rsidRPr="0097193D">
        <w:rPr>
          <w:sz w:val="24"/>
          <w:szCs w:val="24"/>
          <w:lang w:val="en-AU"/>
        </w:rPr>
        <w:t>s</w:t>
      </w:r>
      <w:r w:rsidR="00733D14" w:rsidRPr="0097193D">
        <w:rPr>
          <w:sz w:val="24"/>
          <w:szCs w:val="24"/>
          <w:lang w:val="en-AU"/>
        </w:rPr>
        <w:t>e</w:t>
      </w:r>
      <w:r w:rsidRPr="0097193D">
        <w:rPr>
          <w:sz w:val="24"/>
          <w:szCs w:val="24"/>
          <w:lang w:val="en-AU"/>
        </w:rPr>
        <w:t xml:space="preserve"> </w:t>
      </w:r>
      <w:r w:rsidR="00733D14" w:rsidRPr="0097193D">
        <w:rPr>
          <w:sz w:val="24"/>
          <w:szCs w:val="24"/>
          <w:lang w:val="en-AU"/>
        </w:rPr>
        <w:t xml:space="preserve">policies </w:t>
      </w:r>
      <w:r w:rsidRPr="0097193D">
        <w:rPr>
          <w:sz w:val="24"/>
          <w:szCs w:val="24"/>
          <w:lang w:val="en-AU"/>
        </w:rPr>
        <w:t xml:space="preserve">will describe the fraud </w:t>
      </w:r>
      <w:r w:rsidR="29C9BB20" w:rsidRPr="0097193D">
        <w:rPr>
          <w:sz w:val="24"/>
          <w:szCs w:val="24"/>
          <w:lang w:val="en-AU"/>
        </w:rPr>
        <w:t xml:space="preserve">and corruption </w:t>
      </w:r>
      <w:r w:rsidRPr="0097193D">
        <w:rPr>
          <w:sz w:val="24"/>
          <w:szCs w:val="24"/>
          <w:lang w:val="en-AU"/>
        </w:rPr>
        <w:t>context</w:t>
      </w:r>
      <w:r w:rsidR="00AA4DBA" w:rsidRPr="0097193D">
        <w:rPr>
          <w:sz w:val="24"/>
          <w:szCs w:val="24"/>
          <w:lang w:val="en-AU"/>
        </w:rPr>
        <w:t>,</w:t>
      </w:r>
      <w:r w:rsidRPr="0097193D">
        <w:rPr>
          <w:sz w:val="24"/>
          <w:szCs w:val="24"/>
          <w:lang w:val="en-AU"/>
        </w:rPr>
        <w:t xml:space="preserve"> identify current and emerging fraud </w:t>
      </w:r>
      <w:r w:rsidR="29C9BB20" w:rsidRPr="0097193D">
        <w:rPr>
          <w:sz w:val="24"/>
          <w:szCs w:val="24"/>
          <w:lang w:val="en-AU"/>
        </w:rPr>
        <w:t xml:space="preserve">and corruption </w:t>
      </w:r>
      <w:r w:rsidRPr="0097193D">
        <w:rPr>
          <w:sz w:val="24"/>
          <w:szCs w:val="24"/>
          <w:lang w:val="en-AU"/>
        </w:rPr>
        <w:lastRenderedPageBreak/>
        <w:t>risks, drawing on lessons from relevant programs</w:t>
      </w:r>
      <w:r w:rsidR="00AA4DBA" w:rsidRPr="0097193D">
        <w:rPr>
          <w:sz w:val="24"/>
          <w:szCs w:val="24"/>
          <w:lang w:val="en-AU"/>
        </w:rPr>
        <w:t>, and</w:t>
      </w:r>
      <w:r w:rsidRPr="0097193D">
        <w:rPr>
          <w:sz w:val="24"/>
          <w:szCs w:val="24"/>
          <w:lang w:val="en-AU"/>
        </w:rPr>
        <w:t xml:space="preserve"> will identify preventative, detective and corrective controls and fraud risk treatments to mitigate risks. </w:t>
      </w:r>
      <w:r w:rsidR="641E528C" w:rsidRPr="0097193D">
        <w:rPr>
          <w:sz w:val="24"/>
          <w:szCs w:val="24"/>
          <w:lang w:val="en-AU"/>
        </w:rPr>
        <w:t xml:space="preserve">Implementing </w:t>
      </w:r>
      <w:r w:rsidR="00CC45CD" w:rsidRPr="0097193D">
        <w:rPr>
          <w:sz w:val="24"/>
          <w:szCs w:val="24"/>
          <w:lang w:val="en-AU"/>
        </w:rPr>
        <w:t>p</w:t>
      </w:r>
      <w:r w:rsidR="641E528C" w:rsidRPr="0097193D">
        <w:rPr>
          <w:sz w:val="24"/>
          <w:szCs w:val="24"/>
          <w:lang w:val="en-AU"/>
        </w:rPr>
        <w:t xml:space="preserve">artners and the Contractor </w:t>
      </w:r>
      <w:r w:rsidRPr="0097193D">
        <w:rPr>
          <w:sz w:val="24"/>
          <w:szCs w:val="24"/>
          <w:lang w:val="en-AU"/>
        </w:rPr>
        <w:t>will ensure that th</w:t>
      </w:r>
      <w:r w:rsidR="00AA4DBA" w:rsidRPr="0097193D">
        <w:rPr>
          <w:sz w:val="24"/>
          <w:szCs w:val="24"/>
          <w:lang w:val="en-AU"/>
        </w:rPr>
        <w:t>ese documents</w:t>
      </w:r>
      <w:r w:rsidRPr="0097193D">
        <w:rPr>
          <w:sz w:val="24"/>
          <w:szCs w:val="24"/>
          <w:lang w:val="en-AU"/>
        </w:rPr>
        <w:t xml:space="preserve"> </w:t>
      </w:r>
      <w:r w:rsidR="00AA4DBA" w:rsidRPr="0097193D">
        <w:rPr>
          <w:sz w:val="24"/>
          <w:szCs w:val="24"/>
          <w:lang w:val="en-AU"/>
        </w:rPr>
        <w:t xml:space="preserve">are </w:t>
      </w:r>
      <w:r w:rsidRPr="0097193D">
        <w:rPr>
          <w:sz w:val="24"/>
          <w:szCs w:val="24"/>
          <w:lang w:val="en-AU"/>
        </w:rPr>
        <w:t xml:space="preserve">understood and implemented by grantees and sub-contractors as well as </w:t>
      </w:r>
      <w:r w:rsidR="1AF3B2D3" w:rsidRPr="0097193D">
        <w:rPr>
          <w:sz w:val="24"/>
          <w:szCs w:val="24"/>
          <w:lang w:val="en-AU"/>
        </w:rPr>
        <w:t>portfolio</w:t>
      </w:r>
      <w:r w:rsidRPr="0097193D">
        <w:rPr>
          <w:sz w:val="24"/>
          <w:szCs w:val="24"/>
          <w:lang w:val="en-AU"/>
        </w:rPr>
        <w:t xml:space="preserve"> staff. </w:t>
      </w:r>
      <w:r w:rsidR="6495476A" w:rsidRPr="0097193D">
        <w:rPr>
          <w:sz w:val="24"/>
          <w:szCs w:val="24"/>
          <w:lang w:val="en-AU"/>
        </w:rPr>
        <w:t xml:space="preserve">Implementing partners and </w:t>
      </w:r>
      <w:r w:rsidR="00CC45CD" w:rsidRPr="0097193D">
        <w:rPr>
          <w:sz w:val="24"/>
          <w:szCs w:val="24"/>
          <w:lang w:val="en-AU"/>
        </w:rPr>
        <w:t>the C</w:t>
      </w:r>
      <w:r w:rsidR="6495476A" w:rsidRPr="0097193D">
        <w:rPr>
          <w:sz w:val="24"/>
          <w:szCs w:val="24"/>
          <w:lang w:val="en-AU"/>
        </w:rPr>
        <w:t xml:space="preserve">ontractor </w:t>
      </w:r>
      <w:r w:rsidR="6495476A" w:rsidRPr="0097193D">
        <w:rPr>
          <w:sz w:val="24"/>
          <w:szCs w:val="24"/>
        </w:rPr>
        <w:t>will give practical effect to DFAT’s PSEAH</w:t>
      </w:r>
      <w:r w:rsidR="5677C827" w:rsidRPr="0097193D">
        <w:rPr>
          <w:sz w:val="24"/>
          <w:szCs w:val="24"/>
        </w:rPr>
        <w:t xml:space="preserve"> and Child Protection</w:t>
      </w:r>
      <w:r w:rsidR="6495476A" w:rsidRPr="0097193D">
        <w:rPr>
          <w:sz w:val="24"/>
          <w:szCs w:val="24"/>
        </w:rPr>
        <w:t xml:space="preserve"> Polic</w:t>
      </w:r>
      <w:r w:rsidR="5677C827" w:rsidRPr="0097193D">
        <w:rPr>
          <w:sz w:val="24"/>
          <w:szCs w:val="24"/>
        </w:rPr>
        <w:t>ies</w:t>
      </w:r>
      <w:r w:rsidR="6495476A" w:rsidRPr="0097193D">
        <w:rPr>
          <w:sz w:val="24"/>
          <w:szCs w:val="24"/>
        </w:rPr>
        <w:t xml:space="preserve"> through identification and analysis of risks </w:t>
      </w:r>
      <w:r w:rsidR="277AD5E8" w:rsidRPr="0097193D">
        <w:rPr>
          <w:sz w:val="24"/>
          <w:szCs w:val="24"/>
        </w:rPr>
        <w:t xml:space="preserve">and development of </w:t>
      </w:r>
      <w:r w:rsidR="5677C827" w:rsidRPr="0097193D">
        <w:rPr>
          <w:sz w:val="24"/>
          <w:szCs w:val="24"/>
        </w:rPr>
        <w:t xml:space="preserve">comprehensive </w:t>
      </w:r>
      <w:r w:rsidR="277AD5E8" w:rsidRPr="0097193D">
        <w:rPr>
          <w:sz w:val="24"/>
          <w:szCs w:val="24"/>
        </w:rPr>
        <w:t xml:space="preserve">M&amp;E </w:t>
      </w:r>
      <w:r w:rsidR="6495476A" w:rsidRPr="0097193D">
        <w:rPr>
          <w:sz w:val="24"/>
          <w:szCs w:val="24"/>
        </w:rPr>
        <w:t xml:space="preserve">framework. </w:t>
      </w:r>
      <w:r w:rsidR="00AA4DBA" w:rsidRPr="0097193D">
        <w:rPr>
          <w:sz w:val="24"/>
          <w:szCs w:val="24"/>
        </w:rPr>
        <w:t>They</w:t>
      </w:r>
      <w:r w:rsidR="20B3AE4F" w:rsidRPr="0097193D">
        <w:rPr>
          <w:sz w:val="24"/>
          <w:szCs w:val="24"/>
        </w:rPr>
        <w:t xml:space="preserve"> </w:t>
      </w:r>
      <w:r w:rsidR="6495476A" w:rsidRPr="0097193D">
        <w:rPr>
          <w:sz w:val="24"/>
          <w:szCs w:val="24"/>
        </w:rPr>
        <w:t xml:space="preserve">will also need to specify PSEAH </w:t>
      </w:r>
      <w:r w:rsidR="5677C827" w:rsidRPr="0097193D">
        <w:rPr>
          <w:sz w:val="24"/>
          <w:szCs w:val="24"/>
        </w:rPr>
        <w:t xml:space="preserve">and Child Protection </w:t>
      </w:r>
      <w:r w:rsidR="6495476A" w:rsidRPr="0097193D">
        <w:rPr>
          <w:sz w:val="24"/>
          <w:szCs w:val="24"/>
        </w:rPr>
        <w:t>standards, requirements and consequences in funding agreements, report on organisational efforts and regular communication with program personnel and partners</w:t>
      </w:r>
      <w:r w:rsidR="1DAF5773" w:rsidRPr="0097193D">
        <w:rPr>
          <w:sz w:val="24"/>
          <w:szCs w:val="24"/>
        </w:rPr>
        <w:t xml:space="preserve"> </w:t>
      </w:r>
      <w:r w:rsidR="1D458C6E" w:rsidRPr="0097193D">
        <w:rPr>
          <w:sz w:val="24"/>
          <w:szCs w:val="24"/>
        </w:rPr>
        <w:t xml:space="preserve">(including where necessary handling complaints) </w:t>
      </w:r>
      <w:r w:rsidR="5677C827" w:rsidRPr="0097193D">
        <w:rPr>
          <w:sz w:val="24"/>
          <w:szCs w:val="24"/>
        </w:rPr>
        <w:t xml:space="preserve">and </w:t>
      </w:r>
      <w:r w:rsidR="11B34265" w:rsidRPr="0097193D">
        <w:rPr>
          <w:sz w:val="24"/>
          <w:szCs w:val="24"/>
        </w:rPr>
        <w:t xml:space="preserve">undertake </w:t>
      </w:r>
      <w:r w:rsidR="5677C827" w:rsidRPr="0097193D">
        <w:rPr>
          <w:sz w:val="24"/>
          <w:szCs w:val="24"/>
        </w:rPr>
        <w:t>due diligence checks</w:t>
      </w:r>
      <w:r w:rsidR="5AF9CBAF" w:rsidRPr="0097193D">
        <w:rPr>
          <w:sz w:val="24"/>
          <w:szCs w:val="24"/>
        </w:rPr>
        <w:t xml:space="preserve"> including throughout recruitment</w:t>
      </w:r>
      <w:r w:rsidR="78D6A03A" w:rsidRPr="0097193D">
        <w:rPr>
          <w:sz w:val="24"/>
          <w:szCs w:val="24"/>
        </w:rPr>
        <w:t xml:space="preserve"> and the mobilisation</w:t>
      </w:r>
      <w:r w:rsidR="2C67611A" w:rsidRPr="0097193D">
        <w:rPr>
          <w:sz w:val="24"/>
          <w:szCs w:val="24"/>
        </w:rPr>
        <w:t xml:space="preserve"> of advis</w:t>
      </w:r>
      <w:r w:rsidR="628BD95E" w:rsidRPr="0097193D">
        <w:rPr>
          <w:sz w:val="24"/>
          <w:szCs w:val="24"/>
        </w:rPr>
        <w:t>e</w:t>
      </w:r>
      <w:r w:rsidR="2C67611A" w:rsidRPr="0097193D">
        <w:rPr>
          <w:sz w:val="24"/>
          <w:szCs w:val="24"/>
        </w:rPr>
        <w:t>rs</w:t>
      </w:r>
      <w:r w:rsidR="78D6A03A" w:rsidRPr="0097193D">
        <w:rPr>
          <w:sz w:val="24"/>
          <w:szCs w:val="24"/>
        </w:rPr>
        <w:t>.</w:t>
      </w:r>
      <w:r w:rsidR="20B3AE4F" w:rsidRPr="0097193D">
        <w:rPr>
          <w:sz w:val="24"/>
          <w:szCs w:val="24"/>
          <w:lang w:val="en-AU"/>
        </w:rPr>
        <w:t xml:space="preserve"> </w:t>
      </w:r>
      <w:r w:rsidR="641E528C" w:rsidRPr="0097193D">
        <w:rPr>
          <w:sz w:val="24"/>
          <w:szCs w:val="24"/>
          <w:lang w:val="en-AU"/>
        </w:rPr>
        <w:t xml:space="preserve">Implementing </w:t>
      </w:r>
      <w:r w:rsidR="00784C2A" w:rsidRPr="0097193D">
        <w:rPr>
          <w:sz w:val="24"/>
          <w:szCs w:val="24"/>
          <w:lang w:val="en-AU"/>
        </w:rPr>
        <w:t>p</w:t>
      </w:r>
      <w:r w:rsidR="641E528C" w:rsidRPr="0097193D">
        <w:rPr>
          <w:sz w:val="24"/>
          <w:szCs w:val="24"/>
          <w:lang w:val="en-AU"/>
        </w:rPr>
        <w:t xml:space="preserve">artners and the </w:t>
      </w:r>
      <w:r w:rsidR="1AF3B2D3" w:rsidRPr="0097193D">
        <w:rPr>
          <w:sz w:val="24"/>
          <w:szCs w:val="24"/>
          <w:lang w:val="en-AU"/>
        </w:rPr>
        <w:t xml:space="preserve">Contractor </w:t>
      </w:r>
      <w:r w:rsidRPr="0097193D">
        <w:rPr>
          <w:sz w:val="24"/>
          <w:szCs w:val="24"/>
          <w:lang w:val="en-AU"/>
        </w:rPr>
        <w:t xml:space="preserve">will produce quarterly </w:t>
      </w:r>
      <w:r w:rsidR="641E528C" w:rsidRPr="0097193D">
        <w:rPr>
          <w:sz w:val="24"/>
          <w:szCs w:val="24"/>
          <w:lang w:val="en-AU"/>
        </w:rPr>
        <w:t>updates</w:t>
      </w:r>
      <w:r w:rsidRPr="0097193D">
        <w:rPr>
          <w:sz w:val="24"/>
          <w:szCs w:val="24"/>
          <w:lang w:val="en-AU"/>
        </w:rPr>
        <w:t xml:space="preserve"> against their risk register</w:t>
      </w:r>
      <w:r w:rsidR="00AA4DBA" w:rsidRPr="0097193D">
        <w:rPr>
          <w:sz w:val="24"/>
          <w:szCs w:val="24"/>
          <w:lang w:val="en-AU"/>
        </w:rPr>
        <w:t>s</w:t>
      </w:r>
      <w:r w:rsidRPr="0097193D">
        <w:rPr>
          <w:sz w:val="24"/>
          <w:szCs w:val="24"/>
          <w:lang w:val="en-AU"/>
        </w:rPr>
        <w:t>, with a focus on changes to risk ratings and priorities for the coming quarter. Any risks that move to a high rating or above will be communicated to DFAT as soon as possible, and within 24 hours</w:t>
      </w:r>
      <w:r w:rsidR="2C96AEEC" w:rsidRPr="0097193D">
        <w:rPr>
          <w:sz w:val="24"/>
          <w:szCs w:val="24"/>
          <w:lang w:val="en-AU"/>
        </w:rPr>
        <w:t>.</w:t>
      </w:r>
    </w:p>
    <w:p w14:paraId="382BF324" w14:textId="1DD0EF20" w:rsidR="3A965742" w:rsidRPr="0097193D" w:rsidRDefault="3A965742" w:rsidP="4C1C98D1">
      <w:pPr>
        <w:rPr>
          <w:rFonts w:ascii="Calibri Light" w:eastAsia="Calibri Light" w:hAnsi="Calibri Light" w:cs="Calibri Light"/>
          <w:color w:val="auto"/>
          <w:sz w:val="24"/>
          <w:szCs w:val="24"/>
        </w:rPr>
      </w:pPr>
      <w:r w:rsidRPr="0097193D">
        <w:rPr>
          <w:rFonts w:ascii="Calibri Light" w:eastAsia="Calibri Light" w:hAnsi="Calibri Light" w:cs="Calibri Light"/>
          <w:color w:val="auto"/>
          <w:sz w:val="24"/>
          <w:szCs w:val="24"/>
        </w:rPr>
        <w:t xml:space="preserve">An explicit </w:t>
      </w:r>
      <w:r w:rsidRPr="0097193D">
        <w:rPr>
          <w:rFonts w:ascii="Calibri Light" w:eastAsia="Calibri Light" w:hAnsi="Calibri Light" w:cs="Calibri Light"/>
          <w:b/>
          <w:color w:val="auto"/>
          <w:sz w:val="24"/>
          <w:szCs w:val="24"/>
        </w:rPr>
        <w:t xml:space="preserve">safeguard risk analysis </w:t>
      </w:r>
      <w:r w:rsidRPr="0097193D">
        <w:rPr>
          <w:rFonts w:ascii="Calibri Light" w:eastAsia="Calibri Light" w:hAnsi="Calibri Light" w:cs="Calibri Light"/>
          <w:color w:val="auto"/>
          <w:sz w:val="24"/>
          <w:szCs w:val="24"/>
        </w:rPr>
        <w:t>will be incorporated into each thematic strategy</w:t>
      </w:r>
      <w:r w:rsidR="50E786C0" w:rsidRPr="0097193D">
        <w:rPr>
          <w:rFonts w:ascii="Calibri Light" w:eastAsia="Calibri Light" w:hAnsi="Calibri Light" w:cs="Calibri Light"/>
          <w:color w:val="auto"/>
          <w:sz w:val="24"/>
          <w:szCs w:val="24"/>
        </w:rPr>
        <w:t xml:space="preserve"> developed in </w:t>
      </w:r>
      <w:r w:rsidR="002A291C" w:rsidRPr="0097193D">
        <w:rPr>
          <w:rFonts w:ascii="Calibri Light" w:eastAsia="Calibri Light" w:hAnsi="Calibri Light" w:cs="Calibri Light"/>
          <w:color w:val="auto"/>
          <w:sz w:val="24"/>
          <w:szCs w:val="24"/>
        </w:rPr>
        <w:t xml:space="preserve">the </w:t>
      </w:r>
      <w:r w:rsidR="50E786C0" w:rsidRPr="0097193D">
        <w:rPr>
          <w:rFonts w:ascii="Calibri Light" w:eastAsia="Calibri Light" w:hAnsi="Calibri Light" w:cs="Calibri Light"/>
          <w:color w:val="auto"/>
          <w:sz w:val="24"/>
          <w:szCs w:val="24"/>
        </w:rPr>
        <w:t>inception phase</w:t>
      </w:r>
      <w:r w:rsidRPr="0097193D">
        <w:rPr>
          <w:rFonts w:ascii="Calibri Light" w:eastAsia="Calibri Light" w:hAnsi="Calibri Light" w:cs="Calibri Light"/>
          <w:color w:val="auto"/>
          <w:sz w:val="24"/>
          <w:szCs w:val="24"/>
        </w:rPr>
        <w:t xml:space="preserve">. All relevant parties (Canberra, the Mekong Hub, Posts, </w:t>
      </w:r>
      <w:r w:rsidR="72CC4F0D" w:rsidRPr="0097193D">
        <w:rPr>
          <w:rFonts w:ascii="Calibri Light" w:eastAsia="Calibri Light" w:hAnsi="Calibri Light" w:cs="Calibri Light"/>
          <w:color w:val="auto"/>
          <w:sz w:val="24"/>
          <w:szCs w:val="24"/>
        </w:rPr>
        <w:t>i</w:t>
      </w:r>
      <w:r w:rsidRPr="0097193D">
        <w:rPr>
          <w:rFonts w:ascii="Calibri Light" w:eastAsia="Calibri Light" w:hAnsi="Calibri Light" w:cs="Calibri Light"/>
          <w:color w:val="auto"/>
          <w:sz w:val="24"/>
          <w:szCs w:val="24"/>
        </w:rPr>
        <w:t>mplementing</w:t>
      </w:r>
      <w:r w:rsidR="61C468EB" w:rsidRPr="0097193D">
        <w:rPr>
          <w:rFonts w:ascii="Calibri Light" w:eastAsia="Calibri Light" w:hAnsi="Calibri Light" w:cs="Calibri Light"/>
          <w:color w:val="auto"/>
          <w:sz w:val="24"/>
          <w:szCs w:val="24"/>
        </w:rPr>
        <w:t xml:space="preserve"> partners and the </w:t>
      </w:r>
      <w:r w:rsidRPr="0097193D">
        <w:rPr>
          <w:rFonts w:ascii="Calibri Light" w:eastAsia="Calibri Light" w:hAnsi="Calibri Light" w:cs="Calibri Light"/>
          <w:color w:val="auto"/>
          <w:sz w:val="24"/>
          <w:szCs w:val="24"/>
        </w:rPr>
        <w:t xml:space="preserve">support services contractor) will </w:t>
      </w:r>
      <w:r w:rsidR="543A47DF" w:rsidRPr="0097193D">
        <w:rPr>
          <w:rFonts w:ascii="Calibri Light" w:eastAsia="Calibri Light" w:hAnsi="Calibri Light" w:cs="Calibri Light"/>
          <w:color w:val="auto"/>
          <w:sz w:val="24"/>
          <w:szCs w:val="24"/>
        </w:rPr>
        <w:t xml:space="preserve">undertake necessary due </w:t>
      </w:r>
      <w:r w:rsidR="49C3ED83" w:rsidRPr="0097193D">
        <w:rPr>
          <w:rFonts w:ascii="Calibri Light" w:eastAsia="Calibri Light" w:hAnsi="Calibri Light" w:cs="Calibri Light"/>
          <w:color w:val="auto"/>
          <w:sz w:val="24"/>
          <w:szCs w:val="24"/>
        </w:rPr>
        <w:t xml:space="preserve">diligence measures, remain current with </w:t>
      </w:r>
      <w:r w:rsidR="045A8CB5" w:rsidRPr="0097193D">
        <w:rPr>
          <w:rFonts w:ascii="Calibri Light" w:eastAsia="Calibri Light" w:hAnsi="Calibri Light" w:cs="Calibri Light"/>
          <w:color w:val="auto"/>
          <w:sz w:val="24"/>
          <w:szCs w:val="24"/>
        </w:rPr>
        <w:t>DFAT policies</w:t>
      </w:r>
      <w:r w:rsidR="6D14F716" w:rsidRPr="0097193D">
        <w:rPr>
          <w:rFonts w:ascii="Calibri Light" w:eastAsia="Calibri Light" w:hAnsi="Calibri Light" w:cs="Calibri Light"/>
          <w:color w:val="auto"/>
          <w:sz w:val="24"/>
          <w:szCs w:val="24"/>
        </w:rPr>
        <w:t xml:space="preserve"> and</w:t>
      </w:r>
      <w:r w:rsidR="045A8CB5" w:rsidRPr="0097193D">
        <w:rPr>
          <w:rFonts w:ascii="Calibri Light" w:eastAsia="Calibri Light" w:hAnsi="Calibri Light" w:cs="Calibri Light"/>
          <w:color w:val="auto"/>
          <w:sz w:val="24"/>
          <w:szCs w:val="24"/>
        </w:rPr>
        <w:t xml:space="preserve"> procedures, be informed of ongoing and emerging risks and undertake </w:t>
      </w:r>
      <w:r w:rsidR="49C3ED83" w:rsidRPr="0097193D">
        <w:rPr>
          <w:rFonts w:ascii="Calibri Light" w:eastAsia="Calibri Light" w:hAnsi="Calibri Light" w:cs="Calibri Light"/>
          <w:color w:val="auto"/>
          <w:sz w:val="24"/>
          <w:szCs w:val="24"/>
        </w:rPr>
        <w:t>relevant training</w:t>
      </w:r>
      <w:r w:rsidR="3D1CA7A8" w:rsidRPr="0097193D">
        <w:rPr>
          <w:rFonts w:ascii="Calibri Light" w:eastAsia="Calibri Light" w:hAnsi="Calibri Light" w:cs="Calibri Light"/>
          <w:color w:val="auto"/>
          <w:sz w:val="24"/>
          <w:szCs w:val="24"/>
        </w:rPr>
        <w:t>.</w:t>
      </w:r>
    </w:p>
    <w:p w14:paraId="670C0032" w14:textId="2C608757" w:rsidR="26A33B90" w:rsidRPr="0097193D" w:rsidRDefault="26A33B90" w:rsidP="4C1C98D1">
      <w:pPr>
        <w:tabs>
          <w:tab w:val="left" w:pos="284"/>
        </w:tabs>
        <w:spacing w:before="0" w:line="280" w:lineRule="exact"/>
        <w:rPr>
          <w:rFonts w:ascii="Calibri Light" w:eastAsia="Calibri Light" w:hAnsi="Calibri Light" w:cs="Calibri Light"/>
          <w:color w:val="auto"/>
          <w:sz w:val="24"/>
          <w:szCs w:val="24"/>
        </w:rPr>
      </w:pPr>
      <w:r w:rsidRPr="0097193D">
        <w:rPr>
          <w:rFonts w:ascii="Calibri Light" w:eastAsia="Calibri Light" w:hAnsi="Calibri Light" w:cs="Calibri Light"/>
          <w:i/>
          <w:color w:val="auto"/>
          <w:sz w:val="24"/>
          <w:szCs w:val="24"/>
          <w:lang w:val="en-AU"/>
        </w:rPr>
        <w:t xml:space="preserve">Child Protection: </w:t>
      </w:r>
      <w:r w:rsidR="5465B2FC" w:rsidRPr="0097193D">
        <w:rPr>
          <w:rFonts w:ascii="Calibri Light" w:eastAsia="Calibri Light" w:hAnsi="Calibri Light" w:cs="Calibri Light"/>
          <w:color w:val="auto"/>
          <w:sz w:val="24"/>
          <w:szCs w:val="24"/>
        </w:rPr>
        <w:t>While MAP Phase 2 will not work directly with children and does not have any reason to contact them online, personnel may encounter children as part of any consultation or visits</w:t>
      </w:r>
      <w:r w:rsidR="003F7911" w:rsidRPr="0097193D">
        <w:rPr>
          <w:rFonts w:ascii="Calibri Light" w:eastAsia="Calibri Light" w:hAnsi="Calibri Light" w:cs="Calibri Light"/>
          <w:color w:val="auto"/>
          <w:sz w:val="24"/>
          <w:szCs w:val="24"/>
        </w:rPr>
        <w:t>, e</w:t>
      </w:r>
      <w:r w:rsidR="00CF0522" w:rsidRPr="0097193D">
        <w:rPr>
          <w:rFonts w:ascii="Calibri Light" w:eastAsia="Calibri Light" w:hAnsi="Calibri Light" w:cs="Calibri Light"/>
          <w:color w:val="auto"/>
          <w:sz w:val="24"/>
          <w:szCs w:val="24"/>
        </w:rPr>
        <w:t>.</w:t>
      </w:r>
      <w:r w:rsidR="003F7911" w:rsidRPr="0097193D">
        <w:rPr>
          <w:rFonts w:ascii="Calibri Light" w:eastAsia="Calibri Light" w:hAnsi="Calibri Light" w:cs="Calibri Light"/>
          <w:color w:val="auto"/>
          <w:sz w:val="24"/>
          <w:szCs w:val="24"/>
        </w:rPr>
        <w:t>g</w:t>
      </w:r>
      <w:r w:rsidR="00CF0522" w:rsidRPr="0097193D">
        <w:rPr>
          <w:rFonts w:ascii="Calibri Light" w:eastAsia="Calibri Light" w:hAnsi="Calibri Light" w:cs="Calibri Light"/>
          <w:color w:val="auto"/>
          <w:sz w:val="24"/>
          <w:szCs w:val="24"/>
        </w:rPr>
        <w:t>.</w:t>
      </w:r>
      <w:r w:rsidR="5465B2FC" w:rsidRPr="0097193D">
        <w:rPr>
          <w:rFonts w:ascii="Calibri Light" w:eastAsia="Calibri Light" w:hAnsi="Calibri Light" w:cs="Calibri Light"/>
          <w:color w:val="auto"/>
          <w:sz w:val="24"/>
          <w:szCs w:val="24"/>
        </w:rPr>
        <w:t xml:space="preserve"> through water security and climate resilience investments</w:t>
      </w:r>
      <w:r w:rsidR="003F7911" w:rsidRPr="0097193D">
        <w:rPr>
          <w:rFonts w:ascii="Calibri Light" w:eastAsia="Calibri Light" w:hAnsi="Calibri Light" w:cs="Calibri Light"/>
          <w:color w:val="auto"/>
          <w:sz w:val="24"/>
          <w:szCs w:val="24"/>
        </w:rPr>
        <w:t xml:space="preserve"> with a community engagement component</w:t>
      </w:r>
      <w:r w:rsidR="5465B2FC" w:rsidRPr="0097193D">
        <w:rPr>
          <w:rFonts w:ascii="Calibri Light" w:eastAsia="Calibri Light" w:hAnsi="Calibri Light" w:cs="Calibri Light"/>
          <w:color w:val="auto"/>
          <w:sz w:val="24"/>
          <w:szCs w:val="24"/>
        </w:rPr>
        <w:t xml:space="preserve">. </w:t>
      </w:r>
      <w:r w:rsidR="7A1E8AD3" w:rsidRPr="0097193D">
        <w:rPr>
          <w:rFonts w:ascii="Calibri Light" w:eastAsia="Calibri Light" w:hAnsi="Calibri Light" w:cs="Calibri Light"/>
          <w:color w:val="auto"/>
          <w:sz w:val="24"/>
          <w:szCs w:val="24"/>
        </w:rPr>
        <w:t>All relevant parties (</w:t>
      </w:r>
      <w:r w:rsidR="3856B3E1" w:rsidRPr="0097193D">
        <w:rPr>
          <w:rFonts w:ascii="Calibri Light" w:eastAsia="Calibri Light" w:hAnsi="Calibri Light" w:cs="Calibri Light"/>
          <w:color w:val="auto"/>
          <w:sz w:val="24"/>
          <w:szCs w:val="24"/>
        </w:rPr>
        <w:t>Canberra, the Mekong Hub, Mekong Posts</w:t>
      </w:r>
      <w:r w:rsidR="65C7AFD6" w:rsidRPr="0097193D">
        <w:rPr>
          <w:rFonts w:ascii="Calibri Light" w:eastAsia="Calibri Light" w:hAnsi="Calibri Light" w:cs="Calibri Light"/>
          <w:color w:val="auto"/>
          <w:sz w:val="24"/>
          <w:szCs w:val="24"/>
        </w:rPr>
        <w:t xml:space="preserve">, implementing partners and the </w:t>
      </w:r>
      <w:r w:rsidR="3856B3E1" w:rsidRPr="0097193D">
        <w:rPr>
          <w:rFonts w:ascii="Calibri Light" w:eastAsia="Calibri Light" w:hAnsi="Calibri Light" w:cs="Calibri Light"/>
          <w:color w:val="auto"/>
          <w:sz w:val="24"/>
          <w:szCs w:val="24"/>
        </w:rPr>
        <w:t>support services contractor</w:t>
      </w:r>
      <w:r w:rsidR="010472B2" w:rsidRPr="0097193D">
        <w:rPr>
          <w:rFonts w:ascii="Calibri Light" w:eastAsia="Calibri Light" w:hAnsi="Calibri Light" w:cs="Calibri Light"/>
          <w:color w:val="auto"/>
          <w:sz w:val="24"/>
          <w:szCs w:val="24"/>
        </w:rPr>
        <w:t>)</w:t>
      </w:r>
      <w:r w:rsidR="3856B3E1" w:rsidRPr="0097193D">
        <w:rPr>
          <w:rFonts w:ascii="Calibri Light" w:eastAsia="Calibri Light" w:hAnsi="Calibri Light" w:cs="Calibri Light"/>
          <w:color w:val="auto"/>
          <w:sz w:val="24"/>
          <w:szCs w:val="24"/>
        </w:rPr>
        <w:t xml:space="preserve"> </w:t>
      </w:r>
      <w:r w:rsidR="5465B2FC" w:rsidRPr="0097193D">
        <w:rPr>
          <w:rFonts w:ascii="Calibri Light" w:eastAsia="Calibri Light" w:hAnsi="Calibri Light" w:cs="Calibri Light"/>
          <w:color w:val="auto"/>
          <w:sz w:val="24"/>
          <w:szCs w:val="24"/>
        </w:rPr>
        <w:t xml:space="preserve">will </w:t>
      </w:r>
      <w:r w:rsidR="43C014BD" w:rsidRPr="0097193D">
        <w:rPr>
          <w:rFonts w:ascii="Calibri Light" w:eastAsia="Calibri Light" w:hAnsi="Calibri Light" w:cs="Calibri Light"/>
          <w:color w:val="auto"/>
          <w:sz w:val="24"/>
          <w:szCs w:val="24"/>
        </w:rPr>
        <w:t xml:space="preserve">undertake </w:t>
      </w:r>
      <w:r w:rsidR="5465B2FC" w:rsidRPr="0097193D">
        <w:rPr>
          <w:rFonts w:ascii="Calibri Light" w:eastAsia="Calibri Light" w:hAnsi="Calibri Light" w:cs="Calibri Light"/>
          <w:color w:val="auto"/>
          <w:sz w:val="24"/>
          <w:szCs w:val="24"/>
        </w:rPr>
        <w:t>diligence measures</w:t>
      </w:r>
      <w:r w:rsidR="6A4F693C" w:rsidRPr="0097193D">
        <w:rPr>
          <w:rFonts w:ascii="Calibri Light" w:eastAsia="Calibri Light" w:hAnsi="Calibri Light" w:cs="Calibri Light"/>
          <w:color w:val="auto"/>
          <w:sz w:val="24"/>
          <w:szCs w:val="24"/>
        </w:rPr>
        <w:t xml:space="preserve">, </w:t>
      </w:r>
      <w:r w:rsidR="5465B2FC" w:rsidRPr="0097193D">
        <w:rPr>
          <w:rFonts w:ascii="Calibri Light" w:eastAsia="Calibri Light" w:hAnsi="Calibri Light" w:cs="Calibri Light"/>
          <w:color w:val="auto"/>
          <w:sz w:val="24"/>
          <w:szCs w:val="24"/>
        </w:rPr>
        <w:t>remain current with child labour issues</w:t>
      </w:r>
      <w:r w:rsidR="5318FDE1" w:rsidRPr="0097193D">
        <w:rPr>
          <w:rFonts w:ascii="Calibri Light" w:eastAsia="Calibri Light" w:hAnsi="Calibri Light" w:cs="Calibri Light"/>
          <w:color w:val="auto"/>
          <w:sz w:val="24"/>
          <w:szCs w:val="24"/>
        </w:rPr>
        <w:t xml:space="preserve">, </w:t>
      </w:r>
      <w:r w:rsidR="5465B2FC" w:rsidRPr="0097193D">
        <w:rPr>
          <w:rFonts w:ascii="Calibri Light" w:eastAsia="Calibri Light" w:hAnsi="Calibri Light" w:cs="Calibri Light"/>
          <w:color w:val="auto"/>
          <w:sz w:val="24"/>
          <w:szCs w:val="24"/>
        </w:rPr>
        <w:t>risks</w:t>
      </w:r>
      <w:r w:rsidR="37760129" w:rsidRPr="0097193D">
        <w:rPr>
          <w:rFonts w:ascii="Calibri Light" w:eastAsia="Calibri Light" w:hAnsi="Calibri Light" w:cs="Calibri Light"/>
          <w:color w:val="auto"/>
          <w:sz w:val="24"/>
          <w:szCs w:val="24"/>
        </w:rPr>
        <w:t xml:space="preserve"> and relevant training</w:t>
      </w:r>
      <w:r w:rsidR="00DD16BE" w:rsidRPr="0097193D">
        <w:rPr>
          <w:rFonts w:ascii="Calibri Light" w:eastAsia="Calibri Light" w:hAnsi="Calibri Light" w:cs="Calibri Light"/>
          <w:color w:val="auto"/>
          <w:sz w:val="24"/>
          <w:szCs w:val="24"/>
        </w:rPr>
        <w:t xml:space="preserve">. Where necessary, </w:t>
      </w:r>
      <w:r w:rsidR="00D71541" w:rsidRPr="0097193D">
        <w:rPr>
          <w:rFonts w:ascii="Calibri Light" w:eastAsia="Calibri Light" w:hAnsi="Calibri Light" w:cs="Calibri Light"/>
          <w:color w:val="auto"/>
          <w:sz w:val="24"/>
          <w:szCs w:val="24"/>
        </w:rPr>
        <w:t>parties will include</w:t>
      </w:r>
      <w:r w:rsidR="04BCDB58" w:rsidRPr="0097193D">
        <w:rPr>
          <w:rFonts w:ascii="Calibri Light" w:eastAsia="Calibri Light" w:hAnsi="Calibri Light" w:cs="Calibri Light"/>
          <w:color w:val="auto"/>
          <w:sz w:val="24"/>
          <w:szCs w:val="24"/>
        </w:rPr>
        <w:t xml:space="preserve"> mandatory clauses in agreement</w:t>
      </w:r>
      <w:r w:rsidR="2F018C8E" w:rsidRPr="0097193D">
        <w:rPr>
          <w:rFonts w:ascii="Calibri Light" w:eastAsia="Calibri Light" w:hAnsi="Calibri Light" w:cs="Calibri Light"/>
          <w:color w:val="auto"/>
          <w:sz w:val="24"/>
          <w:szCs w:val="24"/>
        </w:rPr>
        <w:t>s</w:t>
      </w:r>
      <w:r w:rsidR="04BCDB58" w:rsidRPr="0097193D">
        <w:rPr>
          <w:rFonts w:ascii="Calibri Light" w:eastAsia="Calibri Light" w:hAnsi="Calibri Light" w:cs="Calibri Light"/>
          <w:color w:val="auto"/>
          <w:sz w:val="24"/>
          <w:szCs w:val="24"/>
        </w:rPr>
        <w:t xml:space="preserve">. </w:t>
      </w:r>
    </w:p>
    <w:p w14:paraId="1B289667" w14:textId="6BF201A5" w:rsidR="26A33B90" w:rsidRPr="0097193D" w:rsidRDefault="26A33B90" w:rsidP="4C1C98D1">
      <w:pPr>
        <w:rPr>
          <w:rFonts w:ascii="Calibri Light" w:eastAsia="Calibri Light" w:hAnsi="Calibri Light" w:cs="Calibri Light"/>
          <w:color w:val="auto"/>
          <w:sz w:val="24"/>
          <w:szCs w:val="24"/>
          <w:lang w:val="en-AU"/>
        </w:rPr>
      </w:pPr>
      <w:r w:rsidRPr="0097193D">
        <w:rPr>
          <w:rFonts w:ascii="Calibri Light" w:eastAsia="Calibri Light" w:hAnsi="Calibri Light" w:cs="Calibri Light"/>
          <w:i/>
          <w:color w:val="auto"/>
          <w:sz w:val="24"/>
          <w:szCs w:val="24"/>
          <w:lang w:val="en-AU"/>
        </w:rPr>
        <w:t xml:space="preserve">PSEAH: </w:t>
      </w:r>
      <w:r w:rsidR="7987A92B" w:rsidRPr="0097193D">
        <w:rPr>
          <w:rFonts w:ascii="Calibri Light" w:eastAsia="Calibri Light" w:hAnsi="Calibri Light" w:cs="Calibri Light"/>
          <w:color w:val="auto"/>
          <w:sz w:val="24"/>
          <w:szCs w:val="24"/>
        </w:rPr>
        <w:t>MAP Phase 2 strongly supports the involvement of women and people with disability in program activities and their inclusion in program benefits. The facilitation of women into male-dominated activities poses risks for sexual exploitation, abuse</w:t>
      </w:r>
      <w:r w:rsidR="26901FF8" w:rsidRPr="0097193D">
        <w:rPr>
          <w:rFonts w:ascii="Calibri Light" w:eastAsia="Calibri Light" w:hAnsi="Calibri Light" w:cs="Calibri Light"/>
          <w:color w:val="auto"/>
          <w:sz w:val="24"/>
          <w:szCs w:val="24"/>
        </w:rPr>
        <w:t xml:space="preserve"> </w:t>
      </w:r>
      <w:r w:rsidR="7987A92B" w:rsidRPr="0097193D">
        <w:rPr>
          <w:rFonts w:ascii="Calibri Light" w:eastAsia="Calibri Light" w:hAnsi="Calibri Light" w:cs="Calibri Light"/>
          <w:color w:val="auto"/>
          <w:sz w:val="24"/>
          <w:szCs w:val="24"/>
        </w:rPr>
        <w:t>and harassment. Examples of potential risks include the involvement of women on majority-male delegations or courses</w:t>
      </w:r>
      <w:r w:rsidR="2007ECD8" w:rsidRPr="0097193D">
        <w:rPr>
          <w:rFonts w:ascii="Calibri Light" w:eastAsia="Calibri Light" w:hAnsi="Calibri Light" w:cs="Calibri Light"/>
          <w:color w:val="auto"/>
          <w:sz w:val="24"/>
          <w:szCs w:val="24"/>
        </w:rPr>
        <w:t xml:space="preserve"> (relevant to all thematic areas of MAP Phase 2</w:t>
      </w:r>
      <w:r w:rsidR="7CD55474" w:rsidRPr="0097193D">
        <w:rPr>
          <w:rFonts w:ascii="Calibri Light" w:eastAsia="Calibri Light" w:hAnsi="Calibri Light" w:cs="Calibri Light"/>
          <w:color w:val="auto"/>
          <w:sz w:val="24"/>
          <w:szCs w:val="24"/>
        </w:rPr>
        <w:t>, especially economic resilience and subregional</w:t>
      </w:r>
      <w:r w:rsidR="695A6DCD" w:rsidRPr="0097193D">
        <w:rPr>
          <w:rFonts w:ascii="Calibri Light" w:eastAsia="Calibri Light" w:hAnsi="Calibri Light" w:cs="Calibri Light"/>
          <w:color w:val="auto"/>
          <w:sz w:val="24"/>
          <w:szCs w:val="24"/>
        </w:rPr>
        <w:t xml:space="preserve"> integration</w:t>
      </w:r>
      <w:r w:rsidR="15AF0816" w:rsidRPr="0097193D">
        <w:rPr>
          <w:rFonts w:ascii="Calibri Light" w:eastAsia="Calibri Light" w:hAnsi="Calibri Light" w:cs="Calibri Light"/>
          <w:color w:val="auto"/>
          <w:sz w:val="24"/>
          <w:szCs w:val="24"/>
        </w:rPr>
        <w:t xml:space="preserve"> an</w:t>
      </w:r>
      <w:r w:rsidR="7CD55474" w:rsidRPr="0097193D">
        <w:rPr>
          <w:rFonts w:ascii="Calibri Light" w:eastAsia="Calibri Light" w:hAnsi="Calibri Light" w:cs="Calibri Light"/>
          <w:color w:val="auto"/>
          <w:sz w:val="24"/>
          <w:szCs w:val="24"/>
        </w:rPr>
        <w:t>d GEDSI</w:t>
      </w:r>
      <w:r w:rsidR="2007ECD8" w:rsidRPr="0097193D">
        <w:rPr>
          <w:rFonts w:ascii="Calibri Light" w:eastAsia="Calibri Light" w:hAnsi="Calibri Light" w:cs="Calibri Light"/>
          <w:color w:val="auto"/>
          <w:sz w:val="24"/>
          <w:szCs w:val="24"/>
        </w:rPr>
        <w:t>)</w:t>
      </w:r>
      <w:r w:rsidR="7987A92B" w:rsidRPr="0097193D">
        <w:rPr>
          <w:rFonts w:ascii="Calibri Light" w:eastAsia="Calibri Light" w:hAnsi="Calibri Light" w:cs="Calibri Light"/>
          <w:color w:val="auto"/>
          <w:sz w:val="24"/>
          <w:szCs w:val="24"/>
        </w:rPr>
        <w:t>, including with travel and social components where women may be vulnerable to sexual harassment, abuse, or assault. Canberra, the Mekong Hub and Mekong Posts will comply with DFAT’s internal policies for PSEAH. The support services contractor and downstream implementing</w:t>
      </w:r>
      <w:r w:rsidR="00D71541" w:rsidRPr="0097193D">
        <w:rPr>
          <w:rFonts w:ascii="Calibri Light" w:eastAsia="Calibri Light" w:hAnsi="Calibri Light" w:cs="Calibri Light"/>
          <w:color w:val="auto"/>
          <w:sz w:val="24"/>
          <w:szCs w:val="24"/>
        </w:rPr>
        <w:t xml:space="preserve"> partners will give</w:t>
      </w:r>
      <w:r w:rsidR="7987A92B" w:rsidRPr="0097193D">
        <w:rPr>
          <w:rFonts w:ascii="Calibri Light" w:eastAsia="Calibri Light" w:hAnsi="Calibri Light" w:cs="Calibri Light"/>
          <w:color w:val="auto"/>
          <w:sz w:val="24"/>
          <w:szCs w:val="24"/>
        </w:rPr>
        <w:t xml:space="preserve"> effect to DFAT’s PSEAH Policy through identification and analysis of SEAH risks</w:t>
      </w:r>
      <w:r w:rsidR="00BB3EC5" w:rsidRPr="0097193D">
        <w:rPr>
          <w:rFonts w:ascii="Calibri Light" w:eastAsia="Calibri Light" w:hAnsi="Calibri Light" w:cs="Calibri Light"/>
          <w:color w:val="auto"/>
          <w:sz w:val="24"/>
          <w:szCs w:val="24"/>
        </w:rPr>
        <w:t xml:space="preserve"> and</w:t>
      </w:r>
      <w:r w:rsidR="7987A92B" w:rsidRPr="0097193D">
        <w:rPr>
          <w:rFonts w:ascii="Calibri Light" w:eastAsia="Calibri Light" w:hAnsi="Calibri Light" w:cs="Calibri Light"/>
          <w:color w:val="auto"/>
          <w:sz w:val="24"/>
          <w:szCs w:val="24"/>
        </w:rPr>
        <w:t xml:space="preserve"> develop</w:t>
      </w:r>
      <w:r w:rsidR="00D71541" w:rsidRPr="0097193D">
        <w:rPr>
          <w:rFonts w:ascii="Calibri Light" w:eastAsia="Calibri Light" w:hAnsi="Calibri Light" w:cs="Calibri Light"/>
          <w:color w:val="auto"/>
          <w:sz w:val="24"/>
          <w:szCs w:val="24"/>
        </w:rPr>
        <w:t>ment of</w:t>
      </w:r>
      <w:r w:rsidR="7987A92B" w:rsidRPr="0097193D">
        <w:rPr>
          <w:rFonts w:ascii="Calibri Light" w:eastAsia="Calibri Light" w:hAnsi="Calibri Light" w:cs="Calibri Light"/>
          <w:color w:val="auto"/>
          <w:sz w:val="24"/>
          <w:szCs w:val="24"/>
        </w:rPr>
        <w:t xml:space="preserve"> organisational policies and controls to prevent, manage, monitor and report on the risk of sexual exploitation, abuse, and harassment. The </w:t>
      </w:r>
      <w:r w:rsidR="37D27204" w:rsidRPr="0097193D">
        <w:rPr>
          <w:rFonts w:ascii="Calibri Light" w:eastAsia="Calibri Light" w:hAnsi="Calibri Light" w:cs="Calibri Light"/>
          <w:color w:val="auto"/>
          <w:sz w:val="24"/>
          <w:szCs w:val="24"/>
        </w:rPr>
        <w:t xml:space="preserve">MAP Steering Committee will </w:t>
      </w:r>
      <w:r w:rsidR="7987A92B" w:rsidRPr="0097193D">
        <w:rPr>
          <w:rFonts w:ascii="Calibri Light" w:eastAsia="Calibri Light" w:hAnsi="Calibri Light" w:cs="Calibri Light"/>
          <w:color w:val="auto"/>
          <w:sz w:val="24"/>
          <w:szCs w:val="24"/>
        </w:rPr>
        <w:t xml:space="preserve">review program and partner risks, and the </w:t>
      </w:r>
      <w:r w:rsidR="5167D667" w:rsidRPr="0097193D">
        <w:rPr>
          <w:rFonts w:ascii="Calibri Light" w:eastAsia="Calibri Light" w:hAnsi="Calibri Light" w:cs="Calibri Light"/>
          <w:color w:val="auto"/>
          <w:sz w:val="24"/>
          <w:szCs w:val="24"/>
        </w:rPr>
        <w:t>sup</w:t>
      </w:r>
      <w:r w:rsidR="2F32887F" w:rsidRPr="0097193D">
        <w:rPr>
          <w:rFonts w:ascii="Calibri Light" w:eastAsia="Calibri Light" w:hAnsi="Calibri Light" w:cs="Calibri Light"/>
          <w:color w:val="auto"/>
          <w:sz w:val="24"/>
          <w:szCs w:val="24"/>
        </w:rPr>
        <w:t>p</w:t>
      </w:r>
      <w:r w:rsidR="5167D667" w:rsidRPr="0097193D">
        <w:rPr>
          <w:rFonts w:ascii="Calibri Light" w:eastAsia="Calibri Light" w:hAnsi="Calibri Light" w:cs="Calibri Light"/>
          <w:color w:val="auto"/>
          <w:sz w:val="24"/>
          <w:szCs w:val="24"/>
        </w:rPr>
        <w:t xml:space="preserve">ort services </w:t>
      </w:r>
      <w:r w:rsidR="7987A92B" w:rsidRPr="0097193D">
        <w:rPr>
          <w:rFonts w:ascii="Calibri Light" w:eastAsia="Calibri Light" w:hAnsi="Calibri Light" w:cs="Calibri Light"/>
          <w:color w:val="auto"/>
          <w:sz w:val="24"/>
          <w:szCs w:val="24"/>
        </w:rPr>
        <w:t>contractor will be expected to immediately report any alleged incidents of sexual exploitation, abuse or harassment and measures taken in response.</w:t>
      </w:r>
      <w:r w:rsidR="7987A92B" w:rsidRPr="0097193D">
        <w:rPr>
          <w:rFonts w:ascii="Calibri Light" w:eastAsia="Calibri Light" w:hAnsi="Calibri Light" w:cs="Calibri Light"/>
          <w:color w:val="auto"/>
          <w:sz w:val="24"/>
          <w:szCs w:val="24"/>
          <w:lang w:val="en-AU"/>
        </w:rPr>
        <w:t xml:space="preserve"> </w:t>
      </w:r>
    </w:p>
    <w:p w14:paraId="6B9EBDE1" w14:textId="6CF9844A" w:rsidR="26A33B90" w:rsidRPr="0097193D" w:rsidRDefault="26A33B90" w:rsidP="4C1C98D1">
      <w:pPr>
        <w:rPr>
          <w:rFonts w:ascii="Calibri Light" w:eastAsia="Calibri Light" w:hAnsi="Calibri Light" w:cs="Calibri Light"/>
          <w:color w:val="auto"/>
          <w:sz w:val="24"/>
          <w:szCs w:val="24"/>
        </w:rPr>
      </w:pPr>
      <w:r w:rsidRPr="0097193D">
        <w:rPr>
          <w:rFonts w:ascii="Calibri Light" w:eastAsia="Calibri Light" w:hAnsi="Calibri Light" w:cs="Calibri Light"/>
          <w:i/>
          <w:color w:val="auto"/>
          <w:sz w:val="24"/>
          <w:szCs w:val="24"/>
          <w:lang w:val="en-AU"/>
        </w:rPr>
        <w:t xml:space="preserve">Environmental and Social Safeguards: </w:t>
      </w:r>
      <w:r w:rsidR="295264F2" w:rsidRPr="0097193D">
        <w:rPr>
          <w:rFonts w:ascii="Calibri Light" w:eastAsia="Calibri Light" w:hAnsi="Calibri Light" w:cs="Calibri Light"/>
          <w:color w:val="auto"/>
          <w:sz w:val="24"/>
          <w:szCs w:val="24"/>
          <w:lang w:val="en-AU"/>
        </w:rPr>
        <w:t>There are a range of significant environmental and social safeguards</w:t>
      </w:r>
      <w:r w:rsidR="3F2E24A1" w:rsidRPr="0097193D">
        <w:rPr>
          <w:rFonts w:ascii="Calibri Light" w:eastAsia="Calibri Light" w:hAnsi="Calibri Light" w:cs="Calibri Light"/>
          <w:color w:val="auto"/>
          <w:sz w:val="24"/>
          <w:szCs w:val="24"/>
          <w:lang w:val="en-AU"/>
        </w:rPr>
        <w:t xml:space="preserve"> risks</w:t>
      </w:r>
      <w:r w:rsidR="295264F2" w:rsidRPr="0097193D">
        <w:rPr>
          <w:rFonts w:ascii="Calibri Light" w:eastAsia="Calibri Light" w:hAnsi="Calibri Light" w:cs="Calibri Light"/>
          <w:color w:val="auto"/>
          <w:sz w:val="24"/>
          <w:szCs w:val="24"/>
          <w:lang w:val="en-AU"/>
        </w:rPr>
        <w:t xml:space="preserve"> in the Mekong subregion that need to be managed throughout MAP Phase 2. This includes</w:t>
      </w:r>
      <w:r w:rsidR="00BB3EC5" w:rsidRPr="0097193D">
        <w:rPr>
          <w:rFonts w:ascii="Calibri Light" w:eastAsia="Calibri Light" w:hAnsi="Calibri Light" w:cs="Calibri Light"/>
          <w:color w:val="auto"/>
          <w:sz w:val="24"/>
          <w:szCs w:val="24"/>
          <w:lang w:val="en-AU"/>
        </w:rPr>
        <w:t>,</w:t>
      </w:r>
      <w:r w:rsidR="295264F2" w:rsidRPr="0097193D">
        <w:rPr>
          <w:rFonts w:ascii="Calibri Light" w:eastAsia="Calibri Light" w:hAnsi="Calibri Light" w:cs="Calibri Light"/>
          <w:color w:val="auto"/>
          <w:sz w:val="24"/>
          <w:szCs w:val="24"/>
          <w:lang w:val="en-AU"/>
        </w:rPr>
        <w:t xml:space="preserve"> but is not l</w:t>
      </w:r>
      <w:r w:rsidR="00893F70" w:rsidRPr="0097193D">
        <w:rPr>
          <w:rFonts w:ascii="Calibri Light" w:eastAsia="Calibri Light" w:hAnsi="Calibri Light" w:cs="Calibri Light"/>
          <w:color w:val="auto"/>
          <w:sz w:val="24"/>
          <w:szCs w:val="24"/>
          <w:lang w:val="en-AU"/>
        </w:rPr>
        <w:t>imited to</w:t>
      </w:r>
      <w:r w:rsidR="00BB3EC5" w:rsidRPr="0097193D">
        <w:rPr>
          <w:rFonts w:ascii="Calibri Light" w:eastAsia="Calibri Light" w:hAnsi="Calibri Light" w:cs="Calibri Light"/>
          <w:color w:val="auto"/>
          <w:sz w:val="24"/>
          <w:szCs w:val="24"/>
          <w:lang w:val="en-AU"/>
        </w:rPr>
        <w:t>,</w:t>
      </w:r>
      <w:r w:rsidR="00893F70" w:rsidRPr="0097193D">
        <w:rPr>
          <w:rFonts w:ascii="Calibri Light" w:eastAsia="Calibri Light" w:hAnsi="Calibri Light" w:cs="Calibri Light"/>
          <w:color w:val="auto"/>
          <w:sz w:val="24"/>
          <w:szCs w:val="24"/>
          <w:lang w:val="en-AU"/>
        </w:rPr>
        <w:t xml:space="preserve"> the risk of MAP investments </w:t>
      </w:r>
      <w:r w:rsidR="295264F2" w:rsidRPr="0097193D">
        <w:rPr>
          <w:rFonts w:ascii="Calibri Light" w:eastAsia="Calibri Light" w:hAnsi="Calibri Light" w:cs="Calibri Light"/>
          <w:color w:val="auto"/>
          <w:sz w:val="24"/>
          <w:szCs w:val="24"/>
          <w:lang w:val="en-AU"/>
        </w:rPr>
        <w:t>(</w:t>
      </w:r>
      <w:r w:rsidR="56C21950" w:rsidRPr="0097193D">
        <w:rPr>
          <w:rFonts w:ascii="Calibri Light" w:eastAsia="Calibri Light" w:hAnsi="Calibri Light" w:cs="Calibri Light"/>
          <w:color w:val="auto"/>
          <w:sz w:val="24"/>
          <w:szCs w:val="24"/>
          <w:lang w:val="en-AU"/>
        </w:rPr>
        <w:t>e</w:t>
      </w:r>
      <w:r w:rsidR="00CF0522" w:rsidRPr="0097193D">
        <w:rPr>
          <w:rFonts w:ascii="Calibri Light" w:eastAsia="Calibri Light" w:hAnsi="Calibri Light" w:cs="Calibri Light"/>
          <w:color w:val="auto"/>
          <w:sz w:val="24"/>
          <w:szCs w:val="24"/>
          <w:lang w:val="en-AU"/>
        </w:rPr>
        <w:t>.</w:t>
      </w:r>
      <w:r w:rsidR="56C21950" w:rsidRPr="0097193D">
        <w:rPr>
          <w:rFonts w:ascii="Calibri Light" w:eastAsia="Calibri Light" w:hAnsi="Calibri Light" w:cs="Calibri Light"/>
          <w:color w:val="auto"/>
          <w:sz w:val="24"/>
          <w:szCs w:val="24"/>
          <w:lang w:val="en-AU"/>
        </w:rPr>
        <w:t>g</w:t>
      </w:r>
      <w:r w:rsidR="00CF0522" w:rsidRPr="0097193D">
        <w:rPr>
          <w:rFonts w:ascii="Calibri Light" w:eastAsia="Calibri Light" w:hAnsi="Calibri Light" w:cs="Calibri Light"/>
          <w:color w:val="auto"/>
          <w:sz w:val="24"/>
          <w:szCs w:val="24"/>
          <w:lang w:val="en-AU"/>
        </w:rPr>
        <w:t>.</w:t>
      </w:r>
      <w:r w:rsidR="56C21950" w:rsidRPr="0097193D">
        <w:rPr>
          <w:rFonts w:ascii="Calibri Light" w:eastAsia="Calibri Light" w:hAnsi="Calibri Light" w:cs="Calibri Light"/>
          <w:color w:val="auto"/>
          <w:sz w:val="24"/>
          <w:szCs w:val="24"/>
          <w:lang w:val="en-AU"/>
        </w:rPr>
        <w:t xml:space="preserve"> </w:t>
      </w:r>
      <w:r w:rsidR="295264F2" w:rsidRPr="0097193D">
        <w:rPr>
          <w:rFonts w:ascii="Calibri Light" w:eastAsia="Calibri Light" w:hAnsi="Calibri Light" w:cs="Calibri Light"/>
          <w:color w:val="auto"/>
          <w:sz w:val="24"/>
          <w:szCs w:val="24"/>
          <w:lang w:val="en-AU"/>
        </w:rPr>
        <w:t xml:space="preserve">water security and </w:t>
      </w:r>
      <w:r w:rsidR="295264F2" w:rsidRPr="0097193D">
        <w:rPr>
          <w:rFonts w:eastAsiaTheme="minorEastAsia"/>
          <w:color w:val="auto"/>
          <w:sz w:val="24"/>
          <w:szCs w:val="24"/>
          <w:lang w:val="en-AU"/>
        </w:rPr>
        <w:t>climate resilience) causing</w:t>
      </w:r>
      <w:r w:rsidR="70AA1843" w:rsidRPr="0097193D">
        <w:rPr>
          <w:rFonts w:eastAsiaTheme="minorEastAsia"/>
          <w:color w:val="auto"/>
          <w:sz w:val="24"/>
          <w:szCs w:val="24"/>
          <w:lang w:val="en-AU"/>
        </w:rPr>
        <w:t xml:space="preserve"> negative environmental, safeguard, social or cultural harm to Mekong communities</w:t>
      </w:r>
      <w:r w:rsidR="001D2C91" w:rsidRPr="0097193D">
        <w:rPr>
          <w:rFonts w:eastAsiaTheme="minorEastAsia"/>
          <w:color w:val="auto"/>
          <w:sz w:val="24"/>
          <w:szCs w:val="24"/>
          <w:lang w:val="en-AU"/>
        </w:rPr>
        <w:t>. There is also a risk that communities</w:t>
      </w:r>
      <w:r w:rsidR="00CF0522" w:rsidRPr="0097193D">
        <w:rPr>
          <w:rFonts w:eastAsiaTheme="minorEastAsia"/>
          <w:color w:val="auto"/>
          <w:sz w:val="24"/>
          <w:szCs w:val="24"/>
          <w:lang w:val="en-AU"/>
        </w:rPr>
        <w:t xml:space="preserve"> </w:t>
      </w:r>
      <w:r w:rsidR="70AA1843" w:rsidRPr="0097193D">
        <w:rPr>
          <w:rFonts w:eastAsiaTheme="minorEastAsia"/>
          <w:color w:val="auto"/>
          <w:sz w:val="24"/>
          <w:szCs w:val="24"/>
          <w:lang w:val="en-AU"/>
        </w:rPr>
        <w:t>are affected by environmental impacts and natural disasters.</w:t>
      </w:r>
      <w:r w:rsidR="37E3C77F" w:rsidRPr="0097193D">
        <w:rPr>
          <w:rFonts w:eastAsiaTheme="minorEastAsia"/>
          <w:color w:val="auto"/>
          <w:sz w:val="24"/>
          <w:szCs w:val="24"/>
          <w:lang w:val="en-AU"/>
        </w:rPr>
        <w:t xml:space="preserve"> </w:t>
      </w:r>
      <w:r w:rsidR="37E3C77F" w:rsidRPr="0097193D">
        <w:rPr>
          <w:rFonts w:eastAsiaTheme="minorEastAsia"/>
          <w:color w:val="auto"/>
          <w:sz w:val="24"/>
          <w:szCs w:val="24"/>
        </w:rPr>
        <w:t>All parties (Canberra, Mekong Hub, Posts, support services contractor and implementing partners) will be required to follow DFAT’s Environmental and Social Safeguard Policy</w:t>
      </w:r>
      <w:r w:rsidR="6D6BE0AF" w:rsidRPr="0097193D">
        <w:rPr>
          <w:rFonts w:eastAsiaTheme="minorEastAsia"/>
          <w:color w:val="auto"/>
          <w:sz w:val="24"/>
          <w:szCs w:val="24"/>
        </w:rPr>
        <w:t xml:space="preserve"> and </w:t>
      </w:r>
      <w:r w:rsidR="37E3C77F" w:rsidRPr="0097193D">
        <w:rPr>
          <w:rFonts w:eastAsiaTheme="minorEastAsia"/>
          <w:color w:val="auto"/>
          <w:sz w:val="24"/>
          <w:szCs w:val="24"/>
        </w:rPr>
        <w:t>operational procedures</w:t>
      </w:r>
      <w:r w:rsidR="2EC6FB7E" w:rsidRPr="0097193D">
        <w:rPr>
          <w:rFonts w:eastAsiaTheme="minorEastAsia"/>
          <w:color w:val="auto"/>
          <w:sz w:val="24"/>
          <w:szCs w:val="24"/>
        </w:rPr>
        <w:t xml:space="preserve"> </w:t>
      </w:r>
      <w:r w:rsidR="37E3C77F" w:rsidRPr="0097193D">
        <w:rPr>
          <w:rFonts w:eastAsiaTheme="minorEastAsia"/>
          <w:color w:val="auto"/>
          <w:sz w:val="24"/>
          <w:szCs w:val="24"/>
        </w:rPr>
        <w:lastRenderedPageBreak/>
        <w:t xml:space="preserve">throughout activity selection, design, implementation, monitoring and review. </w:t>
      </w:r>
      <w:r w:rsidR="6B15991A" w:rsidRPr="0097193D">
        <w:rPr>
          <w:rFonts w:eastAsiaTheme="minorEastAsia"/>
          <w:color w:val="auto"/>
          <w:sz w:val="24"/>
          <w:szCs w:val="24"/>
          <w:lang w:val="en-AU"/>
        </w:rPr>
        <w:t xml:space="preserve">All parties will undertake relevant training and be </w:t>
      </w:r>
      <w:r w:rsidR="37E3C77F" w:rsidRPr="0097193D">
        <w:rPr>
          <w:rFonts w:eastAsiaTheme="minorEastAsia"/>
          <w:color w:val="auto"/>
          <w:sz w:val="24"/>
          <w:szCs w:val="24"/>
        </w:rPr>
        <w:t>proactive in the management of risks to environmental and social safeguards, and avoidance of harm by subcontracted partners</w:t>
      </w:r>
      <w:r w:rsidR="20782177" w:rsidRPr="0097193D">
        <w:rPr>
          <w:rFonts w:eastAsiaTheme="minorEastAsia"/>
          <w:color w:val="auto"/>
          <w:sz w:val="24"/>
          <w:szCs w:val="24"/>
        </w:rPr>
        <w:t>. T</w:t>
      </w:r>
      <w:r w:rsidR="1B317F59" w:rsidRPr="0097193D">
        <w:rPr>
          <w:rFonts w:eastAsiaTheme="minorEastAsia"/>
          <w:color w:val="auto"/>
          <w:sz w:val="24"/>
          <w:szCs w:val="24"/>
        </w:rPr>
        <w:t xml:space="preserve">he support services contractor and downstream </w:t>
      </w:r>
      <w:r w:rsidR="00F87AD3">
        <w:rPr>
          <w:rFonts w:eastAsiaTheme="minorEastAsia"/>
          <w:color w:val="auto"/>
          <w:sz w:val="24"/>
          <w:szCs w:val="24"/>
        </w:rPr>
        <w:t xml:space="preserve">partners </w:t>
      </w:r>
      <w:r w:rsidR="0136CE6B" w:rsidRPr="0097193D">
        <w:rPr>
          <w:rFonts w:eastAsiaTheme="minorEastAsia"/>
          <w:color w:val="auto"/>
          <w:sz w:val="24"/>
          <w:szCs w:val="24"/>
          <w:lang w:val="en-AU"/>
        </w:rPr>
        <w:t>will identify and analyse risks</w:t>
      </w:r>
      <w:r w:rsidR="1B317F59" w:rsidRPr="0097193D">
        <w:rPr>
          <w:rFonts w:eastAsiaTheme="minorEastAsia"/>
          <w:color w:val="auto"/>
          <w:sz w:val="24"/>
          <w:szCs w:val="24"/>
        </w:rPr>
        <w:t xml:space="preserve">, develop organisational policies and controls to prevent, manage, monitor and report on </w:t>
      </w:r>
      <w:r w:rsidR="35B1C404" w:rsidRPr="0097193D">
        <w:rPr>
          <w:rFonts w:eastAsiaTheme="minorEastAsia"/>
          <w:color w:val="auto"/>
          <w:sz w:val="24"/>
          <w:szCs w:val="24"/>
          <w:lang w:val="en-AU"/>
        </w:rPr>
        <w:t>environmental and social risks</w:t>
      </w:r>
      <w:r w:rsidR="1B317F59" w:rsidRPr="0097193D">
        <w:rPr>
          <w:rFonts w:eastAsiaTheme="minorEastAsia"/>
          <w:color w:val="auto"/>
          <w:sz w:val="24"/>
          <w:szCs w:val="24"/>
        </w:rPr>
        <w:t>. The MAP Steering Committee will review program and partner risks, and the sup</w:t>
      </w:r>
      <w:r w:rsidR="7C6B10F2" w:rsidRPr="0097193D">
        <w:rPr>
          <w:rFonts w:eastAsiaTheme="minorEastAsia"/>
          <w:color w:val="auto"/>
          <w:sz w:val="24"/>
          <w:szCs w:val="24"/>
        </w:rPr>
        <w:t>p</w:t>
      </w:r>
      <w:r w:rsidR="1B317F59" w:rsidRPr="0097193D">
        <w:rPr>
          <w:rFonts w:eastAsiaTheme="minorEastAsia"/>
          <w:color w:val="auto"/>
          <w:sz w:val="24"/>
          <w:szCs w:val="24"/>
        </w:rPr>
        <w:t>ort services contractor will be expected to</w:t>
      </w:r>
      <w:r w:rsidR="1B317F59" w:rsidRPr="0097193D">
        <w:rPr>
          <w:rFonts w:ascii="Calibri Light" w:eastAsia="Calibri Light" w:hAnsi="Calibri Light" w:cs="Calibri Light"/>
          <w:color w:val="auto"/>
          <w:sz w:val="24"/>
          <w:szCs w:val="24"/>
        </w:rPr>
        <w:t xml:space="preserve"> immediately report any </w:t>
      </w:r>
      <w:r w:rsidR="369FACF3" w:rsidRPr="0097193D">
        <w:rPr>
          <w:rFonts w:ascii="Calibri Light" w:eastAsia="Calibri Light" w:hAnsi="Calibri Light" w:cs="Calibri Light"/>
          <w:color w:val="auto"/>
          <w:sz w:val="24"/>
          <w:szCs w:val="24"/>
        </w:rPr>
        <w:t>environmental and social safeguard risks</w:t>
      </w:r>
      <w:r w:rsidR="1B317F59" w:rsidRPr="0097193D">
        <w:rPr>
          <w:rFonts w:ascii="Calibri Light" w:eastAsia="Calibri Light" w:hAnsi="Calibri Light" w:cs="Calibri Light"/>
          <w:color w:val="auto"/>
          <w:sz w:val="24"/>
          <w:szCs w:val="24"/>
        </w:rPr>
        <w:t xml:space="preserve"> and measures taken in response</w:t>
      </w:r>
      <w:r w:rsidR="002974EB" w:rsidRPr="0097193D">
        <w:rPr>
          <w:rFonts w:ascii="Calibri Light" w:eastAsia="Calibri Light" w:hAnsi="Calibri Light" w:cs="Calibri Light"/>
          <w:color w:val="auto"/>
          <w:sz w:val="24"/>
          <w:szCs w:val="24"/>
        </w:rPr>
        <w:t>.</w:t>
      </w:r>
    </w:p>
    <w:p w14:paraId="77B8AAF7" w14:textId="317BFA65" w:rsidR="75075783" w:rsidRPr="0097193D" w:rsidRDefault="26A33B90">
      <w:pPr>
        <w:rPr>
          <w:sz w:val="24"/>
          <w:szCs w:val="24"/>
        </w:rPr>
      </w:pPr>
      <w:r w:rsidRPr="0097193D">
        <w:rPr>
          <w:rFonts w:eastAsiaTheme="minorEastAsia"/>
          <w:i/>
          <w:color w:val="auto"/>
          <w:sz w:val="24"/>
          <w:szCs w:val="24"/>
          <w:lang w:val="en-AU"/>
        </w:rPr>
        <w:t>While displacement and temporary resettlement</w:t>
      </w:r>
      <w:r w:rsidRPr="0097193D">
        <w:rPr>
          <w:rFonts w:eastAsiaTheme="minorEastAsia"/>
          <w:color w:val="auto"/>
          <w:sz w:val="24"/>
          <w:szCs w:val="24"/>
          <w:lang w:val="en-AU"/>
        </w:rPr>
        <w:t xml:space="preserve"> is a very real risk</w:t>
      </w:r>
      <w:r w:rsidR="002974EB" w:rsidRPr="0097193D">
        <w:rPr>
          <w:rFonts w:eastAsiaTheme="minorEastAsia"/>
          <w:color w:val="auto"/>
          <w:sz w:val="24"/>
          <w:szCs w:val="24"/>
          <w:lang w:val="en-AU"/>
        </w:rPr>
        <w:t xml:space="preserve"> especially</w:t>
      </w:r>
      <w:r w:rsidRPr="0097193D">
        <w:rPr>
          <w:rFonts w:eastAsiaTheme="minorEastAsia"/>
          <w:color w:val="auto"/>
          <w:sz w:val="24"/>
          <w:szCs w:val="24"/>
          <w:lang w:val="en-AU"/>
        </w:rPr>
        <w:t xml:space="preserve"> in the Myanmar context, program activities will not directly result in displacement.  Proposed program </w:t>
      </w:r>
      <w:r w:rsidR="006C3B18" w:rsidRPr="0097193D">
        <w:rPr>
          <w:rFonts w:eastAsiaTheme="minorEastAsia"/>
          <w:color w:val="auto"/>
          <w:sz w:val="24"/>
          <w:szCs w:val="24"/>
          <w:lang w:val="en-AU"/>
        </w:rPr>
        <w:t>activit</w:t>
      </w:r>
      <w:r w:rsidR="006C3B18">
        <w:rPr>
          <w:rFonts w:eastAsiaTheme="minorEastAsia"/>
          <w:color w:val="auto"/>
          <w:sz w:val="24"/>
          <w:szCs w:val="24"/>
          <w:lang w:val="en-AU"/>
        </w:rPr>
        <w:t>ies</w:t>
      </w:r>
      <w:r w:rsidR="006C3B18" w:rsidRPr="0097193D">
        <w:rPr>
          <w:rFonts w:eastAsiaTheme="minorEastAsia"/>
          <w:color w:val="auto"/>
          <w:sz w:val="24"/>
          <w:szCs w:val="24"/>
          <w:lang w:val="en-AU"/>
        </w:rPr>
        <w:t xml:space="preserve"> </w:t>
      </w:r>
      <w:r w:rsidRPr="0097193D">
        <w:rPr>
          <w:rFonts w:eastAsiaTheme="minorEastAsia"/>
          <w:color w:val="auto"/>
          <w:sz w:val="24"/>
          <w:szCs w:val="24"/>
          <w:lang w:val="en-AU"/>
        </w:rPr>
        <w:t xml:space="preserve">will be reviewed through a do-no-harm lens to identify any risk that program participation might expose beneficiaries to regime actions that might threaten livelihoods or result in displacement.  </w:t>
      </w:r>
      <w:r w:rsidR="002974EB" w:rsidRPr="0097193D">
        <w:rPr>
          <w:rFonts w:eastAsiaTheme="minorEastAsia"/>
          <w:color w:val="auto"/>
          <w:sz w:val="24"/>
          <w:szCs w:val="24"/>
          <w:lang w:val="en-AU"/>
        </w:rPr>
        <w:t>P</w:t>
      </w:r>
      <w:r w:rsidRPr="0097193D">
        <w:rPr>
          <w:rFonts w:eastAsiaTheme="minorEastAsia"/>
          <w:color w:val="auto"/>
          <w:sz w:val="24"/>
          <w:szCs w:val="24"/>
          <w:lang w:val="en-AU"/>
        </w:rPr>
        <w:t xml:space="preserve">rogram partners </w:t>
      </w:r>
      <w:r w:rsidR="002974EB" w:rsidRPr="0097193D">
        <w:rPr>
          <w:rFonts w:eastAsiaTheme="minorEastAsia"/>
          <w:color w:val="auto"/>
          <w:sz w:val="24"/>
          <w:szCs w:val="24"/>
          <w:lang w:val="en-AU"/>
        </w:rPr>
        <w:t xml:space="preserve">will be expected </w:t>
      </w:r>
      <w:r w:rsidRPr="0097193D">
        <w:rPr>
          <w:rFonts w:eastAsiaTheme="minorEastAsia"/>
          <w:color w:val="auto"/>
          <w:sz w:val="24"/>
          <w:szCs w:val="24"/>
          <w:lang w:val="en-AU"/>
        </w:rPr>
        <w:t>to be attuned to the need to be responsive to displaced communities. Partners will need to deploy adaptive measures to pause, refocus, or stop activities if threats of displacement are identified.</w:t>
      </w:r>
    </w:p>
    <w:p w14:paraId="04EC6BDA" w14:textId="72E0A4BE" w:rsidR="75075783" w:rsidRDefault="75075783"/>
    <w:p w14:paraId="47C4E595" w14:textId="4A27FEF1" w:rsidR="75075783" w:rsidRDefault="75075783"/>
    <w:p w14:paraId="7006DF7E" w14:textId="77777777" w:rsidR="002F099A" w:rsidRPr="001F14E7" w:rsidRDefault="002F099A" w:rsidP="00792CAC">
      <w:pPr>
        <w:rPr>
          <w:lang w:val="en-AU"/>
        </w:rPr>
      </w:pPr>
    </w:p>
    <w:sectPr w:rsidR="002F099A" w:rsidRPr="001F14E7" w:rsidSect="00CF0522">
      <w:headerReference w:type="even" r:id="rId17"/>
      <w:headerReference w:type="default" r:id="rId18"/>
      <w:headerReference w:type="first" r:id="rId19"/>
      <w:footerReference w:type="first" r:id="rId20"/>
      <w:pgSz w:w="11906" w:h="16838" w:code="9"/>
      <w:pgMar w:top="1701" w:right="1134" w:bottom="1418" w:left="993"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80EB" w14:textId="77777777" w:rsidR="006A1C97" w:rsidRDefault="006A1C97" w:rsidP="00D37B04">
      <w:r>
        <w:separator/>
      </w:r>
    </w:p>
  </w:endnote>
  <w:endnote w:type="continuationSeparator" w:id="0">
    <w:p w14:paraId="5980AF1E" w14:textId="77777777" w:rsidR="006A1C97" w:rsidRDefault="006A1C97" w:rsidP="00D37B04">
      <w:r>
        <w:continuationSeparator/>
      </w:r>
    </w:p>
  </w:endnote>
  <w:endnote w:type="continuationNotice" w:id="1">
    <w:p w14:paraId="5F491AB9" w14:textId="77777777" w:rsidR="006A1C97" w:rsidRDefault="006A1C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368916890"/>
      <w:docPartObj>
        <w:docPartGallery w:val="Page Numbers (Bottom of Page)"/>
        <w:docPartUnique/>
      </w:docPartObj>
    </w:sdtPr>
    <w:sdtEndPr>
      <w:rPr>
        <w:noProof/>
      </w:rPr>
    </w:sdtEndPr>
    <w:sdtContent>
      <w:p w14:paraId="65081A38" w14:textId="3BA3F588" w:rsidR="00453888" w:rsidRDefault="00453888">
        <w:pPr>
          <w:pStyle w:val="Footer"/>
          <w:jc w:val="right"/>
        </w:pPr>
        <w:r w:rsidRPr="001D3E78">
          <w:rPr>
            <w:color w:val="auto"/>
            <w:sz w:val="20"/>
          </w:rPr>
          <w:fldChar w:fldCharType="begin"/>
        </w:r>
        <w:r w:rsidRPr="001D3E78">
          <w:rPr>
            <w:color w:val="auto"/>
            <w:sz w:val="20"/>
          </w:rPr>
          <w:instrText xml:space="preserve"> PAGE   \* MERGEFORMAT </w:instrText>
        </w:r>
        <w:r w:rsidRPr="001D3E78">
          <w:rPr>
            <w:color w:val="auto"/>
            <w:sz w:val="20"/>
          </w:rPr>
          <w:fldChar w:fldCharType="separate"/>
        </w:r>
        <w:r w:rsidR="003A0448" w:rsidRPr="001D3E78">
          <w:rPr>
            <w:noProof/>
            <w:color w:val="auto"/>
            <w:sz w:val="20"/>
          </w:rPr>
          <w:t>5</w:t>
        </w:r>
        <w:r w:rsidRPr="001D3E78">
          <w:rPr>
            <w:noProof/>
            <w:color w:val="auto"/>
            <w:sz w:val="20"/>
          </w:rPr>
          <w:fldChar w:fldCharType="end"/>
        </w:r>
      </w:p>
    </w:sdtContent>
  </w:sdt>
  <w:p w14:paraId="02E2C8FD" w14:textId="77777777" w:rsidR="00FC322F" w:rsidRPr="00FC322F" w:rsidRDefault="00FC322F"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4429044"/>
      <w:docPartObj>
        <w:docPartGallery w:val="Page Numbers (Bottom of Page)"/>
        <w:docPartUnique/>
      </w:docPartObj>
    </w:sdtPr>
    <w:sdtEndPr>
      <w:rPr>
        <w:rStyle w:val="PageNumber"/>
        <w:b/>
        <w:bCs/>
        <w:color w:val="000000" w:themeColor="text1"/>
        <w:sz w:val="20"/>
        <w:szCs w:val="20"/>
      </w:rPr>
    </w:sdtEndPr>
    <w:sdtContent>
      <w:p w14:paraId="5B555B60" w14:textId="3A4572DC" w:rsidR="00807C5C" w:rsidRPr="00807C5C" w:rsidRDefault="00807C5C" w:rsidP="00DF686C">
        <w:pPr>
          <w:pStyle w:val="Footer"/>
          <w:framePr w:wrap="none" w:vAnchor="text" w:hAnchor="margin" w:xAlign="right" w:y="1"/>
          <w:rPr>
            <w:rStyle w:val="PageNumber"/>
            <w:b/>
            <w:bCs/>
            <w:color w:val="000000" w:themeColor="text1"/>
            <w:sz w:val="20"/>
            <w:szCs w:val="20"/>
          </w:rPr>
        </w:pPr>
        <w:r w:rsidRPr="00807C5C">
          <w:rPr>
            <w:rStyle w:val="PageNumber"/>
            <w:b/>
            <w:bCs/>
            <w:color w:val="000000" w:themeColor="text1"/>
            <w:sz w:val="20"/>
            <w:szCs w:val="20"/>
          </w:rPr>
          <w:fldChar w:fldCharType="begin"/>
        </w:r>
        <w:r w:rsidRPr="00807C5C">
          <w:rPr>
            <w:rStyle w:val="PageNumber"/>
            <w:b/>
            <w:bCs/>
            <w:color w:val="000000" w:themeColor="text1"/>
            <w:sz w:val="20"/>
            <w:szCs w:val="20"/>
          </w:rPr>
          <w:instrText xml:space="preserve"> PAGE </w:instrText>
        </w:r>
        <w:r w:rsidRPr="00807C5C">
          <w:rPr>
            <w:rStyle w:val="PageNumber"/>
            <w:b/>
            <w:bCs/>
            <w:color w:val="000000" w:themeColor="text1"/>
            <w:sz w:val="20"/>
            <w:szCs w:val="20"/>
          </w:rPr>
          <w:fldChar w:fldCharType="separate"/>
        </w:r>
        <w:r w:rsidRPr="00807C5C">
          <w:rPr>
            <w:rStyle w:val="PageNumber"/>
            <w:b/>
            <w:bCs/>
            <w:noProof/>
            <w:color w:val="000000" w:themeColor="text1"/>
            <w:sz w:val="20"/>
            <w:szCs w:val="20"/>
          </w:rPr>
          <w:t>1</w:t>
        </w:r>
        <w:r w:rsidRPr="00807C5C">
          <w:rPr>
            <w:rStyle w:val="PageNumber"/>
            <w:b/>
            <w:bCs/>
            <w:color w:val="000000" w:themeColor="text1"/>
            <w:sz w:val="20"/>
            <w:szCs w:val="20"/>
          </w:rPr>
          <w:fldChar w:fldCharType="end"/>
        </w:r>
      </w:p>
    </w:sdtContent>
  </w:sdt>
  <w:p w14:paraId="0C3712FC" w14:textId="77777777" w:rsidR="00FC322F" w:rsidRPr="00FC322F" w:rsidRDefault="00FC322F" w:rsidP="00807C5C">
    <w:pPr>
      <w:pStyle w:val="Footer"/>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3746201"/>
      <w:docPartObj>
        <w:docPartGallery w:val="Page Numbers (Bottom of Page)"/>
        <w:docPartUnique/>
      </w:docPartObj>
    </w:sdtPr>
    <w:sdtEndPr>
      <w:rPr>
        <w:rStyle w:val="PageNumber"/>
      </w:rPr>
    </w:sdtEndPr>
    <w:sdtContent>
      <w:p w14:paraId="7AACC1B3" w14:textId="00D42A3A" w:rsidR="00C142CD" w:rsidRDefault="00C142CD" w:rsidP="00DF6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sdtContent>
  </w:sdt>
  <w:p w14:paraId="6EDB8BDC" w14:textId="77777777" w:rsidR="00485CBF" w:rsidRPr="00FC322F" w:rsidRDefault="00485CBF" w:rsidP="00C142CD">
    <w:pPr>
      <w:pStyle w:val="Footer"/>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154A" w14:textId="77777777" w:rsidR="006A1C97" w:rsidRPr="008C5A0E" w:rsidRDefault="006A1C97" w:rsidP="00D37B04">
      <w:pPr>
        <w:pStyle w:val="Footer"/>
      </w:pPr>
    </w:p>
  </w:footnote>
  <w:footnote w:type="continuationSeparator" w:id="0">
    <w:p w14:paraId="58A7C5CA" w14:textId="77777777" w:rsidR="006A1C97" w:rsidRDefault="006A1C97" w:rsidP="00D37B04">
      <w:r>
        <w:continuationSeparator/>
      </w:r>
    </w:p>
  </w:footnote>
  <w:footnote w:type="continuationNotice" w:id="1">
    <w:p w14:paraId="55F6F02F" w14:textId="77777777" w:rsidR="006A1C97" w:rsidRDefault="006A1C97">
      <w:pPr>
        <w:spacing w:before="0" w:after="0" w:line="240" w:lineRule="auto"/>
      </w:pPr>
    </w:p>
  </w:footnote>
  <w:footnote w:id="2">
    <w:p w14:paraId="4F9CDD58" w14:textId="77777777" w:rsidR="004A0551" w:rsidRPr="00CD13C9" w:rsidRDefault="004A0551" w:rsidP="004A0551">
      <w:pPr>
        <w:pStyle w:val="FootnoteText"/>
        <w:rPr>
          <w:rFonts w:cstheme="minorHAnsi"/>
          <w:lang w:val="en-AU"/>
        </w:rPr>
      </w:pPr>
      <w:r w:rsidRPr="00CD13C9">
        <w:rPr>
          <w:rStyle w:val="FootnoteReference"/>
          <w:rFonts w:ascii="Times New Roman" w:hAnsi="Times New Roman" w:cs="Times New Roman"/>
          <w:color w:val="auto"/>
          <w:lang w:val="en-AU"/>
        </w:rPr>
        <w:footnoteRef/>
      </w:r>
      <w:r w:rsidRPr="00CD13C9">
        <w:rPr>
          <w:rFonts w:ascii="Times New Roman" w:hAnsi="Times New Roman" w:cs="Times New Roman"/>
          <w:color w:val="auto"/>
          <w:lang w:val="en-AU"/>
        </w:rPr>
        <w:t xml:space="preserve"> </w:t>
      </w:r>
      <w:r w:rsidRPr="00CD13C9">
        <w:rPr>
          <w:rFonts w:cstheme="minorHAnsi"/>
          <w:lang w:val="en-AU"/>
        </w:rPr>
        <w:t>Three Mekong countries continue to score low on the Notre Dame Global Adaptation Initiative (ND-GAIN) Index for climate vulnerability (Cambodia 144/185, Laos 121/185, Myanmar 160/185) which summarises a country’s vulnerability to climate change and its readiness to improve resilience. See https://gain.nd.edu/our-work/country-index/</w:t>
      </w:r>
    </w:p>
  </w:footnote>
  <w:footnote w:id="3">
    <w:p w14:paraId="4FE44625" w14:textId="77777777" w:rsidR="004A0551" w:rsidRPr="00CD13C9" w:rsidRDefault="004A0551" w:rsidP="004A0551">
      <w:pPr>
        <w:pStyle w:val="FootnoteText"/>
        <w:rPr>
          <w:lang w:val="en-AU"/>
        </w:rPr>
      </w:pPr>
      <w:r w:rsidRPr="00CD13C9">
        <w:rPr>
          <w:rStyle w:val="FootnoteReference"/>
          <w:lang w:val="en-AU"/>
        </w:rPr>
        <w:footnoteRef/>
      </w:r>
      <w:r w:rsidRPr="00CD13C9">
        <w:rPr>
          <w:lang w:val="en-AU"/>
        </w:rPr>
        <w:t xml:space="preserve"> In Vietnam alone, it is anticipated that 3-9 million people will be impacted by river flooding by 2035-2044 (in Laos the number of people exposed to river flooding is expected to double to 80,000 by the 2030s) and 6-12 million people could be affected by coastal flooding by 2070–2100 without effective adaptation action</w:t>
      </w:r>
    </w:p>
  </w:footnote>
  <w:footnote w:id="4">
    <w:p w14:paraId="0363D6BB" w14:textId="77777777" w:rsidR="004A0551" w:rsidRPr="00CD13C9" w:rsidRDefault="004A0551" w:rsidP="004A0551">
      <w:pPr>
        <w:pStyle w:val="FootnoteText"/>
        <w:rPr>
          <w:lang w:val="en-AU"/>
        </w:rPr>
      </w:pPr>
      <w:r w:rsidRPr="00CD13C9">
        <w:rPr>
          <w:rStyle w:val="FootnoteReference"/>
          <w:lang w:val="en-AU"/>
        </w:rPr>
        <w:footnoteRef/>
      </w:r>
      <w:r w:rsidRPr="00CD13C9">
        <w:rPr>
          <w:lang w:val="en-AU"/>
        </w:rPr>
        <w:t xml:space="preserve"> Jenny Yi-Chen Han, Camille Pross, Rashi Agarwal, and Andreea Raluca Torre, State of Gender Equality and Climate Change in ASEAN, ASEAN and UNWOMEN, 2022. Also see UNWOMEN, Leveraging Co-Benefits between Gender Equality and Climate Action for Sustainable Development</w:t>
      </w:r>
    </w:p>
  </w:footnote>
  <w:footnote w:id="5">
    <w:p w14:paraId="1DC39F68" w14:textId="77777777" w:rsidR="00D46317" w:rsidRPr="00710492" w:rsidRDefault="00D46317" w:rsidP="00D46317">
      <w:pPr>
        <w:pStyle w:val="FootnoteText"/>
      </w:pPr>
      <w:r>
        <w:rPr>
          <w:rStyle w:val="FootnoteReference"/>
        </w:rPr>
        <w:footnoteRef/>
      </w:r>
      <w:r>
        <w:t xml:space="preserve"> ADB has developed a framework with five interdependent key dimensions of water security: societies can enjoy water security when they successfully manage their water resources and services to (i) satisfy rural household water and sanitation needs in all communities; (ii) support productive economies in agriculture, industry, and energy; (iii) develop vibrant, livable cities and towns; (iv) restore healthy rivers and ecosystems; and (v) build resilient communities that can cope with water-related extreme events.</w:t>
      </w:r>
    </w:p>
  </w:footnote>
  <w:footnote w:id="6">
    <w:p w14:paraId="36A12923" w14:textId="77777777" w:rsidR="00606A91" w:rsidRPr="00CD13C9" w:rsidRDefault="00606A91" w:rsidP="00606A91">
      <w:pPr>
        <w:pStyle w:val="FootnoteText"/>
        <w:rPr>
          <w:lang w:val="en-AU"/>
        </w:rPr>
      </w:pPr>
      <w:r w:rsidRPr="00CD13C9">
        <w:rPr>
          <w:rStyle w:val="FootnoteReference"/>
          <w:lang w:val="en-AU"/>
        </w:rPr>
        <w:footnoteRef/>
      </w:r>
      <w:r w:rsidRPr="00CD13C9">
        <w:rPr>
          <w:lang w:val="en-AU"/>
        </w:rPr>
        <w:t xml:space="preserve"> UNODC, Transnational Organised Crime Threat Assessment, </w:t>
      </w:r>
      <w:hyperlink r:id="rId1" w:history="1">
        <w:r w:rsidRPr="00CD13C9">
          <w:rPr>
            <w:rStyle w:val="Hyperlink"/>
            <w:rFonts w:cstheme="minorBidi"/>
            <w:lang w:val="en-AU"/>
          </w:rPr>
          <w:t>Transnational Organized Crime in Southeast Asia:</w:t>
        </w:r>
      </w:hyperlink>
      <w:r w:rsidRPr="00CD13C9">
        <w:rPr>
          <w:lang w:val="en-AU"/>
        </w:rPr>
        <w:t xml:space="preserve"> Evolution, Growth and Impact, 2019. UN News, </w:t>
      </w:r>
      <w:hyperlink r:id="rId2" w:history="1">
        <w:r w:rsidRPr="00CD13C9">
          <w:rPr>
            <w:rStyle w:val="Hyperlink"/>
            <w:rFonts w:cstheme="minorBidi"/>
            <w:i/>
            <w:iCs/>
            <w:lang w:val="en-AU"/>
          </w:rPr>
          <w:t>Policing one of the world’s ‘biggest drug trafficking corridors</w:t>
        </w:r>
        <w:r w:rsidRPr="00CD13C9">
          <w:rPr>
            <w:rStyle w:val="Hyperlink"/>
            <w:rFonts w:cstheme="minorBidi"/>
            <w:lang w:val="en-AU"/>
          </w:rPr>
          <w:t>,</w:t>
        </w:r>
      </w:hyperlink>
      <w:r w:rsidRPr="00CD13C9">
        <w:rPr>
          <w:lang w:val="en-AU"/>
        </w:rPr>
        <w:t xml:space="preserve"> 30 June 2023</w:t>
      </w:r>
    </w:p>
  </w:footnote>
  <w:footnote w:id="7">
    <w:p w14:paraId="5FB4069E" w14:textId="77777777" w:rsidR="00606A91" w:rsidRPr="00CD13C9" w:rsidRDefault="00606A91" w:rsidP="00606A91">
      <w:pPr>
        <w:pStyle w:val="FootnoteText"/>
        <w:rPr>
          <w:lang w:val="en-AU"/>
        </w:rPr>
      </w:pPr>
      <w:r w:rsidRPr="00CD13C9">
        <w:rPr>
          <w:rStyle w:val="FootnoteReference"/>
          <w:lang w:val="en-AU"/>
        </w:rPr>
        <w:footnoteRef/>
      </w:r>
      <w:r w:rsidRPr="00CD13C9">
        <w:rPr>
          <w:lang w:val="en-AU"/>
        </w:rPr>
        <w:t xml:space="preserve"> DFAT, Mekong Australia Program on Transnational Crime, Investment Design, 30 June 2020. P12. See</w:t>
      </w:r>
      <w:r w:rsidRPr="00CD13C9">
        <w:rPr>
          <w:rFonts w:eastAsia="Times New Roman" w:cs="Times New Roman"/>
          <w:sz w:val="21"/>
          <w:szCs w:val="24"/>
          <w:lang w:val="en-AU"/>
        </w:rPr>
        <w:t xml:space="preserve"> </w:t>
      </w:r>
      <w:r w:rsidRPr="00CD13C9">
        <w:rPr>
          <w:lang w:val="en-AU"/>
        </w:rPr>
        <w:t>as described by the Global Initiative against Transnational Organized Crime</w:t>
      </w:r>
    </w:p>
  </w:footnote>
  <w:footnote w:id="8">
    <w:p w14:paraId="186ED29D" w14:textId="77777777" w:rsidR="00606A91" w:rsidRPr="00E00169" w:rsidRDefault="00606A91" w:rsidP="00606A91">
      <w:pPr>
        <w:pStyle w:val="FootnoteText"/>
      </w:pPr>
      <w:r>
        <w:rPr>
          <w:rStyle w:val="FootnoteReference"/>
        </w:rPr>
        <w:footnoteRef/>
      </w:r>
      <w:r>
        <w:t xml:space="preserve"> </w:t>
      </w:r>
      <w:r w:rsidRPr="00E00169">
        <w:t xml:space="preserve">Smith, Russell and Hickman, Amelia, Australian Institute of Criminology, </w:t>
      </w:r>
      <w:hyperlink r:id="rId3" w:history="1">
        <w:r w:rsidRPr="00E00169">
          <w:rPr>
            <w:rStyle w:val="Hyperlink"/>
            <w:rFonts w:cstheme="minorBidi"/>
          </w:rPr>
          <w:t>Estimating the costs of serious and organised crime in Australia</w:t>
        </w:r>
      </w:hyperlink>
      <w:r w:rsidRPr="00E00169">
        <w:t>, 2020-2021, 2022</w:t>
      </w:r>
      <w:r>
        <w:t xml:space="preserve">. Also see </w:t>
      </w:r>
      <w:r w:rsidRPr="00E00169">
        <w:t xml:space="preserve">Australian Criminal Intelligence Commission, </w:t>
      </w:r>
      <w:hyperlink r:id="rId4" w:history="1">
        <w:r w:rsidRPr="00E00169">
          <w:rPr>
            <w:rStyle w:val="Hyperlink"/>
            <w:rFonts w:cstheme="minorBidi"/>
          </w:rPr>
          <w:t>Organised Crime in Australia 2017</w:t>
        </w:r>
      </w:hyperlink>
      <w:r w:rsidRPr="00E00169">
        <w:t>, August 2017</w:t>
      </w:r>
      <w:r>
        <w:t>.</w:t>
      </w:r>
    </w:p>
  </w:footnote>
  <w:footnote w:id="9">
    <w:p w14:paraId="780B23A5" w14:textId="77777777" w:rsidR="002F099A" w:rsidRPr="00CD13C9" w:rsidRDefault="002F099A" w:rsidP="002F099A">
      <w:pPr>
        <w:pStyle w:val="FootnoteText"/>
        <w:rPr>
          <w:lang w:val="en-AU"/>
        </w:rPr>
      </w:pPr>
      <w:r w:rsidRPr="00CD13C9">
        <w:rPr>
          <w:rStyle w:val="FootnoteReference"/>
          <w:lang w:val="en-AU"/>
        </w:rPr>
        <w:footnoteRef/>
      </w:r>
      <w:r w:rsidRPr="00CD13C9">
        <w:rPr>
          <w:lang w:val="en-AU"/>
        </w:rPr>
        <w:t xml:space="preserve"> UN Women and UNDP, </w:t>
      </w:r>
      <w:hyperlink r:id="rId5" w:history="1">
        <w:r w:rsidRPr="00CD13C9">
          <w:rPr>
            <w:rStyle w:val="Hyperlink"/>
            <w:lang w:val="en-AU"/>
          </w:rPr>
          <w:t>The Paths to Equal. Twin indices on women’s empowerment and gender equality</w:t>
        </w:r>
      </w:hyperlink>
      <w:r w:rsidRPr="00CD13C9">
        <w:rPr>
          <w:lang w:val="en-AU"/>
        </w:rPr>
        <w:t>, 2023.</w:t>
      </w:r>
    </w:p>
  </w:footnote>
  <w:footnote w:id="10">
    <w:p w14:paraId="5E6356FE" w14:textId="77777777" w:rsidR="002F099A" w:rsidRPr="00CD13C9" w:rsidRDefault="002F099A" w:rsidP="002F099A">
      <w:pPr>
        <w:pStyle w:val="FootnoteText"/>
        <w:rPr>
          <w:lang w:val="en-AU"/>
        </w:rPr>
      </w:pPr>
      <w:r w:rsidRPr="00CD13C9">
        <w:rPr>
          <w:rStyle w:val="FootnoteReference"/>
          <w:lang w:val="en-AU"/>
        </w:rPr>
        <w:footnoteRef/>
      </w:r>
      <w:r w:rsidRPr="00CD13C9">
        <w:rPr>
          <w:lang w:val="en-AU"/>
        </w:rPr>
        <w:t xml:space="preserve"> UN Women, </w:t>
      </w:r>
      <w:hyperlink r:id="rId6" w:history="1">
        <w:r w:rsidRPr="00CD13C9">
          <w:rPr>
            <w:rStyle w:val="Hyperlink"/>
            <w:lang w:val="en-AU"/>
          </w:rPr>
          <w:t>Technical Brief. Forecasting Time Spent in Unpaid Care and Domestic Work</w:t>
        </w:r>
      </w:hyperlink>
      <w:r w:rsidRPr="00CD13C9">
        <w:rPr>
          <w:lang w:val="en-AU"/>
        </w:rPr>
        <w:t>, 2023.</w:t>
      </w:r>
    </w:p>
  </w:footnote>
  <w:footnote w:id="11">
    <w:p w14:paraId="240D3766" w14:textId="77777777" w:rsidR="002F099A" w:rsidRPr="00CD13C9" w:rsidRDefault="002F099A" w:rsidP="002F099A">
      <w:pPr>
        <w:pStyle w:val="FootnoteText"/>
        <w:rPr>
          <w:lang w:val="en-AU"/>
        </w:rPr>
      </w:pPr>
      <w:r w:rsidRPr="00CD13C9">
        <w:rPr>
          <w:rStyle w:val="FootnoteReference"/>
          <w:lang w:val="en-AU"/>
        </w:rPr>
        <w:footnoteRef/>
      </w:r>
      <w:r w:rsidRPr="00CD13C9">
        <w:rPr>
          <w:lang w:val="en-AU"/>
        </w:rPr>
        <w:t xml:space="preserve"> ESCAP, A Three Decade Journey toward Inclusion, ESCAP, Bangkok, 2022. </w:t>
      </w:r>
    </w:p>
  </w:footnote>
  <w:footnote w:id="12">
    <w:p w14:paraId="2A1317D4" w14:textId="2948861F" w:rsidR="002F099A" w:rsidRPr="00CD13C9" w:rsidRDefault="002F099A" w:rsidP="002F099A">
      <w:pPr>
        <w:pStyle w:val="FootnoteText"/>
        <w:rPr>
          <w:lang w:val="en-AU"/>
        </w:rPr>
      </w:pPr>
      <w:r w:rsidRPr="00CD13C9">
        <w:rPr>
          <w:rStyle w:val="FootnoteReference"/>
          <w:lang w:val="en-AU"/>
        </w:rPr>
        <w:footnoteRef/>
      </w:r>
      <w:r w:rsidRPr="00CD13C9">
        <w:rPr>
          <w:lang w:val="en-AU"/>
        </w:rPr>
        <w:t xml:space="preserve"> World Bank, </w:t>
      </w:r>
      <w:hyperlink r:id="rId7" w:history="1">
        <w:r w:rsidRPr="00CD13C9">
          <w:rPr>
            <w:rStyle w:val="Hyperlink"/>
            <w:lang w:val="en-AU"/>
          </w:rPr>
          <w:t>Enterprising Women. Toward Equal Business Opportunity in Southeast Asia</w:t>
        </w:r>
      </w:hyperlink>
      <w:r w:rsidRPr="00CD13C9">
        <w:rPr>
          <w:lang w:val="en-AU"/>
        </w:rPr>
        <w:t>, World Bank, 2023, accessed 29 January 2024. UNWOMEN, Why Macroeconomic Policy Matters for Women. 2015; L Abramovsky and I Selwaness, Fiscal Policy and Gender Income Inequality. The Role of Taxes and Spending, ODI Report, June 2023.</w:t>
      </w:r>
    </w:p>
  </w:footnote>
  <w:footnote w:id="13">
    <w:p w14:paraId="3985D657" w14:textId="77777777" w:rsidR="002F099A" w:rsidRPr="00CD13C9" w:rsidRDefault="002F099A" w:rsidP="002F099A">
      <w:pPr>
        <w:pStyle w:val="FootnoteText"/>
        <w:rPr>
          <w:lang w:val="en-AU"/>
        </w:rPr>
      </w:pPr>
      <w:r w:rsidRPr="00CD13C9">
        <w:rPr>
          <w:rStyle w:val="FootnoteReference"/>
          <w:lang w:val="en-AU"/>
        </w:rPr>
        <w:footnoteRef/>
      </w:r>
      <w:r w:rsidRPr="00CD13C9">
        <w:rPr>
          <w:lang w:val="en-AU"/>
        </w:rPr>
        <w:t xml:space="preserve"> ASEAN and UNWOMEN, </w:t>
      </w:r>
      <w:hyperlink r:id="rId8" w:history="1">
        <w:r w:rsidRPr="00CD13C9">
          <w:rPr>
            <w:rStyle w:val="Hyperlink"/>
            <w:lang w:val="en-AU"/>
          </w:rPr>
          <w:t>Gender Outlook</w:t>
        </w:r>
      </w:hyperlink>
      <w:r w:rsidRPr="00CD13C9">
        <w:rPr>
          <w:lang w:val="en-AU"/>
        </w:rPr>
        <w:t xml:space="preserve">, 2021. </w:t>
      </w:r>
    </w:p>
  </w:footnote>
  <w:footnote w:id="14">
    <w:p w14:paraId="793ABAFF" w14:textId="782E42B5" w:rsidR="008839EB" w:rsidRPr="00CD13C9" w:rsidRDefault="008839EB" w:rsidP="008839EB">
      <w:pPr>
        <w:pStyle w:val="FootnoteText"/>
        <w:rPr>
          <w:lang w:val="en-AU"/>
        </w:rPr>
      </w:pPr>
      <w:r w:rsidRPr="00CD13C9">
        <w:rPr>
          <w:rStyle w:val="FootnoteReference"/>
          <w:lang w:val="en-AU"/>
        </w:rPr>
        <w:footnoteRef/>
      </w:r>
      <w:r w:rsidRPr="00CD13C9">
        <w:rPr>
          <w:lang w:val="en-AU"/>
        </w:rPr>
        <w:t xml:space="preserve"> ADB, </w:t>
      </w:r>
      <w:hyperlink r:id="rId9" w:history="1">
        <w:r w:rsidRPr="00CD13C9">
          <w:rPr>
            <w:rStyle w:val="Hyperlink"/>
            <w:rFonts w:cstheme="minorBidi"/>
            <w:lang w:val="en-AU"/>
          </w:rPr>
          <w:t>https://www.adb.org/where-we-work/viet-nam/economy</w:t>
        </w:r>
      </w:hyperlink>
      <w:r w:rsidRPr="00CD13C9">
        <w:rPr>
          <w:lang w:val="en-AU"/>
        </w:rPr>
        <w:t xml:space="preserve">, and The Economist Intelligence Unit, </w:t>
      </w:r>
      <w:hyperlink r:id="rId10" w:history="1">
        <w:r w:rsidR="00107D34" w:rsidRPr="00B74895">
          <w:rPr>
            <w:rStyle w:val="Hyperlink"/>
            <w:rFonts w:cstheme="minorBidi"/>
            <w:lang w:val="en-AU"/>
          </w:rPr>
          <w:t>https://country.eiu.com/vietnam</w:t>
        </w:r>
      </w:hyperlink>
      <w:r w:rsidR="00107D34">
        <w:rPr>
          <w:lang w:val="en-AU"/>
        </w:rPr>
        <w:t xml:space="preserve">. Also see World Bank Analysis </w:t>
      </w:r>
      <w:hyperlink r:id="rId11" w:anchor=":~:text=HANOI%2C%20April%2028%2C%202022%E2%80%94,a%20World%20Bank%20report%20finds." w:history="1">
        <w:r w:rsidR="00107D34" w:rsidRPr="00107D34">
          <w:rPr>
            <w:rStyle w:val="Hyperlink"/>
            <w:rFonts w:cstheme="minorBidi"/>
            <w:lang w:val="en-AU"/>
          </w:rPr>
          <w:t>here</w:t>
        </w:r>
      </w:hyperlink>
      <w:r w:rsidR="00107D34">
        <w:rPr>
          <w:lang w:val="en-AU"/>
        </w:rPr>
        <w:t>.</w:t>
      </w:r>
    </w:p>
  </w:footnote>
  <w:footnote w:id="15">
    <w:p w14:paraId="5D24B595" w14:textId="77777777" w:rsidR="008839EB" w:rsidRPr="00CD13C9" w:rsidRDefault="008839EB" w:rsidP="008839EB">
      <w:pPr>
        <w:pStyle w:val="FootnoteText"/>
        <w:jc w:val="both"/>
        <w:rPr>
          <w:lang w:val="en-AU"/>
        </w:rPr>
      </w:pPr>
      <w:r w:rsidRPr="00CD13C9">
        <w:rPr>
          <w:rStyle w:val="FootnoteReference"/>
          <w:lang w:val="en-AU"/>
        </w:rPr>
        <w:footnoteRef/>
      </w:r>
      <w:r w:rsidRPr="00CD13C9">
        <w:rPr>
          <w:lang w:val="en-AU"/>
        </w:rPr>
        <w:t xml:space="preserve"> Craig Keating’s </w:t>
      </w:r>
      <w:hyperlink r:id="rId12" w:history="1">
        <w:r w:rsidRPr="00CD13C9">
          <w:rPr>
            <w:rStyle w:val="Hyperlink"/>
            <w:lang w:val="en-AU"/>
          </w:rPr>
          <w:t>article</w:t>
        </w:r>
      </w:hyperlink>
      <w:r w:rsidRPr="00CD13C9">
        <w:rPr>
          <w:lang w:val="en-AU"/>
        </w:rPr>
        <w:t xml:space="preserve"> in </w:t>
      </w:r>
      <w:r w:rsidRPr="00CD13C9">
        <w:rPr>
          <w:i/>
          <w:iCs/>
          <w:lang w:val="en-AU"/>
        </w:rPr>
        <w:t>Asialink</w:t>
      </w:r>
      <w:r w:rsidRPr="00CD13C9">
        <w:rPr>
          <w:lang w:val="en-AU"/>
        </w:rPr>
        <w:t>, ‘Thailand risks growing old and poor’</w:t>
      </w:r>
    </w:p>
  </w:footnote>
  <w:footnote w:id="16">
    <w:p w14:paraId="6456F329" w14:textId="77777777" w:rsidR="008839EB" w:rsidRPr="00CD13C9" w:rsidRDefault="008839EB" w:rsidP="008839EB">
      <w:pPr>
        <w:pStyle w:val="FootnoteText"/>
        <w:rPr>
          <w:lang w:val="en-AU"/>
        </w:rPr>
      </w:pPr>
      <w:r w:rsidRPr="00CD13C9">
        <w:rPr>
          <w:rStyle w:val="FootnoteReference"/>
          <w:lang w:val="en-AU"/>
        </w:rPr>
        <w:footnoteRef/>
      </w:r>
      <w:r w:rsidRPr="00CD13C9">
        <w:rPr>
          <w:lang w:val="en-AU"/>
        </w:rPr>
        <w:t xml:space="preserve"> See the World Bank </w:t>
      </w:r>
      <w:r w:rsidRPr="00CD13C9">
        <w:rPr>
          <w:rFonts w:cs="MuseoSans-500"/>
          <w:u w:color="0070C0"/>
          <w:lang w:val="en-AU"/>
        </w:rPr>
        <w:t>economic overview</w:t>
      </w:r>
      <w:r w:rsidRPr="00CD13C9">
        <w:rPr>
          <w:lang w:val="en-AU"/>
        </w:rPr>
        <w:t xml:space="preserve"> for Laos.</w:t>
      </w:r>
    </w:p>
  </w:footnote>
  <w:footnote w:id="17">
    <w:p w14:paraId="28F790DE" w14:textId="5C04DE01" w:rsidR="00107D34" w:rsidRPr="00107D34" w:rsidRDefault="00107D34">
      <w:pPr>
        <w:pStyle w:val="FootnoteText"/>
        <w:rPr>
          <w:lang w:val="en-AU"/>
        </w:rPr>
      </w:pPr>
      <w:r>
        <w:rPr>
          <w:rStyle w:val="FootnoteReference"/>
        </w:rPr>
        <w:footnoteRef/>
      </w:r>
      <w:r>
        <w:t xml:space="preserve"> </w:t>
      </w:r>
      <w:r w:rsidR="004F5719" w:rsidRPr="004F5719">
        <w:rPr>
          <w:lang w:val="en-AU"/>
        </w:rPr>
        <w:t>World Bank Data. United Nations Conference on Trade and Development Country Profiles - Accessed 30 January 2024</w:t>
      </w:r>
    </w:p>
  </w:footnote>
  <w:footnote w:id="18">
    <w:p w14:paraId="76BB6A85" w14:textId="77777777" w:rsidR="008839EB" w:rsidRPr="00CD13C9" w:rsidRDefault="008839EB" w:rsidP="008839EB">
      <w:pPr>
        <w:pStyle w:val="FootnoteText"/>
        <w:rPr>
          <w:lang w:val="en-AU"/>
        </w:rPr>
      </w:pPr>
      <w:r w:rsidRPr="00CD13C9">
        <w:rPr>
          <w:rStyle w:val="FootnoteReference"/>
          <w:lang w:val="en-AU"/>
        </w:rPr>
        <w:footnoteRef/>
      </w:r>
      <w:r w:rsidRPr="00CD13C9">
        <w:rPr>
          <w:lang w:val="en-AU"/>
        </w:rPr>
        <w:t xml:space="preserve"> World Bank </w:t>
      </w:r>
      <w:hyperlink r:id="rId13" w:history="1">
        <w:r w:rsidRPr="00CD13C9">
          <w:rPr>
            <w:rStyle w:val="Hyperlink"/>
            <w:lang w:val="en-AU"/>
          </w:rPr>
          <w:t>update</w:t>
        </w:r>
      </w:hyperlink>
      <w:r w:rsidRPr="00CD13C9">
        <w:rPr>
          <w:lang w:val="en-AU"/>
        </w:rPr>
        <w:t xml:space="preserve"> and country overview.</w:t>
      </w:r>
    </w:p>
  </w:footnote>
  <w:footnote w:id="19">
    <w:p w14:paraId="1EE86E86" w14:textId="77777777" w:rsidR="00C77F57" w:rsidRPr="00CD13C9" w:rsidRDefault="00C77F57" w:rsidP="00C77F57">
      <w:pPr>
        <w:pStyle w:val="FootnoteText"/>
        <w:rPr>
          <w:lang w:val="en-AU"/>
        </w:rPr>
      </w:pPr>
      <w:r w:rsidRPr="00CD13C9">
        <w:rPr>
          <w:rStyle w:val="FootnoteReference"/>
          <w:lang w:val="en-AU"/>
        </w:rPr>
        <w:footnoteRef/>
      </w:r>
      <w:r w:rsidRPr="00CD13C9">
        <w:rPr>
          <w:lang w:val="en-AU"/>
        </w:rPr>
        <w:t xml:space="preserve"> </w:t>
      </w:r>
      <w:hyperlink r:id="rId14" w:history="1">
        <w:r w:rsidRPr="00CD13C9">
          <w:rPr>
            <w:rStyle w:val="Hyperlink"/>
            <w:rFonts w:cstheme="minorBidi"/>
            <w:lang w:val="en-AU"/>
          </w:rPr>
          <w:t>https://www.usaid.gov/asia-regional/lower-mekong-initiative-lmi</w:t>
        </w:r>
      </w:hyperlink>
      <w:r w:rsidRPr="00CD13C9">
        <w:rPr>
          <w:lang w:val="en-AU"/>
        </w:rPr>
        <w:t xml:space="preserve"> . See the Press Statement from the 2022 Friends of the Mekong Senior Officials meeting </w:t>
      </w:r>
      <w:hyperlink r:id="rId15" w:anchor=":~:text=The%20Friends%20of%20the%20Mekong%20serves%20as%20a%20coordinating%20platform,and%20prosperity%20of%20the%20region." w:history="1">
        <w:r w:rsidRPr="00CD13C9">
          <w:rPr>
            <w:rStyle w:val="Hyperlink"/>
            <w:lang w:val="en-AU"/>
          </w:rPr>
          <w:t>online</w:t>
        </w:r>
      </w:hyperlink>
      <w:r w:rsidRPr="00CD13C9">
        <w:rPr>
          <w:lang w:val="en-AU"/>
        </w:rPr>
        <w:t>..</w:t>
      </w:r>
    </w:p>
  </w:footnote>
  <w:footnote w:id="20">
    <w:p w14:paraId="7F8B2B1F" w14:textId="77777777" w:rsidR="00D433BB" w:rsidRPr="00CD13C9" w:rsidRDefault="00D433BB" w:rsidP="00D433BB">
      <w:pPr>
        <w:pStyle w:val="FootnoteText"/>
        <w:rPr>
          <w:lang w:val="en-AU"/>
        </w:rPr>
      </w:pPr>
      <w:r w:rsidRPr="00CD13C9">
        <w:rPr>
          <w:rStyle w:val="FootnoteReference"/>
          <w:lang w:val="en-AU"/>
        </w:rPr>
        <w:footnoteRef/>
      </w:r>
      <w:r w:rsidRPr="00CD13C9">
        <w:rPr>
          <w:lang w:val="en-AU"/>
        </w:rPr>
        <w:t xml:space="preserve"> Prime Minister Albanese, IISS Shangri-La Dialogue Speech, 3 June 2023.</w:t>
      </w:r>
    </w:p>
  </w:footnote>
  <w:footnote w:id="21">
    <w:p w14:paraId="0BE56410" w14:textId="5325773D" w:rsidR="008839EB" w:rsidRPr="00CD13C9" w:rsidRDefault="008839EB" w:rsidP="008839EB">
      <w:pPr>
        <w:pStyle w:val="FootnoteText"/>
        <w:rPr>
          <w:lang w:val="en-AU"/>
        </w:rPr>
      </w:pPr>
      <w:r w:rsidRPr="00CD13C9">
        <w:rPr>
          <w:rStyle w:val="FootnoteReference"/>
          <w:lang w:val="en-AU"/>
        </w:rPr>
        <w:footnoteRef/>
      </w:r>
      <w:r w:rsidRPr="00CD13C9">
        <w:rPr>
          <w:lang w:val="en-AU"/>
        </w:rPr>
        <w:t xml:space="preserve"> See </w:t>
      </w:r>
      <w:r w:rsidR="00F337B8">
        <w:rPr>
          <w:lang w:val="en-AU"/>
        </w:rPr>
        <w:t>Prime Minister</w:t>
      </w:r>
      <w:r w:rsidRPr="00CD13C9">
        <w:rPr>
          <w:lang w:val="en-AU"/>
        </w:rPr>
        <w:t xml:space="preserve"> Albanese 2023 Lowy Lecture</w:t>
      </w:r>
      <w:r w:rsidRPr="00CD13C9">
        <w:rPr>
          <w:i/>
          <w:iCs/>
          <w:lang w:val="en-AU"/>
        </w:rPr>
        <w:t xml:space="preserve">, </w:t>
      </w:r>
      <w:hyperlink r:id="rId16" w:history="1">
        <w:r w:rsidRPr="00CD13C9">
          <w:rPr>
            <w:rStyle w:val="Hyperlink"/>
            <w:rFonts w:cstheme="minorBidi"/>
            <w:i/>
            <w:iCs/>
            <w:lang w:val="en-AU"/>
          </w:rPr>
          <w:t>Australia in the world</w:t>
        </w:r>
      </w:hyperlink>
      <w:r w:rsidRPr="00CD13C9">
        <w:rPr>
          <w:lang w:val="en-AU"/>
        </w:rPr>
        <w:t>, Lowy Institute, 19 December 2023.</w:t>
      </w:r>
    </w:p>
  </w:footnote>
  <w:footnote w:id="22">
    <w:p w14:paraId="58D8857C" w14:textId="6F779E59" w:rsidR="00153977" w:rsidRPr="00CD13C9" w:rsidRDefault="00153977" w:rsidP="00153977">
      <w:pPr>
        <w:pStyle w:val="FootnoteText"/>
        <w:rPr>
          <w:lang w:val="en-AU"/>
        </w:rPr>
      </w:pPr>
      <w:r w:rsidRPr="00CD13C9">
        <w:rPr>
          <w:rStyle w:val="FootnoteReference"/>
          <w:lang w:val="en-AU"/>
        </w:rPr>
        <w:footnoteRef/>
      </w:r>
      <w:r w:rsidRPr="00CD13C9">
        <w:rPr>
          <w:lang w:val="en-AU"/>
        </w:rPr>
        <w:t xml:space="preserve"> Prime Minister Albanese, Southeast Asia economic strategy to 2040, speech, 6 September 2023</w:t>
      </w:r>
    </w:p>
  </w:footnote>
  <w:footnote w:id="23">
    <w:p w14:paraId="7AD117EC" w14:textId="22E38C1B" w:rsidR="003816BF" w:rsidRPr="003816BF" w:rsidRDefault="003816BF">
      <w:pPr>
        <w:pStyle w:val="FootnoteText"/>
        <w:rPr>
          <w:lang w:val="en-AU"/>
        </w:rPr>
      </w:pPr>
      <w:r>
        <w:rPr>
          <w:rStyle w:val="FootnoteReference"/>
        </w:rPr>
        <w:footnoteRef/>
      </w:r>
      <w:r>
        <w:t xml:space="preserve"> </w:t>
      </w:r>
      <w:r w:rsidRPr="003816BF">
        <w:rPr>
          <w:lang w:val="en-AU"/>
        </w:rPr>
        <w:t>The breadth of the partnership definition and composition is justified by the large thematic, organisational and geographic scope of MAP Phase 2</w:t>
      </w:r>
    </w:p>
  </w:footnote>
  <w:footnote w:id="24">
    <w:p w14:paraId="4C7E0528" w14:textId="290B11F3" w:rsidR="00B35A18" w:rsidRPr="00CF0522" w:rsidRDefault="00B35A18">
      <w:pPr>
        <w:pStyle w:val="FootnoteText"/>
        <w:rPr>
          <w:lang w:val="en-AU"/>
        </w:rPr>
      </w:pPr>
      <w:r w:rsidRPr="00E27C5F">
        <w:rPr>
          <w:rStyle w:val="FootnoteReference"/>
          <w:sz w:val="16"/>
          <w:szCs w:val="24"/>
        </w:rPr>
        <w:footnoteRef/>
      </w:r>
      <w:r w:rsidRPr="00E27C5F">
        <w:rPr>
          <w:sz w:val="16"/>
          <w:szCs w:val="24"/>
        </w:rPr>
        <w:t xml:space="preserve"> </w:t>
      </w:r>
      <w:r w:rsidRPr="00E27C5F">
        <w:rPr>
          <w:sz w:val="16"/>
          <w:szCs w:val="24"/>
          <w:lang w:val="en-AU"/>
        </w:rPr>
        <w:t xml:space="preserve">Where it relates to Thailand-specific engagement. </w:t>
      </w:r>
    </w:p>
  </w:footnote>
  <w:footnote w:id="25">
    <w:p w14:paraId="0E164297" w14:textId="6C003D4B" w:rsidR="004665B0" w:rsidRPr="00D82646" w:rsidRDefault="004665B0">
      <w:pPr>
        <w:pStyle w:val="FootnoteText"/>
        <w:rPr>
          <w:lang w:val="en-CA"/>
        </w:rPr>
      </w:pPr>
      <w:r w:rsidRPr="00E27C5F">
        <w:rPr>
          <w:rStyle w:val="FootnoteReference"/>
          <w:sz w:val="16"/>
          <w:szCs w:val="24"/>
        </w:rPr>
        <w:footnoteRef/>
      </w:r>
      <w:r w:rsidRPr="00E27C5F">
        <w:rPr>
          <w:sz w:val="16"/>
          <w:szCs w:val="24"/>
        </w:rPr>
        <w:t xml:space="preserve"> </w:t>
      </w:r>
      <w:r w:rsidRPr="00E27C5F">
        <w:rPr>
          <w:sz w:val="16"/>
          <w:szCs w:val="24"/>
          <w:lang w:val="en-CA"/>
        </w:rPr>
        <w:t>DFAT, Gender Equality, Disability and Social Inclusion Analysis. Good Practice Note. October 2023.</w:t>
      </w:r>
    </w:p>
  </w:footnote>
  <w:footnote w:id="26">
    <w:p w14:paraId="56D490B0" w14:textId="77777777" w:rsidR="00A22D08" w:rsidRPr="00CD13C9" w:rsidRDefault="00A22D08" w:rsidP="00A22D08">
      <w:pPr>
        <w:pStyle w:val="FootnoteText"/>
        <w:rPr>
          <w:lang w:val="en-AU"/>
        </w:rPr>
      </w:pPr>
      <w:r w:rsidRPr="00CD13C9">
        <w:rPr>
          <w:rStyle w:val="FootnoteReference"/>
          <w:lang w:val="en-AU"/>
        </w:rPr>
        <w:footnoteRef/>
      </w:r>
      <w:r w:rsidRPr="00CD13C9">
        <w:rPr>
          <w:lang w:val="en-AU"/>
        </w:rPr>
        <w:t xml:space="preserve"> ESCAP, A Three Decade Journey toward Inclusion, ESCAP, Bangkok, 2022.</w:t>
      </w:r>
    </w:p>
  </w:footnote>
  <w:footnote w:id="27">
    <w:p w14:paraId="483FF3CE" w14:textId="03B792AE" w:rsidR="00EF5117" w:rsidRPr="00EF5117" w:rsidRDefault="00EF5117">
      <w:pPr>
        <w:pStyle w:val="FootnoteText"/>
        <w:rPr>
          <w:lang w:val="en-AU"/>
        </w:rPr>
      </w:pPr>
      <w:r>
        <w:rPr>
          <w:rStyle w:val="FootnoteReference"/>
        </w:rPr>
        <w:footnoteRef/>
      </w:r>
      <w:r>
        <w:t xml:space="preserve"> </w:t>
      </w:r>
      <w:r w:rsidRPr="00EF5117">
        <w:rPr>
          <w:lang w:val="en-AU"/>
        </w:rPr>
        <w:t>Full study/process designs can be developed at a later stage.</w:t>
      </w:r>
    </w:p>
  </w:footnote>
  <w:footnote w:id="28">
    <w:p w14:paraId="18F52EDC" w14:textId="0438405A" w:rsidR="005A2AB3" w:rsidRPr="005A2AB3" w:rsidRDefault="005A2AB3">
      <w:pPr>
        <w:pStyle w:val="FootnoteText"/>
        <w:rPr>
          <w:lang w:val="en-AU"/>
        </w:rPr>
      </w:pPr>
      <w:r>
        <w:rPr>
          <w:rStyle w:val="FootnoteReference"/>
        </w:rPr>
        <w:footnoteRef/>
      </w:r>
      <w:r>
        <w:t xml:space="preserve"> </w:t>
      </w:r>
      <w:r w:rsidRPr="005A2AB3">
        <w:rPr>
          <w:lang w:val="en-AU"/>
        </w:rPr>
        <w:t>The study designs will not be part of the agenda – they will be developed by relevant service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00D2" w14:textId="7C41D4AC" w:rsidR="002D5B25" w:rsidRPr="00817079" w:rsidRDefault="000F197D" w:rsidP="4C1C98D1">
    <w:pPr>
      <w:pStyle w:val="Header"/>
      <w:tabs>
        <w:tab w:val="clear" w:pos="4513"/>
        <w:tab w:val="clear" w:pos="9026"/>
        <w:tab w:val="left" w:pos="9484"/>
      </w:tabs>
      <w:jc w:val="center"/>
      <w:rPr>
        <w:color w:val="auto"/>
      </w:rPr>
    </w:pPr>
    <w:r w:rsidRPr="00817079">
      <w:rPr>
        <w:color w:val="auto"/>
      </w:rPr>
      <w:ptab w:relativeTo="margin" w:alignment="center" w:leader="none"/>
    </w:r>
    <w:r w:rsidR="4C1C98D1" w:rsidRPr="00817079">
      <w:rPr>
        <w:color w:val="auto"/>
      </w:rPr>
      <w:t xml:space="preserve"> </w:t>
    </w:r>
    <w:r w:rsidRPr="00817079">
      <w:rPr>
        <w:color w:val="auto"/>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7E96" w14:textId="547D7F5D" w:rsidR="00D37B04" w:rsidRPr="00824859" w:rsidRDefault="000F197D" w:rsidP="4C1C98D1">
    <w:pPr>
      <w:pStyle w:val="Header"/>
      <w:jc w:val="center"/>
      <w:rPr>
        <w:color w:val="auto"/>
      </w:rPr>
    </w:pPr>
    <w:r w:rsidRPr="00824859">
      <w:rPr>
        <w:color w:val="auto"/>
      </w:rPr>
      <w:ptab w:relativeTo="margin" w:alignment="center" w:leader="none"/>
    </w:r>
    <w:r w:rsidRPr="00824859">
      <w:rPr>
        <w:color w:val="auto"/>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32A7" w14:textId="55742F92" w:rsidR="00604AA9" w:rsidRDefault="00604A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9E8D" w14:textId="6551D585" w:rsidR="00604AA9" w:rsidRDefault="00604A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241E" w14:textId="7E57D354" w:rsidR="00604AA9" w:rsidRPr="00204860" w:rsidRDefault="00604AA9" w:rsidP="00204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F8"/>
    <w:multiLevelType w:val="hybridMultilevel"/>
    <w:tmpl w:val="2B90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82D11"/>
    <w:multiLevelType w:val="hybridMultilevel"/>
    <w:tmpl w:val="1D34A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A65596"/>
    <w:multiLevelType w:val="hybridMultilevel"/>
    <w:tmpl w:val="27E019DC"/>
    <w:lvl w:ilvl="0" w:tplc="8EC0C502">
      <w:start w:val="1"/>
      <w:numFmt w:val="bullet"/>
      <w:lvlText w:val="•"/>
      <w:lvlJc w:val="left"/>
      <w:pPr>
        <w:tabs>
          <w:tab w:val="num" w:pos="720"/>
        </w:tabs>
        <w:ind w:left="720" w:hanging="360"/>
      </w:pPr>
      <w:rPr>
        <w:rFonts w:ascii="Arial" w:hAnsi="Arial" w:hint="default"/>
      </w:rPr>
    </w:lvl>
    <w:lvl w:ilvl="1" w:tplc="88000BF8" w:tentative="1">
      <w:start w:val="1"/>
      <w:numFmt w:val="bullet"/>
      <w:lvlText w:val="•"/>
      <w:lvlJc w:val="left"/>
      <w:pPr>
        <w:tabs>
          <w:tab w:val="num" w:pos="1440"/>
        </w:tabs>
        <w:ind w:left="1440" w:hanging="360"/>
      </w:pPr>
      <w:rPr>
        <w:rFonts w:ascii="Arial" w:hAnsi="Arial" w:hint="default"/>
      </w:rPr>
    </w:lvl>
    <w:lvl w:ilvl="2" w:tplc="82F0BE7C" w:tentative="1">
      <w:start w:val="1"/>
      <w:numFmt w:val="bullet"/>
      <w:lvlText w:val="•"/>
      <w:lvlJc w:val="left"/>
      <w:pPr>
        <w:tabs>
          <w:tab w:val="num" w:pos="2160"/>
        </w:tabs>
        <w:ind w:left="2160" w:hanging="360"/>
      </w:pPr>
      <w:rPr>
        <w:rFonts w:ascii="Arial" w:hAnsi="Arial" w:hint="default"/>
      </w:rPr>
    </w:lvl>
    <w:lvl w:ilvl="3" w:tplc="122EF698" w:tentative="1">
      <w:start w:val="1"/>
      <w:numFmt w:val="bullet"/>
      <w:lvlText w:val="•"/>
      <w:lvlJc w:val="left"/>
      <w:pPr>
        <w:tabs>
          <w:tab w:val="num" w:pos="2880"/>
        </w:tabs>
        <w:ind w:left="2880" w:hanging="360"/>
      </w:pPr>
      <w:rPr>
        <w:rFonts w:ascii="Arial" w:hAnsi="Arial" w:hint="default"/>
      </w:rPr>
    </w:lvl>
    <w:lvl w:ilvl="4" w:tplc="F1EA214C" w:tentative="1">
      <w:start w:val="1"/>
      <w:numFmt w:val="bullet"/>
      <w:lvlText w:val="•"/>
      <w:lvlJc w:val="left"/>
      <w:pPr>
        <w:tabs>
          <w:tab w:val="num" w:pos="3600"/>
        </w:tabs>
        <w:ind w:left="3600" w:hanging="360"/>
      </w:pPr>
      <w:rPr>
        <w:rFonts w:ascii="Arial" w:hAnsi="Arial" w:hint="default"/>
      </w:rPr>
    </w:lvl>
    <w:lvl w:ilvl="5" w:tplc="CDA85288" w:tentative="1">
      <w:start w:val="1"/>
      <w:numFmt w:val="bullet"/>
      <w:lvlText w:val="•"/>
      <w:lvlJc w:val="left"/>
      <w:pPr>
        <w:tabs>
          <w:tab w:val="num" w:pos="4320"/>
        </w:tabs>
        <w:ind w:left="4320" w:hanging="360"/>
      </w:pPr>
      <w:rPr>
        <w:rFonts w:ascii="Arial" w:hAnsi="Arial" w:hint="default"/>
      </w:rPr>
    </w:lvl>
    <w:lvl w:ilvl="6" w:tplc="89BA4414" w:tentative="1">
      <w:start w:val="1"/>
      <w:numFmt w:val="bullet"/>
      <w:lvlText w:val="•"/>
      <w:lvlJc w:val="left"/>
      <w:pPr>
        <w:tabs>
          <w:tab w:val="num" w:pos="5040"/>
        </w:tabs>
        <w:ind w:left="5040" w:hanging="360"/>
      </w:pPr>
      <w:rPr>
        <w:rFonts w:ascii="Arial" w:hAnsi="Arial" w:hint="default"/>
      </w:rPr>
    </w:lvl>
    <w:lvl w:ilvl="7" w:tplc="3B4896DE" w:tentative="1">
      <w:start w:val="1"/>
      <w:numFmt w:val="bullet"/>
      <w:lvlText w:val="•"/>
      <w:lvlJc w:val="left"/>
      <w:pPr>
        <w:tabs>
          <w:tab w:val="num" w:pos="5760"/>
        </w:tabs>
        <w:ind w:left="5760" w:hanging="360"/>
      </w:pPr>
      <w:rPr>
        <w:rFonts w:ascii="Arial" w:hAnsi="Arial" w:hint="default"/>
      </w:rPr>
    </w:lvl>
    <w:lvl w:ilvl="8" w:tplc="2B744E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84B13E"/>
    <w:multiLevelType w:val="hybridMultilevel"/>
    <w:tmpl w:val="8F30A51E"/>
    <w:lvl w:ilvl="0" w:tplc="D94603E6">
      <w:start w:val="1"/>
      <w:numFmt w:val="bullet"/>
      <w:lvlText w:val="·"/>
      <w:lvlJc w:val="left"/>
      <w:pPr>
        <w:ind w:left="720" w:hanging="360"/>
      </w:pPr>
      <w:rPr>
        <w:rFonts w:ascii="Symbol" w:hAnsi="Symbol" w:hint="default"/>
      </w:rPr>
    </w:lvl>
    <w:lvl w:ilvl="1" w:tplc="D83E5704">
      <w:start w:val="1"/>
      <w:numFmt w:val="bullet"/>
      <w:lvlText w:val="o"/>
      <w:lvlJc w:val="left"/>
      <w:pPr>
        <w:ind w:left="1440" w:hanging="360"/>
      </w:pPr>
      <w:rPr>
        <w:rFonts w:ascii="Courier New" w:hAnsi="Courier New" w:hint="default"/>
      </w:rPr>
    </w:lvl>
    <w:lvl w:ilvl="2" w:tplc="C43E2E38">
      <w:start w:val="1"/>
      <w:numFmt w:val="bullet"/>
      <w:lvlText w:val=""/>
      <w:lvlJc w:val="left"/>
      <w:pPr>
        <w:ind w:left="2160" w:hanging="360"/>
      </w:pPr>
      <w:rPr>
        <w:rFonts w:ascii="Wingdings" w:hAnsi="Wingdings" w:hint="default"/>
      </w:rPr>
    </w:lvl>
    <w:lvl w:ilvl="3" w:tplc="7310B4D6">
      <w:start w:val="1"/>
      <w:numFmt w:val="bullet"/>
      <w:lvlText w:val=""/>
      <w:lvlJc w:val="left"/>
      <w:pPr>
        <w:ind w:left="2880" w:hanging="360"/>
      </w:pPr>
      <w:rPr>
        <w:rFonts w:ascii="Symbol" w:hAnsi="Symbol" w:hint="default"/>
      </w:rPr>
    </w:lvl>
    <w:lvl w:ilvl="4" w:tplc="2940CF7C">
      <w:start w:val="1"/>
      <w:numFmt w:val="bullet"/>
      <w:lvlText w:val="o"/>
      <w:lvlJc w:val="left"/>
      <w:pPr>
        <w:ind w:left="3600" w:hanging="360"/>
      </w:pPr>
      <w:rPr>
        <w:rFonts w:ascii="Courier New" w:hAnsi="Courier New" w:hint="default"/>
      </w:rPr>
    </w:lvl>
    <w:lvl w:ilvl="5" w:tplc="86BECAB6">
      <w:start w:val="1"/>
      <w:numFmt w:val="bullet"/>
      <w:lvlText w:val=""/>
      <w:lvlJc w:val="left"/>
      <w:pPr>
        <w:ind w:left="4320" w:hanging="360"/>
      </w:pPr>
      <w:rPr>
        <w:rFonts w:ascii="Wingdings" w:hAnsi="Wingdings" w:hint="default"/>
      </w:rPr>
    </w:lvl>
    <w:lvl w:ilvl="6" w:tplc="32429578">
      <w:start w:val="1"/>
      <w:numFmt w:val="bullet"/>
      <w:lvlText w:val=""/>
      <w:lvlJc w:val="left"/>
      <w:pPr>
        <w:ind w:left="5040" w:hanging="360"/>
      </w:pPr>
      <w:rPr>
        <w:rFonts w:ascii="Symbol" w:hAnsi="Symbol" w:hint="default"/>
      </w:rPr>
    </w:lvl>
    <w:lvl w:ilvl="7" w:tplc="B29A737A">
      <w:start w:val="1"/>
      <w:numFmt w:val="bullet"/>
      <w:lvlText w:val="o"/>
      <w:lvlJc w:val="left"/>
      <w:pPr>
        <w:ind w:left="5760" w:hanging="360"/>
      </w:pPr>
      <w:rPr>
        <w:rFonts w:ascii="Courier New" w:hAnsi="Courier New" w:hint="default"/>
      </w:rPr>
    </w:lvl>
    <w:lvl w:ilvl="8" w:tplc="9FC4B7E0">
      <w:start w:val="1"/>
      <w:numFmt w:val="bullet"/>
      <w:lvlText w:val=""/>
      <w:lvlJc w:val="left"/>
      <w:pPr>
        <w:ind w:left="6480" w:hanging="360"/>
      </w:pPr>
      <w:rPr>
        <w:rFonts w:ascii="Wingdings" w:hAnsi="Wingdings" w:hint="default"/>
      </w:rPr>
    </w:lvl>
  </w:abstractNum>
  <w:abstractNum w:abstractNumId="4" w15:restartNumberingAfterBreak="0">
    <w:nsid w:val="06F7A76F"/>
    <w:multiLevelType w:val="hybridMultilevel"/>
    <w:tmpl w:val="5B0EB6D4"/>
    <w:lvl w:ilvl="0" w:tplc="50A670E0">
      <w:start w:val="1"/>
      <w:numFmt w:val="bullet"/>
      <w:lvlText w:val=""/>
      <w:lvlJc w:val="left"/>
      <w:pPr>
        <w:ind w:left="720" w:hanging="360"/>
      </w:pPr>
      <w:rPr>
        <w:rFonts w:ascii="Symbol" w:hAnsi="Symbol" w:hint="default"/>
      </w:rPr>
    </w:lvl>
    <w:lvl w:ilvl="1" w:tplc="BF6C2C9A">
      <w:start w:val="1"/>
      <w:numFmt w:val="bullet"/>
      <w:lvlText w:val="o"/>
      <w:lvlJc w:val="left"/>
      <w:pPr>
        <w:ind w:left="1440" w:hanging="360"/>
      </w:pPr>
      <w:rPr>
        <w:rFonts w:ascii="&quot;Courier New&quot;" w:hAnsi="&quot;Courier New&quot;" w:hint="default"/>
      </w:rPr>
    </w:lvl>
    <w:lvl w:ilvl="2" w:tplc="82C2D4E8">
      <w:start w:val="1"/>
      <w:numFmt w:val="bullet"/>
      <w:lvlText w:val=""/>
      <w:lvlJc w:val="left"/>
      <w:pPr>
        <w:ind w:left="2160" w:hanging="360"/>
      </w:pPr>
      <w:rPr>
        <w:rFonts w:ascii="Wingdings" w:hAnsi="Wingdings" w:hint="default"/>
      </w:rPr>
    </w:lvl>
    <w:lvl w:ilvl="3" w:tplc="4570344A">
      <w:start w:val="1"/>
      <w:numFmt w:val="bullet"/>
      <w:lvlText w:val=""/>
      <w:lvlJc w:val="left"/>
      <w:pPr>
        <w:ind w:left="2880" w:hanging="360"/>
      </w:pPr>
      <w:rPr>
        <w:rFonts w:ascii="Symbol" w:hAnsi="Symbol" w:hint="default"/>
      </w:rPr>
    </w:lvl>
    <w:lvl w:ilvl="4" w:tplc="5686BC0A">
      <w:start w:val="1"/>
      <w:numFmt w:val="bullet"/>
      <w:lvlText w:val="o"/>
      <w:lvlJc w:val="left"/>
      <w:pPr>
        <w:ind w:left="3600" w:hanging="360"/>
      </w:pPr>
      <w:rPr>
        <w:rFonts w:ascii="Courier New" w:hAnsi="Courier New" w:hint="default"/>
      </w:rPr>
    </w:lvl>
    <w:lvl w:ilvl="5" w:tplc="6F38586E">
      <w:start w:val="1"/>
      <w:numFmt w:val="bullet"/>
      <w:lvlText w:val=""/>
      <w:lvlJc w:val="left"/>
      <w:pPr>
        <w:ind w:left="4320" w:hanging="360"/>
      </w:pPr>
      <w:rPr>
        <w:rFonts w:ascii="Wingdings" w:hAnsi="Wingdings" w:hint="default"/>
      </w:rPr>
    </w:lvl>
    <w:lvl w:ilvl="6" w:tplc="08A2AE40">
      <w:start w:val="1"/>
      <w:numFmt w:val="bullet"/>
      <w:lvlText w:val=""/>
      <w:lvlJc w:val="left"/>
      <w:pPr>
        <w:ind w:left="5040" w:hanging="360"/>
      </w:pPr>
      <w:rPr>
        <w:rFonts w:ascii="Symbol" w:hAnsi="Symbol" w:hint="default"/>
      </w:rPr>
    </w:lvl>
    <w:lvl w:ilvl="7" w:tplc="83200800">
      <w:start w:val="1"/>
      <w:numFmt w:val="bullet"/>
      <w:lvlText w:val="o"/>
      <w:lvlJc w:val="left"/>
      <w:pPr>
        <w:ind w:left="5760" w:hanging="360"/>
      </w:pPr>
      <w:rPr>
        <w:rFonts w:ascii="Courier New" w:hAnsi="Courier New" w:hint="default"/>
      </w:rPr>
    </w:lvl>
    <w:lvl w:ilvl="8" w:tplc="2456702E">
      <w:start w:val="1"/>
      <w:numFmt w:val="bullet"/>
      <w:lvlText w:val=""/>
      <w:lvlJc w:val="left"/>
      <w:pPr>
        <w:ind w:left="6480" w:hanging="360"/>
      </w:pPr>
      <w:rPr>
        <w:rFonts w:ascii="Wingdings" w:hAnsi="Wingdings" w:hint="default"/>
      </w:rPr>
    </w:lvl>
  </w:abstractNum>
  <w:abstractNum w:abstractNumId="5" w15:restartNumberingAfterBreak="0">
    <w:nsid w:val="0734057C"/>
    <w:multiLevelType w:val="hybridMultilevel"/>
    <w:tmpl w:val="8B7EF7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AF4A47C"/>
    <w:multiLevelType w:val="hybridMultilevel"/>
    <w:tmpl w:val="0E366A58"/>
    <w:lvl w:ilvl="0" w:tplc="1C566F00">
      <w:start w:val="1"/>
      <w:numFmt w:val="bullet"/>
      <w:lvlText w:val=""/>
      <w:lvlJc w:val="left"/>
      <w:pPr>
        <w:ind w:left="720" w:hanging="360"/>
      </w:pPr>
      <w:rPr>
        <w:rFonts w:ascii="Symbol" w:hAnsi="Symbol" w:hint="default"/>
      </w:rPr>
    </w:lvl>
    <w:lvl w:ilvl="1" w:tplc="E0B6334A">
      <w:start w:val="1"/>
      <w:numFmt w:val="bullet"/>
      <w:lvlText w:val="o"/>
      <w:lvlJc w:val="left"/>
      <w:pPr>
        <w:ind w:left="1440" w:hanging="360"/>
      </w:pPr>
      <w:rPr>
        <w:rFonts w:ascii="Courier New" w:hAnsi="Courier New" w:hint="default"/>
      </w:rPr>
    </w:lvl>
    <w:lvl w:ilvl="2" w:tplc="F7DA2954">
      <w:start w:val="1"/>
      <w:numFmt w:val="bullet"/>
      <w:lvlText w:val=""/>
      <w:lvlJc w:val="left"/>
      <w:pPr>
        <w:ind w:left="2160" w:hanging="360"/>
      </w:pPr>
      <w:rPr>
        <w:rFonts w:ascii="Wingdings" w:hAnsi="Wingdings" w:hint="default"/>
      </w:rPr>
    </w:lvl>
    <w:lvl w:ilvl="3" w:tplc="09845D5E">
      <w:start w:val="1"/>
      <w:numFmt w:val="bullet"/>
      <w:lvlText w:val=""/>
      <w:lvlJc w:val="left"/>
      <w:pPr>
        <w:ind w:left="2880" w:hanging="360"/>
      </w:pPr>
      <w:rPr>
        <w:rFonts w:ascii="Symbol" w:hAnsi="Symbol" w:hint="default"/>
      </w:rPr>
    </w:lvl>
    <w:lvl w:ilvl="4" w:tplc="7CA09CE4">
      <w:start w:val="1"/>
      <w:numFmt w:val="bullet"/>
      <w:lvlText w:val="o"/>
      <w:lvlJc w:val="left"/>
      <w:pPr>
        <w:ind w:left="3600" w:hanging="360"/>
      </w:pPr>
      <w:rPr>
        <w:rFonts w:ascii="Courier New" w:hAnsi="Courier New" w:hint="default"/>
      </w:rPr>
    </w:lvl>
    <w:lvl w:ilvl="5" w:tplc="72102A2E">
      <w:start w:val="1"/>
      <w:numFmt w:val="bullet"/>
      <w:lvlText w:val=""/>
      <w:lvlJc w:val="left"/>
      <w:pPr>
        <w:ind w:left="4320" w:hanging="360"/>
      </w:pPr>
      <w:rPr>
        <w:rFonts w:ascii="Wingdings" w:hAnsi="Wingdings" w:hint="default"/>
      </w:rPr>
    </w:lvl>
    <w:lvl w:ilvl="6" w:tplc="993C06EA">
      <w:start w:val="1"/>
      <w:numFmt w:val="bullet"/>
      <w:lvlText w:val=""/>
      <w:lvlJc w:val="left"/>
      <w:pPr>
        <w:ind w:left="5040" w:hanging="360"/>
      </w:pPr>
      <w:rPr>
        <w:rFonts w:ascii="Symbol" w:hAnsi="Symbol" w:hint="default"/>
      </w:rPr>
    </w:lvl>
    <w:lvl w:ilvl="7" w:tplc="7E5038D6">
      <w:start w:val="1"/>
      <w:numFmt w:val="bullet"/>
      <w:lvlText w:val="o"/>
      <w:lvlJc w:val="left"/>
      <w:pPr>
        <w:ind w:left="5760" w:hanging="360"/>
      </w:pPr>
      <w:rPr>
        <w:rFonts w:ascii="Courier New" w:hAnsi="Courier New" w:hint="default"/>
      </w:rPr>
    </w:lvl>
    <w:lvl w:ilvl="8" w:tplc="C2FA7A34">
      <w:start w:val="1"/>
      <w:numFmt w:val="bullet"/>
      <w:lvlText w:val=""/>
      <w:lvlJc w:val="left"/>
      <w:pPr>
        <w:ind w:left="6480" w:hanging="360"/>
      </w:pPr>
      <w:rPr>
        <w:rFonts w:ascii="Wingdings" w:hAnsi="Wingdings" w:hint="default"/>
      </w:rPr>
    </w:lvl>
  </w:abstractNum>
  <w:abstractNum w:abstractNumId="8" w15:restartNumberingAfterBreak="0">
    <w:nsid w:val="0E0C1BB1"/>
    <w:multiLevelType w:val="hybridMultilevel"/>
    <w:tmpl w:val="CB2CCAE0"/>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EBE3588"/>
    <w:multiLevelType w:val="hybridMultilevel"/>
    <w:tmpl w:val="34D2C9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10" w15:restartNumberingAfterBreak="0">
    <w:nsid w:val="108EC73F"/>
    <w:multiLevelType w:val="hybridMultilevel"/>
    <w:tmpl w:val="15387224"/>
    <w:lvl w:ilvl="0" w:tplc="29FE7F1A">
      <w:start w:val="1"/>
      <w:numFmt w:val="bullet"/>
      <w:lvlText w:val=""/>
      <w:lvlJc w:val="left"/>
      <w:pPr>
        <w:ind w:left="720" w:hanging="360"/>
      </w:pPr>
      <w:rPr>
        <w:rFonts w:ascii="Symbol" w:hAnsi="Symbol" w:hint="default"/>
      </w:rPr>
    </w:lvl>
    <w:lvl w:ilvl="1" w:tplc="AEE2B14C">
      <w:start w:val="1"/>
      <w:numFmt w:val="bullet"/>
      <w:lvlText w:val="o"/>
      <w:lvlJc w:val="left"/>
      <w:pPr>
        <w:ind w:left="1440" w:hanging="360"/>
      </w:pPr>
      <w:rPr>
        <w:rFonts w:ascii="&quot;Courier New&quot;" w:hAnsi="&quot;Courier New&quot;" w:hint="default"/>
      </w:rPr>
    </w:lvl>
    <w:lvl w:ilvl="2" w:tplc="601220C2">
      <w:start w:val="1"/>
      <w:numFmt w:val="bullet"/>
      <w:lvlText w:val=""/>
      <w:lvlJc w:val="left"/>
      <w:pPr>
        <w:ind w:left="2160" w:hanging="360"/>
      </w:pPr>
      <w:rPr>
        <w:rFonts w:ascii="Wingdings" w:hAnsi="Wingdings" w:hint="default"/>
      </w:rPr>
    </w:lvl>
    <w:lvl w:ilvl="3" w:tplc="F3A6B2C2">
      <w:start w:val="1"/>
      <w:numFmt w:val="bullet"/>
      <w:lvlText w:val=""/>
      <w:lvlJc w:val="left"/>
      <w:pPr>
        <w:ind w:left="2880" w:hanging="360"/>
      </w:pPr>
      <w:rPr>
        <w:rFonts w:ascii="Symbol" w:hAnsi="Symbol" w:hint="default"/>
      </w:rPr>
    </w:lvl>
    <w:lvl w:ilvl="4" w:tplc="32705CC8">
      <w:start w:val="1"/>
      <w:numFmt w:val="bullet"/>
      <w:lvlText w:val="o"/>
      <w:lvlJc w:val="left"/>
      <w:pPr>
        <w:ind w:left="3600" w:hanging="360"/>
      </w:pPr>
      <w:rPr>
        <w:rFonts w:ascii="Courier New" w:hAnsi="Courier New" w:hint="default"/>
      </w:rPr>
    </w:lvl>
    <w:lvl w:ilvl="5" w:tplc="CD3281FC">
      <w:start w:val="1"/>
      <w:numFmt w:val="bullet"/>
      <w:lvlText w:val=""/>
      <w:lvlJc w:val="left"/>
      <w:pPr>
        <w:ind w:left="4320" w:hanging="360"/>
      </w:pPr>
      <w:rPr>
        <w:rFonts w:ascii="Wingdings" w:hAnsi="Wingdings" w:hint="default"/>
      </w:rPr>
    </w:lvl>
    <w:lvl w:ilvl="6" w:tplc="1E18C332">
      <w:start w:val="1"/>
      <w:numFmt w:val="bullet"/>
      <w:lvlText w:val=""/>
      <w:lvlJc w:val="left"/>
      <w:pPr>
        <w:ind w:left="5040" w:hanging="360"/>
      </w:pPr>
      <w:rPr>
        <w:rFonts w:ascii="Symbol" w:hAnsi="Symbol" w:hint="default"/>
      </w:rPr>
    </w:lvl>
    <w:lvl w:ilvl="7" w:tplc="DCC0608E">
      <w:start w:val="1"/>
      <w:numFmt w:val="bullet"/>
      <w:lvlText w:val="o"/>
      <w:lvlJc w:val="left"/>
      <w:pPr>
        <w:ind w:left="5760" w:hanging="360"/>
      </w:pPr>
      <w:rPr>
        <w:rFonts w:ascii="Courier New" w:hAnsi="Courier New" w:hint="default"/>
      </w:rPr>
    </w:lvl>
    <w:lvl w:ilvl="8" w:tplc="854C5B6A">
      <w:start w:val="1"/>
      <w:numFmt w:val="bullet"/>
      <w:lvlText w:val=""/>
      <w:lvlJc w:val="left"/>
      <w:pPr>
        <w:ind w:left="6480" w:hanging="360"/>
      </w:pPr>
      <w:rPr>
        <w:rFonts w:ascii="Wingdings" w:hAnsi="Wingdings" w:hint="default"/>
      </w:rPr>
    </w:lvl>
  </w:abstractNum>
  <w:abstractNum w:abstractNumId="11" w15:restartNumberingAfterBreak="0">
    <w:nsid w:val="14B63214"/>
    <w:multiLevelType w:val="hybridMultilevel"/>
    <w:tmpl w:val="54CA23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F2435E"/>
    <w:multiLevelType w:val="hybridMultilevel"/>
    <w:tmpl w:val="414C83F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A20A99"/>
    <w:multiLevelType w:val="hybridMultilevel"/>
    <w:tmpl w:val="72AED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7902E30"/>
    <w:multiLevelType w:val="hybridMultilevel"/>
    <w:tmpl w:val="54EA0B48"/>
    <w:lvl w:ilvl="0" w:tplc="4EAC6F6A">
      <w:start w:val="1"/>
      <w:numFmt w:val="bullet"/>
      <w:lvlText w:val="•"/>
      <w:lvlJc w:val="left"/>
      <w:pPr>
        <w:tabs>
          <w:tab w:val="num" w:pos="720"/>
        </w:tabs>
        <w:ind w:left="720" w:hanging="360"/>
      </w:pPr>
      <w:rPr>
        <w:rFonts w:ascii="Arial" w:hAnsi="Arial" w:hint="default"/>
      </w:rPr>
    </w:lvl>
    <w:lvl w:ilvl="1" w:tplc="C958C7A0" w:tentative="1">
      <w:start w:val="1"/>
      <w:numFmt w:val="bullet"/>
      <w:lvlText w:val="•"/>
      <w:lvlJc w:val="left"/>
      <w:pPr>
        <w:tabs>
          <w:tab w:val="num" w:pos="1440"/>
        </w:tabs>
        <w:ind w:left="1440" w:hanging="360"/>
      </w:pPr>
      <w:rPr>
        <w:rFonts w:ascii="Arial" w:hAnsi="Arial" w:hint="default"/>
      </w:rPr>
    </w:lvl>
    <w:lvl w:ilvl="2" w:tplc="B7C0B122" w:tentative="1">
      <w:start w:val="1"/>
      <w:numFmt w:val="bullet"/>
      <w:lvlText w:val="•"/>
      <w:lvlJc w:val="left"/>
      <w:pPr>
        <w:tabs>
          <w:tab w:val="num" w:pos="2160"/>
        </w:tabs>
        <w:ind w:left="2160" w:hanging="360"/>
      </w:pPr>
      <w:rPr>
        <w:rFonts w:ascii="Arial" w:hAnsi="Arial" w:hint="default"/>
      </w:rPr>
    </w:lvl>
    <w:lvl w:ilvl="3" w:tplc="0FC2CAA4" w:tentative="1">
      <w:start w:val="1"/>
      <w:numFmt w:val="bullet"/>
      <w:lvlText w:val="•"/>
      <w:lvlJc w:val="left"/>
      <w:pPr>
        <w:tabs>
          <w:tab w:val="num" w:pos="2880"/>
        </w:tabs>
        <w:ind w:left="2880" w:hanging="360"/>
      </w:pPr>
      <w:rPr>
        <w:rFonts w:ascii="Arial" w:hAnsi="Arial" w:hint="default"/>
      </w:rPr>
    </w:lvl>
    <w:lvl w:ilvl="4" w:tplc="A8DA3268" w:tentative="1">
      <w:start w:val="1"/>
      <w:numFmt w:val="bullet"/>
      <w:lvlText w:val="•"/>
      <w:lvlJc w:val="left"/>
      <w:pPr>
        <w:tabs>
          <w:tab w:val="num" w:pos="3600"/>
        </w:tabs>
        <w:ind w:left="3600" w:hanging="360"/>
      </w:pPr>
      <w:rPr>
        <w:rFonts w:ascii="Arial" w:hAnsi="Arial" w:hint="default"/>
      </w:rPr>
    </w:lvl>
    <w:lvl w:ilvl="5" w:tplc="4810EC2E" w:tentative="1">
      <w:start w:val="1"/>
      <w:numFmt w:val="bullet"/>
      <w:lvlText w:val="•"/>
      <w:lvlJc w:val="left"/>
      <w:pPr>
        <w:tabs>
          <w:tab w:val="num" w:pos="4320"/>
        </w:tabs>
        <w:ind w:left="4320" w:hanging="360"/>
      </w:pPr>
      <w:rPr>
        <w:rFonts w:ascii="Arial" w:hAnsi="Arial" w:hint="default"/>
      </w:rPr>
    </w:lvl>
    <w:lvl w:ilvl="6" w:tplc="5A2A937E" w:tentative="1">
      <w:start w:val="1"/>
      <w:numFmt w:val="bullet"/>
      <w:lvlText w:val="•"/>
      <w:lvlJc w:val="left"/>
      <w:pPr>
        <w:tabs>
          <w:tab w:val="num" w:pos="5040"/>
        </w:tabs>
        <w:ind w:left="5040" w:hanging="360"/>
      </w:pPr>
      <w:rPr>
        <w:rFonts w:ascii="Arial" w:hAnsi="Arial" w:hint="default"/>
      </w:rPr>
    </w:lvl>
    <w:lvl w:ilvl="7" w:tplc="BB9495FC" w:tentative="1">
      <w:start w:val="1"/>
      <w:numFmt w:val="bullet"/>
      <w:lvlText w:val="•"/>
      <w:lvlJc w:val="left"/>
      <w:pPr>
        <w:tabs>
          <w:tab w:val="num" w:pos="5760"/>
        </w:tabs>
        <w:ind w:left="5760" w:hanging="360"/>
      </w:pPr>
      <w:rPr>
        <w:rFonts w:ascii="Arial" w:hAnsi="Arial" w:hint="default"/>
      </w:rPr>
    </w:lvl>
    <w:lvl w:ilvl="8" w:tplc="53C073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02CE44"/>
    <w:multiLevelType w:val="hybridMultilevel"/>
    <w:tmpl w:val="976EBCE2"/>
    <w:lvl w:ilvl="0" w:tplc="A4365F94">
      <w:start w:val="1"/>
      <w:numFmt w:val="bullet"/>
      <w:lvlText w:val=""/>
      <w:lvlJc w:val="left"/>
      <w:pPr>
        <w:ind w:left="720" w:hanging="360"/>
      </w:pPr>
      <w:rPr>
        <w:rFonts w:ascii="Symbol" w:hAnsi="Symbol" w:hint="default"/>
      </w:rPr>
    </w:lvl>
    <w:lvl w:ilvl="1" w:tplc="0CA42DA0">
      <w:start w:val="1"/>
      <w:numFmt w:val="bullet"/>
      <w:lvlText w:val="o"/>
      <w:lvlJc w:val="left"/>
      <w:pPr>
        <w:ind w:left="1440" w:hanging="360"/>
      </w:pPr>
      <w:rPr>
        <w:rFonts w:ascii="&quot;Courier New&quot;" w:hAnsi="&quot;Courier New&quot;" w:hint="default"/>
      </w:rPr>
    </w:lvl>
    <w:lvl w:ilvl="2" w:tplc="AF54C2D6">
      <w:start w:val="1"/>
      <w:numFmt w:val="bullet"/>
      <w:lvlText w:val=""/>
      <w:lvlJc w:val="left"/>
      <w:pPr>
        <w:ind w:left="2160" w:hanging="360"/>
      </w:pPr>
      <w:rPr>
        <w:rFonts w:ascii="Wingdings" w:hAnsi="Wingdings" w:hint="default"/>
      </w:rPr>
    </w:lvl>
    <w:lvl w:ilvl="3" w:tplc="4462F2BE">
      <w:start w:val="1"/>
      <w:numFmt w:val="bullet"/>
      <w:lvlText w:val=""/>
      <w:lvlJc w:val="left"/>
      <w:pPr>
        <w:ind w:left="2880" w:hanging="360"/>
      </w:pPr>
      <w:rPr>
        <w:rFonts w:ascii="Symbol" w:hAnsi="Symbol" w:hint="default"/>
      </w:rPr>
    </w:lvl>
    <w:lvl w:ilvl="4" w:tplc="1BDAF3AE">
      <w:start w:val="1"/>
      <w:numFmt w:val="bullet"/>
      <w:lvlText w:val="o"/>
      <w:lvlJc w:val="left"/>
      <w:pPr>
        <w:ind w:left="3600" w:hanging="360"/>
      </w:pPr>
      <w:rPr>
        <w:rFonts w:ascii="Courier New" w:hAnsi="Courier New" w:hint="default"/>
      </w:rPr>
    </w:lvl>
    <w:lvl w:ilvl="5" w:tplc="04BE38EC">
      <w:start w:val="1"/>
      <w:numFmt w:val="bullet"/>
      <w:lvlText w:val=""/>
      <w:lvlJc w:val="left"/>
      <w:pPr>
        <w:ind w:left="4320" w:hanging="360"/>
      </w:pPr>
      <w:rPr>
        <w:rFonts w:ascii="Wingdings" w:hAnsi="Wingdings" w:hint="default"/>
      </w:rPr>
    </w:lvl>
    <w:lvl w:ilvl="6" w:tplc="FE3CD3CE">
      <w:start w:val="1"/>
      <w:numFmt w:val="bullet"/>
      <w:lvlText w:val=""/>
      <w:lvlJc w:val="left"/>
      <w:pPr>
        <w:ind w:left="5040" w:hanging="360"/>
      </w:pPr>
      <w:rPr>
        <w:rFonts w:ascii="Symbol" w:hAnsi="Symbol" w:hint="default"/>
      </w:rPr>
    </w:lvl>
    <w:lvl w:ilvl="7" w:tplc="0F441BB8">
      <w:start w:val="1"/>
      <w:numFmt w:val="bullet"/>
      <w:lvlText w:val="o"/>
      <w:lvlJc w:val="left"/>
      <w:pPr>
        <w:ind w:left="5760" w:hanging="360"/>
      </w:pPr>
      <w:rPr>
        <w:rFonts w:ascii="Courier New" w:hAnsi="Courier New" w:hint="default"/>
      </w:rPr>
    </w:lvl>
    <w:lvl w:ilvl="8" w:tplc="CAE2B8E6">
      <w:start w:val="1"/>
      <w:numFmt w:val="bullet"/>
      <w:lvlText w:val=""/>
      <w:lvlJc w:val="left"/>
      <w:pPr>
        <w:ind w:left="6480" w:hanging="360"/>
      </w:pPr>
      <w:rPr>
        <w:rFonts w:ascii="Wingdings" w:hAnsi="Wingdings" w:hint="default"/>
      </w:rPr>
    </w:lvl>
  </w:abstractNum>
  <w:abstractNum w:abstractNumId="17" w15:restartNumberingAfterBreak="0">
    <w:nsid w:val="1954320A"/>
    <w:multiLevelType w:val="hybridMultilevel"/>
    <w:tmpl w:val="DB6664BC"/>
    <w:lvl w:ilvl="0" w:tplc="1F206D2A">
      <w:start w:val="1"/>
      <w:numFmt w:val="bullet"/>
      <w:lvlText w:val=""/>
      <w:lvlJc w:val="left"/>
      <w:pPr>
        <w:ind w:left="720" w:hanging="360"/>
      </w:pPr>
      <w:rPr>
        <w:rFonts w:ascii="Symbol" w:hAnsi="Symbol" w:hint="default"/>
      </w:rPr>
    </w:lvl>
    <w:lvl w:ilvl="1" w:tplc="65FE46C0">
      <w:start w:val="1"/>
      <w:numFmt w:val="bullet"/>
      <w:lvlText w:val="o"/>
      <w:lvlJc w:val="left"/>
      <w:pPr>
        <w:ind w:left="1440" w:hanging="360"/>
      </w:pPr>
      <w:rPr>
        <w:rFonts w:ascii="&quot;Courier New&quot;" w:hAnsi="&quot;Courier New&quot;" w:hint="default"/>
      </w:rPr>
    </w:lvl>
    <w:lvl w:ilvl="2" w:tplc="8DA467F6">
      <w:start w:val="1"/>
      <w:numFmt w:val="bullet"/>
      <w:lvlText w:val=""/>
      <w:lvlJc w:val="left"/>
      <w:pPr>
        <w:ind w:left="2160" w:hanging="360"/>
      </w:pPr>
      <w:rPr>
        <w:rFonts w:ascii="Wingdings" w:hAnsi="Wingdings" w:hint="default"/>
      </w:rPr>
    </w:lvl>
    <w:lvl w:ilvl="3" w:tplc="E230C9C0">
      <w:start w:val="1"/>
      <w:numFmt w:val="bullet"/>
      <w:lvlText w:val=""/>
      <w:lvlJc w:val="left"/>
      <w:pPr>
        <w:ind w:left="2880" w:hanging="360"/>
      </w:pPr>
      <w:rPr>
        <w:rFonts w:ascii="Symbol" w:hAnsi="Symbol" w:hint="default"/>
      </w:rPr>
    </w:lvl>
    <w:lvl w:ilvl="4" w:tplc="44AE3D96">
      <w:start w:val="1"/>
      <w:numFmt w:val="bullet"/>
      <w:lvlText w:val="o"/>
      <w:lvlJc w:val="left"/>
      <w:pPr>
        <w:ind w:left="3600" w:hanging="360"/>
      </w:pPr>
      <w:rPr>
        <w:rFonts w:ascii="Courier New" w:hAnsi="Courier New" w:hint="default"/>
      </w:rPr>
    </w:lvl>
    <w:lvl w:ilvl="5" w:tplc="2C1C93B0">
      <w:start w:val="1"/>
      <w:numFmt w:val="bullet"/>
      <w:lvlText w:val=""/>
      <w:lvlJc w:val="left"/>
      <w:pPr>
        <w:ind w:left="4320" w:hanging="360"/>
      </w:pPr>
      <w:rPr>
        <w:rFonts w:ascii="Wingdings" w:hAnsi="Wingdings" w:hint="default"/>
      </w:rPr>
    </w:lvl>
    <w:lvl w:ilvl="6" w:tplc="635AD968">
      <w:start w:val="1"/>
      <w:numFmt w:val="bullet"/>
      <w:lvlText w:val=""/>
      <w:lvlJc w:val="left"/>
      <w:pPr>
        <w:ind w:left="5040" w:hanging="360"/>
      </w:pPr>
      <w:rPr>
        <w:rFonts w:ascii="Symbol" w:hAnsi="Symbol" w:hint="default"/>
      </w:rPr>
    </w:lvl>
    <w:lvl w:ilvl="7" w:tplc="0CD6AB0C">
      <w:start w:val="1"/>
      <w:numFmt w:val="bullet"/>
      <w:lvlText w:val="o"/>
      <w:lvlJc w:val="left"/>
      <w:pPr>
        <w:ind w:left="5760" w:hanging="360"/>
      </w:pPr>
      <w:rPr>
        <w:rFonts w:ascii="Courier New" w:hAnsi="Courier New" w:hint="default"/>
      </w:rPr>
    </w:lvl>
    <w:lvl w:ilvl="8" w:tplc="6656498A">
      <w:start w:val="1"/>
      <w:numFmt w:val="bullet"/>
      <w:lvlText w:val=""/>
      <w:lvlJc w:val="left"/>
      <w:pPr>
        <w:ind w:left="6480" w:hanging="360"/>
      </w:pPr>
      <w:rPr>
        <w:rFonts w:ascii="Wingdings" w:hAnsi="Wingdings" w:hint="default"/>
      </w:rPr>
    </w:lvl>
  </w:abstractNum>
  <w:abstractNum w:abstractNumId="18" w15:restartNumberingAfterBreak="0">
    <w:nsid w:val="19C7215B"/>
    <w:multiLevelType w:val="multilevel"/>
    <w:tmpl w:val="19C7215B"/>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C3ABD53"/>
    <w:multiLevelType w:val="hybridMultilevel"/>
    <w:tmpl w:val="5958F85A"/>
    <w:lvl w:ilvl="0" w:tplc="50AC2AD0">
      <w:start w:val="1"/>
      <w:numFmt w:val="bullet"/>
      <w:lvlText w:val=""/>
      <w:lvlJc w:val="left"/>
      <w:pPr>
        <w:ind w:left="720" w:hanging="360"/>
      </w:pPr>
      <w:rPr>
        <w:rFonts w:ascii="Symbol" w:hAnsi="Symbol" w:hint="default"/>
      </w:rPr>
    </w:lvl>
    <w:lvl w:ilvl="1" w:tplc="C28E47A0">
      <w:start w:val="1"/>
      <w:numFmt w:val="bullet"/>
      <w:lvlText w:val="o"/>
      <w:lvlJc w:val="left"/>
      <w:pPr>
        <w:ind w:left="1440" w:hanging="360"/>
      </w:pPr>
      <w:rPr>
        <w:rFonts w:ascii="&quot;Courier New&quot;" w:hAnsi="&quot;Courier New&quot;" w:hint="default"/>
      </w:rPr>
    </w:lvl>
    <w:lvl w:ilvl="2" w:tplc="3CC0EE92">
      <w:start w:val="1"/>
      <w:numFmt w:val="bullet"/>
      <w:lvlText w:val=""/>
      <w:lvlJc w:val="left"/>
      <w:pPr>
        <w:ind w:left="2160" w:hanging="360"/>
      </w:pPr>
      <w:rPr>
        <w:rFonts w:ascii="Wingdings" w:hAnsi="Wingdings" w:hint="default"/>
      </w:rPr>
    </w:lvl>
    <w:lvl w:ilvl="3" w:tplc="E8BE4554">
      <w:start w:val="1"/>
      <w:numFmt w:val="bullet"/>
      <w:lvlText w:val=""/>
      <w:lvlJc w:val="left"/>
      <w:pPr>
        <w:ind w:left="2880" w:hanging="360"/>
      </w:pPr>
      <w:rPr>
        <w:rFonts w:ascii="Symbol" w:hAnsi="Symbol" w:hint="default"/>
      </w:rPr>
    </w:lvl>
    <w:lvl w:ilvl="4" w:tplc="121AB65E">
      <w:start w:val="1"/>
      <w:numFmt w:val="bullet"/>
      <w:lvlText w:val="o"/>
      <w:lvlJc w:val="left"/>
      <w:pPr>
        <w:ind w:left="3600" w:hanging="360"/>
      </w:pPr>
      <w:rPr>
        <w:rFonts w:ascii="Courier New" w:hAnsi="Courier New" w:hint="default"/>
      </w:rPr>
    </w:lvl>
    <w:lvl w:ilvl="5" w:tplc="DD28D0DE">
      <w:start w:val="1"/>
      <w:numFmt w:val="bullet"/>
      <w:lvlText w:val=""/>
      <w:lvlJc w:val="left"/>
      <w:pPr>
        <w:ind w:left="4320" w:hanging="360"/>
      </w:pPr>
      <w:rPr>
        <w:rFonts w:ascii="Wingdings" w:hAnsi="Wingdings" w:hint="default"/>
      </w:rPr>
    </w:lvl>
    <w:lvl w:ilvl="6" w:tplc="5B66D4B0">
      <w:start w:val="1"/>
      <w:numFmt w:val="bullet"/>
      <w:lvlText w:val=""/>
      <w:lvlJc w:val="left"/>
      <w:pPr>
        <w:ind w:left="5040" w:hanging="360"/>
      </w:pPr>
      <w:rPr>
        <w:rFonts w:ascii="Symbol" w:hAnsi="Symbol" w:hint="default"/>
      </w:rPr>
    </w:lvl>
    <w:lvl w:ilvl="7" w:tplc="12FC9566">
      <w:start w:val="1"/>
      <w:numFmt w:val="bullet"/>
      <w:lvlText w:val="o"/>
      <w:lvlJc w:val="left"/>
      <w:pPr>
        <w:ind w:left="5760" w:hanging="360"/>
      </w:pPr>
      <w:rPr>
        <w:rFonts w:ascii="Courier New" w:hAnsi="Courier New" w:hint="default"/>
      </w:rPr>
    </w:lvl>
    <w:lvl w:ilvl="8" w:tplc="DFD4520E">
      <w:start w:val="1"/>
      <w:numFmt w:val="bullet"/>
      <w:lvlText w:val=""/>
      <w:lvlJc w:val="left"/>
      <w:pPr>
        <w:ind w:left="6480" w:hanging="360"/>
      </w:pPr>
      <w:rPr>
        <w:rFonts w:ascii="Wingdings" w:hAnsi="Wingdings" w:hint="default"/>
      </w:rPr>
    </w:lvl>
  </w:abstractNum>
  <w:abstractNum w:abstractNumId="20" w15:restartNumberingAfterBreak="0">
    <w:nsid w:val="1DB1CF93"/>
    <w:multiLevelType w:val="hybridMultilevel"/>
    <w:tmpl w:val="C0283E34"/>
    <w:lvl w:ilvl="0" w:tplc="D07805BE">
      <w:start w:val="1"/>
      <w:numFmt w:val="bullet"/>
      <w:lvlText w:val=""/>
      <w:lvlJc w:val="left"/>
      <w:pPr>
        <w:ind w:left="720" w:hanging="360"/>
      </w:pPr>
      <w:rPr>
        <w:rFonts w:ascii="Symbol" w:hAnsi="Symbol" w:hint="default"/>
      </w:rPr>
    </w:lvl>
    <w:lvl w:ilvl="1" w:tplc="C108DB0A">
      <w:start w:val="1"/>
      <w:numFmt w:val="bullet"/>
      <w:lvlText w:val="o"/>
      <w:lvlJc w:val="left"/>
      <w:pPr>
        <w:ind w:left="1440" w:hanging="360"/>
      </w:pPr>
      <w:rPr>
        <w:rFonts w:ascii="&quot;Courier New&quot;" w:hAnsi="&quot;Courier New&quot;" w:hint="default"/>
      </w:rPr>
    </w:lvl>
    <w:lvl w:ilvl="2" w:tplc="C1D813CA">
      <w:start w:val="1"/>
      <w:numFmt w:val="bullet"/>
      <w:lvlText w:val=""/>
      <w:lvlJc w:val="left"/>
      <w:pPr>
        <w:ind w:left="2160" w:hanging="360"/>
      </w:pPr>
      <w:rPr>
        <w:rFonts w:ascii="Wingdings" w:hAnsi="Wingdings" w:hint="default"/>
      </w:rPr>
    </w:lvl>
    <w:lvl w:ilvl="3" w:tplc="7102E222">
      <w:start w:val="1"/>
      <w:numFmt w:val="bullet"/>
      <w:lvlText w:val=""/>
      <w:lvlJc w:val="left"/>
      <w:pPr>
        <w:ind w:left="2880" w:hanging="360"/>
      </w:pPr>
      <w:rPr>
        <w:rFonts w:ascii="Symbol" w:hAnsi="Symbol" w:hint="default"/>
      </w:rPr>
    </w:lvl>
    <w:lvl w:ilvl="4" w:tplc="EF8C4DDA">
      <w:start w:val="1"/>
      <w:numFmt w:val="bullet"/>
      <w:lvlText w:val="o"/>
      <w:lvlJc w:val="left"/>
      <w:pPr>
        <w:ind w:left="3600" w:hanging="360"/>
      </w:pPr>
      <w:rPr>
        <w:rFonts w:ascii="Courier New" w:hAnsi="Courier New" w:hint="default"/>
      </w:rPr>
    </w:lvl>
    <w:lvl w:ilvl="5" w:tplc="FA183532">
      <w:start w:val="1"/>
      <w:numFmt w:val="bullet"/>
      <w:lvlText w:val=""/>
      <w:lvlJc w:val="left"/>
      <w:pPr>
        <w:ind w:left="4320" w:hanging="360"/>
      </w:pPr>
      <w:rPr>
        <w:rFonts w:ascii="Wingdings" w:hAnsi="Wingdings" w:hint="default"/>
      </w:rPr>
    </w:lvl>
    <w:lvl w:ilvl="6" w:tplc="19A4F700">
      <w:start w:val="1"/>
      <w:numFmt w:val="bullet"/>
      <w:lvlText w:val=""/>
      <w:lvlJc w:val="left"/>
      <w:pPr>
        <w:ind w:left="5040" w:hanging="360"/>
      </w:pPr>
      <w:rPr>
        <w:rFonts w:ascii="Symbol" w:hAnsi="Symbol" w:hint="default"/>
      </w:rPr>
    </w:lvl>
    <w:lvl w:ilvl="7" w:tplc="5740884E">
      <w:start w:val="1"/>
      <w:numFmt w:val="bullet"/>
      <w:lvlText w:val="o"/>
      <w:lvlJc w:val="left"/>
      <w:pPr>
        <w:ind w:left="5760" w:hanging="360"/>
      </w:pPr>
      <w:rPr>
        <w:rFonts w:ascii="Courier New" w:hAnsi="Courier New" w:hint="default"/>
      </w:rPr>
    </w:lvl>
    <w:lvl w:ilvl="8" w:tplc="88661FC8">
      <w:start w:val="1"/>
      <w:numFmt w:val="bullet"/>
      <w:lvlText w:val=""/>
      <w:lvlJc w:val="left"/>
      <w:pPr>
        <w:ind w:left="6480" w:hanging="360"/>
      </w:pPr>
      <w:rPr>
        <w:rFonts w:ascii="Wingdings" w:hAnsi="Wingdings" w:hint="default"/>
      </w:rPr>
    </w:lvl>
  </w:abstractNum>
  <w:abstractNum w:abstractNumId="21" w15:restartNumberingAfterBreak="0">
    <w:nsid w:val="1F8D18EF"/>
    <w:multiLevelType w:val="hybridMultilevel"/>
    <w:tmpl w:val="A1A26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A70C61"/>
    <w:multiLevelType w:val="hybridMultilevel"/>
    <w:tmpl w:val="1DBA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D441E4"/>
    <w:multiLevelType w:val="hybridMultilevel"/>
    <w:tmpl w:val="410CCF68"/>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24" w15:restartNumberingAfterBreak="0">
    <w:nsid w:val="20D848B1"/>
    <w:multiLevelType w:val="hybridMultilevel"/>
    <w:tmpl w:val="C3CE434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7534FC"/>
    <w:multiLevelType w:val="hybridMultilevel"/>
    <w:tmpl w:val="EA3203C4"/>
    <w:lvl w:ilvl="0" w:tplc="F5543E82">
      <w:start w:val="1"/>
      <w:numFmt w:val="bullet"/>
      <w:lvlText w:val="•"/>
      <w:lvlJc w:val="left"/>
      <w:pPr>
        <w:tabs>
          <w:tab w:val="num" w:pos="720"/>
        </w:tabs>
        <w:ind w:left="720" w:hanging="360"/>
      </w:pPr>
      <w:rPr>
        <w:rFonts w:ascii="Arial" w:hAnsi="Arial" w:hint="default"/>
      </w:rPr>
    </w:lvl>
    <w:lvl w:ilvl="1" w:tplc="6CA69ED4" w:tentative="1">
      <w:start w:val="1"/>
      <w:numFmt w:val="bullet"/>
      <w:lvlText w:val="•"/>
      <w:lvlJc w:val="left"/>
      <w:pPr>
        <w:tabs>
          <w:tab w:val="num" w:pos="1440"/>
        </w:tabs>
        <w:ind w:left="1440" w:hanging="360"/>
      </w:pPr>
      <w:rPr>
        <w:rFonts w:ascii="Arial" w:hAnsi="Arial" w:hint="default"/>
      </w:rPr>
    </w:lvl>
    <w:lvl w:ilvl="2" w:tplc="98C8B742" w:tentative="1">
      <w:start w:val="1"/>
      <w:numFmt w:val="bullet"/>
      <w:lvlText w:val="•"/>
      <w:lvlJc w:val="left"/>
      <w:pPr>
        <w:tabs>
          <w:tab w:val="num" w:pos="2160"/>
        </w:tabs>
        <w:ind w:left="2160" w:hanging="360"/>
      </w:pPr>
      <w:rPr>
        <w:rFonts w:ascii="Arial" w:hAnsi="Arial" w:hint="default"/>
      </w:rPr>
    </w:lvl>
    <w:lvl w:ilvl="3" w:tplc="0EB21354" w:tentative="1">
      <w:start w:val="1"/>
      <w:numFmt w:val="bullet"/>
      <w:lvlText w:val="•"/>
      <w:lvlJc w:val="left"/>
      <w:pPr>
        <w:tabs>
          <w:tab w:val="num" w:pos="2880"/>
        </w:tabs>
        <w:ind w:left="2880" w:hanging="360"/>
      </w:pPr>
      <w:rPr>
        <w:rFonts w:ascii="Arial" w:hAnsi="Arial" w:hint="default"/>
      </w:rPr>
    </w:lvl>
    <w:lvl w:ilvl="4" w:tplc="E9040682" w:tentative="1">
      <w:start w:val="1"/>
      <w:numFmt w:val="bullet"/>
      <w:lvlText w:val="•"/>
      <w:lvlJc w:val="left"/>
      <w:pPr>
        <w:tabs>
          <w:tab w:val="num" w:pos="3600"/>
        </w:tabs>
        <w:ind w:left="3600" w:hanging="360"/>
      </w:pPr>
      <w:rPr>
        <w:rFonts w:ascii="Arial" w:hAnsi="Arial" w:hint="default"/>
      </w:rPr>
    </w:lvl>
    <w:lvl w:ilvl="5" w:tplc="EAF41046" w:tentative="1">
      <w:start w:val="1"/>
      <w:numFmt w:val="bullet"/>
      <w:lvlText w:val="•"/>
      <w:lvlJc w:val="left"/>
      <w:pPr>
        <w:tabs>
          <w:tab w:val="num" w:pos="4320"/>
        </w:tabs>
        <w:ind w:left="4320" w:hanging="360"/>
      </w:pPr>
      <w:rPr>
        <w:rFonts w:ascii="Arial" w:hAnsi="Arial" w:hint="default"/>
      </w:rPr>
    </w:lvl>
    <w:lvl w:ilvl="6" w:tplc="949CB92E" w:tentative="1">
      <w:start w:val="1"/>
      <w:numFmt w:val="bullet"/>
      <w:lvlText w:val="•"/>
      <w:lvlJc w:val="left"/>
      <w:pPr>
        <w:tabs>
          <w:tab w:val="num" w:pos="5040"/>
        </w:tabs>
        <w:ind w:left="5040" w:hanging="360"/>
      </w:pPr>
      <w:rPr>
        <w:rFonts w:ascii="Arial" w:hAnsi="Arial" w:hint="default"/>
      </w:rPr>
    </w:lvl>
    <w:lvl w:ilvl="7" w:tplc="ACE42714" w:tentative="1">
      <w:start w:val="1"/>
      <w:numFmt w:val="bullet"/>
      <w:lvlText w:val="•"/>
      <w:lvlJc w:val="left"/>
      <w:pPr>
        <w:tabs>
          <w:tab w:val="num" w:pos="5760"/>
        </w:tabs>
        <w:ind w:left="5760" w:hanging="360"/>
      </w:pPr>
      <w:rPr>
        <w:rFonts w:ascii="Arial" w:hAnsi="Arial" w:hint="default"/>
      </w:rPr>
    </w:lvl>
    <w:lvl w:ilvl="8" w:tplc="A838D8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8868E5"/>
    <w:multiLevelType w:val="hybridMultilevel"/>
    <w:tmpl w:val="D302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5B1ABB"/>
    <w:multiLevelType w:val="hybridMultilevel"/>
    <w:tmpl w:val="3F1A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A50FB8"/>
    <w:multiLevelType w:val="hybridMultilevel"/>
    <w:tmpl w:val="10144BA0"/>
    <w:lvl w:ilvl="0" w:tplc="BE7402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B83733E"/>
    <w:multiLevelType w:val="hybridMultilevel"/>
    <w:tmpl w:val="BC12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9B159F"/>
    <w:multiLevelType w:val="multilevel"/>
    <w:tmpl w:val="533443E0"/>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lvl>
    <w:lvl w:ilvl="2">
      <w:start w:val="1"/>
      <w:numFmt w:val="decimal"/>
      <w:pStyle w:val="Heading3Numbered"/>
      <w:lvlText w:val="%1.%2.%3"/>
      <w:lvlJc w:val="left"/>
      <w:pPr>
        <w:ind w:left="851" w:hanging="851"/>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15:restartNumberingAfterBreak="0">
    <w:nsid w:val="2CA90375"/>
    <w:multiLevelType w:val="hybridMultilevel"/>
    <w:tmpl w:val="FEE67C5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634E73"/>
    <w:multiLevelType w:val="hybridMultilevel"/>
    <w:tmpl w:val="2668DBA0"/>
    <w:lvl w:ilvl="0" w:tplc="3CAE651A">
      <w:start w:val="1"/>
      <w:numFmt w:val="bullet"/>
      <w:lvlText w:val="·"/>
      <w:lvlJc w:val="left"/>
      <w:pPr>
        <w:ind w:left="720" w:hanging="360"/>
      </w:pPr>
      <w:rPr>
        <w:rFonts w:ascii="Symbol" w:hAnsi="Symbol" w:hint="default"/>
      </w:rPr>
    </w:lvl>
    <w:lvl w:ilvl="1" w:tplc="126AC534">
      <w:start w:val="1"/>
      <w:numFmt w:val="bullet"/>
      <w:lvlText w:val="o"/>
      <w:lvlJc w:val="left"/>
      <w:pPr>
        <w:ind w:left="1440" w:hanging="360"/>
      </w:pPr>
      <w:rPr>
        <w:rFonts w:ascii="Courier New" w:hAnsi="Courier New" w:hint="default"/>
      </w:rPr>
    </w:lvl>
    <w:lvl w:ilvl="2" w:tplc="D5C44D10">
      <w:start w:val="1"/>
      <w:numFmt w:val="bullet"/>
      <w:lvlText w:val=""/>
      <w:lvlJc w:val="left"/>
      <w:pPr>
        <w:ind w:left="2160" w:hanging="360"/>
      </w:pPr>
      <w:rPr>
        <w:rFonts w:ascii="Wingdings" w:hAnsi="Wingdings" w:hint="default"/>
      </w:rPr>
    </w:lvl>
    <w:lvl w:ilvl="3" w:tplc="E3AE198E">
      <w:start w:val="1"/>
      <w:numFmt w:val="bullet"/>
      <w:lvlText w:val=""/>
      <w:lvlJc w:val="left"/>
      <w:pPr>
        <w:ind w:left="2880" w:hanging="360"/>
      </w:pPr>
      <w:rPr>
        <w:rFonts w:ascii="Symbol" w:hAnsi="Symbol" w:hint="default"/>
      </w:rPr>
    </w:lvl>
    <w:lvl w:ilvl="4" w:tplc="9BEE7B34">
      <w:start w:val="1"/>
      <w:numFmt w:val="bullet"/>
      <w:lvlText w:val="o"/>
      <w:lvlJc w:val="left"/>
      <w:pPr>
        <w:ind w:left="3600" w:hanging="360"/>
      </w:pPr>
      <w:rPr>
        <w:rFonts w:ascii="Courier New" w:hAnsi="Courier New" w:hint="default"/>
      </w:rPr>
    </w:lvl>
    <w:lvl w:ilvl="5" w:tplc="DADA94B6">
      <w:start w:val="1"/>
      <w:numFmt w:val="bullet"/>
      <w:lvlText w:val=""/>
      <w:lvlJc w:val="left"/>
      <w:pPr>
        <w:ind w:left="4320" w:hanging="360"/>
      </w:pPr>
      <w:rPr>
        <w:rFonts w:ascii="Wingdings" w:hAnsi="Wingdings" w:hint="default"/>
      </w:rPr>
    </w:lvl>
    <w:lvl w:ilvl="6" w:tplc="97C4DC28">
      <w:start w:val="1"/>
      <w:numFmt w:val="bullet"/>
      <w:lvlText w:val=""/>
      <w:lvlJc w:val="left"/>
      <w:pPr>
        <w:ind w:left="5040" w:hanging="360"/>
      </w:pPr>
      <w:rPr>
        <w:rFonts w:ascii="Symbol" w:hAnsi="Symbol" w:hint="default"/>
      </w:rPr>
    </w:lvl>
    <w:lvl w:ilvl="7" w:tplc="A1C0C31A">
      <w:start w:val="1"/>
      <w:numFmt w:val="bullet"/>
      <w:lvlText w:val="o"/>
      <w:lvlJc w:val="left"/>
      <w:pPr>
        <w:ind w:left="5760" w:hanging="360"/>
      </w:pPr>
      <w:rPr>
        <w:rFonts w:ascii="Courier New" w:hAnsi="Courier New" w:hint="default"/>
      </w:rPr>
    </w:lvl>
    <w:lvl w:ilvl="8" w:tplc="4C2A691A">
      <w:start w:val="1"/>
      <w:numFmt w:val="bullet"/>
      <w:lvlText w:val=""/>
      <w:lvlJc w:val="left"/>
      <w:pPr>
        <w:ind w:left="6480" w:hanging="360"/>
      </w:pPr>
      <w:rPr>
        <w:rFonts w:ascii="Wingdings" w:hAnsi="Wingdings" w:hint="default"/>
      </w:rPr>
    </w:lvl>
  </w:abstractNum>
  <w:abstractNum w:abstractNumId="33" w15:restartNumberingAfterBreak="0">
    <w:nsid w:val="30F274B4"/>
    <w:multiLevelType w:val="hybridMultilevel"/>
    <w:tmpl w:val="DF3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A12478"/>
    <w:multiLevelType w:val="hybridMultilevel"/>
    <w:tmpl w:val="AEF464A2"/>
    <w:lvl w:ilvl="0" w:tplc="0C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35" w15:restartNumberingAfterBreak="0">
    <w:nsid w:val="324E063F"/>
    <w:multiLevelType w:val="hybridMultilevel"/>
    <w:tmpl w:val="A6F8038C"/>
    <w:lvl w:ilvl="0" w:tplc="779879EA">
      <w:start w:val="1"/>
      <w:numFmt w:val="bullet"/>
      <w:lvlText w:val="•"/>
      <w:lvlJc w:val="left"/>
      <w:pPr>
        <w:tabs>
          <w:tab w:val="num" w:pos="720"/>
        </w:tabs>
        <w:ind w:left="720" w:hanging="360"/>
      </w:pPr>
      <w:rPr>
        <w:rFonts w:ascii="Arial" w:hAnsi="Arial" w:hint="default"/>
      </w:rPr>
    </w:lvl>
    <w:lvl w:ilvl="1" w:tplc="A51CD69E" w:tentative="1">
      <w:start w:val="1"/>
      <w:numFmt w:val="bullet"/>
      <w:lvlText w:val="•"/>
      <w:lvlJc w:val="left"/>
      <w:pPr>
        <w:tabs>
          <w:tab w:val="num" w:pos="1440"/>
        </w:tabs>
        <w:ind w:left="1440" w:hanging="360"/>
      </w:pPr>
      <w:rPr>
        <w:rFonts w:ascii="Arial" w:hAnsi="Arial" w:hint="default"/>
      </w:rPr>
    </w:lvl>
    <w:lvl w:ilvl="2" w:tplc="0E22AB6E" w:tentative="1">
      <w:start w:val="1"/>
      <w:numFmt w:val="bullet"/>
      <w:lvlText w:val="•"/>
      <w:lvlJc w:val="left"/>
      <w:pPr>
        <w:tabs>
          <w:tab w:val="num" w:pos="2160"/>
        </w:tabs>
        <w:ind w:left="2160" w:hanging="360"/>
      </w:pPr>
      <w:rPr>
        <w:rFonts w:ascii="Arial" w:hAnsi="Arial" w:hint="default"/>
      </w:rPr>
    </w:lvl>
    <w:lvl w:ilvl="3" w:tplc="0E8ED1FA" w:tentative="1">
      <w:start w:val="1"/>
      <w:numFmt w:val="bullet"/>
      <w:lvlText w:val="•"/>
      <w:lvlJc w:val="left"/>
      <w:pPr>
        <w:tabs>
          <w:tab w:val="num" w:pos="2880"/>
        </w:tabs>
        <w:ind w:left="2880" w:hanging="360"/>
      </w:pPr>
      <w:rPr>
        <w:rFonts w:ascii="Arial" w:hAnsi="Arial" w:hint="default"/>
      </w:rPr>
    </w:lvl>
    <w:lvl w:ilvl="4" w:tplc="2248686C" w:tentative="1">
      <w:start w:val="1"/>
      <w:numFmt w:val="bullet"/>
      <w:lvlText w:val="•"/>
      <w:lvlJc w:val="left"/>
      <w:pPr>
        <w:tabs>
          <w:tab w:val="num" w:pos="3600"/>
        </w:tabs>
        <w:ind w:left="3600" w:hanging="360"/>
      </w:pPr>
      <w:rPr>
        <w:rFonts w:ascii="Arial" w:hAnsi="Arial" w:hint="default"/>
      </w:rPr>
    </w:lvl>
    <w:lvl w:ilvl="5" w:tplc="9880D408" w:tentative="1">
      <w:start w:val="1"/>
      <w:numFmt w:val="bullet"/>
      <w:lvlText w:val="•"/>
      <w:lvlJc w:val="left"/>
      <w:pPr>
        <w:tabs>
          <w:tab w:val="num" w:pos="4320"/>
        </w:tabs>
        <w:ind w:left="4320" w:hanging="360"/>
      </w:pPr>
      <w:rPr>
        <w:rFonts w:ascii="Arial" w:hAnsi="Arial" w:hint="default"/>
      </w:rPr>
    </w:lvl>
    <w:lvl w:ilvl="6" w:tplc="CDE8BFCE" w:tentative="1">
      <w:start w:val="1"/>
      <w:numFmt w:val="bullet"/>
      <w:lvlText w:val="•"/>
      <w:lvlJc w:val="left"/>
      <w:pPr>
        <w:tabs>
          <w:tab w:val="num" w:pos="5040"/>
        </w:tabs>
        <w:ind w:left="5040" w:hanging="360"/>
      </w:pPr>
      <w:rPr>
        <w:rFonts w:ascii="Arial" w:hAnsi="Arial" w:hint="default"/>
      </w:rPr>
    </w:lvl>
    <w:lvl w:ilvl="7" w:tplc="EAE87662" w:tentative="1">
      <w:start w:val="1"/>
      <w:numFmt w:val="bullet"/>
      <w:lvlText w:val="•"/>
      <w:lvlJc w:val="left"/>
      <w:pPr>
        <w:tabs>
          <w:tab w:val="num" w:pos="5760"/>
        </w:tabs>
        <w:ind w:left="5760" w:hanging="360"/>
      </w:pPr>
      <w:rPr>
        <w:rFonts w:ascii="Arial" w:hAnsi="Arial" w:hint="default"/>
      </w:rPr>
    </w:lvl>
    <w:lvl w:ilvl="8" w:tplc="1022581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1C7A4E"/>
    <w:multiLevelType w:val="multilevel"/>
    <w:tmpl w:val="A5E01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AC6901"/>
    <w:multiLevelType w:val="hybridMultilevel"/>
    <w:tmpl w:val="A4A0340C"/>
    <w:lvl w:ilvl="0" w:tplc="23BADB18">
      <w:start w:val="46"/>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B27259"/>
    <w:multiLevelType w:val="hybridMultilevel"/>
    <w:tmpl w:val="6DD62A0E"/>
    <w:lvl w:ilvl="0" w:tplc="C6428DB4">
      <w:start w:val="1"/>
      <w:numFmt w:val="bullet"/>
      <w:lvlText w:val="·"/>
      <w:lvlJc w:val="left"/>
      <w:pPr>
        <w:ind w:left="720" w:hanging="360"/>
      </w:pPr>
      <w:rPr>
        <w:rFonts w:ascii="Symbol" w:hAnsi="Symbol" w:hint="default"/>
      </w:rPr>
    </w:lvl>
    <w:lvl w:ilvl="1" w:tplc="9BF0E832">
      <w:start w:val="1"/>
      <w:numFmt w:val="bullet"/>
      <w:lvlText w:val="o"/>
      <w:lvlJc w:val="left"/>
      <w:pPr>
        <w:ind w:left="1440" w:hanging="360"/>
      </w:pPr>
      <w:rPr>
        <w:rFonts w:ascii="Courier New" w:hAnsi="Courier New" w:hint="default"/>
      </w:rPr>
    </w:lvl>
    <w:lvl w:ilvl="2" w:tplc="49769476">
      <w:start w:val="1"/>
      <w:numFmt w:val="bullet"/>
      <w:lvlText w:val=""/>
      <w:lvlJc w:val="left"/>
      <w:pPr>
        <w:ind w:left="2160" w:hanging="360"/>
      </w:pPr>
      <w:rPr>
        <w:rFonts w:ascii="Wingdings" w:hAnsi="Wingdings" w:hint="default"/>
      </w:rPr>
    </w:lvl>
    <w:lvl w:ilvl="3" w:tplc="105850D4">
      <w:start w:val="1"/>
      <w:numFmt w:val="bullet"/>
      <w:lvlText w:val=""/>
      <w:lvlJc w:val="left"/>
      <w:pPr>
        <w:ind w:left="2880" w:hanging="360"/>
      </w:pPr>
      <w:rPr>
        <w:rFonts w:ascii="Symbol" w:hAnsi="Symbol" w:hint="default"/>
      </w:rPr>
    </w:lvl>
    <w:lvl w:ilvl="4" w:tplc="590C96CE">
      <w:start w:val="1"/>
      <w:numFmt w:val="bullet"/>
      <w:lvlText w:val="o"/>
      <w:lvlJc w:val="left"/>
      <w:pPr>
        <w:ind w:left="3600" w:hanging="360"/>
      </w:pPr>
      <w:rPr>
        <w:rFonts w:ascii="Courier New" w:hAnsi="Courier New" w:hint="default"/>
      </w:rPr>
    </w:lvl>
    <w:lvl w:ilvl="5" w:tplc="06BE213A">
      <w:start w:val="1"/>
      <w:numFmt w:val="bullet"/>
      <w:lvlText w:val=""/>
      <w:lvlJc w:val="left"/>
      <w:pPr>
        <w:ind w:left="4320" w:hanging="360"/>
      </w:pPr>
      <w:rPr>
        <w:rFonts w:ascii="Wingdings" w:hAnsi="Wingdings" w:hint="default"/>
      </w:rPr>
    </w:lvl>
    <w:lvl w:ilvl="6" w:tplc="0CA09BB2">
      <w:start w:val="1"/>
      <w:numFmt w:val="bullet"/>
      <w:lvlText w:val=""/>
      <w:lvlJc w:val="left"/>
      <w:pPr>
        <w:ind w:left="5040" w:hanging="360"/>
      </w:pPr>
      <w:rPr>
        <w:rFonts w:ascii="Symbol" w:hAnsi="Symbol" w:hint="default"/>
      </w:rPr>
    </w:lvl>
    <w:lvl w:ilvl="7" w:tplc="6666C378">
      <w:start w:val="1"/>
      <w:numFmt w:val="bullet"/>
      <w:lvlText w:val="o"/>
      <w:lvlJc w:val="left"/>
      <w:pPr>
        <w:ind w:left="5760" w:hanging="360"/>
      </w:pPr>
      <w:rPr>
        <w:rFonts w:ascii="Courier New" w:hAnsi="Courier New" w:hint="default"/>
      </w:rPr>
    </w:lvl>
    <w:lvl w:ilvl="8" w:tplc="8DD6CD6C">
      <w:start w:val="1"/>
      <w:numFmt w:val="bullet"/>
      <w:lvlText w:val=""/>
      <w:lvlJc w:val="left"/>
      <w:pPr>
        <w:ind w:left="6480" w:hanging="360"/>
      </w:pPr>
      <w:rPr>
        <w:rFonts w:ascii="Wingdings" w:hAnsi="Wingdings" w:hint="default"/>
      </w:rPr>
    </w:lvl>
  </w:abstractNum>
  <w:abstractNum w:abstractNumId="39" w15:restartNumberingAfterBreak="0">
    <w:nsid w:val="3994D237"/>
    <w:multiLevelType w:val="hybridMultilevel"/>
    <w:tmpl w:val="6F7EC41A"/>
    <w:lvl w:ilvl="0" w:tplc="D3005506">
      <w:start w:val="1"/>
      <w:numFmt w:val="bullet"/>
      <w:lvlText w:val=""/>
      <w:lvlJc w:val="left"/>
      <w:pPr>
        <w:ind w:left="720" w:hanging="360"/>
      </w:pPr>
      <w:rPr>
        <w:rFonts w:ascii="Symbol" w:hAnsi="Symbol" w:hint="default"/>
      </w:rPr>
    </w:lvl>
    <w:lvl w:ilvl="1" w:tplc="1F42AF30">
      <w:start w:val="1"/>
      <w:numFmt w:val="bullet"/>
      <w:lvlText w:val="o"/>
      <w:lvlJc w:val="left"/>
      <w:pPr>
        <w:ind w:left="1440" w:hanging="360"/>
      </w:pPr>
      <w:rPr>
        <w:rFonts w:ascii="&quot;Courier New&quot;" w:hAnsi="&quot;Courier New&quot;" w:hint="default"/>
      </w:rPr>
    </w:lvl>
    <w:lvl w:ilvl="2" w:tplc="5D46D720">
      <w:start w:val="1"/>
      <w:numFmt w:val="bullet"/>
      <w:lvlText w:val=""/>
      <w:lvlJc w:val="left"/>
      <w:pPr>
        <w:ind w:left="2160" w:hanging="360"/>
      </w:pPr>
      <w:rPr>
        <w:rFonts w:ascii="Wingdings" w:hAnsi="Wingdings" w:hint="default"/>
      </w:rPr>
    </w:lvl>
    <w:lvl w:ilvl="3" w:tplc="6EE499E2">
      <w:start w:val="1"/>
      <w:numFmt w:val="bullet"/>
      <w:lvlText w:val=""/>
      <w:lvlJc w:val="left"/>
      <w:pPr>
        <w:ind w:left="2880" w:hanging="360"/>
      </w:pPr>
      <w:rPr>
        <w:rFonts w:ascii="Symbol" w:hAnsi="Symbol" w:hint="default"/>
      </w:rPr>
    </w:lvl>
    <w:lvl w:ilvl="4" w:tplc="046AA22C">
      <w:start w:val="1"/>
      <w:numFmt w:val="bullet"/>
      <w:lvlText w:val="o"/>
      <w:lvlJc w:val="left"/>
      <w:pPr>
        <w:ind w:left="3600" w:hanging="360"/>
      </w:pPr>
      <w:rPr>
        <w:rFonts w:ascii="Courier New" w:hAnsi="Courier New" w:hint="default"/>
      </w:rPr>
    </w:lvl>
    <w:lvl w:ilvl="5" w:tplc="088C6184">
      <w:start w:val="1"/>
      <w:numFmt w:val="bullet"/>
      <w:lvlText w:val=""/>
      <w:lvlJc w:val="left"/>
      <w:pPr>
        <w:ind w:left="4320" w:hanging="360"/>
      </w:pPr>
      <w:rPr>
        <w:rFonts w:ascii="Wingdings" w:hAnsi="Wingdings" w:hint="default"/>
      </w:rPr>
    </w:lvl>
    <w:lvl w:ilvl="6" w:tplc="8E0269A0">
      <w:start w:val="1"/>
      <w:numFmt w:val="bullet"/>
      <w:lvlText w:val=""/>
      <w:lvlJc w:val="left"/>
      <w:pPr>
        <w:ind w:left="5040" w:hanging="360"/>
      </w:pPr>
      <w:rPr>
        <w:rFonts w:ascii="Symbol" w:hAnsi="Symbol" w:hint="default"/>
      </w:rPr>
    </w:lvl>
    <w:lvl w:ilvl="7" w:tplc="9C561D28">
      <w:start w:val="1"/>
      <w:numFmt w:val="bullet"/>
      <w:lvlText w:val="o"/>
      <w:lvlJc w:val="left"/>
      <w:pPr>
        <w:ind w:left="5760" w:hanging="360"/>
      </w:pPr>
      <w:rPr>
        <w:rFonts w:ascii="Courier New" w:hAnsi="Courier New" w:hint="default"/>
      </w:rPr>
    </w:lvl>
    <w:lvl w:ilvl="8" w:tplc="C774493C">
      <w:start w:val="1"/>
      <w:numFmt w:val="bullet"/>
      <w:lvlText w:val=""/>
      <w:lvlJc w:val="left"/>
      <w:pPr>
        <w:ind w:left="6480" w:hanging="360"/>
      </w:pPr>
      <w:rPr>
        <w:rFonts w:ascii="Wingdings" w:hAnsi="Wingdings" w:hint="default"/>
      </w:rPr>
    </w:lvl>
  </w:abstractNum>
  <w:abstractNum w:abstractNumId="40" w15:restartNumberingAfterBreak="0">
    <w:nsid w:val="39E70FB6"/>
    <w:multiLevelType w:val="hybridMultilevel"/>
    <w:tmpl w:val="B612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805F6F"/>
    <w:multiLevelType w:val="hybridMultilevel"/>
    <w:tmpl w:val="F2146C8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3D2C528D"/>
    <w:multiLevelType w:val="hybridMultilevel"/>
    <w:tmpl w:val="3F785E18"/>
    <w:lvl w:ilvl="0" w:tplc="2AD0C40E">
      <w:start w:val="1"/>
      <w:numFmt w:val="decimal"/>
      <w:lvlText w:val="%1."/>
      <w:lvlJc w:val="left"/>
      <w:pPr>
        <w:ind w:left="720" w:hanging="360"/>
      </w:pPr>
    </w:lvl>
    <w:lvl w:ilvl="1" w:tplc="C8A63720">
      <w:start w:val="1"/>
      <w:numFmt w:val="lowerLetter"/>
      <w:lvlText w:val="%2."/>
      <w:lvlJc w:val="left"/>
      <w:pPr>
        <w:ind w:left="1440" w:hanging="360"/>
      </w:pPr>
    </w:lvl>
    <w:lvl w:ilvl="2" w:tplc="589E1270">
      <w:start w:val="1"/>
      <w:numFmt w:val="decimal"/>
      <w:lvlText w:val="%3.1.1"/>
      <w:lvlJc w:val="left"/>
      <w:pPr>
        <w:ind w:left="2160" w:hanging="180"/>
      </w:pPr>
    </w:lvl>
    <w:lvl w:ilvl="3" w:tplc="9014E53C">
      <w:start w:val="1"/>
      <w:numFmt w:val="decimal"/>
      <w:lvlText w:val="%4."/>
      <w:lvlJc w:val="left"/>
      <w:pPr>
        <w:ind w:left="2880" w:hanging="360"/>
      </w:pPr>
    </w:lvl>
    <w:lvl w:ilvl="4" w:tplc="E96C8C38">
      <w:start w:val="1"/>
      <w:numFmt w:val="lowerLetter"/>
      <w:lvlText w:val="%5."/>
      <w:lvlJc w:val="left"/>
      <w:pPr>
        <w:ind w:left="3600" w:hanging="360"/>
      </w:pPr>
    </w:lvl>
    <w:lvl w:ilvl="5" w:tplc="C3BA6F46">
      <w:start w:val="1"/>
      <w:numFmt w:val="lowerRoman"/>
      <w:lvlText w:val="%6."/>
      <w:lvlJc w:val="right"/>
      <w:pPr>
        <w:ind w:left="4320" w:hanging="180"/>
      </w:pPr>
    </w:lvl>
    <w:lvl w:ilvl="6" w:tplc="5D283CF4">
      <w:start w:val="1"/>
      <w:numFmt w:val="decimal"/>
      <w:lvlText w:val="%7."/>
      <w:lvlJc w:val="left"/>
      <w:pPr>
        <w:ind w:left="5040" w:hanging="360"/>
      </w:pPr>
    </w:lvl>
    <w:lvl w:ilvl="7" w:tplc="E74C15FC">
      <w:start w:val="1"/>
      <w:numFmt w:val="lowerLetter"/>
      <w:lvlText w:val="%8."/>
      <w:lvlJc w:val="left"/>
      <w:pPr>
        <w:ind w:left="5760" w:hanging="360"/>
      </w:pPr>
    </w:lvl>
    <w:lvl w:ilvl="8" w:tplc="B92429E6">
      <w:start w:val="1"/>
      <w:numFmt w:val="lowerRoman"/>
      <w:lvlText w:val="%9."/>
      <w:lvlJc w:val="right"/>
      <w:pPr>
        <w:ind w:left="6480" w:hanging="180"/>
      </w:pPr>
    </w:lvl>
  </w:abstractNum>
  <w:abstractNum w:abstractNumId="43" w15:restartNumberingAfterBreak="0">
    <w:nsid w:val="3D89693E"/>
    <w:multiLevelType w:val="hybridMultilevel"/>
    <w:tmpl w:val="9B7A0870"/>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F487F6C"/>
    <w:multiLevelType w:val="hybridMultilevel"/>
    <w:tmpl w:val="48B6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6E0686"/>
    <w:multiLevelType w:val="hybridMultilevel"/>
    <w:tmpl w:val="03C051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0E8361F"/>
    <w:multiLevelType w:val="hybridMultilevel"/>
    <w:tmpl w:val="633C7C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17E75A8"/>
    <w:multiLevelType w:val="hybridMultilevel"/>
    <w:tmpl w:val="799CF744"/>
    <w:lvl w:ilvl="0" w:tplc="A6BAD8E6">
      <w:numFmt w:val="none"/>
      <w:lvlText w:val=""/>
      <w:lvlJc w:val="left"/>
      <w:pPr>
        <w:tabs>
          <w:tab w:val="num" w:pos="360"/>
        </w:tabs>
      </w:pPr>
    </w:lvl>
    <w:lvl w:ilvl="1" w:tplc="6A106BB8">
      <w:start w:val="1"/>
      <w:numFmt w:val="lowerLetter"/>
      <w:lvlText w:val="%2."/>
      <w:lvlJc w:val="left"/>
      <w:pPr>
        <w:ind w:left="1440" w:hanging="360"/>
      </w:pPr>
    </w:lvl>
    <w:lvl w:ilvl="2" w:tplc="01F2F5C4">
      <w:start w:val="1"/>
      <w:numFmt w:val="lowerRoman"/>
      <w:lvlText w:val="%3."/>
      <w:lvlJc w:val="right"/>
      <w:pPr>
        <w:ind w:left="2160" w:hanging="180"/>
      </w:pPr>
    </w:lvl>
    <w:lvl w:ilvl="3" w:tplc="E92824EE">
      <w:start w:val="1"/>
      <w:numFmt w:val="decimal"/>
      <w:lvlText w:val="%4."/>
      <w:lvlJc w:val="left"/>
      <w:pPr>
        <w:ind w:left="2880" w:hanging="360"/>
      </w:pPr>
    </w:lvl>
    <w:lvl w:ilvl="4" w:tplc="00BED15A">
      <w:start w:val="1"/>
      <w:numFmt w:val="lowerLetter"/>
      <w:lvlText w:val="%5."/>
      <w:lvlJc w:val="left"/>
      <w:pPr>
        <w:ind w:left="3600" w:hanging="360"/>
      </w:pPr>
    </w:lvl>
    <w:lvl w:ilvl="5" w:tplc="274A932C">
      <w:start w:val="1"/>
      <w:numFmt w:val="lowerRoman"/>
      <w:lvlText w:val="%6."/>
      <w:lvlJc w:val="right"/>
      <w:pPr>
        <w:ind w:left="4320" w:hanging="180"/>
      </w:pPr>
    </w:lvl>
    <w:lvl w:ilvl="6" w:tplc="64B2930E">
      <w:start w:val="1"/>
      <w:numFmt w:val="decimal"/>
      <w:lvlText w:val="%7."/>
      <w:lvlJc w:val="left"/>
      <w:pPr>
        <w:ind w:left="5040" w:hanging="360"/>
      </w:pPr>
    </w:lvl>
    <w:lvl w:ilvl="7" w:tplc="2EBAF934">
      <w:start w:val="1"/>
      <w:numFmt w:val="lowerLetter"/>
      <w:lvlText w:val="%8."/>
      <w:lvlJc w:val="left"/>
      <w:pPr>
        <w:ind w:left="5760" w:hanging="360"/>
      </w:pPr>
    </w:lvl>
    <w:lvl w:ilvl="8" w:tplc="D292B208">
      <w:start w:val="1"/>
      <w:numFmt w:val="lowerRoman"/>
      <w:lvlText w:val="%9."/>
      <w:lvlJc w:val="right"/>
      <w:pPr>
        <w:ind w:left="6480" w:hanging="180"/>
      </w:pPr>
    </w:lvl>
  </w:abstractNum>
  <w:abstractNum w:abstractNumId="48" w15:restartNumberingAfterBreak="0">
    <w:nsid w:val="434C0B38"/>
    <w:multiLevelType w:val="hybridMultilevel"/>
    <w:tmpl w:val="E91EA56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5B16A3A"/>
    <w:multiLevelType w:val="hybridMultilevel"/>
    <w:tmpl w:val="52E0C1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62C3FAF"/>
    <w:multiLevelType w:val="hybridMultilevel"/>
    <w:tmpl w:val="D876A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64ABB58"/>
    <w:multiLevelType w:val="hybridMultilevel"/>
    <w:tmpl w:val="73CE3F1C"/>
    <w:lvl w:ilvl="0" w:tplc="6BA046E2">
      <w:start w:val="1"/>
      <w:numFmt w:val="bullet"/>
      <w:lvlText w:val=""/>
      <w:lvlJc w:val="left"/>
      <w:pPr>
        <w:ind w:left="720" w:hanging="360"/>
      </w:pPr>
      <w:rPr>
        <w:rFonts w:ascii="Symbol" w:hAnsi="Symbol" w:hint="default"/>
      </w:rPr>
    </w:lvl>
    <w:lvl w:ilvl="1" w:tplc="BCD27B28">
      <w:start w:val="1"/>
      <w:numFmt w:val="bullet"/>
      <w:lvlText w:val="o"/>
      <w:lvlJc w:val="left"/>
      <w:pPr>
        <w:ind w:left="1440" w:hanging="360"/>
      </w:pPr>
      <w:rPr>
        <w:rFonts w:ascii="&quot;Courier New&quot;" w:hAnsi="&quot;Courier New&quot;" w:hint="default"/>
      </w:rPr>
    </w:lvl>
    <w:lvl w:ilvl="2" w:tplc="35F8F044">
      <w:start w:val="1"/>
      <w:numFmt w:val="bullet"/>
      <w:lvlText w:val=""/>
      <w:lvlJc w:val="left"/>
      <w:pPr>
        <w:ind w:left="2160" w:hanging="360"/>
      </w:pPr>
      <w:rPr>
        <w:rFonts w:ascii="Wingdings" w:hAnsi="Wingdings" w:hint="default"/>
      </w:rPr>
    </w:lvl>
    <w:lvl w:ilvl="3" w:tplc="226269D8">
      <w:start w:val="1"/>
      <w:numFmt w:val="bullet"/>
      <w:lvlText w:val=""/>
      <w:lvlJc w:val="left"/>
      <w:pPr>
        <w:ind w:left="2880" w:hanging="360"/>
      </w:pPr>
      <w:rPr>
        <w:rFonts w:ascii="Symbol" w:hAnsi="Symbol" w:hint="default"/>
      </w:rPr>
    </w:lvl>
    <w:lvl w:ilvl="4" w:tplc="08CE14DA">
      <w:start w:val="1"/>
      <w:numFmt w:val="bullet"/>
      <w:lvlText w:val="o"/>
      <w:lvlJc w:val="left"/>
      <w:pPr>
        <w:ind w:left="3600" w:hanging="360"/>
      </w:pPr>
      <w:rPr>
        <w:rFonts w:ascii="Courier New" w:hAnsi="Courier New" w:hint="default"/>
      </w:rPr>
    </w:lvl>
    <w:lvl w:ilvl="5" w:tplc="31388038">
      <w:start w:val="1"/>
      <w:numFmt w:val="bullet"/>
      <w:lvlText w:val=""/>
      <w:lvlJc w:val="left"/>
      <w:pPr>
        <w:ind w:left="4320" w:hanging="360"/>
      </w:pPr>
      <w:rPr>
        <w:rFonts w:ascii="Wingdings" w:hAnsi="Wingdings" w:hint="default"/>
      </w:rPr>
    </w:lvl>
    <w:lvl w:ilvl="6" w:tplc="6BE471C2">
      <w:start w:val="1"/>
      <w:numFmt w:val="bullet"/>
      <w:lvlText w:val=""/>
      <w:lvlJc w:val="left"/>
      <w:pPr>
        <w:ind w:left="5040" w:hanging="360"/>
      </w:pPr>
      <w:rPr>
        <w:rFonts w:ascii="Symbol" w:hAnsi="Symbol" w:hint="default"/>
      </w:rPr>
    </w:lvl>
    <w:lvl w:ilvl="7" w:tplc="84D09ADE">
      <w:start w:val="1"/>
      <w:numFmt w:val="bullet"/>
      <w:lvlText w:val="o"/>
      <w:lvlJc w:val="left"/>
      <w:pPr>
        <w:ind w:left="5760" w:hanging="360"/>
      </w:pPr>
      <w:rPr>
        <w:rFonts w:ascii="Courier New" w:hAnsi="Courier New" w:hint="default"/>
      </w:rPr>
    </w:lvl>
    <w:lvl w:ilvl="8" w:tplc="BE52F228">
      <w:start w:val="1"/>
      <w:numFmt w:val="bullet"/>
      <w:lvlText w:val=""/>
      <w:lvlJc w:val="left"/>
      <w:pPr>
        <w:ind w:left="6480" w:hanging="360"/>
      </w:pPr>
      <w:rPr>
        <w:rFonts w:ascii="Wingdings" w:hAnsi="Wingdings" w:hint="default"/>
      </w:rPr>
    </w:lvl>
  </w:abstractNum>
  <w:abstractNum w:abstractNumId="52" w15:restartNumberingAfterBreak="0">
    <w:nsid w:val="47E72540"/>
    <w:multiLevelType w:val="hybridMultilevel"/>
    <w:tmpl w:val="A72CE66A"/>
    <w:lvl w:ilvl="0" w:tplc="0688CF36">
      <w:start w:val="1"/>
      <w:numFmt w:val="bullet"/>
      <w:lvlText w:val="•"/>
      <w:lvlJc w:val="left"/>
      <w:pPr>
        <w:tabs>
          <w:tab w:val="num" w:pos="720"/>
        </w:tabs>
        <w:ind w:left="720" w:hanging="360"/>
      </w:pPr>
      <w:rPr>
        <w:rFonts w:ascii="Arial" w:hAnsi="Arial" w:hint="default"/>
      </w:rPr>
    </w:lvl>
    <w:lvl w:ilvl="1" w:tplc="F3B62A00" w:tentative="1">
      <w:start w:val="1"/>
      <w:numFmt w:val="bullet"/>
      <w:lvlText w:val="•"/>
      <w:lvlJc w:val="left"/>
      <w:pPr>
        <w:tabs>
          <w:tab w:val="num" w:pos="1440"/>
        </w:tabs>
        <w:ind w:left="1440" w:hanging="360"/>
      </w:pPr>
      <w:rPr>
        <w:rFonts w:ascii="Arial" w:hAnsi="Arial" w:hint="default"/>
      </w:rPr>
    </w:lvl>
    <w:lvl w:ilvl="2" w:tplc="CBC24D82" w:tentative="1">
      <w:start w:val="1"/>
      <w:numFmt w:val="bullet"/>
      <w:lvlText w:val="•"/>
      <w:lvlJc w:val="left"/>
      <w:pPr>
        <w:tabs>
          <w:tab w:val="num" w:pos="2160"/>
        </w:tabs>
        <w:ind w:left="2160" w:hanging="360"/>
      </w:pPr>
      <w:rPr>
        <w:rFonts w:ascii="Arial" w:hAnsi="Arial" w:hint="default"/>
      </w:rPr>
    </w:lvl>
    <w:lvl w:ilvl="3" w:tplc="D6F63902" w:tentative="1">
      <w:start w:val="1"/>
      <w:numFmt w:val="bullet"/>
      <w:lvlText w:val="•"/>
      <w:lvlJc w:val="left"/>
      <w:pPr>
        <w:tabs>
          <w:tab w:val="num" w:pos="2880"/>
        </w:tabs>
        <w:ind w:left="2880" w:hanging="360"/>
      </w:pPr>
      <w:rPr>
        <w:rFonts w:ascii="Arial" w:hAnsi="Arial" w:hint="default"/>
      </w:rPr>
    </w:lvl>
    <w:lvl w:ilvl="4" w:tplc="7E96D8CC" w:tentative="1">
      <w:start w:val="1"/>
      <w:numFmt w:val="bullet"/>
      <w:lvlText w:val="•"/>
      <w:lvlJc w:val="left"/>
      <w:pPr>
        <w:tabs>
          <w:tab w:val="num" w:pos="3600"/>
        </w:tabs>
        <w:ind w:left="3600" w:hanging="360"/>
      </w:pPr>
      <w:rPr>
        <w:rFonts w:ascii="Arial" w:hAnsi="Arial" w:hint="default"/>
      </w:rPr>
    </w:lvl>
    <w:lvl w:ilvl="5" w:tplc="91D872B0" w:tentative="1">
      <w:start w:val="1"/>
      <w:numFmt w:val="bullet"/>
      <w:lvlText w:val="•"/>
      <w:lvlJc w:val="left"/>
      <w:pPr>
        <w:tabs>
          <w:tab w:val="num" w:pos="4320"/>
        </w:tabs>
        <w:ind w:left="4320" w:hanging="360"/>
      </w:pPr>
      <w:rPr>
        <w:rFonts w:ascii="Arial" w:hAnsi="Arial" w:hint="default"/>
      </w:rPr>
    </w:lvl>
    <w:lvl w:ilvl="6" w:tplc="664E52C6" w:tentative="1">
      <w:start w:val="1"/>
      <w:numFmt w:val="bullet"/>
      <w:lvlText w:val="•"/>
      <w:lvlJc w:val="left"/>
      <w:pPr>
        <w:tabs>
          <w:tab w:val="num" w:pos="5040"/>
        </w:tabs>
        <w:ind w:left="5040" w:hanging="360"/>
      </w:pPr>
      <w:rPr>
        <w:rFonts w:ascii="Arial" w:hAnsi="Arial" w:hint="default"/>
      </w:rPr>
    </w:lvl>
    <w:lvl w:ilvl="7" w:tplc="FF6A22B0" w:tentative="1">
      <w:start w:val="1"/>
      <w:numFmt w:val="bullet"/>
      <w:lvlText w:val="•"/>
      <w:lvlJc w:val="left"/>
      <w:pPr>
        <w:tabs>
          <w:tab w:val="num" w:pos="5760"/>
        </w:tabs>
        <w:ind w:left="5760" w:hanging="360"/>
      </w:pPr>
      <w:rPr>
        <w:rFonts w:ascii="Arial" w:hAnsi="Arial" w:hint="default"/>
      </w:rPr>
    </w:lvl>
    <w:lvl w:ilvl="8" w:tplc="0C8008C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CCC69F2"/>
    <w:multiLevelType w:val="hybridMultilevel"/>
    <w:tmpl w:val="40DA3B22"/>
    <w:lvl w:ilvl="0" w:tplc="08090001">
      <w:start w:val="1"/>
      <w:numFmt w:val="bullet"/>
      <w:lvlText w:val=""/>
      <w:lvlJc w:val="left"/>
      <w:pPr>
        <w:ind w:left="644" w:hanging="360"/>
      </w:pPr>
      <w:rPr>
        <w:rFonts w:ascii="Symbol" w:hAnsi="Symbol" w:hint="default"/>
      </w:rPr>
    </w:lvl>
    <w:lvl w:ilvl="1" w:tplc="FFFFFFFF">
      <w:numFmt w:val="bullet"/>
      <w:lvlText w:val="o"/>
      <w:lvlJc w:val="left"/>
      <w:pPr>
        <w:tabs>
          <w:tab w:val="num" w:pos="1080"/>
        </w:tabs>
        <w:ind w:left="1080" w:hanging="360"/>
      </w:pPr>
      <w:rPr>
        <w:rFonts w:ascii="Courier New" w:hAnsi="Courier New" w:hint="default"/>
      </w:rPr>
    </w:lvl>
    <w:lvl w:ilvl="2" w:tplc="FFFFFFFF">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52553D9F"/>
    <w:multiLevelType w:val="multilevel"/>
    <w:tmpl w:val="A6FA45D0"/>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5" w15:restartNumberingAfterBreak="0">
    <w:nsid w:val="56C875EF"/>
    <w:multiLevelType w:val="hybridMultilevel"/>
    <w:tmpl w:val="C73CEB4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87DB693"/>
    <w:multiLevelType w:val="hybridMultilevel"/>
    <w:tmpl w:val="214824AC"/>
    <w:lvl w:ilvl="0" w:tplc="5F94421E">
      <w:start w:val="1"/>
      <w:numFmt w:val="bullet"/>
      <w:lvlText w:val=""/>
      <w:lvlJc w:val="left"/>
      <w:pPr>
        <w:ind w:left="720" w:hanging="360"/>
      </w:pPr>
      <w:rPr>
        <w:rFonts w:ascii="Symbol" w:hAnsi="Symbol" w:hint="default"/>
      </w:rPr>
    </w:lvl>
    <w:lvl w:ilvl="1" w:tplc="E0968D06">
      <w:start w:val="1"/>
      <w:numFmt w:val="bullet"/>
      <w:lvlText w:val="o"/>
      <w:lvlJc w:val="left"/>
      <w:pPr>
        <w:ind w:left="1440" w:hanging="360"/>
      </w:pPr>
      <w:rPr>
        <w:rFonts w:ascii="&quot;Courier New&quot;" w:hAnsi="&quot;Courier New&quot;" w:hint="default"/>
      </w:rPr>
    </w:lvl>
    <w:lvl w:ilvl="2" w:tplc="B8BC8328">
      <w:start w:val="1"/>
      <w:numFmt w:val="bullet"/>
      <w:lvlText w:val=""/>
      <w:lvlJc w:val="left"/>
      <w:pPr>
        <w:ind w:left="2160" w:hanging="360"/>
      </w:pPr>
      <w:rPr>
        <w:rFonts w:ascii="Wingdings" w:hAnsi="Wingdings" w:hint="default"/>
      </w:rPr>
    </w:lvl>
    <w:lvl w:ilvl="3" w:tplc="1CA06D38">
      <w:start w:val="1"/>
      <w:numFmt w:val="bullet"/>
      <w:lvlText w:val=""/>
      <w:lvlJc w:val="left"/>
      <w:pPr>
        <w:ind w:left="2880" w:hanging="360"/>
      </w:pPr>
      <w:rPr>
        <w:rFonts w:ascii="Symbol" w:hAnsi="Symbol" w:hint="default"/>
      </w:rPr>
    </w:lvl>
    <w:lvl w:ilvl="4" w:tplc="607CF2DC">
      <w:start w:val="1"/>
      <w:numFmt w:val="bullet"/>
      <w:lvlText w:val="o"/>
      <w:lvlJc w:val="left"/>
      <w:pPr>
        <w:ind w:left="3600" w:hanging="360"/>
      </w:pPr>
      <w:rPr>
        <w:rFonts w:ascii="Courier New" w:hAnsi="Courier New" w:hint="default"/>
      </w:rPr>
    </w:lvl>
    <w:lvl w:ilvl="5" w:tplc="6F382FD4">
      <w:start w:val="1"/>
      <w:numFmt w:val="bullet"/>
      <w:lvlText w:val=""/>
      <w:lvlJc w:val="left"/>
      <w:pPr>
        <w:ind w:left="4320" w:hanging="360"/>
      </w:pPr>
      <w:rPr>
        <w:rFonts w:ascii="Wingdings" w:hAnsi="Wingdings" w:hint="default"/>
      </w:rPr>
    </w:lvl>
    <w:lvl w:ilvl="6" w:tplc="373EADE8">
      <w:start w:val="1"/>
      <w:numFmt w:val="bullet"/>
      <w:lvlText w:val=""/>
      <w:lvlJc w:val="left"/>
      <w:pPr>
        <w:ind w:left="5040" w:hanging="360"/>
      </w:pPr>
      <w:rPr>
        <w:rFonts w:ascii="Symbol" w:hAnsi="Symbol" w:hint="default"/>
      </w:rPr>
    </w:lvl>
    <w:lvl w:ilvl="7" w:tplc="30C678DA">
      <w:start w:val="1"/>
      <w:numFmt w:val="bullet"/>
      <w:lvlText w:val="o"/>
      <w:lvlJc w:val="left"/>
      <w:pPr>
        <w:ind w:left="5760" w:hanging="360"/>
      </w:pPr>
      <w:rPr>
        <w:rFonts w:ascii="Courier New" w:hAnsi="Courier New" w:hint="default"/>
      </w:rPr>
    </w:lvl>
    <w:lvl w:ilvl="8" w:tplc="DE4A48EC">
      <w:start w:val="1"/>
      <w:numFmt w:val="bullet"/>
      <w:lvlText w:val=""/>
      <w:lvlJc w:val="left"/>
      <w:pPr>
        <w:ind w:left="6480" w:hanging="360"/>
      </w:pPr>
      <w:rPr>
        <w:rFonts w:ascii="Wingdings" w:hAnsi="Wingdings" w:hint="default"/>
      </w:rPr>
    </w:lvl>
  </w:abstractNum>
  <w:abstractNum w:abstractNumId="5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8" w15:restartNumberingAfterBreak="0">
    <w:nsid w:val="59B53A23"/>
    <w:multiLevelType w:val="hybridMultilevel"/>
    <w:tmpl w:val="293AFF60"/>
    <w:lvl w:ilvl="0" w:tplc="9CB68924">
      <w:start w:val="1"/>
      <w:numFmt w:val="bullet"/>
      <w:lvlText w:val=""/>
      <w:lvlJc w:val="left"/>
      <w:pPr>
        <w:ind w:left="720" w:hanging="360"/>
      </w:pPr>
      <w:rPr>
        <w:rFonts w:ascii="Symbol" w:hAnsi="Symbol" w:hint="default"/>
      </w:rPr>
    </w:lvl>
    <w:lvl w:ilvl="1" w:tplc="9C54CA12">
      <w:start w:val="1"/>
      <w:numFmt w:val="bullet"/>
      <w:lvlText w:val="o"/>
      <w:lvlJc w:val="left"/>
      <w:pPr>
        <w:ind w:left="1440" w:hanging="360"/>
      </w:pPr>
      <w:rPr>
        <w:rFonts w:ascii="&quot;Courier New&quot;" w:hAnsi="&quot;Courier New&quot;" w:hint="default"/>
      </w:rPr>
    </w:lvl>
    <w:lvl w:ilvl="2" w:tplc="BB38DE12">
      <w:start w:val="1"/>
      <w:numFmt w:val="bullet"/>
      <w:lvlText w:val=""/>
      <w:lvlJc w:val="left"/>
      <w:pPr>
        <w:ind w:left="2160" w:hanging="360"/>
      </w:pPr>
      <w:rPr>
        <w:rFonts w:ascii="Wingdings" w:hAnsi="Wingdings" w:hint="default"/>
      </w:rPr>
    </w:lvl>
    <w:lvl w:ilvl="3" w:tplc="DAB6F4D0">
      <w:start w:val="1"/>
      <w:numFmt w:val="bullet"/>
      <w:lvlText w:val=""/>
      <w:lvlJc w:val="left"/>
      <w:pPr>
        <w:ind w:left="2880" w:hanging="360"/>
      </w:pPr>
      <w:rPr>
        <w:rFonts w:ascii="Symbol" w:hAnsi="Symbol" w:hint="default"/>
      </w:rPr>
    </w:lvl>
    <w:lvl w:ilvl="4" w:tplc="830275DE">
      <w:start w:val="1"/>
      <w:numFmt w:val="bullet"/>
      <w:lvlText w:val="o"/>
      <w:lvlJc w:val="left"/>
      <w:pPr>
        <w:ind w:left="3600" w:hanging="360"/>
      </w:pPr>
      <w:rPr>
        <w:rFonts w:ascii="Courier New" w:hAnsi="Courier New" w:hint="default"/>
      </w:rPr>
    </w:lvl>
    <w:lvl w:ilvl="5" w:tplc="2F705E72">
      <w:start w:val="1"/>
      <w:numFmt w:val="bullet"/>
      <w:lvlText w:val=""/>
      <w:lvlJc w:val="left"/>
      <w:pPr>
        <w:ind w:left="4320" w:hanging="360"/>
      </w:pPr>
      <w:rPr>
        <w:rFonts w:ascii="Wingdings" w:hAnsi="Wingdings" w:hint="default"/>
      </w:rPr>
    </w:lvl>
    <w:lvl w:ilvl="6" w:tplc="B110331E">
      <w:start w:val="1"/>
      <w:numFmt w:val="bullet"/>
      <w:lvlText w:val=""/>
      <w:lvlJc w:val="left"/>
      <w:pPr>
        <w:ind w:left="5040" w:hanging="360"/>
      </w:pPr>
      <w:rPr>
        <w:rFonts w:ascii="Symbol" w:hAnsi="Symbol" w:hint="default"/>
      </w:rPr>
    </w:lvl>
    <w:lvl w:ilvl="7" w:tplc="67EEA190">
      <w:start w:val="1"/>
      <w:numFmt w:val="bullet"/>
      <w:lvlText w:val="o"/>
      <w:lvlJc w:val="left"/>
      <w:pPr>
        <w:ind w:left="5760" w:hanging="360"/>
      </w:pPr>
      <w:rPr>
        <w:rFonts w:ascii="Courier New" w:hAnsi="Courier New" w:hint="default"/>
      </w:rPr>
    </w:lvl>
    <w:lvl w:ilvl="8" w:tplc="968CEE58">
      <w:start w:val="1"/>
      <w:numFmt w:val="bullet"/>
      <w:lvlText w:val=""/>
      <w:lvlJc w:val="left"/>
      <w:pPr>
        <w:ind w:left="6480" w:hanging="360"/>
      </w:pPr>
      <w:rPr>
        <w:rFonts w:ascii="Wingdings" w:hAnsi="Wingdings" w:hint="default"/>
      </w:rPr>
    </w:lvl>
  </w:abstractNum>
  <w:abstractNum w:abstractNumId="59" w15:restartNumberingAfterBreak="0">
    <w:nsid w:val="5CA20779"/>
    <w:multiLevelType w:val="hybridMultilevel"/>
    <w:tmpl w:val="E048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1" w15:restartNumberingAfterBreak="0">
    <w:nsid w:val="6053C9B8"/>
    <w:multiLevelType w:val="hybridMultilevel"/>
    <w:tmpl w:val="5918453A"/>
    <w:lvl w:ilvl="0" w:tplc="3030073C">
      <w:start w:val="1"/>
      <w:numFmt w:val="bullet"/>
      <w:lvlText w:val="·"/>
      <w:lvlJc w:val="left"/>
      <w:pPr>
        <w:ind w:left="720" w:hanging="360"/>
      </w:pPr>
      <w:rPr>
        <w:rFonts w:ascii="Symbol" w:hAnsi="Symbol" w:hint="default"/>
      </w:rPr>
    </w:lvl>
    <w:lvl w:ilvl="1" w:tplc="0436D324">
      <w:start w:val="1"/>
      <w:numFmt w:val="bullet"/>
      <w:lvlText w:val="o"/>
      <w:lvlJc w:val="left"/>
      <w:pPr>
        <w:ind w:left="1440" w:hanging="360"/>
      </w:pPr>
      <w:rPr>
        <w:rFonts w:ascii="Courier New" w:hAnsi="Courier New" w:hint="default"/>
      </w:rPr>
    </w:lvl>
    <w:lvl w:ilvl="2" w:tplc="C3DC4650">
      <w:start w:val="1"/>
      <w:numFmt w:val="bullet"/>
      <w:lvlText w:val=""/>
      <w:lvlJc w:val="left"/>
      <w:pPr>
        <w:ind w:left="2160" w:hanging="360"/>
      </w:pPr>
      <w:rPr>
        <w:rFonts w:ascii="Wingdings" w:hAnsi="Wingdings" w:hint="default"/>
      </w:rPr>
    </w:lvl>
    <w:lvl w:ilvl="3" w:tplc="D5EA30EA">
      <w:start w:val="1"/>
      <w:numFmt w:val="bullet"/>
      <w:lvlText w:val=""/>
      <w:lvlJc w:val="left"/>
      <w:pPr>
        <w:ind w:left="2880" w:hanging="360"/>
      </w:pPr>
      <w:rPr>
        <w:rFonts w:ascii="Symbol" w:hAnsi="Symbol" w:hint="default"/>
      </w:rPr>
    </w:lvl>
    <w:lvl w:ilvl="4" w:tplc="EFDECECE">
      <w:start w:val="1"/>
      <w:numFmt w:val="bullet"/>
      <w:lvlText w:val="o"/>
      <w:lvlJc w:val="left"/>
      <w:pPr>
        <w:ind w:left="3600" w:hanging="360"/>
      </w:pPr>
      <w:rPr>
        <w:rFonts w:ascii="Courier New" w:hAnsi="Courier New" w:hint="default"/>
      </w:rPr>
    </w:lvl>
    <w:lvl w:ilvl="5" w:tplc="3F9C95E2">
      <w:start w:val="1"/>
      <w:numFmt w:val="bullet"/>
      <w:lvlText w:val=""/>
      <w:lvlJc w:val="left"/>
      <w:pPr>
        <w:ind w:left="4320" w:hanging="360"/>
      </w:pPr>
      <w:rPr>
        <w:rFonts w:ascii="Wingdings" w:hAnsi="Wingdings" w:hint="default"/>
      </w:rPr>
    </w:lvl>
    <w:lvl w:ilvl="6" w:tplc="8CE80700">
      <w:start w:val="1"/>
      <w:numFmt w:val="bullet"/>
      <w:lvlText w:val=""/>
      <w:lvlJc w:val="left"/>
      <w:pPr>
        <w:ind w:left="5040" w:hanging="360"/>
      </w:pPr>
      <w:rPr>
        <w:rFonts w:ascii="Symbol" w:hAnsi="Symbol" w:hint="default"/>
      </w:rPr>
    </w:lvl>
    <w:lvl w:ilvl="7" w:tplc="FA4E1EA2">
      <w:start w:val="1"/>
      <w:numFmt w:val="bullet"/>
      <w:lvlText w:val="o"/>
      <w:lvlJc w:val="left"/>
      <w:pPr>
        <w:ind w:left="5760" w:hanging="360"/>
      </w:pPr>
      <w:rPr>
        <w:rFonts w:ascii="Courier New" w:hAnsi="Courier New" w:hint="default"/>
      </w:rPr>
    </w:lvl>
    <w:lvl w:ilvl="8" w:tplc="8F264DF0">
      <w:start w:val="1"/>
      <w:numFmt w:val="bullet"/>
      <w:lvlText w:val=""/>
      <w:lvlJc w:val="left"/>
      <w:pPr>
        <w:ind w:left="6480" w:hanging="360"/>
      </w:pPr>
      <w:rPr>
        <w:rFonts w:ascii="Wingdings" w:hAnsi="Wingdings" w:hint="default"/>
      </w:rPr>
    </w:lvl>
  </w:abstractNum>
  <w:abstractNum w:abstractNumId="62" w15:restartNumberingAfterBreak="0">
    <w:nsid w:val="63544728"/>
    <w:multiLevelType w:val="hybridMultilevel"/>
    <w:tmpl w:val="F6BAD8D2"/>
    <w:lvl w:ilvl="0" w:tplc="6FDCE0D6">
      <w:start w:val="1"/>
      <w:numFmt w:val="bullet"/>
      <w:lvlText w:val="•"/>
      <w:lvlJc w:val="left"/>
      <w:pPr>
        <w:tabs>
          <w:tab w:val="num" w:pos="720"/>
        </w:tabs>
        <w:ind w:left="720" w:hanging="360"/>
      </w:pPr>
      <w:rPr>
        <w:rFonts w:ascii="Arial" w:hAnsi="Arial" w:hint="default"/>
      </w:rPr>
    </w:lvl>
    <w:lvl w:ilvl="1" w:tplc="16EA58E0" w:tentative="1">
      <w:start w:val="1"/>
      <w:numFmt w:val="bullet"/>
      <w:lvlText w:val="•"/>
      <w:lvlJc w:val="left"/>
      <w:pPr>
        <w:tabs>
          <w:tab w:val="num" w:pos="1440"/>
        </w:tabs>
        <w:ind w:left="1440" w:hanging="360"/>
      </w:pPr>
      <w:rPr>
        <w:rFonts w:ascii="Arial" w:hAnsi="Arial" w:hint="default"/>
      </w:rPr>
    </w:lvl>
    <w:lvl w:ilvl="2" w:tplc="116485F0" w:tentative="1">
      <w:start w:val="1"/>
      <w:numFmt w:val="bullet"/>
      <w:lvlText w:val="•"/>
      <w:lvlJc w:val="left"/>
      <w:pPr>
        <w:tabs>
          <w:tab w:val="num" w:pos="2160"/>
        </w:tabs>
        <w:ind w:left="2160" w:hanging="360"/>
      </w:pPr>
      <w:rPr>
        <w:rFonts w:ascii="Arial" w:hAnsi="Arial" w:hint="default"/>
      </w:rPr>
    </w:lvl>
    <w:lvl w:ilvl="3" w:tplc="BC7A19AA" w:tentative="1">
      <w:start w:val="1"/>
      <w:numFmt w:val="bullet"/>
      <w:lvlText w:val="•"/>
      <w:lvlJc w:val="left"/>
      <w:pPr>
        <w:tabs>
          <w:tab w:val="num" w:pos="2880"/>
        </w:tabs>
        <w:ind w:left="2880" w:hanging="360"/>
      </w:pPr>
      <w:rPr>
        <w:rFonts w:ascii="Arial" w:hAnsi="Arial" w:hint="default"/>
      </w:rPr>
    </w:lvl>
    <w:lvl w:ilvl="4" w:tplc="00E486AA" w:tentative="1">
      <w:start w:val="1"/>
      <w:numFmt w:val="bullet"/>
      <w:lvlText w:val="•"/>
      <w:lvlJc w:val="left"/>
      <w:pPr>
        <w:tabs>
          <w:tab w:val="num" w:pos="3600"/>
        </w:tabs>
        <w:ind w:left="3600" w:hanging="360"/>
      </w:pPr>
      <w:rPr>
        <w:rFonts w:ascii="Arial" w:hAnsi="Arial" w:hint="default"/>
      </w:rPr>
    </w:lvl>
    <w:lvl w:ilvl="5" w:tplc="9E5E1A26" w:tentative="1">
      <w:start w:val="1"/>
      <w:numFmt w:val="bullet"/>
      <w:lvlText w:val="•"/>
      <w:lvlJc w:val="left"/>
      <w:pPr>
        <w:tabs>
          <w:tab w:val="num" w:pos="4320"/>
        </w:tabs>
        <w:ind w:left="4320" w:hanging="360"/>
      </w:pPr>
      <w:rPr>
        <w:rFonts w:ascii="Arial" w:hAnsi="Arial" w:hint="default"/>
      </w:rPr>
    </w:lvl>
    <w:lvl w:ilvl="6" w:tplc="6592FEE2" w:tentative="1">
      <w:start w:val="1"/>
      <w:numFmt w:val="bullet"/>
      <w:lvlText w:val="•"/>
      <w:lvlJc w:val="left"/>
      <w:pPr>
        <w:tabs>
          <w:tab w:val="num" w:pos="5040"/>
        </w:tabs>
        <w:ind w:left="5040" w:hanging="360"/>
      </w:pPr>
      <w:rPr>
        <w:rFonts w:ascii="Arial" w:hAnsi="Arial" w:hint="default"/>
      </w:rPr>
    </w:lvl>
    <w:lvl w:ilvl="7" w:tplc="F15AA2A4" w:tentative="1">
      <w:start w:val="1"/>
      <w:numFmt w:val="bullet"/>
      <w:lvlText w:val="•"/>
      <w:lvlJc w:val="left"/>
      <w:pPr>
        <w:tabs>
          <w:tab w:val="num" w:pos="5760"/>
        </w:tabs>
        <w:ind w:left="5760" w:hanging="360"/>
      </w:pPr>
      <w:rPr>
        <w:rFonts w:ascii="Arial" w:hAnsi="Arial" w:hint="default"/>
      </w:rPr>
    </w:lvl>
    <w:lvl w:ilvl="8" w:tplc="E1AC3A2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541D440"/>
    <w:multiLevelType w:val="hybridMultilevel"/>
    <w:tmpl w:val="424A71E0"/>
    <w:lvl w:ilvl="0" w:tplc="3BB4B788">
      <w:start w:val="1"/>
      <w:numFmt w:val="bullet"/>
      <w:lvlText w:val="·"/>
      <w:lvlJc w:val="left"/>
      <w:pPr>
        <w:ind w:left="720" w:hanging="360"/>
      </w:pPr>
      <w:rPr>
        <w:rFonts w:ascii="Symbol" w:hAnsi="Symbol" w:hint="default"/>
      </w:rPr>
    </w:lvl>
    <w:lvl w:ilvl="1" w:tplc="53986446">
      <w:start w:val="1"/>
      <w:numFmt w:val="bullet"/>
      <w:lvlText w:val="o"/>
      <w:lvlJc w:val="left"/>
      <w:pPr>
        <w:ind w:left="1440" w:hanging="360"/>
      </w:pPr>
      <w:rPr>
        <w:rFonts w:ascii="Courier New" w:hAnsi="Courier New" w:hint="default"/>
      </w:rPr>
    </w:lvl>
    <w:lvl w:ilvl="2" w:tplc="56B60D60">
      <w:start w:val="1"/>
      <w:numFmt w:val="bullet"/>
      <w:lvlText w:val=""/>
      <w:lvlJc w:val="left"/>
      <w:pPr>
        <w:ind w:left="2160" w:hanging="360"/>
      </w:pPr>
      <w:rPr>
        <w:rFonts w:ascii="Wingdings" w:hAnsi="Wingdings" w:hint="default"/>
      </w:rPr>
    </w:lvl>
    <w:lvl w:ilvl="3" w:tplc="8432F420">
      <w:start w:val="1"/>
      <w:numFmt w:val="bullet"/>
      <w:lvlText w:val=""/>
      <w:lvlJc w:val="left"/>
      <w:pPr>
        <w:ind w:left="2880" w:hanging="360"/>
      </w:pPr>
      <w:rPr>
        <w:rFonts w:ascii="Symbol" w:hAnsi="Symbol" w:hint="default"/>
      </w:rPr>
    </w:lvl>
    <w:lvl w:ilvl="4" w:tplc="3260FF24">
      <w:start w:val="1"/>
      <w:numFmt w:val="bullet"/>
      <w:lvlText w:val="o"/>
      <w:lvlJc w:val="left"/>
      <w:pPr>
        <w:ind w:left="3600" w:hanging="360"/>
      </w:pPr>
      <w:rPr>
        <w:rFonts w:ascii="Courier New" w:hAnsi="Courier New" w:hint="default"/>
      </w:rPr>
    </w:lvl>
    <w:lvl w:ilvl="5" w:tplc="B45E2840">
      <w:start w:val="1"/>
      <w:numFmt w:val="bullet"/>
      <w:lvlText w:val=""/>
      <w:lvlJc w:val="left"/>
      <w:pPr>
        <w:ind w:left="4320" w:hanging="360"/>
      </w:pPr>
      <w:rPr>
        <w:rFonts w:ascii="Wingdings" w:hAnsi="Wingdings" w:hint="default"/>
      </w:rPr>
    </w:lvl>
    <w:lvl w:ilvl="6" w:tplc="634CDE44">
      <w:start w:val="1"/>
      <w:numFmt w:val="bullet"/>
      <w:lvlText w:val=""/>
      <w:lvlJc w:val="left"/>
      <w:pPr>
        <w:ind w:left="5040" w:hanging="360"/>
      </w:pPr>
      <w:rPr>
        <w:rFonts w:ascii="Symbol" w:hAnsi="Symbol" w:hint="default"/>
      </w:rPr>
    </w:lvl>
    <w:lvl w:ilvl="7" w:tplc="86E68E58">
      <w:start w:val="1"/>
      <w:numFmt w:val="bullet"/>
      <w:lvlText w:val="o"/>
      <w:lvlJc w:val="left"/>
      <w:pPr>
        <w:ind w:left="5760" w:hanging="360"/>
      </w:pPr>
      <w:rPr>
        <w:rFonts w:ascii="Courier New" w:hAnsi="Courier New" w:hint="default"/>
      </w:rPr>
    </w:lvl>
    <w:lvl w:ilvl="8" w:tplc="483A66C8">
      <w:start w:val="1"/>
      <w:numFmt w:val="bullet"/>
      <w:lvlText w:val=""/>
      <w:lvlJc w:val="left"/>
      <w:pPr>
        <w:ind w:left="6480" w:hanging="360"/>
      </w:pPr>
      <w:rPr>
        <w:rFonts w:ascii="Wingdings" w:hAnsi="Wingdings" w:hint="default"/>
      </w:rPr>
    </w:lvl>
  </w:abstractNum>
  <w:abstractNum w:abstractNumId="64" w15:restartNumberingAfterBreak="0">
    <w:nsid w:val="654C52E3"/>
    <w:multiLevelType w:val="multilevel"/>
    <w:tmpl w:val="0EF4E5E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5" w15:restartNumberingAfterBreak="0">
    <w:nsid w:val="693C7C51"/>
    <w:multiLevelType w:val="multilevel"/>
    <w:tmpl w:val="8EDE7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C083DE3"/>
    <w:multiLevelType w:val="hybridMultilevel"/>
    <w:tmpl w:val="826CF086"/>
    <w:lvl w:ilvl="0" w:tplc="FFFFFFFF">
      <w:start w:val="1"/>
      <w:numFmt w:val="bullet"/>
      <w:lvlText w:val="o"/>
      <w:lvlJc w:val="left"/>
      <w:pPr>
        <w:ind w:left="644" w:hanging="360"/>
      </w:pPr>
      <w:rPr>
        <w:rFonts w:ascii="Courier New" w:hAnsi="Courier New" w:cs="Courier New" w:hint="default"/>
      </w:rPr>
    </w:lvl>
    <w:lvl w:ilvl="1" w:tplc="0C090001">
      <w:start w:val="1"/>
      <w:numFmt w:val="bullet"/>
      <w:lvlText w:val=""/>
      <w:lvlJc w:val="left"/>
      <w:pPr>
        <w:ind w:left="720" w:hanging="360"/>
      </w:pPr>
      <w:rPr>
        <w:rFonts w:ascii="Symbol" w:hAnsi="Symbol" w:hint="default"/>
      </w:rPr>
    </w:lvl>
    <w:lvl w:ilvl="2" w:tplc="FFFFFFFF">
      <w:start w:val="7"/>
      <w:numFmt w:val="bullet"/>
      <w:lvlText w:val="·"/>
      <w:lvlJc w:val="left"/>
      <w:pPr>
        <w:ind w:left="2124" w:hanging="400"/>
      </w:pPr>
      <w:rPr>
        <w:rFonts w:ascii="Calibri" w:eastAsia="Times New Roman" w:hAnsi="Calibri" w:cs="Times New Roman"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7" w15:restartNumberingAfterBreak="0">
    <w:nsid w:val="6EC01211"/>
    <w:multiLevelType w:val="hybridMultilevel"/>
    <w:tmpl w:val="72C0D4BE"/>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F8E7813"/>
    <w:multiLevelType w:val="hybridMultilevel"/>
    <w:tmpl w:val="DEA87DDC"/>
    <w:lvl w:ilvl="0" w:tplc="DCB22ACE">
      <w:start w:val="1"/>
      <w:numFmt w:val="bullet"/>
      <w:lvlText w:val=""/>
      <w:lvlJc w:val="left"/>
      <w:pPr>
        <w:ind w:left="720" w:hanging="360"/>
      </w:pPr>
      <w:rPr>
        <w:rFonts w:ascii="Symbol" w:hAnsi="Symbol" w:hint="default"/>
      </w:rPr>
    </w:lvl>
    <w:lvl w:ilvl="1" w:tplc="9960A44C">
      <w:start w:val="1"/>
      <w:numFmt w:val="bullet"/>
      <w:lvlText w:val="o"/>
      <w:lvlJc w:val="left"/>
      <w:pPr>
        <w:ind w:left="1440" w:hanging="360"/>
      </w:pPr>
      <w:rPr>
        <w:rFonts w:ascii="Courier New" w:hAnsi="Courier New" w:hint="default"/>
      </w:rPr>
    </w:lvl>
    <w:lvl w:ilvl="2" w:tplc="A774809E">
      <w:start w:val="1"/>
      <w:numFmt w:val="bullet"/>
      <w:lvlText w:val=""/>
      <w:lvlJc w:val="left"/>
      <w:pPr>
        <w:ind w:left="2160" w:hanging="360"/>
      </w:pPr>
      <w:rPr>
        <w:rFonts w:ascii="Wingdings" w:hAnsi="Wingdings" w:hint="default"/>
      </w:rPr>
    </w:lvl>
    <w:lvl w:ilvl="3" w:tplc="C7020D84">
      <w:start w:val="1"/>
      <w:numFmt w:val="bullet"/>
      <w:lvlText w:val=""/>
      <w:lvlJc w:val="left"/>
      <w:pPr>
        <w:ind w:left="2880" w:hanging="360"/>
      </w:pPr>
      <w:rPr>
        <w:rFonts w:ascii="Symbol" w:hAnsi="Symbol" w:hint="default"/>
      </w:rPr>
    </w:lvl>
    <w:lvl w:ilvl="4" w:tplc="C4B0461C">
      <w:start w:val="1"/>
      <w:numFmt w:val="bullet"/>
      <w:lvlText w:val="o"/>
      <w:lvlJc w:val="left"/>
      <w:pPr>
        <w:ind w:left="3600" w:hanging="360"/>
      </w:pPr>
      <w:rPr>
        <w:rFonts w:ascii="Courier New" w:hAnsi="Courier New" w:hint="default"/>
      </w:rPr>
    </w:lvl>
    <w:lvl w:ilvl="5" w:tplc="0CBE1CD6">
      <w:start w:val="1"/>
      <w:numFmt w:val="bullet"/>
      <w:lvlText w:val=""/>
      <w:lvlJc w:val="left"/>
      <w:pPr>
        <w:ind w:left="4320" w:hanging="360"/>
      </w:pPr>
      <w:rPr>
        <w:rFonts w:ascii="Wingdings" w:hAnsi="Wingdings" w:hint="default"/>
      </w:rPr>
    </w:lvl>
    <w:lvl w:ilvl="6" w:tplc="C65071CE">
      <w:start w:val="1"/>
      <w:numFmt w:val="bullet"/>
      <w:lvlText w:val=""/>
      <w:lvlJc w:val="left"/>
      <w:pPr>
        <w:ind w:left="5040" w:hanging="360"/>
      </w:pPr>
      <w:rPr>
        <w:rFonts w:ascii="Symbol" w:hAnsi="Symbol" w:hint="default"/>
      </w:rPr>
    </w:lvl>
    <w:lvl w:ilvl="7" w:tplc="9092C8FA">
      <w:start w:val="1"/>
      <w:numFmt w:val="bullet"/>
      <w:lvlText w:val="o"/>
      <w:lvlJc w:val="left"/>
      <w:pPr>
        <w:ind w:left="5760" w:hanging="360"/>
      </w:pPr>
      <w:rPr>
        <w:rFonts w:ascii="Courier New" w:hAnsi="Courier New" w:hint="default"/>
      </w:rPr>
    </w:lvl>
    <w:lvl w:ilvl="8" w:tplc="CF125CE6">
      <w:start w:val="1"/>
      <w:numFmt w:val="bullet"/>
      <w:lvlText w:val=""/>
      <w:lvlJc w:val="left"/>
      <w:pPr>
        <w:ind w:left="6480" w:hanging="360"/>
      </w:pPr>
      <w:rPr>
        <w:rFonts w:ascii="Wingdings" w:hAnsi="Wingdings" w:hint="default"/>
      </w:rPr>
    </w:lvl>
  </w:abstractNum>
  <w:abstractNum w:abstractNumId="69" w15:restartNumberingAfterBreak="0">
    <w:nsid w:val="73107305"/>
    <w:multiLevelType w:val="multilevel"/>
    <w:tmpl w:val="A6FA45D0"/>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0" w15:restartNumberingAfterBreak="0">
    <w:nsid w:val="738FF787"/>
    <w:multiLevelType w:val="hybridMultilevel"/>
    <w:tmpl w:val="3A86941E"/>
    <w:lvl w:ilvl="0" w:tplc="EA22DDD6">
      <w:start w:val="1"/>
      <w:numFmt w:val="bullet"/>
      <w:lvlText w:val=""/>
      <w:lvlJc w:val="left"/>
      <w:pPr>
        <w:ind w:left="720" w:hanging="360"/>
      </w:pPr>
      <w:rPr>
        <w:rFonts w:ascii="Symbol" w:hAnsi="Symbol" w:hint="default"/>
      </w:rPr>
    </w:lvl>
    <w:lvl w:ilvl="1" w:tplc="D75A3C40">
      <w:start w:val="1"/>
      <w:numFmt w:val="bullet"/>
      <w:lvlText w:val="o"/>
      <w:lvlJc w:val="left"/>
      <w:pPr>
        <w:ind w:left="1440" w:hanging="360"/>
      </w:pPr>
      <w:rPr>
        <w:rFonts w:ascii="&quot;Courier New&quot;" w:hAnsi="&quot;Courier New&quot;" w:hint="default"/>
      </w:rPr>
    </w:lvl>
    <w:lvl w:ilvl="2" w:tplc="AE1E2664">
      <w:start w:val="1"/>
      <w:numFmt w:val="bullet"/>
      <w:lvlText w:val=""/>
      <w:lvlJc w:val="left"/>
      <w:pPr>
        <w:ind w:left="2160" w:hanging="360"/>
      </w:pPr>
      <w:rPr>
        <w:rFonts w:ascii="Wingdings" w:hAnsi="Wingdings" w:hint="default"/>
      </w:rPr>
    </w:lvl>
    <w:lvl w:ilvl="3" w:tplc="403243D0">
      <w:start w:val="1"/>
      <w:numFmt w:val="bullet"/>
      <w:lvlText w:val=""/>
      <w:lvlJc w:val="left"/>
      <w:pPr>
        <w:ind w:left="2880" w:hanging="360"/>
      </w:pPr>
      <w:rPr>
        <w:rFonts w:ascii="Symbol" w:hAnsi="Symbol" w:hint="default"/>
      </w:rPr>
    </w:lvl>
    <w:lvl w:ilvl="4" w:tplc="18864F46">
      <w:start w:val="1"/>
      <w:numFmt w:val="bullet"/>
      <w:lvlText w:val="o"/>
      <w:lvlJc w:val="left"/>
      <w:pPr>
        <w:ind w:left="3600" w:hanging="360"/>
      </w:pPr>
      <w:rPr>
        <w:rFonts w:ascii="Courier New" w:hAnsi="Courier New" w:hint="default"/>
      </w:rPr>
    </w:lvl>
    <w:lvl w:ilvl="5" w:tplc="9AA8CF7E">
      <w:start w:val="1"/>
      <w:numFmt w:val="bullet"/>
      <w:lvlText w:val=""/>
      <w:lvlJc w:val="left"/>
      <w:pPr>
        <w:ind w:left="4320" w:hanging="360"/>
      </w:pPr>
      <w:rPr>
        <w:rFonts w:ascii="Wingdings" w:hAnsi="Wingdings" w:hint="default"/>
      </w:rPr>
    </w:lvl>
    <w:lvl w:ilvl="6" w:tplc="BF70DAC4">
      <w:start w:val="1"/>
      <w:numFmt w:val="bullet"/>
      <w:lvlText w:val=""/>
      <w:lvlJc w:val="left"/>
      <w:pPr>
        <w:ind w:left="5040" w:hanging="360"/>
      </w:pPr>
      <w:rPr>
        <w:rFonts w:ascii="Symbol" w:hAnsi="Symbol" w:hint="default"/>
      </w:rPr>
    </w:lvl>
    <w:lvl w:ilvl="7" w:tplc="2A5E9F44">
      <w:start w:val="1"/>
      <w:numFmt w:val="bullet"/>
      <w:lvlText w:val="o"/>
      <w:lvlJc w:val="left"/>
      <w:pPr>
        <w:ind w:left="5760" w:hanging="360"/>
      </w:pPr>
      <w:rPr>
        <w:rFonts w:ascii="Courier New" w:hAnsi="Courier New" w:hint="default"/>
      </w:rPr>
    </w:lvl>
    <w:lvl w:ilvl="8" w:tplc="A54A93B0">
      <w:start w:val="1"/>
      <w:numFmt w:val="bullet"/>
      <w:lvlText w:val=""/>
      <w:lvlJc w:val="left"/>
      <w:pPr>
        <w:ind w:left="6480" w:hanging="360"/>
      </w:pPr>
      <w:rPr>
        <w:rFonts w:ascii="Wingdings" w:hAnsi="Wingdings" w:hint="default"/>
      </w:rPr>
    </w:lvl>
  </w:abstractNum>
  <w:abstractNum w:abstractNumId="71" w15:restartNumberingAfterBreak="0">
    <w:nsid w:val="74F241B3"/>
    <w:multiLevelType w:val="hybridMultilevel"/>
    <w:tmpl w:val="3E2A367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5E6380C"/>
    <w:multiLevelType w:val="hybridMultilevel"/>
    <w:tmpl w:val="B3F6952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7DF6911"/>
    <w:multiLevelType w:val="hybridMultilevel"/>
    <w:tmpl w:val="E8DA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8B33C8F"/>
    <w:multiLevelType w:val="hybridMultilevel"/>
    <w:tmpl w:val="0B90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6" w15:restartNumberingAfterBreak="0">
    <w:nsid w:val="7DE1020E"/>
    <w:multiLevelType w:val="hybridMultilevel"/>
    <w:tmpl w:val="FD1E0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16cid:durableId="1690182637">
    <w:abstractNumId w:val="7"/>
  </w:num>
  <w:num w:numId="2" w16cid:durableId="572663982">
    <w:abstractNumId w:val="68"/>
  </w:num>
  <w:num w:numId="3" w16cid:durableId="1931811542">
    <w:abstractNumId w:val="47"/>
  </w:num>
  <w:num w:numId="4" w16cid:durableId="2019581363">
    <w:abstractNumId w:val="39"/>
  </w:num>
  <w:num w:numId="5" w16cid:durableId="18509447">
    <w:abstractNumId w:val="56"/>
  </w:num>
  <w:num w:numId="6" w16cid:durableId="672730663">
    <w:abstractNumId w:val="3"/>
  </w:num>
  <w:num w:numId="7" w16cid:durableId="1646810235">
    <w:abstractNumId w:val="20"/>
  </w:num>
  <w:num w:numId="8" w16cid:durableId="1734350616">
    <w:abstractNumId w:val="10"/>
  </w:num>
  <w:num w:numId="9" w16cid:durableId="1221945508">
    <w:abstractNumId w:val="61"/>
  </w:num>
  <w:num w:numId="10" w16cid:durableId="432746170">
    <w:abstractNumId w:val="51"/>
  </w:num>
  <w:num w:numId="11" w16cid:durableId="678506899">
    <w:abstractNumId w:val="17"/>
  </w:num>
  <w:num w:numId="12" w16cid:durableId="747338856">
    <w:abstractNumId w:val="58"/>
  </w:num>
  <w:num w:numId="13" w16cid:durableId="2057579971">
    <w:abstractNumId w:val="32"/>
  </w:num>
  <w:num w:numId="14" w16cid:durableId="1292781508">
    <w:abstractNumId w:val="19"/>
  </w:num>
  <w:num w:numId="15" w16cid:durableId="996153699">
    <w:abstractNumId w:val="16"/>
  </w:num>
  <w:num w:numId="16" w16cid:durableId="600844127">
    <w:abstractNumId w:val="38"/>
  </w:num>
  <w:num w:numId="17" w16cid:durableId="1470629602">
    <w:abstractNumId w:val="4"/>
  </w:num>
  <w:num w:numId="18" w16cid:durableId="1376612636">
    <w:abstractNumId w:val="70"/>
  </w:num>
  <w:num w:numId="19" w16cid:durableId="907377403">
    <w:abstractNumId w:val="63"/>
  </w:num>
  <w:num w:numId="20" w16cid:durableId="527762230">
    <w:abstractNumId w:val="42"/>
  </w:num>
  <w:num w:numId="21" w16cid:durableId="463933323">
    <w:abstractNumId w:val="69"/>
  </w:num>
  <w:num w:numId="22" w16cid:durableId="380373926">
    <w:abstractNumId w:val="6"/>
  </w:num>
  <w:num w:numId="23" w16cid:durableId="372120983">
    <w:abstractNumId w:val="30"/>
  </w:num>
  <w:num w:numId="24" w16cid:durableId="390615848">
    <w:abstractNumId w:val="57"/>
  </w:num>
  <w:num w:numId="25" w16cid:durableId="930310843">
    <w:abstractNumId w:val="60"/>
  </w:num>
  <w:num w:numId="26" w16cid:durableId="1064254352">
    <w:abstractNumId w:val="3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520" w:hanging="360"/>
        </w:pPr>
      </w:lvl>
    </w:lvlOverride>
    <w:lvlOverride w:ilvl="5">
      <w:lvl w:ilvl="5">
        <w:start w:val="1"/>
        <w:numFmt w:val="lowerRoman"/>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lowerLetter"/>
        <w:lvlText w:val="%8."/>
        <w:lvlJc w:val="left"/>
        <w:pPr>
          <w:ind w:left="3600" w:hanging="360"/>
        </w:pPr>
      </w:lvl>
    </w:lvlOverride>
    <w:lvlOverride w:ilvl="8">
      <w:lvl w:ilvl="8">
        <w:start w:val="1"/>
        <w:numFmt w:val="lowerRoman"/>
        <w:lvlText w:val="%9."/>
        <w:lvlJc w:val="left"/>
        <w:pPr>
          <w:ind w:left="3960" w:hanging="360"/>
        </w:pPr>
      </w:lvl>
    </w:lvlOverride>
  </w:num>
  <w:num w:numId="27" w16cid:durableId="1132865891">
    <w:abstractNumId w:val="14"/>
  </w:num>
  <w:num w:numId="28" w16cid:durableId="1975869933">
    <w:abstractNumId w:val="75"/>
  </w:num>
  <w:num w:numId="29" w16cid:durableId="748500793">
    <w:abstractNumId w:val="77"/>
  </w:num>
  <w:num w:numId="30" w16cid:durableId="867644183">
    <w:abstractNumId w:val="41"/>
  </w:num>
  <w:num w:numId="31" w16cid:durableId="1621523758">
    <w:abstractNumId w:val="13"/>
  </w:num>
  <w:num w:numId="32" w16cid:durableId="1649091375">
    <w:abstractNumId w:val="73"/>
  </w:num>
  <w:num w:numId="33" w16cid:durableId="2093116633">
    <w:abstractNumId w:val="76"/>
  </w:num>
  <w:num w:numId="34" w16cid:durableId="1904172923">
    <w:abstractNumId w:val="33"/>
  </w:num>
  <w:num w:numId="35" w16cid:durableId="1075787058">
    <w:abstractNumId w:val="71"/>
  </w:num>
  <w:num w:numId="36" w16cid:durableId="1812016134">
    <w:abstractNumId w:val="12"/>
  </w:num>
  <w:num w:numId="37" w16cid:durableId="1895308878">
    <w:abstractNumId w:val="72"/>
  </w:num>
  <w:num w:numId="38" w16cid:durableId="1659186767">
    <w:abstractNumId w:val="66"/>
  </w:num>
  <w:num w:numId="39" w16cid:durableId="1287082950">
    <w:abstractNumId w:val="54"/>
  </w:num>
  <w:num w:numId="40" w16cid:durableId="237516724">
    <w:abstractNumId w:val="23"/>
  </w:num>
  <w:num w:numId="41" w16cid:durableId="728265646">
    <w:abstractNumId w:val="53"/>
  </w:num>
  <w:num w:numId="42" w16cid:durableId="1549104539">
    <w:abstractNumId w:val="31"/>
  </w:num>
  <w:num w:numId="43" w16cid:durableId="955721565">
    <w:abstractNumId w:val="50"/>
  </w:num>
  <w:num w:numId="44" w16cid:durableId="1188251385">
    <w:abstractNumId w:val="18"/>
  </w:num>
  <w:num w:numId="45" w16cid:durableId="134377375">
    <w:abstractNumId w:val="67"/>
  </w:num>
  <w:num w:numId="46" w16cid:durableId="98449809">
    <w:abstractNumId w:val="34"/>
  </w:num>
  <w:num w:numId="47" w16cid:durableId="1820728092">
    <w:abstractNumId w:val="43"/>
  </w:num>
  <w:num w:numId="48" w16cid:durableId="1143699768">
    <w:abstractNumId w:val="24"/>
  </w:num>
  <w:num w:numId="49" w16cid:durableId="50467368">
    <w:abstractNumId w:val="46"/>
  </w:num>
  <w:num w:numId="50" w16cid:durableId="1488134259">
    <w:abstractNumId w:val="26"/>
  </w:num>
  <w:num w:numId="51" w16cid:durableId="325743180">
    <w:abstractNumId w:val="49"/>
  </w:num>
  <w:num w:numId="52" w16cid:durableId="1329752658">
    <w:abstractNumId w:val="9"/>
  </w:num>
  <w:num w:numId="53" w16cid:durableId="447430284">
    <w:abstractNumId w:val="5"/>
  </w:num>
  <w:num w:numId="54" w16cid:durableId="2076122486">
    <w:abstractNumId w:val="45"/>
  </w:num>
  <w:num w:numId="55" w16cid:durableId="2059820773">
    <w:abstractNumId w:val="65"/>
  </w:num>
  <w:num w:numId="56" w16cid:durableId="634720255">
    <w:abstractNumId w:val="59"/>
  </w:num>
  <w:num w:numId="57" w16cid:durableId="595132582">
    <w:abstractNumId w:val="22"/>
  </w:num>
  <w:num w:numId="58" w16cid:durableId="2039694491">
    <w:abstractNumId w:val="11"/>
  </w:num>
  <w:num w:numId="59" w16cid:durableId="568734489">
    <w:abstractNumId w:val="64"/>
  </w:num>
  <w:num w:numId="60" w16cid:durableId="793787911">
    <w:abstractNumId w:val="55"/>
  </w:num>
  <w:num w:numId="61" w16cid:durableId="1062950980">
    <w:abstractNumId w:val="1"/>
  </w:num>
  <w:num w:numId="62" w16cid:durableId="2068991329">
    <w:abstractNumId w:val="40"/>
  </w:num>
  <w:num w:numId="63" w16cid:durableId="1616980410">
    <w:abstractNumId w:val="74"/>
  </w:num>
  <w:num w:numId="64" w16cid:durableId="1589926348">
    <w:abstractNumId w:val="29"/>
  </w:num>
  <w:num w:numId="65" w16cid:durableId="1117792049">
    <w:abstractNumId w:val="44"/>
  </w:num>
  <w:num w:numId="66" w16cid:durableId="1908492355">
    <w:abstractNumId w:val="0"/>
  </w:num>
  <w:num w:numId="67" w16cid:durableId="1551764704">
    <w:abstractNumId w:val="2"/>
  </w:num>
  <w:num w:numId="68" w16cid:durableId="81799807">
    <w:abstractNumId w:val="27"/>
  </w:num>
  <w:num w:numId="69" w16cid:durableId="277296712">
    <w:abstractNumId w:val="28"/>
  </w:num>
  <w:num w:numId="70" w16cid:durableId="1345858535">
    <w:abstractNumId w:val="62"/>
  </w:num>
  <w:num w:numId="71" w16cid:durableId="1709067290">
    <w:abstractNumId w:val="52"/>
  </w:num>
  <w:num w:numId="72" w16cid:durableId="1024399631">
    <w:abstractNumId w:val="25"/>
  </w:num>
  <w:num w:numId="73" w16cid:durableId="42366894">
    <w:abstractNumId w:val="35"/>
  </w:num>
  <w:num w:numId="74" w16cid:durableId="833494967">
    <w:abstractNumId w:val="15"/>
  </w:num>
  <w:num w:numId="75" w16cid:durableId="1463157149">
    <w:abstractNumId w:val="36"/>
  </w:num>
  <w:num w:numId="76" w16cid:durableId="593709561">
    <w:abstractNumId w:val="21"/>
  </w:num>
  <w:num w:numId="77" w16cid:durableId="1431968272">
    <w:abstractNumId w:val="3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520" w:hanging="360"/>
        </w:pPr>
      </w:lvl>
    </w:lvlOverride>
    <w:lvlOverride w:ilvl="5">
      <w:lvl w:ilvl="5">
        <w:start w:val="1"/>
        <w:numFmt w:val="lowerRoman"/>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lowerLetter"/>
        <w:lvlText w:val="%8."/>
        <w:lvlJc w:val="left"/>
        <w:pPr>
          <w:ind w:left="3600" w:hanging="360"/>
        </w:pPr>
      </w:lvl>
    </w:lvlOverride>
    <w:lvlOverride w:ilvl="8">
      <w:lvl w:ilvl="8">
        <w:start w:val="1"/>
        <w:numFmt w:val="lowerRoman"/>
        <w:lvlText w:val="%9."/>
        <w:lvlJc w:val="left"/>
        <w:pPr>
          <w:ind w:left="3960" w:hanging="360"/>
        </w:pPr>
      </w:lvl>
    </w:lvlOverride>
  </w:num>
  <w:num w:numId="78" w16cid:durableId="1768693215">
    <w:abstractNumId w:val="3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520" w:hanging="360"/>
        </w:pPr>
      </w:lvl>
    </w:lvlOverride>
    <w:lvlOverride w:ilvl="5">
      <w:lvl w:ilvl="5">
        <w:start w:val="1"/>
        <w:numFmt w:val="lowerRoman"/>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lowerLetter"/>
        <w:lvlText w:val="%8."/>
        <w:lvlJc w:val="left"/>
        <w:pPr>
          <w:ind w:left="3600" w:hanging="360"/>
        </w:pPr>
      </w:lvl>
    </w:lvlOverride>
    <w:lvlOverride w:ilvl="8">
      <w:lvl w:ilvl="8">
        <w:start w:val="1"/>
        <w:numFmt w:val="lowerRoman"/>
        <w:lvlText w:val="%9."/>
        <w:lvlJc w:val="left"/>
        <w:pPr>
          <w:ind w:left="3960" w:hanging="360"/>
        </w:pPr>
      </w:lvl>
    </w:lvlOverride>
  </w:num>
  <w:num w:numId="79" w16cid:durableId="1346321539">
    <w:abstractNumId w:val="3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520" w:hanging="360"/>
        </w:pPr>
      </w:lvl>
    </w:lvlOverride>
    <w:lvlOverride w:ilvl="5">
      <w:lvl w:ilvl="5">
        <w:start w:val="1"/>
        <w:numFmt w:val="lowerRoman"/>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lowerLetter"/>
        <w:lvlText w:val="%8."/>
        <w:lvlJc w:val="left"/>
        <w:pPr>
          <w:ind w:left="3600" w:hanging="360"/>
        </w:pPr>
      </w:lvl>
    </w:lvlOverride>
    <w:lvlOverride w:ilvl="8">
      <w:lvl w:ilvl="8">
        <w:start w:val="1"/>
        <w:numFmt w:val="lowerRoman"/>
        <w:lvlText w:val="%9."/>
        <w:lvlJc w:val="left"/>
        <w:pPr>
          <w:ind w:left="3960" w:hanging="360"/>
        </w:pPr>
      </w:lvl>
    </w:lvlOverride>
  </w:num>
  <w:num w:numId="80" w16cid:durableId="770206377">
    <w:abstractNumId w:val="3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520" w:hanging="360"/>
        </w:pPr>
      </w:lvl>
    </w:lvlOverride>
    <w:lvlOverride w:ilvl="5">
      <w:lvl w:ilvl="5">
        <w:start w:val="1"/>
        <w:numFmt w:val="lowerRoman"/>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lowerLetter"/>
        <w:lvlText w:val="%8."/>
        <w:lvlJc w:val="left"/>
        <w:pPr>
          <w:ind w:left="3600" w:hanging="360"/>
        </w:pPr>
      </w:lvl>
    </w:lvlOverride>
    <w:lvlOverride w:ilvl="8">
      <w:lvl w:ilvl="8">
        <w:start w:val="1"/>
        <w:numFmt w:val="lowerRoman"/>
        <w:lvlText w:val="%9."/>
        <w:lvlJc w:val="left"/>
        <w:pPr>
          <w:ind w:left="3960" w:hanging="360"/>
        </w:pPr>
      </w:lvl>
    </w:lvlOverride>
  </w:num>
  <w:num w:numId="81" w16cid:durableId="416365097">
    <w:abstractNumId w:val="48"/>
  </w:num>
  <w:num w:numId="82" w16cid:durableId="765346112">
    <w:abstractNumId w:val="8"/>
  </w:num>
  <w:num w:numId="83" w16cid:durableId="1863932056">
    <w:abstractNumId w:val="37"/>
  </w:num>
  <w:num w:numId="84" w16cid:durableId="1314602194">
    <w:abstractNumId w:val="3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520" w:hanging="360"/>
        </w:pPr>
      </w:lvl>
    </w:lvlOverride>
    <w:lvlOverride w:ilvl="5">
      <w:lvl w:ilvl="5">
        <w:start w:val="1"/>
        <w:numFmt w:val="lowerRoman"/>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lowerLetter"/>
        <w:lvlText w:val="%8."/>
        <w:lvlJc w:val="left"/>
        <w:pPr>
          <w:ind w:left="3600" w:hanging="360"/>
        </w:pPr>
      </w:lvl>
    </w:lvlOverride>
    <w:lvlOverride w:ilvl="8">
      <w:lvl w:ilvl="8">
        <w:start w:val="1"/>
        <w:numFmt w:val="lowerRoman"/>
        <w:lvlText w:val="%9."/>
        <w:lvlJc w:val="left"/>
        <w:pPr>
          <w:ind w:left="3960" w:hanging="360"/>
        </w:pPr>
      </w:lvl>
    </w:lvlOverride>
  </w:num>
  <w:num w:numId="85" w16cid:durableId="848251778">
    <w:abstractNumId w:val="3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lvl>
    </w:lvlOverride>
    <w:lvlOverride w:ilvl="2">
      <w:lvl w:ilvl="2">
        <w:start w:val="1"/>
        <w:numFmt w:val="decimal"/>
        <w:pStyle w:val="Heading3Numbered"/>
        <w:lvlText w:val="%1.%2.%3"/>
        <w:lvlJc w:val="left"/>
        <w:pPr>
          <w:ind w:left="851" w:hanging="851"/>
        </w:pPr>
      </w:lvl>
    </w:lvlOverride>
    <w:lvlOverride w:ilvl="3">
      <w:lvl w:ilvl="3">
        <w:start w:val="1"/>
        <w:numFmt w:val="decimal"/>
        <w:lvlText w:val="(%4)"/>
        <w:lvlJc w:val="left"/>
        <w:pPr>
          <w:ind w:left="2160" w:hanging="360"/>
        </w:pPr>
      </w:lvl>
    </w:lvlOverride>
    <w:lvlOverride w:ilvl="4">
      <w:lvl w:ilvl="4">
        <w:start w:val="1"/>
        <w:numFmt w:val="lowerLetter"/>
        <w:lvlText w:val="(%5)"/>
        <w:lvlJc w:val="left"/>
        <w:pPr>
          <w:ind w:left="2520" w:hanging="360"/>
        </w:pPr>
      </w:lvl>
    </w:lvlOverride>
    <w:lvlOverride w:ilvl="5">
      <w:lvl w:ilvl="5">
        <w:start w:val="1"/>
        <w:numFmt w:val="lowerRoman"/>
        <w:lvlText w:val="(%6)"/>
        <w:lvlJc w:val="left"/>
        <w:pPr>
          <w:ind w:left="2880" w:hanging="360"/>
        </w:pPr>
      </w:lvl>
    </w:lvlOverride>
    <w:lvlOverride w:ilvl="6">
      <w:lvl w:ilvl="6">
        <w:start w:val="1"/>
        <w:numFmt w:val="decimal"/>
        <w:lvlText w:val="%7."/>
        <w:lvlJc w:val="left"/>
        <w:pPr>
          <w:ind w:left="3240" w:hanging="360"/>
        </w:pPr>
      </w:lvl>
    </w:lvlOverride>
    <w:lvlOverride w:ilvl="7">
      <w:lvl w:ilvl="7">
        <w:start w:val="1"/>
        <w:numFmt w:val="lowerLetter"/>
        <w:lvlText w:val="%8."/>
        <w:lvlJc w:val="left"/>
        <w:pPr>
          <w:ind w:left="3600" w:hanging="360"/>
        </w:pPr>
      </w:lvl>
    </w:lvlOverride>
    <w:lvlOverride w:ilvl="8">
      <w:lvl w:ilvl="8">
        <w:start w:val="1"/>
        <w:numFmt w:val="lowerRoman"/>
        <w:lvlText w:val="%9."/>
        <w:lvlJc w:val="left"/>
        <w:pPr>
          <w:ind w:left="3960" w:hanging="360"/>
        </w:pPr>
      </w:lvl>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83"/>
    <w:rsid w:val="000001FF"/>
    <w:rsid w:val="00000347"/>
    <w:rsid w:val="000003CC"/>
    <w:rsid w:val="0000062B"/>
    <w:rsid w:val="0000149F"/>
    <w:rsid w:val="00001C32"/>
    <w:rsid w:val="00001DA8"/>
    <w:rsid w:val="000020C0"/>
    <w:rsid w:val="000020C1"/>
    <w:rsid w:val="0000253E"/>
    <w:rsid w:val="00002812"/>
    <w:rsid w:val="000033A1"/>
    <w:rsid w:val="00003410"/>
    <w:rsid w:val="00003934"/>
    <w:rsid w:val="00003E32"/>
    <w:rsid w:val="000046E0"/>
    <w:rsid w:val="00004A5C"/>
    <w:rsid w:val="00004AB9"/>
    <w:rsid w:val="000050FB"/>
    <w:rsid w:val="00005C31"/>
    <w:rsid w:val="00005F83"/>
    <w:rsid w:val="00005F87"/>
    <w:rsid w:val="000071B1"/>
    <w:rsid w:val="0000D64F"/>
    <w:rsid w:val="0001007E"/>
    <w:rsid w:val="00010565"/>
    <w:rsid w:val="0001075F"/>
    <w:rsid w:val="00010B18"/>
    <w:rsid w:val="0001115C"/>
    <w:rsid w:val="00012FB2"/>
    <w:rsid w:val="00013335"/>
    <w:rsid w:val="0001350A"/>
    <w:rsid w:val="0001366D"/>
    <w:rsid w:val="000137F0"/>
    <w:rsid w:val="00013B8D"/>
    <w:rsid w:val="000146FA"/>
    <w:rsid w:val="00015F9C"/>
    <w:rsid w:val="00020098"/>
    <w:rsid w:val="000205B9"/>
    <w:rsid w:val="0002080A"/>
    <w:rsid w:val="000210BE"/>
    <w:rsid w:val="00021116"/>
    <w:rsid w:val="0002151E"/>
    <w:rsid w:val="00021611"/>
    <w:rsid w:val="00021EB7"/>
    <w:rsid w:val="00022256"/>
    <w:rsid w:val="0002277C"/>
    <w:rsid w:val="000228ED"/>
    <w:rsid w:val="00024420"/>
    <w:rsid w:val="00024BD5"/>
    <w:rsid w:val="00025154"/>
    <w:rsid w:val="0002603F"/>
    <w:rsid w:val="000265EF"/>
    <w:rsid w:val="000267F5"/>
    <w:rsid w:val="00026F77"/>
    <w:rsid w:val="0002782F"/>
    <w:rsid w:val="000278BA"/>
    <w:rsid w:val="000300BB"/>
    <w:rsid w:val="0003102F"/>
    <w:rsid w:val="000316F3"/>
    <w:rsid w:val="00031A72"/>
    <w:rsid w:val="0003222A"/>
    <w:rsid w:val="00032481"/>
    <w:rsid w:val="00032984"/>
    <w:rsid w:val="00032C40"/>
    <w:rsid w:val="0003328A"/>
    <w:rsid w:val="000335A2"/>
    <w:rsid w:val="000336B4"/>
    <w:rsid w:val="00034F5B"/>
    <w:rsid w:val="00035BBF"/>
    <w:rsid w:val="00036438"/>
    <w:rsid w:val="0003672D"/>
    <w:rsid w:val="00036BBD"/>
    <w:rsid w:val="00036D02"/>
    <w:rsid w:val="0003719D"/>
    <w:rsid w:val="00037C05"/>
    <w:rsid w:val="00037C46"/>
    <w:rsid w:val="00040229"/>
    <w:rsid w:val="000409D3"/>
    <w:rsid w:val="00040D86"/>
    <w:rsid w:val="00040DF2"/>
    <w:rsid w:val="000410CE"/>
    <w:rsid w:val="00041201"/>
    <w:rsid w:val="000418DD"/>
    <w:rsid w:val="00041A2E"/>
    <w:rsid w:val="00041E7E"/>
    <w:rsid w:val="0004231B"/>
    <w:rsid w:val="00042B7F"/>
    <w:rsid w:val="00043BBA"/>
    <w:rsid w:val="00043CC8"/>
    <w:rsid w:val="00046350"/>
    <w:rsid w:val="0004652B"/>
    <w:rsid w:val="00046A47"/>
    <w:rsid w:val="00046E3F"/>
    <w:rsid w:val="00046FCE"/>
    <w:rsid w:val="00047748"/>
    <w:rsid w:val="0004784E"/>
    <w:rsid w:val="00050026"/>
    <w:rsid w:val="00050056"/>
    <w:rsid w:val="0005013D"/>
    <w:rsid w:val="0005032F"/>
    <w:rsid w:val="00050563"/>
    <w:rsid w:val="00050806"/>
    <w:rsid w:val="00050855"/>
    <w:rsid w:val="00051096"/>
    <w:rsid w:val="00051494"/>
    <w:rsid w:val="00051EB4"/>
    <w:rsid w:val="0005258C"/>
    <w:rsid w:val="00052916"/>
    <w:rsid w:val="00053843"/>
    <w:rsid w:val="00053D2E"/>
    <w:rsid w:val="00053E49"/>
    <w:rsid w:val="000541D2"/>
    <w:rsid w:val="000545AB"/>
    <w:rsid w:val="000545CA"/>
    <w:rsid w:val="000546D9"/>
    <w:rsid w:val="000548A3"/>
    <w:rsid w:val="00054E4D"/>
    <w:rsid w:val="000550A1"/>
    <w:rsid w:val="00055782"/>
    <w:rsid w:val="00056D07"/>
    <w:rsid w:val="00057B65"/>
    <w:rsid w:val="00060073"/>
    <w:rsid w:val="00060997"/>
    <w:rsid w:val="000616C6"/>
    <w:rsid w:val="000619CB"/>
    <w:rsid w:val="0006246D"/>
    <w:rsid w:val="00062974"/>
    <w:rsid w:val="000631A6"/>
    <w:rsid w:val="0006333D"/>
    <w:rsid w:val="000634B7"/>
    <w:rsid w:val="00063EDA"/>
    <w:rsid w:val="00065872"/>
    <w:rsid w:val="00065E5C"/>
    <w:rsid w:val="00066089"/>
    <w:rsid w:val="000676B6"/>
    <w:rsid w:val="00071B7F"/>
    <w:rsid w:val="00071E13"/>
    <w:rsid w:val="00073274"/>
    <w:rsid w:val="000732A0"/>
    <w:rsid w:val="00073B14"/>
    <w:rsid w:val="00073E4D"/>
    <w:rsid w:val="00074CDF"/>
    <w:rsid w:val="00074E36"/>
    <w:rsid w:val="0007583D"/>
    <w:rsid w:val="00076343"/>
    <w:rsid w:val="0007662A"/>
    <w:rsid w:val="00077658"/>
    <w:rsid w:val="00077DCD"/>
    <w:rsid w:val="0008008E"/>
    <w:rsid w:val="000800C1"/>
    <w:rsid w:val="00080732"/>
    <w:rsid w:val="000811DD"/>
    <w:rsid w:val="000816AC"/>
    <w:rsid w:val="00082298"/>
    <w:rsid w:val="00082E00"/>
    <w:rsid w:val="0008316A"/>
    <w:rsid w:val="00083615"/>
    <w:rsid w:val="0008373A"/>
    <w:rsid w:val="0008383E"/>
    <w:rsid w:val="00083B6F"/>
    <w:rsid w:val="0008416C"/>
    <w:rsid w:val="000854FD"/>
    <w:rsid w:val="00085985"/>
    <w:rsid w:val="0008635D"/>
    <w:rsid w:val="000868E5"/>
    <w:rsid w:val="00086A00"/>
    <w:rsid w:val="00086BAF"/>
    <w:rsid w:val="000900D7"/>
    <w:rsid w:val="00090287"/>
    <w:rsid w:val="0009037E"/>
    <w:rsid w:val="0009039E"/>
    <w:rsid w:val="00093026"/>
    <w:rsid w:val="000937DE"/>
    <w:rsid w:val="000938A7"/>
    <w:rsid w:val="00094304"/>
    <w:rsid w:val="00094EFE"/>
    <w:rsid w:val="00095233"/>
    <w:rsid w:val="00095A25"/>
    <w:rsid w:val="00095AB9"/>
    <w:rsid w:val="00095B82"/>
    <w:rsid w:val="00095CEE"/>
    <w:rsid w:val="00095DCB"/>
    <w:rsid w:val="000962FC"/>
    <w:rsid w:val="00096391"/>
    <w:rsid w:val="00096E0B"/>
    <w:rsid w:val="0009703F"/>
    <w:rsid w:val="00097F65"/>
    <w:rsid w:val="000A0047"/>
    <w:rsid w:val="000A0FB3"/>
    <w:rsid w:val="000A112D"/>
    <w:rsid w:val="000A1312"/>
    <w:rsid w:val="000A13E1"/>
    <w:rsid w:val="000A217A"/>
    <w:rsid w:val="000A235E"/>
    <w:rsid w:val="000A2934"/>
    <w:rsid w:val="000A31B9"/>
    <w:rsid w:val="000A341D"/>
    <w:rsid w:val="000A48AE"/>
    <w:rsid w:val="000A4BC2"/>
    <w:rsid w:val="000A4E1A"/>
    <w:rsid w:val="000A540A"/>
    <w:rsid w:val="000A54FC"/>
    <w:rsid w:val="000A570C"/>
    <w:rsid w:val="000A5A5E"/>
    <w:rsid w:val="000A5ABA"/>
    <w:rsid w:val="000A6D05"/>
    <w:rsid w:val="000A79A3"/>
    <w:rsid w:val="000B0416"/>
    <w:rsid w:val="000B0684"/>
    <w:rsid w:val="000B0D75"/>
    <w:rsid w:val="000B0DF7"/>
    <w:rsid w:val="000B218A"/>
    <w:rsid w:val="000B27D3"/>
    <w:rsid w:val="000B360C"/>
    <w:rsid w:val="000B37F5"/>
    <w:rsid w:val="000B3D22"/>
    <w:rsid w:val="000B498B"/>
    <w:rsid w:val="000B51BE"/>
    <w:rsid w:val="000B53CA"/>
    <w:rsid w:val="000B54DE"/>
    <w:rsid w:val="000B56C4"/>
    <w:rsid w:val="000B579B"/>
    <w:rsid w:val="000B5869"/>
    <w:rsid w:val="000B597F"/>
    <w:rsid w:val="000B5CCC"/>
    <w:rsid w:val="000B5D32"/>
    <w:rsid w:val="000B697D"/>
    <w:rsid w:val="000B6BA4"/>
    <w:rsid w:val="000B7EB7"/>
    <w:rsid w:val="000C05E9"/>
    <w:rsid w:val="000C1674"/>
    <w:rsid w:val="000C1D51"/>
    <w:rsid w:val="000C2215"/>
    <w:rsid w:val="000C2491"/>
    <w:rsid w:val="000C26A5"/>
    <w:rsid w:val="000C366A"/>
    <w:rsid w:val="000C39A3"/>
    <w:rsid w:val="000C3A85"/>
    <w:rsid w:val="000C3D2D"/>
    <w:rsid w:val="000C3D7A"/>
    <w:rsid w:val="000C41FE"/>
    <w:rsid w:val="000C42EA"/>
    <w:rsid w:val="000C4CE9"/>
    <w:rsid w:val="000C5040"/>
    <w:rsid w:val="000C62C5"/>
    <w:rsid w:val="000C686A"/>
    <w:rsid w:val="000C781F"/>
    <w:rsid w:val="000C7DC4"/>
    <w:rsid w:val="000D0C91"/>
    <w:rsid w:val="000D1343"/>
    <w:rsid w:val="000D1657"/>
    <w:rsid w:val="000D260D"/>
    <w:rsid w:val="000D274A"/>
    <w:rsid w:val="000D2974"/>
    <w:rsid w:val="000D3B5A"/>
    <w:rsid w:val="000D4227"/>
    <w:rsid w:val="000D44E4"/>
    <w:rsid w:val="000D514D"/>
    <w:rsid w:val="000D5580"/>
    <w:rsid w:val="000D609A"/>
    <w:rsid w:val="000D612B"/>
    <w:rsid w:val="000D66D6"/>
    <w:rsid w:val="000D6B92"/>
    <w:rsid w:val="000D7030"/>
    <w:rsid w:val="000D7611"/>
    <w:rsid w:val="000D7D0C"/>
    <w:rsid w:val="000E16AC"/>
    <w:rsid w:val="000E1C28"/>
    <w:rsid w:val="000E3426"/>
    <w:rsid w:val="000E3F18"/>
    <w:rsid w:val="000E41D5"/>
    <w:rsid w:val="000E5217"/>
    <w:rsid w:val="000E6531"/>
    <w:rsid w:val="000E6640"/>
    <w:rsid w:val="000E6798"/>
    <w:rsid w:val="000E6852"/>
    <w:rsid w:val="000E7293"/>
    <w:rsid w:val="000E74D5"/>
    <w:rsid w:val="000E75CF"/>
    <w:rsid w:val="000E7604"/>
    <w:rsid w:val="000E7D48"/>
    <w:rsid w:val="000E7FA7"/>
    <w:rsid w:val="000F014A"/>
    <w:rsid w:val="000F04CB"/>
    <w:rsid w:val="000F082F"/>
    <w:rsid w:val="000F151A"/>
    <w:rsid w:val="000F197D"/>
    <w:rsid w:val="000F1995"/>
    <w:rsid w:val="000F1C03"/>
    <w:rsid w:val="000F2663"/>
    <w:rsid w:val="000F2AC3"/>
    <w:rsid w:val="000F46DB"/>
    <w:rsid w:val="000F4DEC"/>
    <w:rsid w:val="000F5140"/>
    <w:rsid w:val="000F5307"/>
    <w:rsid w:val="000F5CA8"/>
    <w:rsid w:val="000F65E7"/>
    <w:rsid w:val="000F6CB8"/>
    <w:rsid w:val="000F78E9"/>
    <w:rsid w:val="000F7AD6"/>
    <w:rsid w:val="00100D58"/>
    <w:rsid w:val="00100E1C"/>
    <w:rsid w:val="0010159D"/>
    <w:rsid w:val="001015C7"/>
    <w:rsid w:val="001016E2"/>
    <w:rsid w:val="00101774"/>
    <w:rsid w:val="001032A9"/>
    <w:rsid w:val="00103312"/>
    <w:rsid w:val="00103719"/>
    <w:rsid w:val="00103785"/>
    <w:rsid w:val="001048C6"/>
    <w:rsid w:val="00104F2E"/>
    <w:rsid w:val="00105332"/>
    <w:rsid w:val="00105541"/>
    <w:rsid w:val="00105996"/>
    <w:rsid w:val="00105A55"/>
    <w:rsid w:val="001061F6"/>
    <w:rsid w:val="001066DC"/>
    <w:rsid w:val="00107D34"/>
    <w:rsid w:val="00110361"/>
    <w:rsid w:val="001106E7"/>
    <w:rsid w:val="0011189B"/>
    <w:rsid w:val="00111BC4"/>
    <w:rsid w:val="0011244E"/>
    <w:rsid w:val="0011290C"/>
    <w:rsid w:val="00113288"/>
    <w:rsid w:val="00113F17"/>
    <w:rsid w:val="001151F8"/>
    <w:rsid w:val="00116CA5"/>
    <w:rsid w:val="0011760F"/>
    <w:rsid w:val="00117CAD"/>
    <w:rsid w:val="00117DB7"/>
    <w:rsid w:val="00120251"/>
    <w:rsid w:val="00120725"/>
    <w:rsid w:val="00120966"/>
    <w:rsid w:val="00120B1D"/>
    <w:rsid w:val="001211E2"/>
    <w:rsid w:val="001214BE"/>
    <w:rsid w:val="00121C3D"/>
    <w:rsid w:val="00122BC8"/>
    <w:rsid w:val="00123676"/>
    <w:rsid w:val="00123CEA"/>
    <w:rsid w:val="00123D3E"/>
    <w:rsid w:val="00123E4C"/>
    <w:rsid w:val="00123E56"/>
    <w:rsid w:val="00123F9E"/>
    <w:rsid w:val="00124015"/>
    <w:rsid w:val="00124231"/>
    <w:rsid w:val="00124D1D"/>
    <w:rsid w:val="00125174"/>
    <w:rsid w:val="0012573A"/>
    <w:rsid w:val="001260E1"/>
    <w:rsid w:val="00127E38"/>
    <w:rsid w:val="001293C7"/>
    <w:rsid w:val="0013014F"/>
    <w:rsid w:val="00130A66"/>
    <w:rsid w:val="0013101C"/>
    <w:rsid w:val="00131D9B"/>
    <w:rsid w:val="00132042"/>
    <w:rsid w:val="00132068"/>
    <w:rsid w:val="0013279E"/>
    <w:rsid w:val="00132F0B"/>
    <w:rsid w:val="00133893"/>
    <w:rsid w:val="001347A9"/>
    <w:rsid w:val="00134B70"/>
    <w:rsid w:val="00136182"/>
    <w:rsid w:val="001369E4"/>
    <w:rsid w:val="00136E33"/>
    <w:rsid w:val="00137132"/>
    <w:rsid w:val="00137D2F"/>
    <w:rsid w:val="001406BF"/>
    <w:rsid w:val="00140B90"/>
    <w:rsid w:val="00140DBB"/>
    <w:rsid w:val="00140E25"/>
    <w:rsid w:val="00140F69"/>
    <w:rsid w:val="00141460"/>
    <w:rsid w:val="001415BF"/>
    <w:rsid w:val="00141660"/>
    <w:rsid w:val="00141698"/>
    <w:rsid w:val="001416EA"/>
    <w:rsid w:val="001418AE"/>
    <w:rsid w:val="0014349C"/>
    <w:rsid w:val="00143ADB"/>
    <w:rsid w:val="001445F4"/>
    <w:rsid w:val="0014530C"/>
    <w:rsid w:val="001457CB"/>
    <w:rsid w:val="001461D6"/>
    <w:rsid w:val="00146451"/>
    <w:rsid w:val="001475D6"/>
    <w:rsid w:val="00147F12"/>
    <w:rsid w:val="00147FBB"/>
    <w:rsid w:val="0014BE96"/>
    <w:rsid w:val="00150317"/>
    <w:rsid w:val="00151614"/>
    <w:rsid w:val="001522A4"/>
    <w:rsid w:val="001526C6"/>
    <w:rsid w:val="0015286D"/>
    <w:rsid w:val="00152CED"/>
    <w:rsid w:val="00153977"/>
    <w:rsid w:val="001541EA"/>
    <w:rsid w:val="00154263"/>
    <w:rsid w:val="001549A2"/>
    <w:rsid w:val="00156162"/>
    <w:rsid w:val="00156916"/>
    <w:rsid w:val="0015691B"/>
    <w:rsid w:val="00156F4B"/>
    <w:rsid w:val="00157647"/>
    <w:rsid w:val="00157E81"/>
    <w:rsid w:val="00157F92"/>
    <w:rsid w:val="00160F78"/>
    <w:rsid w:val="0016123B"/>
    <w:rsid w:val="00162B6B"/>
    <w:rsid w:val="00163105"/>
    <w:rsid w:val="00163C16"/>
    <w:rsid w:val="001648AD"/>
    <w:rsid w:val="00165B44"/>
    <w:rsid w:val="0016607B"/>
    <w:rsid w:val="001664B2"/>
    <w:rsid w:val="0016667E"/>
    <w:rsid w:val="00166A0D"/>
    <w:rsid w:val="00166D00"/>
    <w:rsid w:val="0017002A"/>
    <w:rsid w:val="00170088"/>
    <w:rsid w:val="00170756"/>
    <w:rsid w:val="00170D2B"/>
    <w:rsid w:val="001711A0"/>
    <w:rsid w:val="00172052"/>
    <w:rsid w:val="001721A8"/>
    <w:rsid w:val="001725F2"/>
    <w:rsid w:val="001725F7"/>
    <w:rsid w:val="0017281E"/>
    <w:rsid w:val="0017309F"/>
    <w:rsid w:val="001733F1"/>
    <w:rsid w:val="00173C3F"/>
    <w:rsid w:val="00173F31"/>
    <w:rsid w:val="0017443F"/>
    <w:rsid w:val="00174551"/>
    <w:rsid w:val="00174B38"/>
    <w:rsid w:val="001754B8"/>
    <w:rsid w:val="00176661"/>
    <w:rsid w:val="0017679E"/>
    <w:rsid w:val="0018041E"/>
    <w:rsid w:val="00180684"/>
    <w:rsid w:val="00180BBC"/>
    <w:rsid w:val="001813A2"/>
    <w:rsid w:val="001813DD"/>
    <w:rsid w:val="0018217A"/>
    <w:rsid w:val="001823B8"/>
    <w:rsid w:val="001823D6"/>
    <w:rsid w:val="00183A1F"/>
    <w:rsid w:val="00183B88"/>
    <w:rsid w:val="00183ED9"/>
    <w:rsid w:val="001849BB"/>
    <w:rsid w:val="00184B06"/>
    <w:rsid w:val="00185148"/>
    <w:rsid w:val="001852B8"/>
    <w:rsid w:val="00185779"/>
    <w:rsid w:val="00186006"/>
    <w:rsid w:val="001871E7"/>
    <w:rsid w:val="00187447"/>
    <w:rsid w:val="00187468"/>
    <w:rsid w:val="001874E2"/>
    <w:rsid w:val="001877FB"/>
    <w:rsid w:val="00187A81"/>
    <w:rsid w:val="00187B01"/>
    <w:rsid w:val="0019061B"/>
    <w:rsid w:val="00190708"/>
    <w:rsid w:val="001908CF"/>
    <w:rsid w:val="00190F0B"/>
    <w:rsid w:val="00191875"/>
    <w:rsid w:val="00193350"/>
    <w:rsid w:val="001937AF"/>
    <w:rsid w:val="00193C13"/>
    <w:rsid w:val="001945DE"/>
    <w:rsid w:val="001949A2"/>
    <w:rsid w:val="00196227"/>
    <w:rsid w:val="00196492"/>
    <w:rsid w:val="001965E5"/>
    <w:rsid w:val="00196D10"/>
    <w:rsid w:val="00196E7B"/>
    <w:rsid w:val="00197457"/>
    <w:rsid w:val="001976CD"/>
    <w:rsid w:val="001A006D"/>
    <w:rsid w:val="001A0432"/>
    <w:rsid w:val="001A0633"/>
    <w:rsid w:val="001A113C"/>
    <w:rsid w:val="001A1362"/>
    <w:rsid w:val="001A1656"/>
    <w:rsid w:val="001A165B"/>
    <w:rsid w:val="001A1C3B"/>
    <w:rsid w:val="001A1D89"/>
    <w:rsid w:val="001A2061"/>
    <w:rsid w:val="001A2882"/>
    <w:rsid w:val="001A31B0"/>
    <w:rsid w:val="001A430B"/>
    <w:rsid w:val="001A61FF"/>
    <w:rsid w:val="001A62A4"/>
    <w:rsid w:val="001A63AE"/>
    <w:rsid w:val="001A6D56"/>
    <w:rsid w:val="001A7ED0"/>
    <w:rsid w:val="001A7F14"/>
    <w:rsid w:val="001B00D3"/>
    <w:rsid w:val="001B0F81"/>
    <w:rsid w:val="001B0FAF"/>
    <w:rsid w:val="001B2EC7"/>
    <w:rsid w:val="001B32DE"/>
    <w:rsid w:val="001B32E8"/>
    <w:rsid w:val="001B3C8F"/>
    <w:rsid w:val="001B4584"/>
    <w:rsid w:val="001B4934"/>
    <w:rsid w:val="001B49E9"/>
    <w:rsid w:val="001B5494"/>
    <w:rsid w:val="001B57E3"/>
    <w:rsid w:val="001B5F58"/>
    <w:rsid w:val="001B6547"/>
    <w:rsid w:val="001B7786"/>
    <w:rsid w:val="001B79B7"/>
    <w:rsid w:val="001B7A30"/>
    <w:rsid w:val="001B7C20"/>
    <w:rsid w:val="001B7E1B"/>
    <w:rsid w:val="001C01D7"/>
    <w:rsid w:val="001C04C9"/>
    <w:rsid w:val="001C0F31"/>
    <w:rsid w:val="001C1332"/>
    <w:rsid w:val="001C1850"/>
    <w:rsid w:val="001C18B8"/>
    <w:rsid w:val="001C1AC3"/>
    <w:rsid w:val="001C23A0"/>
    <w:rsid w:val="001C2617"/>
    <w:rsid w:val="001C2723"/>
    <w:rsid w:val="001C3078"/>
    <w:rsid w:val="001C321B"/>
    <w:rsid w:val="001C38B9"/>
    <w:rsid w:val="001C6010"/>
    <w:rsid w:val="001C607B"/>
    <w:rsid w:val="001C6E26"/>
    <w:rsid w:val="001CB03D"/>
    <w:rsid w:val="001D0F01"/>
    <w:rsid w:val="001D1411"/>
    <w:rsid w:val="001D22A8"/>
    <w:rsid w:val="001D233A"/>
    <w:rsid w:val="001D2A4F"/>
    <w:rsid w:val="001D2C91"/>
    <w:rsid w:val="001D2FB4"/>
    <w:rsid w:val="001D31DA"/>
    <w:rsid w:val="001D3895"/>
    <w:rsid w:val="001D3E78"/>
    <w:rsid w:val="001D43E0"/>
    <w:rsid w:val="001D4813"/>
    <w:rsid w:val="001D4940"/>
    <w:rsid w:val="001D4BC8"/>
    <w:rsid w:val="001D4E30"/>
    <w:rsid w:val="001D5AA6"/>
    <w:rsid w:val="001D5D2F"/>
    <w:rsid w:val="001D5DCF"/>
    <w:rsid w:val="001D60C1"/>
    <w:rsid w:val="001D629C"/>
    <w:rsid w:val="001D663E"/>
    <w:rsid w:val="001D698D"/>
    <w:rsid w:val="001E003F"/>
    <w:rsid w:val="001E099F"/>
    <w:rsid w:val="001E1DC0"/>
    <w:rsid w:val="001E24E0"/>
    <w:rsid w:val="001E3508"/>
    <w:rsid w:val="001E35A4"/>
    <w:rsid w:val="001E3C6D"/>
    <w:rsid w:val="001E40B9"/>
    <w:rsid w:val="001E4412"/>
    <w:rsid w:val="001E5FA9"/>
    <w:rsid w:val="001E6239"/>
    <w:rsid w:val="001E6BDE"/>
    <w:rsid w:val="001E6F09"/>
    <w:rsid w:val="001E7062"/>
    <w:rsid w:val="001E742D"/>
    <w:rsid w:val="001E765C"/>
    <w:rsid w:val="001E7CDD"/>
    <w:rsid w:val="001E7E9A"/>
    <w:rsid w:val="001E7F95"/>
    <w:rsid w:val="001F14E7"/>
    <w:rsid w:val="001F2333"/>
    <w:rsid w:val="001F2845"/>
    <w:rsid w:val="001F29D7"/>
    <w:rsid w:val="001F2EE8"/>
    <w:rsid w:val="001F341F"/>
    <w:rsid w:val="001F38DD"/>
    <w:rsid w:val="001F39F8"/>
    <w:rsid w:val="001F4069"/>
    <w:rsid w:val="001F4524"/>
    <w:rsid w:val="001F4777"/>
    <w:rsid w:val="001F4E99"/>
    <w:rsid w:val="001F4F6D"/>
    <w:rsid w:val="001F57F2"/>
    <w:rsid w:val="001F62AA"/>
    <w:rsid w:val="001F6812"/>
    <w:rsid w:val="001F6B24"/>
    <w:rsid w:val="001F6B8F"/>
    <w:rsid w:val="001F6C8E"/>
    <w:rsid w:val="001F6F08"/>
    <w:rsid w:val="001F6F6A"/>
    <w:rsid w:val="001F78B2"/>
    <w:rsid w:val="001F7E9E"/>
    <w:rsid w:val="00201392"/>
    <w:rsid w:val="0020153C"/>
    <w:rsid w:val="00201FFC"/>
    <w:rsid w:val="002020EC"/>
    <w:rsid w:val="00202A30"/>
    <w:rsid w:val="00202AD8"/>
    <w:rsid w:val="00202C3C"/>
    <w:rsid w:val="00202D04"/>
    <w:rsid w:val="00202FB6"/>
    <w:rsid w:val="00203277"/>
    <w:rsid w:val="002032F4"/>
    <w:rsid w:val="00203562"/>
    <w:rsid w:val="00203D80"/>
    <w:rsid w:val="00204860"/>
    <w:rsid w:val="002050DA"/>
    <w:rsid w:val="00205860"/>
    <w:rsid w:val="00205B2E"/>
    <w:rsid w:val="00205C5E"/>
    <w:rsid w:val="00206F8E"/>
    <w:rsid w:val="0020752C"/>
    <w:rsid w:val="0020759A"/>
    <w:rsid w:val="002078E7"/>
    <w:rsid w:val="00210790"/>
    <w:rsid w:val="0021240F"/>
    <w:rsid w:val="00212D8D"/>
    <w:rsid w:val="002133E6"/>
    <w:rsid w:val="00214F71"/>
    <w:rsid w:val="0021518F"/>
    <w:rsid w:val="00215C4D"/>
    <w:rsid w:val="00215F69"/>
    <w:rsid w:val="00216772"/>
    <w:rsid w:val="00216790"/>
    <w:rsid w:val="00216A1B"/>
    <w:rsid w:val="00217137"/>
    <w:rsid w:val="002200D9"/>
    <w:rsid w:val="00220707"/>
    <w:rsid w:val="00220BB8"/>
    <w:rsid w:val="00220DCA"/>
    <w:rsid w:val="0022104E"/>
    <w:rsid w:val="00221652"/>
    <w:rsid w:val="0022174E"/>
    <w:rsid w:val="00221A4C"/>
    <w:rsid w:val="00221AD6"/>
    <w:rsid w:val="00221CD0"/>
    <w:rsid w:val="00221F3F"/>
    <w:rsid w:val="00222E08"/>
    <w:rsid w:val="00222EDC"/>
    <w:rsid w:val="002230B8"/>
    <w:rsid w:val="0022380A"/>
    <w:rsid w:val="002243E7"/>
    <w:rsid w:val="0022460F"/>
    <w:rsid w:val="002247F1"/>
    <w:rsid w:val="00224BF9"/>
    <w:rsid w:val="00224E71"/>
    <w:rsid w:val="00225400"/>
    <w:rsid w:val="00225482"/>
    <w:rsid w:val="002254EA"/>
    <w:rsid w:val="0022596D"/>
    <w:rsid w:val="00225AED"/>
    <w:rsid w:val="00225FBD"/>
    <w:rsid w:val="00226569"/>
    <w:rsid w:val="002266AC"/>
    <w:rsid w:val="00226B58"/>
    <w:rsid w:val="00226DA9"/>
    <w:rsid w:val="00227EF8"/>
    <w:rsid w:val="00227F6B"/>
    <w:rsid w:val="00230366"/>
    <w:rsid w:val="00230522"/>
    <w:rsid w:val="002306A9"/>
    <w:rsid w:val="00230C77"/>
    <w:rsid w:val="00230C9E"/>
    <w:rsid w:val="00230E5A"/>
    <w:rsid w:val="00230F13"/>
    <w:rsid w:val="00231AE6"/>
    <w:rsid w:val="0023258F"/>
    <w:rsid w:val="00232976"/>
    <w:rsid w:val="0023343D"/>
    <w:rsid w:val="00233AAE"/>
    <w:rsid w:val="00233B0D"/>
    <w:rsid w:val="00234146"/>
    <w:rsid w:val="00234296"/>
    <w:rsid w:val="002348F0"/>
    <w:rsid w:val="00235C75"/>
    <w:rsid w:val="00235E80"/>
    <w:rsid w:val="0023764A"/>
    <w:rsid w:val="00237BCC"/>
    <w:rsid w:val="00237BEB"/>
    <w:rsid w:val="0024035C"/>
    <w:rsid w:val="002408FB"/>
    <w:rsid w:val="00240CA5"/>
    <w:rsid w:val="00241381"/>
    <w:rsid w:val="002413AC"/>
    <w:rsid w:val="00241780"/>
    <w:rsid w:val="00241D66"/>
    <w:rsid w:val="0024237C"/>
    <w:rsid w:val="002423B1"/>
    <w:rsid w:val="00242CC8"/>
    <w:rsid w:val="00242CD3"/>
    <w:rsid w:val="00242E9C"/>
    <w:rsid w:val="00243715"/>
    <w:rsid w:val="00243C7E"/>
    <w:rsid w:val="00244DC3"/>
    <w:rsid w:val="00244DE4"/>
    <w:rsid w:val="002451EE"/>
    <w:rsid w:val="002457FA"/>
    <w:rsid w:val="00246A64"/>
    <w:rsid w:val="00246AF3"/>
    <w:rsid w:val="00246B09"/>
    <w:rsid w:val="00247C79"/>
    <w:rsid w:val="00250015"/>
    <w:rsid w:val="0025069C"/>
    <w:rsid w:val="00251DB9"/>
    <w:rsid w:val="0025235C"/>
    <w:rsid w:val="0025286E"/>
    <w:rsid w:val="00252C04"/>
    <w:rsid w:val="00252D02"/>
    <w:rsid w:val="002533C5"/>
    <w:rsid w:val="00253557"/>
    <w:rsid w:val="0025436B"/>
    <w:rsid w:val="00255C4D"/>
    <w:rsid w:val="0025630D"/>
    <w:rsid w:val="00256D9C"/>
    <w:rsid w:val="00256E43"/>
    <w:rsid w:val="002575D7"/>
    <w:rsid w:val="002577DB"/>
    <w:rsid w:val="00257BF8"/>
    <w:rsid w:val="00257D09"/>
    <w:rsid w:val="00260060"/>
    <w:rsid w:val="00260687"/>
    <w:rsid w:val="00260953"/>
    <w:rsid w:val="00260E57"/>
    <w:rsid w:val="00261049"/>
    <w:rsid w:val="00261AAE"/>
    <w:rsid w:val="00262BED"/>
    <w:rsid w:val="00263854"/>
    <w:rsid w:val="00263ABF"/>
    <w:rsid w:val="002647E5"/>
    <w:rsid w:val="00264E39"/>
    <w:rsid w:val="002650C2"/>
    <w:rsid w:val="00265B08"/>
    <w:rsid w:val="00265C2C"/>
    <w:rsid w:val="00265C97"/>
    <w:rsid w:val="002662E1"/>
    <w:rsid w:val="002667B4"/>
    <w:rsid w:val="002667D0"/>
    <w:rsid w:val="00267B21"/>
    <w:rsid w:val="00267F25"/>
    <w:rsid w:val="002707C9"/>
    <w:rsid w:val="00270BAA"/>
    <w:rsid w:val="00270CD6"/>
    <w:rsid w:val="002710B5"/>
    <w:rsid w:val="00271106"/>
    <w:rsid w:val="0027114E"/>
    <w:rsid w:val="00271713"/>
    <w:rsid w:val="002717B1"/>
    <w:rsid w:val="00271929"/>
    <w:rsid w:val="00271BB6"/>
    <w:rsid w:val="002726BC"/>
    <w:rsid w:val="00273291"/>
    <w:rsid w:val="0027343B"/>
    <w:rsid w:val="00274951"/>
    <w:rsid w:val="00275668"/>
    <w:rsid w:val="0027576F"/>
    <w:rsid w:val="002762F7"/>
    <w:rsid w:val="0027635B"/>
    <w:rsid w:val="002769CF"/>
    <w:rsid w:val="00276B9A"/>
    <w:rsid w:val="00276DB0"/>
    <w:rsid w:val="00276E90"/>
    <w:rsid w:val="002773E3"/>
    <w:rsid w:val="0028123D"/>
    <w:rsid w:val="002819AB"/>
    <w:rsid w:val="00281A80"/>
    <w:rsid w:val="002820E5"/>
    <w:rsid w:val="00282114"/>
    <w:rsid w:val="002823BA"/>
    <w:rsid w:val="00282435"/>
    <w:rsid w:val="002825DC"/>
    <w:rsid w:val="0028279A"/>
    <w:rsid w:val="002833DF"/>
    <w:rsid w:val="00283F86"/>
    <w:rsid w:val="00284002"/>
    <w:rsid w:val="00284803"/>
    <w:rsid w:val="002849DE"/>
    <w:rsid w:val="002849F3"/>
    <w:rsid w:val="00284E0E"/>
    <w:rsid w:val="00285030"/>
    <w:rsid w:val="0028581C"/>
    <w:rsid w:val="00285A0F"/>
    <w:rsid w:val="00285BC2"/>
    <w:rsid w:val="00285D2F"/>
    <w:rsid w:val="0028602A"/>
    <w:rsid w:val="0028616F"/>
    <w:rsid w:val="00286536"/>
    <w:rsid w:val="0028671B"/>
    <w:rsid w:val="00286739"/>
    <w:rsid w:val="00286E1D"/>
    <w:rsid w:val="002871EC"/>
    <w:rsid w:val="0028746E"/>
    <w:rsid w:val="00290D82"/>
    <w:rsid w:val="00291567"/>
    <w:rsid w:val="00291FB4"/>
    <w:rsid w:val="002920F3"/>
    <w:rsid w:val="0029244C"/>
    <w:rsid w:val="00292B97"/>
    <w:rsid w:val="00293626"/>
    <w:rsid w:val="00293C8D"/>
    <w:rsid w:val="002942F2"/>
    <w:rsid w:val="00294803"/>
    <w:rsid w:val="00294A9F"/>
    <w:rsid w:val="00294DCC"/>
    <w:rsid w:val="0029599A"/>
    <w:rsid w:val="00295DCE"/>
    <w:rsid w:val="002961AE"/>
    <w:rsid w:val="002962AC"/>
    <w:rsid w:val="002964A7"/>
    <w:rsid w:val="002969E4"/>
    <w:rsid w:val="00296F94"/>
    <w:rsid w:val="002974EB"/>
    <w:rsid w:val="002975F0"/>
    <w:rsid w:val="002976C3"/>
    <w:rsid w:val="002977A8"/>
    <w:rsid w:val="00297CAB"/>
    <w:rsid w:val="00297D67"/>
    <w:rsid w:val="00297EFB"/>
    <w:rsid w:val="002A01B1"/>
    <w:rsid w:val="002A0497"/>
    <w:rsid w:val="002A0921"/>
    <w:rsid w:val="002A129F"/>
    <w:rsid w:val="002A1D5B"/>
    <w:rsid w:val="002A252F"/>
    <w:rsid w:val="002A28E2"/>
    <w:rsid w:val="002A291C"/>
    <w:rsid w:val="002A4439"/>
    <w:rsid w:val="002A4444"/>
    <w:rsid w:val="002A4788"/>
    <w:rsid w:val="002A5710"/>
    <w:rsid w:val="002A6823"/>
    <w:rsid w:val="002A6BEA"/>
    <w:rsid w:val="002A7294"/>
    <w:rsid w:val="002A7B40"/>
    <w:rsid w:val="002A7FC2"/>
    <w:rsid w:val="002B0232"/>
    <w:rsid w:val="002B073E"/>
    <w:rsid w:val="002B0A8C"/>
    <w:rsid w:val="002B1703"/>
    <w:rsid w:val="002B215A"/>
    <w:rsid w:val="002B2712"/>
    <w:rsid w:val="002B2890"/>
    <w:rsid w:val="002B3310"/>
    <w:rsid w:val="002B3883"/>
    <w:rsid w:val="002B3942"/>
    <w:rsid w:val="002B406E"/>
    <w:rsid w:val="002B5625"/>
    <w:rsid w:val="002B5E10"/>
    <w:rsid w:val="002B60C2"/>
    <w:rsid w:val="002B6402"/>
    <w:rsid w:val="002B6ADC"/>
    <w:rsid w:val="002B70C4"/>
    <w:rsid w:val="002B7138"/>
    <w:rsid w:val="002B7993"/>
    <w:rsid w:val="002B7A84"/>
    <w:rsid w:val="002B7D5F"/>
    <w:rsid w:val="002C0656"/>
    <w:rsid w:val="002C1977"/>
    <w:rsid w:val="002C373C"/>
    <w:rsid w:val="002C3760"/>
    <w:rsid w:val="002C3EFE"/>
    <w:rsid w:val="002C4026"/>
    <w:rsid w:val="002C434D"/>
    <w:rsid w:val="002C4B28"/>
    <w:rsid w:val="002C6FBC"/>
    <w:rsid w:val="002C6FF6"/>
    <w:rsid w:val="002C71F1"/>
    <w:rsid w:val="002C7316"/>
    <w:rsid w:val="002C78F8"/>
    <w:rsid w:val="002C793D"/>
    <w:rsid w:val="002D0705"/>
    <w:rsid w:val="002D0B10"/>
    <w:rsid w:val="002D1451"/>
    <w:rsid w:val="002D210C"/>
    <w:rsid w:val="002D3283"/>
    <w:rsid w:val="002D339B"/>
    <w:rsid w:val="002D3580"/>
    <w:rsid w:val="002D3E04"/>
    <w:rsid w:val="002D401B"/>
    <w:rsid w:val="002D42C6"/>
    <w:rsid w:val="002D4744"/>
    <w:rsid w:val="002D4B54"/>
    <w:rsid w:val="002D5866"/>
    <w:rsid w:val="002D5B25"/>
    <w:rsid w:val="002D604C"/>
    <w:rsid w:val="002D61C7"/>
    <w:rsid w:val="002D798E"/>
    <w:rsid w:val="002E094C"/>
    <w:rsid w:val="002E0E2E"/>
    <w:rsid w:val="002E1EBF"/>
    <w:rsid w:val="002E2197"/>
    <w:rsid w:val="002E2223"/>
    <w:rsid w:val="002E298A"/>
    <w:rsid w:val="002E2ED8"/>
    <w:rsid w:val="002E349F"/>
    <w:rsid w:val="002E368C"/>
    <w:rsid w:val="002E3E48"/>
    <w:rsid w:val="002E3EF4"/>
    <w:rsid w:val="002E42F3"/>
    <w:rsid w:val="002E465C"/>
    <w:rsid w:val="002E46E1"/>
    <w:rsid w:val="002E5414"/>
    <w:rsid w:val="002E5D3E"/>
    <w:rsid w:val="002E5FD0"/>
    <w:rsid w:val="002E66DF"/>
    <w:rsid w:val="002E677B"/>
    <w:rsid w:val="002E67C2"/>
    <w:rsid w:val="002E6CD3"/>
    <w:rsid w:val="002E7272"/>
    <w:rsid w:val="002E740B"/>
    <w:rsid w:val="002F099A"/>
    <w:rsid w:val="002F0BD3"/>
    <w:rsid w:val="002F13D9"/>
    <w:rsid w:val="002F1A3D"/>
    <w:rsid w:val="002F20A0"/>
    <w:rsid w:val="002F2FF3"/>
    <w:rsid w:val="002F31B0"/>
    <w:rsid w:val="002F3DD2"/>
    <w:rsid w:val="002F4CC2"/>
    <w:rsid w:val="002F4E69"/>
    <w:rsid w:val="002F4F2B"/>
    <w:rsid w:val="002F5154"/>
    <w:rsid w:val="002F64E8"/>
    <w:rsid w:val="002F690F"/>
    <w:rsid w:val="002F700A"/>
    <w:rsid w:val="002F7459"/>
    <w:rsid w:val="0030001F"/>
    <w:rsid w:val="003002C0"/>
    <w:rsid w:val="00300E89"/>
    <w:rsid w:val="00301144"/>
    <w:rsid w:val="003014BD"/>
    <w:rsid w:val="003016AA"/>
    <w:rsid w:val="003027A9"/>
    <w:rsid w:val="00302C3C"/>
    <w:rsid w:val="00302D13"/>
    <w:rsid w:val="00302D44"/>
    <w:rsid w:val="003031C6"/>
    <w:rsid w:val="00303526"/>
    <w:rsid w:val="0030368C"/>
    <w:rsid w:val="00304984"/>
    <w:rsid w:val="00304C60"/>
    <w:rsid w:val="00304F67"/>
    <w:rsid w:val="00305DF2"/>
    <w:rsid w:val="00305DFA"/>
    <w:rsid w:val="0030641F"/>
    <w:rsid w:val="00310929"/>
    <w:rsid w:val="003114BB"/>
    <w:rsid w:val="00311ED3"/>
    <w:rsid w:val="00311F58"/>
    <w:rsid w:val="0031225C"/>
    <w:rsid w:val="003122BA"/>
    <w:rsid w:val="00312BF8"/>
    <w:rsid w:val="00313C6D"/>
    <w:rsid w:val="00313F90"/>
    <w:rsid w:val="003145B2"/>
    <w:rsid w:val="003148B7"/>
    <w:rsid w:val="00314C8C"/>
    <w:rsid w:val="00315625"/>
    <w:rsid w:val="003158C3"/>
    <w:rsid w:val="00315BF8"/>
    <w:rsid w:val="003161F0"/>
    <w:rsid w:val="00316228"/>
    <w:rsid w:val="00316409"/>
    <w:rsid w:val="00316EB6"/>
    <w:rsid w:val="00316F7A"/>
    <w:rsid w:val="00317211"/>
    <w:rsid w:val="00317D62"/>
    <w:rsid w:val="0032027F"/>
    <w:rsid w:val="00320FD5"/>
    <w:rsid w:val="00321062"/>
    <w:rsid w:val="00321284"/>
    <w:rsid w:val="0032140E"/>
    <w:rsid w:val="00321F22"/>
    <w:rsid w:val="00321FB2"/>
    <w:rsid w:val="0032261F"/>
    <w:rsid w:val="00322660"/>
    <w:rsid w:val="00322B1E"/>
    <w:rsid w:val="00322E14"/>
    <w:rsid w:val="00322E49"/>
    <w:rsid w:val="00322EEB"/>
    <w:rsid w:val="00323C93"/>
    <w:rsid w:val="003246B7"/>
    <w:rsid w:val="003255CB"/>
    <w:rsid w:val="003255F7"/>
    <w:rsid w:val="00325BFD"/>
    <w:rsid w:val="003274CD"/>
    <w:rsid w:val="003276FE"/>
    <w:rsid w:val="00327E5B"/>
    <w:rsid w:val="00330CAB"/>
    <w:rsid w:val="00330F15"/>
    <w:rsid w:val="00331735"/>
    <w:rsid w:val="003318C1"/>
    <w:rsid w:val="00332F27"/>
    <w:rsid w:val="003334FD"/>
    <w:rsid w:val="00333501"/>
    <w:rsid w:val="003335EF"/>
    <w:rsid w:val="003339D3"/>
    <w:rsid w:val="00333BBA"/>
    <w:rsid w:val="00334B8D"/>
    <w:rsid w:val="00335163"/>
    <w:rsid w:val="00335640"/>
    <w:rsid w:val="003356E3"/>
    <w:rsid w:val="003360D9"/>
    <w:rsid w:val="0033632E"/>
    <w:rsid w:val="00336701"/>
    <w:rsid w:val="00336789"/>
    <w:rsid w:val="0033729A"/>
    <w:rsid w:val="00340042"/>
    <w:rsid w:val="0034020A"/>
    <w:rsid w:val="0034029C"/>
    <w:rsid w:val="00340ED9"/>
    <w:rsid w:val="003411DD"/>
    <w:rsid w:val="0034292D"/>
    <w:rsid w:val="00342C31"/>
    <w:rsid w:val="00343468"/>
    <w:rsid w:val="00344B46"/>
    <w:rsid w:val="00344E7B"/>
    <w:rsid w:val="00344F96"/>
    <w:rsid w:val="00345085"/>
    <w:rsid w:val="00345716"/>
    <w:rsid w:val="003457C4"/>
    <w:rsid w:val="00345BFF"/>
    <w:rsid w:val="003471A6"/>
    <w:rsid w:val="00347686"/>
    <w:rsid w:val="0034771F"/>
    <w:rsid w:val="00347CC3"/>
    <w:rsid w:val="003500AA"/>
    <w:rsid w:val="003501F3"/>
    <w:rsid w:val="0035058D"/>
    <w:rsid w:val="00350E6A"/>
    <w:rsid w:val="0035119D"/>
    <w:rsid w:val="00351F86"/>
    <w:rsid w:val="00352854"/>
    <w:rsid w:val="003528CF"/>
    <w:rsid w:val="00352959"/>
    <w:rsid w:val="00352B33"/>
    <w:rsid w:val="00352F84"/>
    <w:rsid w:val="0035401D"/>
    <w:rsid w:val="00354AF7"/>
    <w:rsid w:val="00355CE4"/>
    <w:rsid w:val="00355CFB"/>
    <w:rsid w:val="00356E9A"/>
    <w:rsid w:val="0035727B"/>
    <w:rsid w:val="00357BD3"/>
    <w:rsid w:val="00360402"/>
    <w:rsid w:val="00360711"/>
    <w:rsid w:val="00360A41"/>
    <w:rsid w:val="003614F7"/>
    <w:rsid w:val="00361591"/>
    <w:rsid w:val="0036178A"/>
    <w:rsid w:val="00362AA3"/>
    <w:rsid w:val="00362E53"/>
    <w:rsid w:val="00363B90"/>
    <w:rsid w:val="003647CC"/>
    <w:rsid w:val="00364D0D"/>
    <w:rsid w:val="00365F8C"/>
    <w:rsid w:val="00366C92"/>
    <w:rsid w:val="00366E5C"/>
    <w:rsid w:val="0036763A"/>
    <w:rsid w:val="00367E3D"/>
    <w:rsid w:val="00370D3E"/>
    <w:rsid w:val="003722E7"/>
    <w:rsid w:val="00372498"/>
    <w:rsid w:val="00372893"/>
    <w:rsid w:val="00373AF3"/>
    <w:rsid w:val="0037401D"/>
    <w:rsid w:val="003748C2"/>
    <w:rsid w:val="00374A49"/>
    <w:rsid w:val="00374D09"/>
    <w:rsid w:val="00375672"/>
    <w:rsid w:val="003768FA"/>
    <w:rsid w:val="003770B5"/>
    <w:rsid w:val="003771AD"/>
    <w:rsid w:val="00377C81"/>
    <w:rsid w:val="00380790"/>
    <w:rsid w:val="00380FEF"/>
    <w:rsid w:val="003816BF"/>
    <w:rsid w:val="00381F42"/>
    <w:rsid w:val="00382D0A"/>
    <w:rsid w:val="00383FDA"/>
    <w:rsid w:val="003842C4"/>
    <w:rsid w:val="00384D40"/>
    <w:rsid w:val="00384D57"/>
    <w:rsid w:val="00384EE4"/>
    <w:rsid w:val="00385879"/>
    <w:rsid w:val="00385AB5"/>
    <w:rsid w:val="0038679E"/>
    <w:rsid w:val="00386E2F"/>
    <w:rsid w:val="003870C1"/>
    <w:rsid w:val="00387190"/>
    <w:rsid w:val="003872D9"/>
    <w:rsid w:val="003872DE"/>
    <w:rsid w:val="003875AF"/>
    <w:rsid w:val="00390A27"/>
    <w:rsid w:val="00390F40"/>
    <w:rsid w:val="00391887"/>
    <w:rsid w:val="00392E91"/>
    <w:rsid w:val="00392FA3"/>
    <w:rsid w:val="0039344A"/>
    <w:rsid w:val="003938D5"/>
    <w:rsid w:val="00393B46"/>
    <w:rsid w:val="003948EC"/>
    <w:rsid w:val="00395163"/>
    <w:rsid w:val="003959DA"/>
    <w:rsid w:val="00395A00"/>
    <w:rsid w:val="00396176"/>
    <w:rsid w:val="0039662A"/>
    <w:rsid w:val="00396AAE"/>
    <w:rsid w:val="00397099"/>
    <w:rsid w:val="0039736A"/>
    <w:rsid w:val="003A0448"/>
    <w:rsid w:val="003A0B06"/>
    <w:rsid w:val="003A174D"/>
    <w:rsid w:val="003A261E"/>
    <w:rsid w:val="003A2C65"/>
    <w:rsid w:val="003A336F"/>
    <w:rsid w:val="003A3AD7"/>
    <w:rsid w:val="003A408F"/>
    <w:rsid w:val="003A4E45"/>
    <w:rsid w:val="003A53CE"/>
    <w:rsid w:val="003A56F9"/>
    <w:rsid w:val="003A57F9"/>
    <w:rsid w:val="003A5CD1"/>
    <w:rsid w:val="003A727E"/>
    <w:rsid w:val="003B1341"/>
    <w:rsid w:val="003B1359"/>
    <w:rsid w:val="003B196C"/>
    <w:rsid w:val="003B29B8"/>
    <w:rsid w:val="003B29DB"/>
    <w:rsid w:val="003B3454"/>
    <w:rsid w:val="003B3F14"/>
    <w:rsid w:val="003B4F12"/>
    <w:rsid w:val="003B514B"/>
    <w:rsid w:val="003B57C8"/>
    <w:rsid w:val="003B5822"/>
    <w:rsid w:val="003B59D0"/>
    <w:rsid w:val="003B5D74"/>
    <w:rsid w:val="003B5FDC"/>
    <w:rsid w:val="003B753B"/>
    <w:rsid w:val="003C02C1"/>
    <w:rsid w:val="003C0629"/>
    <w:rsid w:val="003C134F"/>
    <w:rsid w:val="003C1FDE"/>
    <w:rsid w:val="003C2C97"/>
    <w:rsid w:val="003C34EE"/>
    <w:rsid w:val="003C3D0D"/>
    <w:rsid w:val="003C4472"/>
    <w:rsid w:val="003C504A"/>
    <w:rsid w:val="003C526C"/>
    <w:rsid w:val="003C5655"/>
    <w:rsid w:val="003C6E90"/>
    <w:rsid w:val="003C73A0"/>
    <w:rsid w:val="003C73D9"/>
    <w:rsid w:val="003D0E86"/>
    <w:rsid w:val="003D1626"/>
    <w:rsid w:val="003D1E91"/>
    <w:rsid w:val="003D25C7"/>
    <w:rsid w:val="003D28D1"/>
    <w:rsid w:val="003D2B22"/>
    <w:rsid w:val="003D3A03"/>
    <w:rsid w:val="003D4A0D"/>
    <w:rsid w:val="003D5A73"/>
    <w:rsid w:val="003D6355"/>
    <w:rsid w:val="003D68FB"/>
    <w:rsid w:val="003D79F1"/>
    <w:rsid w:val="003E0D83"/>
    <w:rsid w:val="003E0FDB"/>
    <w:rsid w:val="003E1E3C"/>
    <w:rsid w:val="003E21BC"/>
    <w:rsid w:val="003E2DD1"/>
    <w:rsid w:val="003E330D"/>
    <w:rsid w:val="003E4541"/>
    <w:rsid w:val="003E4695"/>
    <w:rsid w:val="003E52D8"/>
    <w:rsid w:val="003E6271"/>
    <w:rsid w:val="003E6328"/>
    <w:rsid w:val="003E64D0"/>
    <w:rsid w:val="003E65D0"/>
    <w:rsid w:val="003E6D79"/>
    <w:rsid w:val="003E6DF5"/>
    <w:rsid w:val="003E75B3"/>
    <w:rsid w:val="003E77BE"/>
    <w:rsid w:val="003E7955"/>
    <w:rsid w:val="003E7DB2"/>
    <w:rsid w:val="003ED659"/>
    <w:rsid w:val="003F0B05"/>
    <w:rsid w:val="003F2041"/>
    <w:rsid w:val="003F26E0"/>
    <w:rsid w:val="003F27CB"/>
    <w:rsid w:val="003F2A58"/>
    <w:rsid w:val="003F2A9B"/>
    <w:rsid w:val="003F2E8D"/>
    <w:rsid w:val="003F30F7"/>
    <w:rsid w:val="003F40D6"/>
    <w:rsid w:val="003F5513"/>
    <w:rsid w:val="003F55FD"/>
    <w:rsid w:val="003F6235"/>
    <w:rsid w:val="003F66C2"/>
    <w:rsid w:val="003F7276"/>
    <w:rsid w:val="003F7774"/>
    <w:rsid w:val="003F7911"/>
    <w:rsid w:val="003F7F9A"/>
    <w:rsid w:val="00400224"/>
    <w:rsid w:val="00400464"/>
    <w:rsid w:val="00401457"/>
    <w:rsid w:val="0040169E"/>
    <w:rsid w:val="00401B24"/>
    <w:rsid w:val="00401C1C"/>
    <w:rsid w:val="00401F6F"/>
    <w:rsid w:val="00402273"/>
    <w:rsid w:val="00402ACC"/>
    <w:rsid w:val="00402DE9"/>
    <w:rsid w:val="00403666"/>
    <w:rsid w:val="00404CBD"/>
    <w:rsid w:val="00406299"/>
    <w:rsid w:val="004063C6"/>
    <w:rsid w:val="0040665F"/>
    <w:rsid w:val="00406D43"/>
    <w:rsid w:val="00407F50"/>
    <w:rsid w:val="00410352"/>
    <w:rsid w:val="00411E07"/>
    <w:rsid w:val="00411ECA"/>
    <w:rsid w:val="004120EC"/>
    <w:rsid w:val="00412482"/>
    <w:rsid w:val="0041250F"/>
    <w:rsid w:val="004134A7"/>
    <w:rsid w:val="004136AF"/>
    <w:rsid w:val="00413817"/>
    <w:rsid w:val="00413938"/>
    <w:rsid w:val="00414BD5"/>
    <w:rsid w:val="0041500A"/>
    <w:rsid w:val="0041534A"/>
    <w:rsid w:val="00415E0F"/>
    <w:rsid w:val="00416899"/>
    <w:rsid w:val="004170F1"/>
    <w:rsid w:val="00417FDA"/>
    <w:rsid w:val="00420833"/>
    <w:rsid w:val="00420E47"/>
    <w:rsid w:val="00421ADF"/>
    <w:rsid w:val="00422386"/>
    <w:rsid w:val="004224D4"/>
    <w:rsid w:val="00422885"/>
    <w:rsid w:val="00423F31"/>
    <w:rsid w:val="00425443"/>
    <w:rsid w:val="0042627B"/>
    <w:rsid w:val="0042671E"/>
    <w:rsid w:val="004268D1"/>
    <w:rsid w:val="00426ED4"/>
    <w:rsid w:val="00427D02"/>
    <w:rsid w:val="00427FF0"/>
    <w:rsid w:val="00430CC1"/>
    <w:rsid w:val="00430F36"/>
    <w:rsid w:val="00431899"/>
    <w:rsid w:val="00432779"/>
    <w:rsid w:val="0043313B"/>
    <w:rsid w:val="00433A87"/>
    <w:rsid w:val="00433CC8"/>
    <w:rsid w:val="00433DBC"/>
    <w:rsid w:val="00434471"/>
    <w:rsid w:val="00434560"/>
    <w:rsid w:val="0043608C"/>
    <w:rsid w:val="004368FA"/>
    <w:rsid w:val="00436C15"/>
    <w:rsid w:val="00436D1C"/>
    <w:rsid w:val="004376E6"/>
    <w:rsid w:val="004377CD"/>
    <w:rsid w:val="00437D5D"/>
    <w:rsid w:val="00440176"/>
    <w:rsid w:val="004411FE"/>
    <w:rsid w:val="004419AD"/>
    <w:rsid w:val="00442055"/>
    <w:rsid w:val="004422F3"/>
    <w:rsid w:val="00442394"/>
    <w:rsid w:val="0044311F"/>
    <w:rsid w:val="004433D0"/>
    <w:rsid w:val="00445539"/>
    <w:rsid w:val="00445A4F"/>
    <w:rsid w:val="00445F12"/>
    <w:rsid w:val="00445F24"/>
    <w:rsid w:val="00446587"/>
    <w:rsid w:val="00447340"/>
    <w:rsid w:val="00447908"/>
    <w:rsid w:val="00448356"/>
    <w:rsid w:val="004510C2"/>
    <w:rsid w:val="0045158F"/>
    <w:rsid w:val="00451604"/>
    <w:rsid w:val="00451E48"/>
    <w:rsid w:val="00451F8E"/>
    <w:rsid w:val="0045245B"/>
    <w:rsid w:val="00453888"/>
    <w:rsid w:val="004556B1"/>
    <w:rsid w:val="00455907"/>
    <w:rsid w:val="00455F49"/>
    <w:rsid w:val="004563A1"/>
    <w:rsid w:val="004563E0"/>
    <w:rsid w:val="004577EA"/>
    <w:rsid w:val="00457D99"/>
    <w:rsid w:val="004602F1"/>
    <w:rsid w:val="004602FD"/>
    <w:rsid w:val="00460300"/>
    <w:rsid w:val="0046095A"/>
    <w:rsid w:val="00460A9A"/>
    <w:rsid w:val="00460CA5"/>
    <w:rsid w:val="00460DC6"/>
    <w:rsid w:val="00461188"/>
    <w:rsid w:val="004614AA"/>
    <w:rsid w:val="00461D2F"/>
    <w:rsid w:val="00462421"/>
    <w:rsid w:val="00462485"/>
    <w:rsid w:val="00462D13"/>
    <w:rsid w:val="00463109"/>
    <w:rsid w:val="004633BD"/>
    <w:rsid w:val="0046340E"/>
    <w:rsid w:val="0046402D"/>
    <w:rsid w:val="00465917"/>
    <w:rsid w:val="0046603E"/>
    <w:rsid w:val="004665B0"/>
    <w:rsid w:val="00466B1E"/>
    <w:rsid w:val="00466B8B"/>
    <w:rsid w:val="00467648"/>
    <w:rsid w:val="00467FAC"/>
    <w:rsid w:val="00470311"/>
    <w:rsid w:val="0047195A"/>
    <w:rsid w:val="00473143"/>
    <w:rsid w:val="00473EDA"/>
    <w:rsid w:val="004743AA"/>
    <w:rsid w:val="00474606"/>
    <w:rsid w:val="00474A35"/>
    <w:rsid w:val="00474C4B"/>
    <w:rsid w:val="00474D7F"/>
    <w:rsid w:val="00475657"/>
    <w:rsid w:val="0047572B"/>
    <w:rsid w:val="00475745"/>
    <w:rsid w:val="00475E09"/>
    <w:rsid w:val="0047634A"/>
    <w:rsid w:val="00476460"/>
    <w:rsid w:val="004772A5"/>
    <w:rsid w:val="004800A8"/>
    <w:rsid w:val="0048020E"/>
    <w:rsid w:val="0048054A"/>
    <w:rsid w:val="0048084A"/>
    <w:rsid w:val="00480961"/>
    <w:rsid w:val="00480B0C"/>
    <w:rsid w:val="00481DCE"/>
    <w:rsid w:val="00482372"/>
    <w:rsid w:val="00482736"/>
    <w:rsid w:val="00482AE8"/>
    <w:rsid w:val="004832BA"/>
    <w:rsid w:val="00483650"/>
    <w:rsid w:val="00483E8E"/>
    <w:rsid w:val="004845F6"/>
    <w:rsid w:val="0048492D"/>
    <w:rsid w:val="00484FAF"/>
    <w:rsid w:val="0048526C"/>
    <w:rsid w:val="00485831"/>
    <w:rsid w:val="00485CBF"/>
    <w:rsid w:val="00486005"/>
    <w:rsid w:val="00486804"/>
    <w:rsid w:val="00486E07"/>
    <w:rsid w:val="0048709A"/>
    <w:rsid w:val="0048724C"/>
    <w:rsid w:val="004874AF"/>
    <w:rsid w:val="00487688"/>
    <w:rsid w:val="00490134"/>
    <w:rsid w:val="00490790"/>
    <w:rsid w:val="0049082B"/>
    <w:rsid w:val="00490B7A"/>
    <w:rsid w:val="00490D77"/>
    <w:rsid w:val="00490E39"/>
    <w:rsid w:val="00490F26"/>
    <w:rsid w:val="00491018"/>
    <w:rsid w:val="00491A8F"/>
    <w:rsid w:val="00491C3F"/>
    <w:rsid w:val="00492148"/>
    <w:rsid w:val="004924A9"/>
    <w:rsid w:val="0049265B"/>
    <w:rsid w:val="00493137"/>
    <w:rsid w:val="004939C4"/>
    <w:rsid w:val="00493A86"/>
    <w:rsid w:val="00494653"/>
    <w:rsid w:val="0049466D"/>
    <w:rsid w:val="004947C2"/>
    <w:rsid w:val="00495359"/>
    <w:rsid w:val="004954FA"/>
    <w:rsid w:val="00497B7A"/>
    <w:rsid w:val="00497BCB"/>
    <w:rsid w:val="00497EBE"/>
    <w:rsid w:val="004A0106"/>
    <w:rsid w:val="004A0551"/>
    <w:rsid w:val="004A120F"/>
    <w:rsid w:val="004A1AED"/>
    <w:rsid w:val="004A2E21"/>
    <w:rsid w:val="004A39F7"/>
    <w:rsid w:val="004A3B6D"/>
    <w:rsid w:val="004A4B1B"/>
    <w:rsid w:val="004A5BE1"/>
    <w:rsid w:val="004A5F8B"/>
    <w:rsid w:val="004A6202"/>
    <w:rsid w:val="004A63F2"/>
    <w:rsid w:val="004A6785"/>
    <w:rsid w:val="004A7195"/>
    <w:rsid w:val="004A764E"/>
    <w:rsid w:val="004B1752"/>
    <w:rsid w:val="004B2159"/>
    <w:rsid w:val="004B2694"/>
    <w:rsid w:val="004B292D"/>
    <w:rsid w:val="004B2CB7"/>
    <w:rsid w:val="004B3775"/>
    <w:rsid w:val="004B39EC"/>
    <w:rsid w:val="004B4F4A"/>
    <w:rsid w:val="004B5A74"/>
    <w:rsid w:val="004B5C82"/>
    <w:rsid w:val="004B62CB"/>
    <w:rsid w:val="004B7BF7"/>
    <w:rsid w:val="004B7F42"/>
    <w:rsid w:val="004C04DF"/>
    <w:rsid w:val="004C04F9"/>
    <w:rsid w:val="004C0E0A"/>
    <w:rsid w:val="004C105F"/>
    <w:rsid w:val="004C1115"/>
    <w:rsid w:val="004C120B"/>
    <w:rsid w:val="004C1535"/>
    <w:rsid w:val="004C2087"/>
    <w:rsid w:val="004C26C0"/>
    <w:rsid w:val="004C32B5"/>
    <w:rsid w:val="004C369F"/>
    <w:rsid w:val="004C44DE"/>
    <w:rsid w:val="004C4F5D"/>
    <w:rsid w:val="004C6005"/>
    <w:rsid w:val="004C6342"/>
    <w:rsid w:val="004C706C"/>
    <w:rsid w:val="004C7E46"/>
    <w:rsid w:val="004D0BA0"/>
    <w:rsid w:val="004D1B29"/>
    <w:rsid w:val="004D1F4D"/>
    <w:rsid w:val="004D24BA"/>
    <w:rsid w:val="004D2ED5"/>
    <w:rsid w:val="004D3EC4"/>
    <w:rsid w:val="004D4F8F"/>
    <w:rsid w:val="004D50BA"/>
    <w:rsid w:val="004D5589"/>
    <w:rsid w:val="004D5666"/>
    <w:rsid w:val="004D5E30"/>
    <w:rsid w:val="004D61AF"/>
    <w:rsid w:val="004D63B9"/>
    <w:rsid w:val="004D671C"/>
    <w:rsid w:val="004D777F"/>
    <w:rsid w:val="004E008F"/>
    <w:rsid w:val="004E03CE"/>
    <w:rsid w:val="004E058F"/>
    <w:rsid w:val="004E08F1"/>
    <w:rsid w:val="004E0DC6"/>
    <w:rsid w:val="004E15C0"/>
    <w:rsid w:val="004E175D"/>
    <w:rsid w:val="004E195D"/>
    <w:rsid w:val="004E1DC0"/>
    <w:rsid w:val="004E1FD0"/>
    <w:rsid w:val="004E2801"/>
    <w:rsid w:val="004E2905"/>
    <w:rsid w:val="004E2D5E"/>
    <w:rsid w:val="004E2DDC"/>
    <w:rsid w:val="004E3208"/>
    <w:rsid w:val="004E328C"/>
    <w:rsid w:val="004E3B87"/>
    <w:rsid w:val="004E433A"/>
    <w:rsid w:val="004E5214"/>
    <w:rsid w:val="004E68D3"/>
    <w:rsid w:val="004E6A42"/>
    <w:rsid w:val="004E6A57"/>
    <w:rsid w:val="004E729D"/>
    <w:rsid w:val="004F0566"/>
    <w:rsid w:val="004F05CA"/>
    <w:rsid w:val="004F08D3"/>
    <w:rsid w:val="004F0C0F"/>
    <w:rsid w:val="004F0D43"/>
    <w:rsid w:val="004F1055"/>
    <w:rsid w:val="004F15C9"/>
    <w:rsid w:val="004F179E"/>
    <w:rsid w:val="004F197E"/>
    <w:rsid w:val="004F2AF9"/>
    <w:rsid w:val="004F338A"/>
    <w:rsid w:val="004F3479"/>
    <w:rsid w:val="004F3BC2"/>
    <w:rsid w:val="004F3FC5"/>
    <w:rsid w:val="004F41D9"/>
    <w:rsid w:val="004F479B"/>
    <w:rsid w:val="004F5273"/>
    <w:rsid w:val="004F52AB"/>
    <w:rsid w:val="004F5499"/>
    <w:rsid w:val="004F569C"/>
    <w:rsid w:val="004F5719"/>
    <w:rsid w:val="004F70E2"/>
    <w:rsid w:val="004F782A"/>
    <w:rsid w:val="004F79C4"/>
    <w:rsid w:val="0050000D"/>
    <w:rsid w:val="0050075E"/>
    <w:rsid w:val="005008A3"/>
    <w:rsid w:val="00501100"/>
    <w:rsid w:val="00501BDC"/>
    <w:rsid w:val="0050222D"/>
    <w:rsid w:val="00502453"/>
    <w:rsid w:val="00502ADB"/>
    <w:rsid w:val="00502F7F"/>
    <w:rsid w:val="00503503"/>
    <w:rsid w:val="00503CC3"/>
    <w:rsid w:val="00503F76"/>
    <w:rsid w:val="005042DB"/>
    <w:rsid w:val="00504827"/>
    <w:rsid w:val="00505492"/>
    <w:rsid w:val="005055EF"/>
    <w:rsid w:val="00506A9E"/>
    <w:rsid w:val="0050766E"/>
    <w:rsid w:val="00507BB4"/>
    <w:rsid w:val="00510797"/>
    <w:rsid w:val="00510921"/>
    <w:rsid w:val="00510950"/>
    <w:rsid w:val="00510AD3"/>
    <w:rsid w:val="00511D4F"/>
    <w:rsid w:val="005124A5"/>
    <w:rsid w:val="00512F39"/>
    <w:rsid w:val="00513348"/>
    <w:rsid w:val="00513527"/>
    <w:rsid w:val="00513536"/>
    <w:rsid w:val="00513789"/>
    <w:rsid w:val="005138AD"/>
    <w:rsid w:val="00513AD8"/>
    <w:rsid w:val="00514014"/>
    <w:rsid w:val="005140F6"/>
    <w:rsid w:val="005142E1"/>
    <w:rsid w:val="005143FF"/>
    <w:rsid w:val="00514415"/>
    <w:rsid w:val="00514976"/>
    <w:rsid w:val="00514BF3"/>
    <w:rsid w:val="005152DA"/>
    <w:rsid w:val="005158F6"/>
    <w:rsid w:val="0051619A"/>
    <w:rsid w:val="005161E1"/>
    <w:rsid w:val="005175AD"/>
    <w:rsid w:val="00517DA8"/>
    <w:rsid w:val="00517DC5"/>
    <w:rsid w:val="0052035F"/>
    <w:rsid w:val="005203CE"/>
    <w:rsid w:val="005204D2"/>
    <w:rsid w:val="00520F04"/>
    <w:rsid w:val="0052153C"/>
    <w:rsid w:val="005215D5"/>
    <w:rsid w:val="005216E1"/>
    <w:rsid w:val="005221A6"/>
    <w:rsid w:val="00522396"/>
    <w:rsid w:val="005224AB"/>
    <w:rsid w:val="0052271C"/>
    <w:rsid w:val="005236C2"/>
    <w:rsid w:val="005239FB"/>
    <w:rsid w:val="00523C2F"/>
    <w:rsid w:val="00524B30"/>
    <w:rsid w:val="00524B58"/>
    <w:rsid w:val="00524BAF"/>
    <w:rsid w:val="0052566B"/>
    <w:rsid w:val="00525C91"/>
    <w:rsid w:val="0052790B"/>
    <w:rsid w:val="005308C7"/>
    <w:rsid w:val="005311F3"/>
    <w:rsid w:val="00531590"/>
    <w:rsid w:val="005315B9"/>
    <w:rsid w:val="005315DB"/>
    <w:rsid w:val="00532708"/>
    <w:rsid w:val="00532D84"/>
    <w:rsid w:val="0053349E"/>
    <w:rsid w:val="00533B5D"/>
    <w:rsid w:val="00533C86"/>
    <w:rsid w:val="00534166"/>
    <w:rsid w:val="00534434"/>
    <w:rsid w:val="00534A32"/>
    <w:rsid w:val="00535020"/>
    <w:rsid w:val="0053537B"/>
    <w:rsid w:val="00535532"/>
    <w:rsid w:val="00535B5E"/>
    <w:rsid w:val="00535B62"/>
    <w:rsid w:val="00535B80"/>
    <w:rsid w:val="00536429"/>
    <w:rsid w:val="00536461"/>
    <w:rsid w:val="00536BB6"/>
    <w:rsid w:val="00536F86"/>
    <w:rsid w:val="00537E39"/>
    <w:rsid w:val="0054060F"/>
    <w:rsid w:val="0054069D"/>
    <w:rsid w:val="005411F3"/>
    <w:rsid w:val="005416E0"/>
    <w:rsid w:val="005417E1"/>
    <w:rsid w:val="00541853"/>
    <w:rsid w:val="00541F5E"/>
    <w:rsid w:val="005423A9"/>
    <w:rsid w:val="0054272F"/>
    <w:rsid w:val="00542BA6"/>
    <w:rsid w:val="00543335"/>
    <w:rsid w:val="0054359A"/>
    <w:rsid w:val="00543A42"/>
    <w:rsid w:val="00544E47"/>
    <w:rsid w:val="00545097"/>
    <w:rsid w:val="00545E01"/>
    <w:rsid w:val="00546038"/>
    <w:rsid w:val="005466A8"/>
    <w:rsid w:val="00546B45"/>
    <w:rsid w:val="00546F37"/>
    <w:rsid w:val="0054711C"/>
    <w:rsid w:val="00547672"/>
    <w:rsid w:val="005508C5"/>
    <w:rsid w:val="005508E7"/>
    <w:rsid w:val="0055090A"/>
    <w:rsid w:val="00550979"/>
    <w:rsid w:val="005509E9"/>
    <w:rsid w:val="00550B5D"/>
    <w:rsid w:val="005511B8"/>
    <w:rsid w:val="0055262E"/>
    <w:rsid w:val="00552AAB"/>
    <w:rsid w:val="005530BF"/>
    <w:rsid w:val="0055324D"/>
    <w:rsid w:val="00553B54"/>
    <w:rsid w:val="00553DA1"/>
    <w:rsid w:val="0055488E"/>
    <w:rsid w:val="005549B2"/>
    <w:rsid w:val="00554A09"/>
    <w:rsid w:val="00554E1B"/>
    <w:rsid w:val="0055528F"/>
    <w:rsid w:val="00555464"/>
    <w:rsid w:val="0055548D"/>
    <w:rsid w:val="00555A20"/>
    <w:rsid w:val="00555FE3"/>
    <w:rsid w:val="00556072"/>
    <w:rsid w:val="00556DAB"/>
    <w:rsid w:val="005570ED"/>
    <w:rsid w:val="005603FA"/>
    <w:rsid w:val="0056136D"/>
    <w:rsid w:val="005617F8"/>
    <w:rsid w:val="0056270B"/>
    <w:rsid w:val="005628A7"/>
    <w:rsid w:val="00562C54"/>
    <w:rsid w:val="00563185"/>
    <w:rsid w:val="00563CC0"/>
    <w:rsid w:val="00563F4C"/>
    <w:rsid w:val="005652D6"/>
    <w:rsid w:val="005658EC"/>
    <w:rsid w:val="00565D65"/>
    <w:rsid w:val="005665AF"/>
    <w:rsid w:val="00566800"/>
    <w:rsid w:val="00567E56"/>
    <w:rsid w:val="0057020E"/>
    <w:rsid w:val="0057136F"/>
    <w:rsid w:val="00571658"/>
    <w:rsid w:val="00571A95"/>
    <w:rsid w:val="005726A0"/>
    <w:rsid w:val="005727B8"/>
    <w:rsid w:val="00572C25"/>
    <w:rsid w:val="0057356D"/>
    <w:rsid w:val="00573B25"/>
    <w:rsid w:val="00574390"/>
    <w:rsid w:val="005744A2"/>
    <w:rsid w:val="0057466D"/>
    <w:rsid w:val="00574BA8"/>
    <w:rsid w:val="00574C3D"/>
    <w:rsid w:val="0057500F"/>
    <w:rsid w:val="0057576B"/>
    <w:rsid w:val="0057666A"/>
    <w:rsid w:val="00576E3A"/>
    <w:rsid w:val="00577514"/>
    <w:rsid w:val="00577C1B"/>
    <w:rsid w:val="00580FC5"/>
    <w:rsid w:val="00581DBF"/>
    <w:rsid w:val="0058249B"/>
    <w:rsid w:val="00582C5D"/>
    <w:rsid w:val="005833B8"/>
    <w:rsid w:val="0058387A"/>
    <w:rsid w:val="0058403D"/>
    <w:rsid w:val="00584119"/>
    <w:rsid w:val="0058480B"/>
    <w:rsid w:val="00586EC7"/>
    <w:rsid w:val="0058710D"/>
    <w:rsid w:val="005871E7"/>
    <w:rsid w:val="00587A64"/>
    <w:rsid w:val="00590494"/>
    <w:rsid w:val="00590813"/>
    <w:rsid w:val="00591996"/>
    <w:rsid w:val="00592A46"/>
    <w:rsid w:val="00592B01"/>
    <w:rsid w:val="00592E25"/>
    <w:rsid w:val="005933E6"/>
    <w:rsid w:val="00593432"/>
    <w:rsid w:val="005934B5"/>
    <w:rsid w:val="00593FD8"/>
    <w:rsid w:val="00594026"/>
    <w:rsid w:val="00594AFB"/>
    <w:rsid w:val="00595509"/>
    <w:rsid w:val="00595736"/>
    <w:rsid w:val="00595830"/>
    <w:rsid w:val="00595A04"/>
    <w:rsid w:val="00595C6F"/>
    <w:rsid w:val="00596075"/>
    <w:rsid w:val="00596AB7"/>
    <w:rsid w:val="00596F40"/>
    <w:rsid w:val="005975DF"/>
    <w:rsid w:val="005A0314"/>
    <w:rsid w:val="005A04B4"/>
    <w:rsid w:val="005A1523"/>
    <w:rsid w:val="005A1B92"/>
    <w:rsid w:val="005A1F25"/>
    <w:rsid w:val="005A20F6"/>
    <w:rsid w:val="005A22E1"/>
    <w:rsid w:val="005A258F"/>
    <w:rsid w:val="005A2AB3"/>
    <w:rsid w:val="005A2DB8"/>
    <w:rsid w:val="005A3A22"/>
    <w:rsid w:val="005A3BED"/>
    <w:rsid w:val="005A3F49"/>
    <w:rsid w:val="005A43DF"/>
    <w:rsid w:val="005A47A4"/>
    <w:rsid w:val="005A4B4D"/>
    <w:rsid w:val="005A567B"/>
    <w:rsid w:val="005A6168"/>
    <w:rsid w:val="005A62CB"/>
    <w:rsid w:val="005A7770"/>
    <w:rsid w:val="005A7D03"/>
    <w:rsid w:val="005B12EE"/>
    <w:rsid w:val="005B131E"/>
    <w:rsid w:val="005B1C5B"/>
    <w:rsid w:val="005B1CE0"/>
    <w:rsid w:val="005B2122"/>
    <w:rsid w:val="005B25D1"/>
    <w:rsid w:val="005B2B97"/>
    <w:rsid w:val="005B31FD"/>
    <w:rsid w:val="005B47A8"/>
    <w:rsid w:val="005B4907"/>
    <w:rsid w:val="005B4F21"/>
    <w:rsid w:val="005B53E7"/>
    <w:rsid w:val="005B555E"/>
    <w:rsid w:val="005B55E8"/>
    <w:rsid w:val="005B5C30"/>
    <w:rsid w:val="005B5EB2"/>
    <w:rsid w:val="005B66EA"/>
    <w:rsid w:val="005B75B0"/>
    <w:rsid w:val="005B7A80"/>
    <w:rsid w:val="005B7EB4"/>
    <w:rsid w:val="005C03BE"/>
    <w:rsid w:val="005C0606"/>
    <w:rsid w:val="005C065C"/>
    <w:rsid w:val="005C1617"/>
    <w:rsid w:val="005C2F1A"/>
    <w:rsid w:val="005C33F1"/>
    <w:rsid w:val="005C3819"/>
    <w:rsid w:val="005C43DE"/>
    <w:rsid w:val="005C488C"/>
    <w:rsid w:val="005C4C1F"/>
    <w:rsid w:val="005C4C69"/>
    <w:rsid w:val="005C52D5"/>
    <w:rsid w:val="005C6045"/>
    <w:rsid w:val="005C6CE8"/>
    <w:rsid w:val="005C7489"/>
    <w:rsid w:val="005C7830"/>
    <w:rsid w:val="005C7BFD"/>
    <w:rsid w:val="005D01A3"/>
    <w:rsid w:val="005D09FA"/>
    <w:rsid w:val="005D0B8B"/>
    <w:rsid w:val="005D0C54"/>
    <w:rsid w:val="005D27AC"/>
    <w:rsid w:val="005D323B"/>
    <w:rsid w:val="005D3474"/>
    <w:rsid w:val="005D3599"/>
    <w:rsid w:val="005D35AE"/>
    <w:rsid w:val="005D35EF"/>
    <w:rsid w:val="005D3655"/>
    <w:rsid w:val="005D3A96"/>
    <w:rsid w:val="005D4781"/>
    <w:rsid w:val="005D47AA"/>
    <w:rsid w:val="005D47C8"/>
    <w:rsid w:val="005D4FB1"/>
    <w:rsid w:val="005D57B6"/>
    <w:rsid w:val="005D5B67"/>
    <w:rsid w:val="005D69B2"/>
    <w:rsid w:val="005D7501"/>
    <w:rsid w:val="005E0A6F"/>
    <w:rsid w:val="005E0A71"/>
    <w:rsid w:val="005E0C42"/>
    <w:rsid w:val="005E0FFD"/>
    <w:rsid w:val="005E139D"/>
    <w:rsid w:val="005E17F3"/>
    <w:rsid w:val="005E2BD0"/>
    <w:rsid w:val="005E3A40"/>
    <w:rsid w:val="005E3B54"/>
    <w:rsid w:val="005E3C10"/>
    <w:rsid w:val="005E43ED"/>
    <w:rsid w:val="005E4830"/>
    <w:rsid w:val="005E4B3F"/>
    <w:rsid w:val="005E4C24"/>
    <w:rsid w:val="005E57CC"/>
    <w:rsid w:val="005E5C68"/>
    <w:rsid w:val="005E5E22"/>
    <w:rsid w:val="005E5FBC"/>
    <w:rsid w:val="005E5FE9"/>
    <w:rsid w:val="005E630A"/>
    <w:rsid w:val="005E67A2"/>
    <w:rsid w:val="005E688C"/>
    <w:rsid w:val="005E68BE"/>
    <w:rsid w:val="005E73FE"/>
    <w:rsid w:val="005F072E"/>
    <w:rsid w:val="005F0FF9"/>
    <w:rsid w:val="005F1101"/>
    <w:rsid w:val="005F12B4"/>
    <w:rsid w:val="005F1409"/>
    <w:rsid w:val="005F1541"/>
    <w:rsid w:val="005F1759"/>
    <w:rsid w:val="005F1C87"/>
    <w:rsid w:val="005F3368"/>
    <w:rsid w:val="005F543E"/>
    <w:rsid w:val="005F5A58"/>
    <w:rsid w:val="005F63D1"/>
    <w:rsid w:val="006004DE"/>
    <w:rsid w:val="006009FF"/>
    <w:rsid w:val="00600A31"/>
    <w:rsid w:val="00600B5F"/>
    <w:rsid w:val="00600C27"/>
    <w:rsid w:val="00602265"/>
    <w:rsid w:val="0060236D"/>
    <w:rsid w:val="00603074"/>
    <w:rsid w:val="006031F3"/>
    <w:rsid w:val="006039FB"/>
    <w:rsid w:val="00603DBA"/>
    <w:rsid w:val="00604697"/>
    <w:rsid w:val="006046A0"/>
    <w:rsid w:val="006049BA"/>
    <w:rsid w:val="00604AA9"/>
    <w:rsid w:val="006056F7"/>
    <w:rsid w:val="00605DE7"/>
    <w:rsid w:val="00605F79"/>
    <w:rsid w:val="0060677D"/>
    <w:rsid w:val="00606A91"/>
    <w:rsid w:val="00607127"/>
    <w:rsid w:val="00607975"/>
    <w:rsid w:val="00610B43"/>
    <w:rsid w:val="00610B8A"/>
    <w:rsid w:val="00611462"/>
    <w:rsid w:val="00612C22"/>
    <w:rsid w:val="00612D59"/>
    <w:rsid w:val="00613A6B"/>
    <w:rsid w:val="00614070"/>
    <w:rsid w:val="006145C6"/>
    <w:rsid w:val="00614787"/>
    <w:rsid w:val="00614F54"/>
    <w:rsid w:val="00615139"/>
    <w:rsid w:val="006153D1"/>
    <w:rsid w:val="00616532"/>
    <w:rsid w:val="0061686C"/>
    <w:rsid w:val="0062005B"/>
    <w:rsid w:val="00620347"/>
    <w:rsid w:val="00620B27"/>
    <w:rsid w:val="00620FA2"/>
    <w:rsid w:val="006219E7"/>
    <w:rsid w:val="00621CBC"/>
    <w:rsid w:val="00621FD8"/>
    <w:rsid w:val="006221AF"/>
    <w:rsid w:val="00622A04"/>
    <w:rsid w:val="00622A33"/>
    <w:rsid w:val="00622B86"/>
    <w:rsid w:val="00623269"/>
    <w:rsid w:val="0062354D"/>
    <w:rsid w:val="00623B8E"/>
    <w:rsid w:val="00623BA1"/>
    <w:rsid w:val="00623DFF"/>
    <w:rsid w:val="00623E54"/>
    <w:rsid w:val="006244B7"/>
    <w:rsid w:val="006245DD"/>
    <w:rsid w:val="0062461B"/>
    <w:rsid w:val="00624CBD"/>
    <w:rsid w:val="00625B72"/>
    <w:rsid w:val="00626260"/>
    <w:rsid w:val="00626A5B"/>
    <w:rsid w:val="00626AF4"/>
    <w:rsid w:val="006303CF"/>
    <w:rsid w:val="00630F2D"/>
    <w:rsid w:val="00630F58"/>
    <w:rsid w:val="00632878"/>
    <w:rsid w:val="00633393"/>
    <w:rsid w:val="00633865"/>
    <w:rsid w:val="006339B5"/>
    <w:rsid w:val="00633B31"/>
    <w:rsid w:val="00633C17"/>
    <w:rsid w:val="0063417A"/>
    <w:rsid w:val="006343AC"/>
    <w:rsid w:val="006346BC"/>
    <w:rsid w:val="00635662"/>
    <w:rsid w:val="00635CBA"/>
    <w:rsid w:val="00636356"/>
    <w:rsid w:val="00636E42"/>
    <w:rsid w:val="00637878"/>
    <w:rsid w:val="00640028"/>
    <w:rsid w:val="0064035B"/>
    <w:rsid w:val="00640E50"/>
    <w:rsid w:val="00641D9B"/>
    <w:rsid w:val="00641DEA"/>
    <w:rsid w:val="00642613"/>
    <w:rsid w:val="00642D48"/>
    <w:rsid w:val="00643AB2"/>
    <w:rsid w:val="0064400D"/>
    <w:rsid w:val="00644B8E"/>
    <w:rsid w:val="00645204"/>
    <w:rsid w:val="0064691D"/>
    <w:rsid w:val="00646E71"/>
    <w:rsid w:val="00647187"/>
    <w:rsid w:val="0064718A"/>
    <w:rsid w:val="006509A6"/>
    <w:rsid w:val="00650B72"/>
    <w:rsid w:val="00651173"/>
    <w:rsid w:val="006515F5"/>
    <w:rsid w:val="0065172A"/>
    <w:rsid w:val="00651CC8"/>
    <w:rsid w:val="006522BA"/>
    <w:rsid w:val="00652901"/>
    <w:rsid w:val="00652DFE"/>
    <w:rsid w:val="006530AC"/>
    <w:rsid w:val="00653F24"/>
    <w:rsid w:val="00653FF5"/>
    <w:rsid w:val="00654DE4"/>
    <w:rsid w:val="00654F8C"/>
    <w:rsid w:val="00655039"/>
    <w:rsid w:val="00655DC4"/>
    <w:rsid w:val="00655EA2"/>
    <w:rsid w:val="00655FA9"/>
    <w:rsid w:val="0065684E"/>
    <w:rsid w:val="00660A49"/>
    <w:rsid w:val="00661061"/>
    <w:rsid w:val="0066142B"/>
    <w:rsid w:val="00661B6D"/>
    <w:rsid w:val="00662261"/>
    <w:rsid w:val="0066290E"/>
    <w:rsid w:val="00662DEA"/>
    <w:rsid w:val="006630E8"/>
    <w:rsid w:val="006635A7"/>
    <w:rsid w:val="0066360C"/>
    <w:rsid w:val="00663B3A"/>
    <w:rsid w:val="00664096"/>
    <w:rsid w:val="006645A0"/>
    <w:rsid w:val="006649BB"/>
    <w:rsid w:val="00664AA1"/>
    <w:rsid w:val="00664CEA"/>
    <w:rsid w:val="00664D0D"/>
    <w:rsid w:val="006652E5"/>
    <w:rsid w:val="00665768"/>
    <w:rsid w:val="00665785"/>
    <w:rsid w:val="00665D77"/>
    <w:rsid w:val="006660F0"/>
    <w:rsid w:val="0066652A"/>
    <w:rsid w:val="00666726"/>
    <w:rsid w:val="00667384"/>
    <w:rsid w:val="0066780A"/>
    <w:rsid w:val="00667D7B"/>
    <w:rsid w:val="00667FA5"/>
    <w:rsid w:val="0067052F"/>
    <w:rsid w:val="00670A32"/>
    <w:rsid w:val="00670D7A"/>
    <w:rsid w:val="00670F0B"/>
    <w:rsid w:val="00670FF3"/>
    <w:rsid w:val="006712B8"/>
    <w:rsid w:val="006713D2"/>
    <w:rsid w:val="006719C3"/>
    <w:rsid w:val="00671B7D"/>
    <w:rsid w:val="00671DD4"/>
    <w:rsid w:val="00673574"/>
    <w:rsid w:val="006735C2"/>
    <w:rsid w:val="00673B8F"/>
    <w:rsid w:val="00673F8A"/>
    <w:rsid w:val="006744C8"/>
    <w:rsid w:val="00674695"/>
    <w:rsid w:val="00674B20"/>
    <w:rsid w:val="00674D14"/>
    <w:rsid w:val="00675370"/>
    <w:rsid w:val="006753B3"/>
    <w:rsid w:val="006759F1"/>
    <w:rsid w:val="00676F48"/>
    <w:rsid w:val="00677602"/>
    <w:rsid w:val="006804B2"/>
    <w:rsid w:val="00680522"/>
    <w:rsid w:val="00680E25"/>
    <w:rsid w:val="006818BC"/>
    <w:rsid w:val="00681DD2"/>
    <w:rsid w:val="00681F9C"/>
    <w:rsid w:val="00682167"/>
    <w:rsid w:val="00682533"/>
    <w:rsid w:val="00683DEE"/>
    <w:rsid w:val="00683E5B"/>
    <w:rsid w:val="00683FB2"/>
    <w:rsid w:val="00684351"/>
    <w:rsid w:val="00684ADA"/>
    <w:rsid w:val="00685906"/>
    <w:rsid w:val="00685D49"/>
    <w:rsid w:val="0068774E"/>
    <w:rsid w:val="0069011C"/>
    <w:rsid w:val="00690965"/>
    <w:rsid w:val="00690B19"/>
    <w:rsid w:val="00690BA9"/>
    <w:rsid w:val="00691113"/>
    <w:rsid w:val="00691579"/>
    <w:rsid w:val="00691E8A"/>
    <w:rsid w:val="00692335"/>
    <w:rsid w:val="00692C6C"/>
    <w:rsid w:val="00692F09"/>
    <w:rsid w:val="006938B1"/>
    <w:rsid w:val="00693A65"/>
    <w:rsid w:val="0069407C"/>
    <w:rsid w:val="00694531"/>
    <w:rsid w:val="00694816"/>
    <w:rsid w:val="0069572B"/>
    <w:rsid w:val="00695737"/>
    <w:rsid w:val="006962C9"/>
    <w:rsid w:val="00696A5F"/>
    <w:rsid w:val="006970AD"/>
    <w:rsid w:val="00697626"/>
    <w:rsid w:val="00697645"/>
    <w:rsid w:val="00697B3C"/>
    <w:rsid w:val="006A0332"/>
    <w:rsid w:val="006A0401"/>
    <w:rsid w:val="006A09A0"/>
    <w:rsid w:val="006A0C8E"/>
    <w:rsid w:val="006A1232"/>
    <w:rsid w:val="006A17CA"/>
    <w:rsid w:val="006A1C97"/>
    <w:rsid w:val="006A27C2"/>
    <w:rsid w:val="006A2A8C"/>
    <w:rsid w:val="006A3343"/>
    <w:rsid w:val="006A3415"/>
    <w:rsid w:val="006A358E"/>
    <w:rsid w:val="006A3CF3"/>
    <w:rsid w:val="006A3DCB"/>
    <w:rsid w:val="006A56F8"/>
    <w:rsid w:val="006A594C"/>
    <w:rsid w:val="006A7555"/>
    <w:rsid w:val="006A7882"/>
    <w:rsid w:val="006A7C68"/>
    <w:rsid w:val="006B0540"/>
    <w:rsid w:val="006B07B6"/>
    <w:rsid w:val="006B119B"/>
    <w:rsid w:val="006B124E"/>
    <w:rsid w:val="006B22A4"/>
    <w:rsid w:val="006B2667"/>
    <w:rsid w:val="006B2738"/>
    <w:rsid w:val="006B3983"/>
    <w:rsid w:val="006B3A9F"/>
    <w:rsid w:val="006B3D46"/>
    <w:rsid w:val="006B48A6"/>
    <w:rsid w:val="006B4EB8"/>
    <w:rsid w:val="006B5631"/>
    <w:rsid w:val="006B5AE1"/>
    <w:rsid w:val="006B5D0E"/>
    <w:rsid w:val="006B644F"/>
    <w:rsid w:val="006B6B9D"/>
    <w:rsid w:val="006B6C6D"/>
    <w:rsid w:val="006B71D7"/>
    <w:rsid w:val="006C0ABA"/>
    <w:rsid w:val="006C0D7E"/>
    <w:rsid w:val="006C0F19"/>
    <w:rsid w:val="006C13E4"/>
    <w:rsid w:val="006C1916"/>
    <w:rsid w:val="006C25C0"/>
    <w:rsid w:val="006C26E6"/>
    <w:rsid w:val="006C2862"/>
    <w:rsid w:val="006C2B2F"/>
    <w:rsid w:val="006C3856"/>
    <w:rsid w:val="006C3B18"/>
    <w:rsid w:val="006C3D1B"/>
    <w:rsid w:val="006C3F9C"/>
    <w:rsid w:val="006C429E"/>
    <w:rsid w:val="006C42AF"/>
    <w:rsid w:val="006C4360"/>
    <w:rsid w:val="006C4FBA"/>
    <w:rsid w:val="006C5045"/>
    <w:rsid w:val="006C56B3"/>
    <w:rsid w:val="006C5ABA"/>
    <w:rsid w:val="006C617E"/>
    <w:rsid w:val="006C6851"/>
    <w:rsid w:val="006C6CA2"/>
    <w:rsid w:val="006C71B2"/>
    <w:rsid w:val="006C73F1"/>
    <w:rsid w:val="006C7449"/>
    <w:rsid w:val="006C7590"/>
    <w:rsid w:val="006C7C58"/>
    <w:rsid w:val="006CFDDF"/>
    <w:rsid w:val="006D032C"/>
    <w:rsid w:val="006D08CB"/>
    <w:rsid w:val="006D11BE"/>
    <w:rsid w:val="006D1CF7"/>
    <w:rsid w:val="006D1DB4"/>
    <w:rsid w:val="006D2743"/>
    <w:rsid w:val="006D2DE5"/>
    <w:rsid w:val="006D302E"/>
    <w:rsid w:val="006D325B"/>
    <w:rsid w:val="006D3264"/>
    <w:rsid w:val="006D3BAD"/>
    <w:rsid w:val="006D454E"/>
    <w:rsid w:val="006D5085"/>
    <w:rsid w:val="006D5602"/>
    <w:rsid w:val="006D57AE"/>
    <w:rsid w:val="006D5D07"/>
    <w:rsid w:val="006D5D94"/>
    <w:rsid w:val="006D642E"/>
    <w:rsid w:val="006D6440"/>
    <w:rsid w:val="006D6AAB"/>
    <w:rsid w:val="006D6C4B"/>
    <w:rsid w:val="006D7FA0"/>
    <w:rsid w:val="006E1561"/>
    <w:rsid w:val="006E18D3"/>
    <w:rsid w:val="006E1B99"/>
    <w:rsid w:val="006E3DC5"/>
    <w:rsid w:val="006E4D40"/>
    <w:rsid w:val="006E4E2D"/>
    <w:rsid w:val="006E4FC1"/>
    <w:rsid w:val="006E63B9"/>
    <w:rsid w:val="006E647A"/>
    <w:rsid w:val="006E6D11"/>
    <w:rsid w:val="006E7057"/>
    <w:rsid w:val="006E798A"/>
    <w:rsid w:val="006E7AC2"/>
    <w:rsid w:val="006E7FA5"/>
    <w:rsid w:val="006F0F08"/>
    <w:rsid w:val="006F182D"/>
    <w:rsid w:val="006F1C1F"/>
    <w:rsid w:val="006F2BE2"/>
    <w:rsid w:val="006F3409"/>
    <w:rsid w:val="006F3AEC"/>
    <w:rsid w:val="006F3E7E"/>
    <w:rsid w:val="006F46AA"/>
    <w:rsid w:val="006F482A"/>
    <w:rsid w:val="006F4A5F"/>
    <w:rsid w:val="006F524B"/>
    <w:rsid w:val="006F5A11"/>
    <w:rsid w:val="006F5AE2"/>
    <w:rsid w:val="006F5D3A"/>
    <w:rsid w:val="006F5D59"/>
    <w:rsid w:val="006F602A"/>
    <w:rsid w:val="006F73F5"/>
    <w:rsid w:val="007002A9"/>
    <w:rsid w:val="00700B35"/>
    <w:rsid w:val="00700B38"/>
    <w:rsid w:val="00700D3D"/>
    <w:rsid w:val="00700F07"/>
    <w:rsid w:val="0070127C"/>
    <w:rsid w:val="00702813"/>
    <w:rsid w:val="00703819"/>
    <w:rsid w:val="00703A18"/>
    <w:rsid w:val="00704162"/>
    <w:rsid w:val="00704177"/>
    <w:rsid w:val="007043D8"/>
    <w:rsid w:val="007045F8"/>
    <w:rsid w:val="00704724"/>
    <w:rsid w:val="00704822"/>
    <w:rsid w:val="00704DF3"/>
    <w:rsid w:val="007050DA"/>
    <w:rsid w:val="007051A3"/>
    <w:rsid w:val="00705F5E"/>
    <w:rsid w:val="007067E4"/>
    <w:rsid w:val="00707584"/>
    <w:rsid w:val="00710233"/>
    <w:rsid w:val="00710285"/>
    <w:rsid w:val="00710492"/>
    <w:rsid w:val="00710D63"/>
    <w:rsid w:val="00710DAA"/>
    <w:rsid w:val="00710EF8"/>
    <w:rsid w:val="00711D8E"/>
    <w:rsid w:val="0071204A"/>
    <w:rsid w:val="00712221"/>
    <w:rsid w:val="00712672"/>
    <w:rsid w:val="00712699"/>
    <w:rsid w:val="00712B00"/>
    <w:rsid w:val="00713839"/>
    <w:rsid w:val="00713882"/>
    <w:rsid w:val="00714836"/>
    <w:rsid w:val="00714C67"/>
    <w:rsid w:val="00715927"/>
    <w:rsid w:val="00715EC0"/>
    <w:rsid w:val="00716657"/>
    <w:rsid w:val="007167B8"/>
    <w:rsid w:val="0071686E"/>
    <w:rsid w:val="00716C23"/>
    <w:rsid w:val="0071716A"/>
    <w:rsid w:val="007171AC"/>
    <w:rsid w:val="00717762"/>
    <w:rsid w:val="00717B1B"/>
    <w:rsid w:val="0071EB17"/>
    <w:rsid w:val="007202F3"/>
    <w:rsid w:val="0072046A"/>
    <w:rsid w:val="00720E33"/>
    <w:rsid w:val="00721149"/>
    <w:rsid w:val="00721684"/>
    <w:rsid w:val="0072174D"/>
    <w:rsid w:val="00721CB2"/>
    <w:rsid w:val="00721FD8"/>
    <w:rsid w:val="00722244"/>
    <w:rsid w:val="00722305"/>
    <w:rsid w:val="00722D72"/>
    <w:rsid w:val="0072355C"/>
    <w:rsid w:val="00723C3C"/>
    <w:rsid w:val="00724191"/>
    <w:rsid w:val="00725381"/>
    <w:rsid w:val="007254E5"/>
    <w:rsid w:val="00725E7D"/>
    <w:rsid w:val="007267EA"/>
    <w:rsid w:val="00726E27"/>
    <w:rsid w:val="00726E78"/>
    <w:rsid w:val="00726EDA"/>
    <w:rsid w:val="007273A3"/>
    <w:rsid w:val="00727D05"/>
    <w:rsid w:val="00727EDF"/>
    <w:rsid w:val="007303E0"/>
    <w:rsid w:val="007304BB"/>
    <w:rsid w:val="00731010"/>
    <w:rsid w:val="007312EC"/>
    <w:rsid w:val="00731591"/>
    <w:rsid w:val="00732025"/>
    <w:rsid w:val="00732443"/>
    <w:rsid w:val="00732A03"/>
    <w:rsid w:val="00732D6D"/>
    <w:rsid w:val="00733273"/>
    <w:rsid w:val="0073391C"/>
    <w:rsid w:val="00733D14"/>
    <w:rsid w:val="007348D7"/>
    <w:rsid w:val="00734BA9"/>
    <w:rsid w:val="00734C81"/>
    <w:rsid w:val="00734E3F"/>
    <w:rsid w:val="00735B8F"/>
    <w:rsid w:val="00736985"/>
    <w:rsid w:val="00736D73"/>
    <w:rsid w:val="007371B9"/>
    <w:rsid w:val="00737615"/>
    <w:rsid w:val="007376B8"/>
    <w:rsid w:val="007407BA"/>
    <w:rsid w:val="00740860"/>
    <w:rsid w:val="00740979"/>
    <w:rsid w:val="00740B7D"/>
    <w:rsid w:val="00740F65"/>
    <w:rsid w:val="0074153C"/>
    <w:rsid w:val="007415E4"/>
    <w:rsid w:val="00741C3B"/>
    <w:rsid w:val="00742A6C"/>
    <w:rsid w:val="00743510"/>
    <w:rsid w:val="007445ED"/>
    <w:rsid w:val="00744BF5"/>
    <w:rsid w:val="00744DCA"/>
    <w:rsid w:val="00744E06"/>
    <w:rsid w:val="00745196"/>
    <w:rsid w:val="0074527D"/>
    <w:rsid w:val="00745DF5"/>
    <w:rsid w:val="00745E56"/>
    <w:rsid w:val="00747897"/>
    <w:rsid w:val="0075034F"/>
    <w:rsid w:val="00750FB5"/>
    <w:rsid w:val="00751ABD"/>
    <w:rsid w:val="00753013"/>
    <w:rsid w:val="00753059"/>
    <w:rsid w:val="00753A16"/>
    <w:rsid w:val="00753CFF"/>
    <w:rsid w:val="007549E8"/>
    <w:rsid w:val="00755A21"/>
    <w:rsid w:val="00756237"/>
    <w:rsid w:val="0076051A"/>
    <w:rsid w:val="007619A1"/>
    <w:rsid w:val="00761BCC"/>
    <w:rsid w:val="00761DBD"/>
    <w:rsid w:val="00761F0E"/>
    <w:rsid w:val="0076220F"/>
    <w:rsid w:val="0076250F"/>
    <w:rsid w:val="00762841"/>
    <w:rsid w:val="007628CC"/>
    <w:rsid w:val="00762F57"/>
    <w:rsid w:val="00764506"/>
    <w:rsid w:val="007646A4"/>
    <w:rsid w:val="00764A39"/>
    <w:rsid w:val="00764AC0"/>
    <w:rsid w:val="00765051"/>
    <w:rsid w:val="00765222"/>
    <w:rsid w:val="007665CB"/>
    <w:rsid w:val="0076756C"/>
    <w:rsid w:val="00767D07"/>
    <w:rsid w:val="00767FF1"/>
    <w:rsid w:val="007701EC"/>
    <w:rsid w:val="00770630"/>
    <w:rsid w:val="007706B8"/>
    <w:rsid w:val="00770B99"/>
    <w:rsid w:val="00771FA9"/>
    <w:rsid w:val="007725AD"/>
    <w:rsid w:val="00773482"/>
    <w:rsid w:val="00774045"/>
    <w:rsid w:val="00774A76"/>
    <w:rsid w:val="00774EE4"/>
    <w:rsid w:val="00775349"/>
    <w:rsid w:val="00775620"/>
    <w:rsid w:val="0077619B"/>
    <w:rsid w:val="007761E8"/>
    <w:rsid w:val="007764C8"/>
    <w:rsid w:val="00776608"/>
    <w:rsid w:val="007767E1"/>
    <w:rsid w:val="00777076"/>
    <w:rsid w:val="00777314"/>
    <w:rsid w:val="007773A1"/>
    <w:rsid w:val="00777483"/>
    <w:rsid w:val="00780D93"/>
    <w:rsid w:val="00780FA5"/>
    <w:rsid w:val="0078154C"/>
    <w:rsid w:val="007823A7"/>
    <w:rsid w:val="00782849"/>
    <w:rsid w:val="00782A77"/>
    <w:rsid w:val="007831F4"/>
    <w:rsid w:val="007839AA"/>
    <w:rsid w:val="007840C4"/>
    <w:rsid w:val="00784C2A"/>
    <w:rsid w:val="00784E91"/>
    <w:rsid w:val="00784F58"/>
    <w:rsid w:val="0078508F"/>
    <w:rsid w:val="007858E1"/>
    <w:rsid w:val="007858E8"/>
    <w:rsid w:val="00785DC6"/>
    <w:rsid w:val="00786957"/>
    <w:rsid w:val="00786CA9"/>
    <w:rsid w:val="00786D0B"/>
    <w:rsid w:val="00787389"/>
    <w:rsid w:val="00787E11"/>
    <w:rsid w:val="00790363"/>
    <w:rsid w:val="007906A6"/>
    <w:rsid w:val="00792CAC"/>
    <w:rsid w:val="00793546"/>
    <w:rsid w:val="00794001"/>
    <w:rsid w:val="007944C1"/>
    <w:rsid w:val="007947F7"/>
    <w:rsid w:val="007955E7"/>
    <w:rsid w:val="00795740"/>
    <w:rsid w:val="00795A9B"/>
    <w:rsid w:val="00796148"/>
    <w:rsid w:val="00796465"/>
    <w:rsid w:val="007978D8"/>
    <w:rsid w:val="0079794F"/>
    <w:rsid w:val="007A0032"/>
    <w:rsid w:val="007A06C0"/>
    <w:rsid w:val="007A076E"/>
    <w:rsid w:val="007A110B"/>
    <w:rsid w:val="007A24C5"/>
    <w:rsid w:val="007A26F1"/>
    <w:rsid w:val="007A328C"/>
    <w:rsid w:val="007A3290"/>
    <w:rsid w:val="007A4D3B"/>
    <w:rsid w:val="007A536E"/>
    <w:rsid w:val="007A59BB"/>
    <w:rsid w:val="007A5E9C"/>
    <w:rsid w:val="007A5FC5"/>
    <w:rsid w:val="007A6538"/>
    <w:rsid w:val="007A6CEF"/>
    <w:rsid w:val="007A717D"/>
    <w:rsid w:val="007A7E14"/>
    <w:rsid w:val="007B02B7"/>
    <w:rsid w:val="007B02BF"/>
    <w:rsid w:val="007B09E3"/>
    <w:rsid w:val="007B0B75"/>
    <w:rsid w:val="007B0D76"/>
    <w:rsid w:val="007B103F"/>
    <w:rsid w:val="007B1129"/>
    <w:rsid w:val="007B15C8"/>
    <w:rsid w:val="007B1CB2"/>
    <w:rsid w:val="007B1F5D"/>
    <w:rsid w:val="007B27E5"/>
    <w:rsid w:val="007B2FA7"/>
    <w:rsid w:val="007B3141"/>
    <w:rsid w:val="007B349D"/>
    <w:rsid w:val="007B34F1"/>
    <w:rsid w:val="007B3576"/>
    <w:rsid w:val="007B433B"/>
    <w:rsid w:val="007B5C4B"/>
    <w:rsid w:val="007B6200"/>
    <w:rsid w:val="007B674C"/>
    <w:rsid w:val="007B739E"/>
    <w:rsid w:val="007C042E"/>
    <w:rsid w:val="007C0CED"/>
    <w:rsid w:val="007C225C"/>
    <w:rsid w:val="007C25CE"/>
    <w:rsid w:val="007C29B3"/>
    <w:rsid w:val="007C2DFF"/>
    <w:rsid w:val="007C350D"/>
    <w:rsid w:val="007C37D0"/>
    <w:rsid w:val="007C38BC"/>
    <w:rsid w:val="007C3F7F"/>
    <w:rsid w:val="007C3FB3"/>
    <w:rsid w:val="007C45C2"/>
    <w:rsid w:val="007C4BFD"/>
    <w:rsid w:val="007C4C88"/>
    <w:rsid w:val="007C4FCB"/>
    <w:rsid w:val="007C5054"/>
    <w:rsid w:val="007C51CE"/>
    <w:rsid w:val="007C55C2"/>
    <w:rsid w:val="007C5739"/>
    <w:rsid w:val="007D150D"/>
    <w:rsid w:val="007D168E"/>
    <w:rsid w:val="007D2079"/>
    <w:rsid w:val="007D2C70"/>
    <w:rsid w:val="007D3750"/>
    <w:rsid w:val="007D3A64"/>
    <w:rsid w:val="007D4207"/>
    <w:rsid w:val="007D573A"/>
    <w:rsid w:val="007D61B0"/>
    <w:rsid w:val="007D6500"/>
    <w:rsid w:val="007D6581"/>
    <w:rsid w:val="007D700A"/>
    <w:rsid w:val="007D74A7"/>
    <w:rsid w:val="007D7CC1"/>
    <w:rsid w:val="007D7F40"/>
    <w:rsid w:val="007E0407"/>
    <w:rsid w:val="007E114B"/>
    <w:rsid w:val="007E1B96"/>
    <w:rsid w:val="007E1D63"/>
    <w:rsid w:val="007E2FE9"/>
    <w:rsid w:val="007E309E"/>
    <w:rsid w:val="007E31FF"/>
    <w:rsid w:val="007E409D"/>
    <w:rsid w:val="007E438C"/>
    <w:rsid w:val="007E504B"/>
    <w:rsid w:val="007E5445"/>
    <w:rsid w:val="007E61E9"/>
    <w:rsid w:val="007E6641"/>
    <w:rsid w:val="007E7242"/>
    <w:rsid w:val="007E74BD"/>
    <w:rsid w:val="007F000C"/>
    <w:rsid w:val="007F04D5"/>
    <w:rsid w:val="007F074C"/>
    <w:rsid w:val="007F1B0A"/>
    <w:rsid w:val="007F29AE"/>
    <w:rsid w:val="007F3395"/>
    <w:rsid w:val="007F3698"/>
    <w:rsid w:val="007F36AB"/>
    <w:rsid w:val="007F3C18"/>
    <w:rsid w:val="007F48B9"/>
    <w:rsid w:val="007F4927"/>
    <w:rsid w:val="007F4CAE"/>
    <w:rsid w:val="007F5237"/>
    <w:rsid w:val="007F5678"/>
    <w:rsid w:val="007F5D9A"/>
    <w:rsid w:val="007F6286"/>
    <w:rsid w:val="007F6ED9"/>
    <w:rsid w:val="00800821"/>
    <w:rsid w:val="00800ED0"/>
    <w:rsid w:val="00801417"/>
    <w:rsid w:val="00801707"/>
    <w:rsid w:val="0080174C"/>
    <w:rsid w:val="00801B9F"/>
    <w:rsid w:val="0080204D"/>
    <w:rsid w:val="0080387D"/>
    <w:rsid w:val="00803B10"/>
    <w:rsid w:val="008044A6"/>
    <w:rsid w:val="00804814"/>
    <w:rsid w:val="00804A08"/>
    <w:rsid w:val="00804D27"/>
    <w:rsid w:val="00804E9F"/>
    <w:rsid w:val="00805837"/>
    <w:rsid w:val="00805AEF"/>
    <w:rsid w:val="00805B9C"/>
    <w:rsid w:val="00806264"/>
    <w:rsid w:val="00806836"/>
    <w:rsid w:val="00806B24"/>
    <w:rsid w:val="00806D92"/>
    <w:rsid w:val="00807243"/>
    <w:rsid w:val="00807962"/>
    <w:rsid w:val="00807C5C"/>
    <w:rsid w:val="00807FE2"/>
    <w:rsid w:val="008102BE"/>
    <w:rsid w:val="008106D1"/>
    <w:rsid w:val="00810E86"/>
    <w:rsid w:val="008120A8"/>
    <w:rsid w:val="00812730"/>
    <w:rsid w:val="00812A37"/>
    <w:rsid w:val="00812C72"/>
    <w:rsid w:val="008132DA"/>
    <w:rsid w:val="008143E6"/>
    <w:rsid w:val="00814CED"/>
    <w:rsid w:val="00814E44"/>
    <w:rsid w:val="00815A9B"/>
    <w:rsid w:val="00815ABE"/>
    <w:rsid w:val="008164D9"/>
    <w:rsid w:val="00817078"/>
    <w:rsid w:val="00817079"/>
    <w:rsid w:val="00817768"/>
    <w:rsid w:val="00817B67"/>
    <w:rsid w:val="00820361"/>
    <w:rsid w:val="00820525"/>
    <w:rsid w:val="00820700"/>
    <w:rsid w:val="00820907"/>
    <w:rsid w:val="00821294"/>
    <w:rsid w:val="008218D5"/>
    <w:rsid w:val="00821C65"/>
    <w:rsid w:val="0082264E"/>
    <w:rsid w:val="00822A1B"/>
    <w:rsid w:val="00822B45"/>
    <w:rsid w:val="00822E4E"/>
    <w:rsid w:val="00823527"/>
    <w:rsid w:val="00824163"/>
    <w:rsid w:val="00824859"/>
    <w:rsid w:val="00825538"/>
    <w:rsid w:val="0082569F"/>
    <w:rsid w:val="00825CA7"/>
    <w:rsid w:val="00826437"/>
    <w:rsid w:val="00826BA0"/>
    <w:rsid w:val="00827855"/>
    <w:rsid w:val="0083052F"/>
    <w:rsid w:val="008308FF"/>
    <w:rsid w:val="00830C3F"/>
    <w:rsid w:val="0083107C"/>
    <w:rsid w:val="00831252"/>
    <w:rsid w:val="008315A3"/>
    <w:rsid w:val="008324E7"/>
    <w:rsid w:val="00832A2D"/>
    <w:rsid w:val="00833411"/>
    <w:rsid w:val="0083347A"/>
    <w:rsid w:val="008336C8"/>
    <w:rsid w:val="00833C41"/>
    <w:rsid w:val="00833CFF"/>
    <w:rsid w:val="00834334"/>
    <w:rsid w:val="008354EA"/>
    <w:rsid w:val="00836682"/>
    <w:rsid w:val="008368B7"/>
    <w:rsid w:val="00836DE0"/>
    <w:rsid w:val="008371AF"/>
    <w:rsid w:val="00837EF0"/>
    <w:rsid w:val="008401D8"/>
    <w:rsid w:val="00840C1C"/>
    <w:rsid w:val="008416AD"/>
    <w:rsid w:val="008422ED"/>
    <w:rsid w:val="00842F52"/>
    <w:rsid w:val="00843D51"/>
    <w:rsid w:val="0084409D"/>
    <w:rsid w:val="00844969"/>
    <w:rsid w:val="00845007"/>
    <w:rsid w:val="00845565"/>
    <w:rsid w:val="00845FAB"/>
    <w:rsid w:val="00846A33"/>
    <w:rsid w:val="00846B7A"/>
    <w:rsid w:val="008475F0"/>
    <w:rsid w:val="0084772C"/>
    <w:rsid w:val="00847D6A"/>
    <w:rsid w:val="00847EFD"/>
    <w:rsid w:val="008500D9"/>
    <w:rsid w:val="008509E0"/>
    <w:rsid w:val="00850AAF"/>
    <w:rsid w:val="008510CE"/>
    <w:rsid w:val="00851315"/>
    <w:rsid w:val="00852251"/>
    <w:rsid w:val="008527B9"/>
    <w:rsid w:val="008528E2"/>
    <w:rsid w:val="00852A78"/>
    <w:rsid w:val="00852CA9"/>
    <w:rsid w:val="00852CE3"/>
    <w:rsid w:val="00852D6A"/>
    <w:rsid w:val="00853EE0"/>
    <w:rsid w:val="008543E3"/>
    <w:rsid w:val="008557A7"/>
    <w:rsid w:val="00855B08"/>
    <w:rsid w:val="00856873"/>
    <w:rsid w:val="00856DF6"/>
    <w:rsid w:val="0085737B"/>
    <w:rsid w:val="00857586"/>
    <w:rsid w:val="00857D33"/>
    <w:rsid w:val="00857D7F"/>
    <w:rsid w:val="008613DA"/>
    <w:rsid w:val="00861A89"/>
    <w:rsid w:val="008627AC"/>
    <w:rsid w:val="008630CD"/>
    <w:rsid w:val="0086484F"/>
    <w:rsid w:val="008667B7"/>
    <w:rsid w:val="00870928"/>
    <w:rsid w:val="008709C3"/>
    <w:rsid w:val="008717E1"/>
    <w:rsid w:val="00871C6B"/>
    <w:rsid w:val="00871E2A"/>
    <w:rsid w:val="00871E7A"/>
    <w:rsid w:val="00872C0D"/>
    <w:rsid w:val="00872E8E"/>
    <w:rsid w:val="0087359F"/>
    <w:rsid w:val="00873B3B"/>
    <w:rsid w:val="00873FE4"/>
    <w:rsid w:val="00874942"/>
    <w:rsid w:val="00874C53"/>
    <w:rsid w:val="0087519F"/>
    <w:rsid w:val="00876165"/>
    <w:rsid w:val="00876181"/>
    <w:rsid w:val="00876252"/>
    <w:rsid w:val="00876A4F"/>
    <w:rsid w:val="00876BFC"/>
    <w:rsid w:val="00877329"/>
    <w:rsid w:val="00877488"/>
    <w:rsid w:val="008775C4"/>
    <w:rsid w:val="00877C7E"/>
    <w:rsid w:val="00877FCE"/>
    <w:rsid w:val="0088017F"/>
    <w:rsid w:val="00880A13"/>
    <w:rsid w:val="008810AC"/>
    <w:rsid w:val="008813C2"/>
    <w:rsid w:val="008839EB"/>
    <w:rsid w:val="00885A2E"/>
    <w:rsid w:val="00885A62"/>
    <w:rsid w:val="00886F6F"/>
    <w:rsid w:val="008871A4"/>
    <w:rsid w:val="00887530"/>
    <w:rsid w:val="00890E00"/>
    <w:rsid w:val="0089102C"/>
    <w:rsid w:val="008910F2"/>
    <w:rsid w:val="008913BB"/>
    <w:rsid w:val="0089140E"/>
    <w:rsid w:val="00891B9C"/>
    <w:rsid w:val="0089201A"/>
    <w:rsid w:val="00892279"/>
    <w:rsid w:val="008922C0"/>
    <w:rsid w:val="00892516"/>
    <w:rsid w:val="008925AB"/>
    <w:rsid w:val="00892CBB"/>
    <w:rsid w:val="00893285"/>
    <w:rsid w:val="00893A50"/>
    <w:rsid w:val="00893BD8"/>
    <w:rsid w:val="00893F70"/>
    <w:rsid w:val="00893F85"/>
    <w:rsid w:val="0089405C"/>
    <w:rsid w:val="0089428D"/>
    <w:rsid w:val="00894A5C"/>
    <w:rsid w:val="0089501E"/>
    <w:rsid w:val="00895DF9"/>
    <w:rsid w:val="00895FCA"/>
    <w:rsid w:val="00896953"/>
    <w:rsid w:val="0089706C"/>
    <w:rsid w:val="00897E50"/>
    <w:rsid w:val="00897F9E"/>
    <w:rsid w:val="00897FA2"/>
    <w:rsid w:val="008A0821"/>
    <w:rsid w:val="008A0825"/>
    <w:rsid w:val="008A0D42"/>
    <w:rsid w:val="008A1F24"/>
    <w:rsid w:val="008A25C6"/>
    <w:rsid w:val="008A2D58"/>
    <w:rsid w:val="008A32F8"/>
    <w:rsid w:val="008A33F7"/>
    <w:rsid w:val="008A3A53"/>
    <w:rsid w:val="008A3BE7"/>
    <w:rsid w:val="008A48C7"/>
    <w:rsid w:val="008A4E39"/>
    <w:rsid w:val="008A507A"/>
    <w:rsid w:val="008A50BF"/>
    <w:rsid w:val="008A59C4"/>
    <w:rsid w:val="008A5AFE"/>
    <w:rsid w:val="008A625F"/>
    <w:rsid w:val="008A63D8"/>
    <w:rsid w:val="008A701D"/>
    <w:rsid w:val="008A7FEE"/>
    <w:rsid w:val="008B077E"/>
    <w:rsid w:val="008B0BE0"/>
    <w:rsid w:val="008B1D71"/>
    <w:rsid w:val="008B1ED4"/>
    <w:rsid w:val="008B22C6"/>
    <w:rsid w:val="008B24E2"/>
    <w:rsid w:val="008B2965"/>
    <w:rsid w:val="008B29FB"/>
    <w:rsid w:val="008B3192"/>
    <w:rsid w:val="008B3660"/>
    <w:rsid w:val="008B3727"/>
    <w:rsid w:val="008B4856"/>
    <w:rsid w:val="008B4DA3"/>
    <w:rsid w:val="008B5551"/>
    <w:rsid w:val="008B5BCB"/>
    <w:rsid w:val="008B6E56"/>
    <w:rsid w:val="008B7478"/>
    <w:rsid w:val="008B7BA7"/>
    <w:rsid w:val="008B7CFC"/>
    <w:rsid w:val="008B9962"/>
    <w:rsid w:val="008C019D"/>
    <w:rsid w:val="008C03F3"/>
    <w:rsid w:val="008C16AE"/>
    <w:rsid w:val="008C19D0"/>
    <w:rsid w:val="008C1ECC"/>
    <w:rsid w:val="008C1F6E"/>
    <w:rsid w:val="008C2695"/>
    <w:rsid w:val="008C46F9"/>
    <w:rsid w:val="008C4947"/>
    <w:rsid w:val="008C4E51"/>
    <w:rsid w:val="008C5615"/>
    <w:rsid w:val="008C593F"/>
    <w:rsid w:val="008C5A0E"/>
    <w:rsid w:val="008C5F7A"/>
    <w:rsid w:val="008C645C"/>
    <w:rsid w:val="008C679A"/>
    <w:rsid w:val="008C6EF3"/>
    <w:rsid w:val="008C71AC"/>
    <w:rsid w:val="008C7519"/>
    <w:rsid w:val="008D00BB"/>
    <w:rsid w:val="008D0666"/>
    <w:rsid w:val="008D08D8"/>
    <w:rsid w:val="008D0F51"/>
    <w:rsid w:val="008D1ACE"/>
    <w:rsid w:val="008D2CC3"/>
    <w:rsid w:val="008D34C8"/>
    <w:rsid w:val="008D4004"/>
    <w:rsid w:val="008D4C38"/>
    <w:rsid w:val="008D50B8"/>
    <w:rsid w:val="008D511B"/>
    <w:rsid w:val="008D51AF"/>
    <w:rsid w:val="008D6BF0"/>
    <w:rsid w:val="008E02E4"/>
    <w:rsid w:val="008E10FE"/>
    <w:rsid w:val="008E125C"/>
    <w:rsid w:val="008E28D4"/>
    <w:rsid w:val="008E2F3E"/>
    <w:rsid w:val="008E3268"/>
    <w:rsid w:val="008E38FD"/>
    <w:rsid w:val="008E3DB4"/>
    <w:rsid w:val="008E4BC7"/>
    <w:rsid w:val="008E609F"/>
    <w:rsid w:val="008E6405"/>
    <w:rsid w:val="008E735C"/>
    <w:rsid w:val="008E7B6B"/>
    <w:rsid w:val="008E7C42"/>
    <w:rsid w:val="008F11B6"/>
    <w:rsid w:val="008F1219"/>
    <w:rsid w:val="008F14C1"/>
    <w:rsid w:val="008F17EC"/>
    <w:rsid w:val="008F2098"/>
    <w:rsid w:val="008F2819"/>
    <w:rsid w:val="008F2BA8"/>
    <w:rsid w:val="008F30D5"/>
    <w:rsid w:val="008F359C"/>
    <w:rsid w:val="008F3BE6"/>
    <w:rsid w:val="008F4B3E"/>
    <w:rsid w:val="008F5B33"/>
    <w:rsid w:val="008F5C1A"/>
    <w:rsid w:val="008F6979"/>
    <w:rsid w:val="008F6DDB"/>
    <w:rsid w:val="008F6E68"/>
    <w:rsid w:val="008F7247"/>
    <w:rsid w:val="008F7B27"/>
    <w:rsid w:val="008F7CC9"/>
    <w:rsid w:val="008FEBB2"/>
    <w:rsid w:val="00900658"/>
    <w:rsid w:val="009009CE"/>
    <w:rsid w:val="00900B78"/>
    <w:rsid w:val="00900EF4"/>
    <w:rsid w:val="00901406"/>
    <w:rsid w:val="00901527"/>
    <w:rsid w:val="009026BA"/>
    <w:rsid w:val="00902BC7"/>
    <w:rsid w:val="009035F0"/>
    <w:rsid w:val="0090360D"/>
    <w:rsid w:val="0090384B"/>
    <w:rsid w:val="009038B1"/>
    <w:rsid w:val="0090397A"/>
    <w:rsid w:val="00903FBB"/>
    <w:rsid w:val="00904A10"/>
    <w:rsid w:val="00905011"/>
    <w:rsid w:val="00905397"/>
    <w:rsid w:val="00906511"/>
    <w:rsid w:val="00906949"/>
    <w:rsid w:val="00906E48"/>
    <w:rsid w:val="00907D93"/>
    <w:rsid w:val="0091022A"/>
    <w:rsid w:val="0091055F"/>
    <w:rsid w:val="00910674"/>
    <w:rsid w:val="009111B3"/>
    <w:rsid w:val="009114DC"/>
    <w:rsid w:val="009119E9"/>
    <w:rsid w:val="00911C9C"/>
    <w:rsid w:val="00911EE6"/>
    <w:rsid w:val="009120E8"/>
    <w:rsid w:val="009129CC"/>
    <w:rsid w:val="009131AB"/>
    <w:rsid w:val="00914321"/>
    <w:rsid w:val="00915F1C"/>
    <w:rsid w:val="00916415"/>
    <w:rsid w:val="00916468"/>
    <w:rsid w:val="00916BCE"/>
    <w:rsid w:val="00916F81"/>
    <w:rsid w:val="00917ADA"/>
    <w:rsid w:val="00917B7E"/>
    <w:rsid w:val="0092045E"/>
    <w:rsid w:val="00921EDF"/>
    <w:rsid w:val="00921F66"/>
    <w:rsid w:val="00922314"/>
    <w:rsid w:val="009229FB"/>
    <w:rsid w:val="00923323"/>
    <w:rsid w:val="009237FB"/>
    <w:rsid w:val="00923C81"/>
    <w:rsid w:val="00924AE1"/>
    <w:rsid w:val="00925560"/>
    <w:rsid w:val="009262F2"/>
    <w:rsid w:val="00926C5B"/>
    <w:rsid w:val="009272AC"/>
    <w:rsid w:val="00927417"/>
    <w:rsid w:val="00927F88"/>
    <w:rsid w:val="00930A15"/>
    <w:rsid w:val="00930EB4"/>
    <w:rsid w:val="00931075"/>
    <w:rsid w:val="009311ED"/>
    <w:rsid w:val="00931545"/>
    <w:rsid w:val="00931C12"/>
    <w:rsid w:val="00932525"/>
    <w:rsid w:val="009326C6"/>
    <w:rsid w:val="00932C66"/>
    <w:rsid w:val="00932D04"/>
    <w:rsid w:val="00933298"/>
    <w:rsid w:val="00933326"/>
    <w:rsid w:val="009336F7"/>
    <w:rsid w:val="00934383"/>
    <w:rsid w:val="009344F1"/>
    <w:rsid w:val="00934CED"/>
    <w:rsid w:val="00935097"/>
    <w:rsid w:val="00935D7A"/>
    <w:rsid w:val="009362C4"/>
    <w:rsid w:val="009367FC"/>
    <w:rsid w:val="0093735B"/>
    <w:rsid w:val="00937679"/>
    <w:rsid w:val="00937EAE"/>
    <w:rsid w:val="0093E54D"/>
    <w:rsid w:val="009402F0"/>
    <w:rsid w:val="00940532"/>
    <w:rsid w:val="00940BD6"/>
    <w:rsid w:val="00940C7F"/>
    <w:rsid w:val="00940FC9"/>
    <w:rsid w:val="00941981"/>
    <w:rsid w:val="00941A74"/>
    <w:rsid w:val="00941B19"/>
    <w:rsid w:val="00941C8F"/>
    <w:rsid w:val="00942B3C"/>
    <w:rsid w:val="00942DB1"/>
    <w:rsid w:val="0094333C"/>
    <w:rsid w:val="00943730"/>
    <w:rsid w:val="00943EFF"/>
    <w:rsid w:val="009445FE"/>
    <w:rsid w:val="00944F9A"/>
    <w:rsid w:val="00945611"/>
    <w:rsid w:val="00945EB4"/>
    <w:rsid w:val="00946ABA"/>
    <w:rsid w:val="00946B5D"/>
    <w:rsid w:val="00946FA5"/>
    <w:rsid w:val="00947823"/>
    <w:rsid w:val="00947AA8"/>
    <w:rsid w:val="00947CCA"/>
    <w:rsid w:val="009503CE"/>
    <w:rsid w:val="0095090D"/>
    <w:rsid w:val="009509A3"/>
    <w:rsid w:val="00950D70"/>
    <w:rsid w:val="00950EA0"/>
    <w:rsid w:val="00951665"/>
    <w:rsid w:val="00951A78"/>
    <w:rsid w:val="00951B10"/>
    <w:rsid w:val="00953505"/>
    <w:rsid w:val="0095350C"/>
    <w:rsid w:val="0095381A"/>
    <w:rsid w:val="00953EC9"/>
    <w:rsid w:val="009545EA"/>
    <w:rsid w:val="00954A1F"/>
    <w:rsid w:val="00955804"/>
    <w:rsid w:val="0095607A"/>
    <w:rsid w:val="00956486"/>
    <w:rsid w:val="00956548"/>
    <w:rsid w:val="00956C6D"/>
    <w:rsid w:val="009570C9"/>
    <w:rsid w:val="0095713C"/>
    <w:rsid w:val="00957465"/>
    <w:rsid w:val="00957DCF"/>
    <w:rsid w:val="00960A33"/>
    <w:rsid w:val="00960A4B"/>
    <w:rsid w:val="00961532"/>
    <w:rsid w:val="0096196A"/>
    <w:rsid w:val="00961E30"/>
    <w:rsid w:val="00961E72"/>
    <w:rsid w:val="00963280"/>
    <w:rsid w:val="009632CE"/>
    <w:rsid w:val="00963874"/>
    <w:rsid w:val="00963883"/>
    <w:rsid w:val="00963C04"/>
    <w:rsid w:val="00963DF0"/>
    <w:rsid w:val="009640A5"/>
    <w:rsid w:val="00964AB8"/>
    <w:rsid w:val="00964C58"/>
    <w:rsid w:val="0096502A"/>
    <w:rsid w:val="00965405"/>
    <w:rsid w:val="0096577B"/>
    <w:rsid w:val="00965F7F"/>
    <w:rsid w:val="00967ACA"/>
    <w:rsid w:val="00970367"/>
    <w:rsid w:val="009705E9"/>
    <w:rsid w:val="00970B99"/>
    <w:rsid w:val="0097193D"/>
    <w:rsid w:val="00972058"/>
    <w:rsid w:val="0097217D"/>
    <w:rsid w:val="009727DE"/>
    <w:rsid w:val="00972C2A"/>
    <w:rsid w:val="00972CD2"/>
    <w:rsid w:val="00973CBD"/>
    <w:rsid w:val="00973CDE"/>
    <w:rsid w:val="009741CC"/>
    <w:rsid w:val="00974692"/>
    <w:rsid w:val="00974C89"/>
    <w:rsid w:val="00975292"/>
    <w:rsid w:val="0097554C"/>
    <w:rsid w:val="00975CA5"/>
    <w:rsid w:val="00976AEE"/>
    <w:rsid w:val="009776FA"/>
    <w:rsid w:val="00977961"/>
    <w:rsid w:val="00977EAE"/>
    <w:rsid w:val="009814D1"/>
    <w:rsid w:val="009819AB"/>
    <w:rsid w:val="00983880"/>
    <w:rsid w:val="00983A05"/>
    <w:rsid w:val="00983AED"/>
    <w:rsid w:val="00983B78"/>
    <w:rsid w:val="00984442"/>
    <w:rsid w:val="00985178"/>
    <w:rsid w:val="00985DCC"/>
    <w:rsid w:val="00985EA6"/>
    <w:rsid w:val="00986590"/>
    <w:rsid w:val="00986D9E"/>
    <w:rsid w:val="009871BA"/>
    <w:rsid w:val="00987280"/>
    <w:rsid w:val="00987B32"/>
    <w:rsid w:val="00987E7C"/>
    <w:rsid w:val="009909E6"/>
    <w:rsid w:val="00990AB8"/>
    <w:rsid w:val="0099101F"/>
    <w:rsid w:val="00991A62"/>
    <w:rsid w:val="00991E53"/>
    <w:rsid w:val="00992C76"/>
    <w:rsid w:val="00993785"/>
    <w:rsid w:val="009940FB"/>
    <w:rsid w:val="00994226"/>
    <w:rsid w:val="009944FE"/>
    <w:rsid w:val="0099467A"/>
    <w:rsid w:val="00994AE9"/>
    <w:rsid w:val="00994C1B"/>
    <w:rsid w:val="0099538B"/>
    <w:rsid w:val="00995D4A"/>
    <w:rsid w:val="00995D84"/>
    <w:rsid w:val="00996829"/>
    <w:rsid w:val="009969D6"/>
    <w:rsid w:val="009A016A"/>
    <w:rsid w:val="009A0B63"/>
    <w:rsid w:val="009A0E0A"/>
    <w:rsid w:val="009A1402"/>
    <w:rsid w:val="009A147B"/>
    <w:rsid w:val="009A17DC"/>
    <w:rsid w:val="009A23E8"/>
    <w:rsid w:val="009A2470"/>
    <w:rsid w:val="009A274E"/>
    <w:rsid w:val="009A2AEE"/>
    <w:rsid w:val="009A300E"/>
    <w:rsid w:val="009A3C3A"/>
    <w:rsid w:val="009A3DD2"/>
    <w:rsid w:val="009A3E76"/>
    <w:rsid w:val="009A44A7"/>
    <w:rsid w:val="009A4873"/>
    <w:rsid w:val="009A4D1B"/>
    <w:rsid w:val="009A5552"/>
    <w:rsid w:val="009A62E5"/>
    <w:rsid w:val="009A7103"/>
    <w:rsid w:val="009A715E"/>
    <w:rsid w:val="009A73D7"/>
    <w:rsid w:val="009B075A"/>
    <w:rsid w:val="009B09A4"/>
    <w:rsid w:val="009B09D2"/>
    <w:rsid w:val="009B0A2F"/>
    <w:rsid w:val="009B0AB2"/>
    <w:rsid w:val="009B13A0"/>
    <w:rsid w:val="009B170B"/>
    <w:rsid w:val="009B23CB"/>
    <w:rsid w:val="009B2858"/>
    <w:rsid w:val="009B2F3D"/>
    <w:rsid w:val="009B3079"/>
    <w:rsid w:val="009B3789"/>
    <w:rsid w:val="009B3B6F"/>
    <w:rsid w:val="009B40EE"/>
    <w:rsid w:val="009B44DD"/>
    <w:rsid w:val="009B4983"/>
    <w:rsid w:val="009B4D3B"/>
    <w:rsid w:val="009B4FA6"/>
    <w:rsid w:val="009B5447"/>
    <w:rsid w:val="009B5725"/>
    <w:rsid w:val="009B6281"/>
    <w:rsid w:val="009B6FF3"/>
    <w:rsid w:val="009B7942"/>
    <w:rsid w:val="009B79F6"/>
    <w:rsid w:val="009C01B8"/>
    <w:rsid w:val="009C0A51"/>
    <w:rsid w:val="009C1B1C"/>
    <w:rsid w:val="009C2557"/>
    <w:rsid w:val="009C37EB"/>
    <w:rsid w:val="009C3AFD"/>
    <w:rsid w:val="009C4DAE"/>
    <w:rsid w:val="009C4FEF"/>
    <w:rsid w:val="009C52EC"/>
    <w:rsid w:val="009C596B"/>
    <w:rsid w:val="009C5FB4"/>
    <w:rsid w:val="009C6989"/>
    <w:rsid w:val="009C6EC3"/>
    <w:rsid w:val="009C72BC"/>
    <w:rsid w:val="009C7D2F"/>
    <w:rsid w:val="009D015D"/>
    <w:rsid w:val="009D0416"/>
    <w:rsid w:val="009D042A"/>
    <w:rsid w:val="009D08BC"/>
    <w:rsid w:val="009D1235"/>
    <w:rsid w:val="009D218D"/>
    <w:rsid w:val="009D2870"/>
    <w:rsid w:val="009D2B54"/>
    <w:rsid w:val="009D3C91"/>
    <w:rsid w:val="009D47A7"/>
    <w:rsid w:val="009D49C7"/>
    <w:rsid w:val="009D4E37"/>
    <w:rsid w:val="009D50EE"/>
    <w:rsid w:val="009D50FF"/>
    <w:rsid w:val="009D575F"/>
    <w:rsid w:val="009D64FC"/>
    <w:rsid w:val="009D6B8F"/>
    <w:rsid w:val="009D7407"/>
    <w:rsid w:val="009D7592"/>
    <w:rsid w:val="009D7CFD"/>
    <w:rsid w:val="009E04D6"/>
    <w:rsid w:val="009E0866"/>
    <w:rsid w:val="009E0FDF"/>
    <w:rsid w:val="009E1976"/>
    <w:rsid w:val="009E1CD3"/>
    <w:rsid w:val="009E24CE"/>
    <w:rsid w:val="009E2734"/>
    <w:rsid w:val="009E273C"/>
    <w:rsid w:val="009E3EBC"/>
    <w:rsid w:val="009E43B8"/>
    <w:rsid w:val="009E47DD"/>
    <w:rsid w:val="009E4AD2"/>
    <w:rsid w:val="009E52D3"/>
    <w:rsid w:val="009E55D7"/>
    <w:rsid w:val="009E569F"/>
    <w:rsid w:val="009E5836"/>
    <w:rsid w:val="009E5F8A"/>
    <w:rsid w:val="009E605C"/>
    <w:rsid w:val="009E71BD"/>
    <w:rsid w:val="009F0824"/>
    <w:rsid w:val="009F0B73"/>
    <w:rsid w:val="009F1350"/>
    <w:rsid w:val="009F15B7"/>
    <w:rsid w:val="009F2379"/>
    <w:rsid w:val="009F2540"/>
    <w:rsid w:val="009F2B68"/>
    <w:rsid w:val="009F2C47"/>
    <w:rsid w:val="009F30D8"/>
    <w:rsid w:val="009F318A"/>
    <w:rsid w:val="009F327E"/>
    <w:rsid w:val="009F4394"/>
    <w:rsid w:val="009F5854"/>
    <w:rsid w:val="009F5E3D"/>
    <w:rsid w:val="009F5F21"/>
    <w:rsid w:val="009F611D"/>
    <w:rsid w:val="009F6423"/>
    <w:rsid w:val="009F7FE9"/>
    <w:rsid w:val="00A009C6"/>
    <w:rsid w:val="00A00B37"/>
    <w:rsid w:val="00A027AE"/>
    <w:rsid w:val="00A02A75"/>
    <w:rsid w:val="00A02CBE"/>
    <w:rsid w:val="00A02F91"/>
    <w:rsid w:val="00A03C92"/>
    <w:rsid w:val="00A040DF"/>
    <w:rsid w:val="00A04355"/>
    <w:rsid w:val="00A045D1"/>
    <w:rsid w:val="00A046C1"/>
    <w:rsid w:val="00A04C3A"/>
    <w:rsid w:val="00A05813"/>
    <w:rsid w:val="00A059D4"/>
    <w:rsid w:val="00A05B73"/>
    <w:rsid w:val="00A05D4E"/>
    <w:rsid w:val="00A0631B"/>
    <w:rsid w:val="00A06926"/>
    <w:rsid w:val="00A069C7"/>
    <w:rsid w:val="00A07161"/>
    <w:rsid w:val="00A07A84"/>
    <w:rsid w:val="00A104A4"/>
    <w:rsid w:val="00A11430"/>
    <w:rsid w:val="00A119AC"/>
    <w:rsid w:val="00A123FF"/>
    <w:rsid w:val="00A12AA5"/>
    <w:rsid w:val="00A12C22"/>
    <w:rsid w:val="00A12FA3"/>
    <w:rsid w:val="00A13CDE"/>
    <w:rsid w:val="00A14284"/>
    <w:rsid w:val="00A142F2"/>
    <w:rsid w:val="00A151B4"/>
    <w:rsid w:val="00A156B4"/>
    <w:rsid w:val="00A15B88"/>
    <w:rsid w:val="00A16D37"/>
    <w:rsid w:val="00A16EDB"/>
    <w:rsid w:val="00A175B3"/>
    <w:rsid w:val="00A17833"/>
    <w:rsid w:val="00A1796E"/>
    <w:rsid w:val="00A17A40"/>
    <w:rsid w:val="00A20E7E"/>
    <w:rsid w:val="00A20F5F"/>
    <w:rsid w:val="00A2120C"/>
    <w:rsid w:val="00A213CE"/>
    <w:rsid w:val="00A22D08"/>
    <w:rsid w:val="00A23076"/>
    <w:rsid w:val="00A23B59"/>
    <w:rsid w:val="00A24A62"/>
    <w:rsid w:val="00A25347"/>
    <w:rsid w:val="00A25847"/>
    <w:rsid w:val="00A2659C"/>
    <w:rsid w:val="00A27FF1"/>
    <w:rsid w:val="00A30377"/>
    <w:rsid w:val="00A30A99"/>
    <w:rsid w:val="00A30EF4"/>
    <w:rsid w:val="00A30F67"/>
    <w:rsid w:val="00A31076"/>
    <w:rsid w:val="00A312CA"/>
    <w:rsid w:val="00A317DF"/>
    <w:rsid w:val="00A31901"/>
    <w:rsid w:val="00A31B84"/>
    <w:rsid w:val="00A31C9F"/>
    <w:rsid w:val="00A321F9"/>
    <w:rsid w:val="00A32858"/>
    <w:rsid w:val="00A329B4"/>
    <w:rsid w:val="00A32B3B"/>
    <w:rsid w:val="00A33392"/>
    <w:rsid w:val="00A33D80"/>
    <w:rsid w:val="00A3421E"/>
    <w:rsid w:val="00A3423C"/>
    <w:rsid w:val="00A34894"/>
    <w:rsid w:val="00A353EB"/>
    <w:rsid w:val="00A35DD4"/>
    <w:rsid w:val="00A37397"/>
    <w:rsid w:val="00A37618"/>
    <w:rsid w:val="00A379AB"/>
    <w:rsid w:val="00A37D68"/>
    <w:rsid w:val="00A4045E"/>
    <w:rsid w:val="00A40BDC"/>
    <w:rsid w:val="00A40C9E"/>
    <w:rsid w:val="00A40D1E"/>
    <w:rsid w:val="00A40E7C"/>
    <w:rsid w:val="00A41299"/>
    <w:rsid w:val="00A413D1"/>
    <w:rsid w:val="00A4144F"/>
    <w:rsid w:val="00A41812"/>
    <w:rsid w:val="00A42569"/>
    <w:rsid w:val="00A42B79"/>
    <w:rsid w:val="00A42C70"/>
    <w:rsid w:val="00A4315E"/>
    <w:rsid w:val="00A43306"/>
    <w:rsid w:val="00A435BB"/>
    <w:rsid w:val="00A43FA3"/>
    <w:rsid w:val="00A4413F"/>
    <w:rsid w:val="00A4438E"/>
    <w:rsid w:val="00A443C3"/>
    <w:rsid w:val="00A44410"/>
    <w:rsid w:val="00A4478A"/>
    <w:rsid w:val="00A44BB7"/>
    <w:rsid w:val="00A44DD1"/>
    <w:rsid w:val="00A44E09"/>
    <w:rsid w:val="00A4512E"/>
    <w:rsid w:val="00A45827"/>
    <w:rsid w:val="00A46641"/>
    <w:rsid w:val="00A46D07"/>
    <w:rsid w:val="00A46E36"/>
    <w:rsid w:val="00A4708A"/>
    <w:rsid w:val="00A507FE"/>
    <w:rsid w:val="00A509F0"/>
    <w:rsid w:val="00A50ACB"/>
    <w:rsid w:val="00A50E3E"/>
    <w:rsid w:val="00A5140E"/>
    <w:rsid w:val="00A51ACA"/>
    <w:rsid w:val="00A5201E"/>
    <w:rsid w:val="00A52FA8"/>
    <w:rsid w:val="00A53420"/>
    <w:rsid w:val="00A53A51"/>
    <w:rsid w:val="00A53D0C"/>
    <w:rsid w:val="00A53D59"/>
    <w:rsid w:val="00A54BF2"/>
    <w:rsid w:val="00A54C6C"/>
    <w:rsid w:val="00A54DF3"/>
    <w:rsid w:val="00A554D1"/>
    <w:rsid w:val="00A55D2E"/>
    <w:rsid w:val="00A56AC4"/>
    <w:rsid w:val="00A577AF"/>
    <w:rsid w:val="00A60B58"/>
    <w:rsid w:val="00A610A0"/>
    <w:rsid w:val="00A619B2"/>
    <w:rsid w:val="00A61B4D"/>
    <w:rsid w:val="00A6207F"/>
    <w:rsid w:val="00A62289"/>
    <w:rsid w:val="00A624B5"/>
    <w:rsid w:val="00A6254C"/>
    <w:rsid w:val="00A625FB"/>
    <w:rsid w:val="00A62DC3"/>
    <w:rsid w:val="00A62F82"/>
    <w:rsid w:val="00A63103"/>
    <w:rsid w:val="00A63576"/>
    <w:rsid w:val="00A63A1B"/>
    <w:rsid w:val="00A64085"/>
    <w:rsid w:val="00A642B1"/>
    <w:rsid w:val="00A642EE"/>
    <w:rsid w:val="00A64762"/>
    <w:rsid w:val="00A6552C"/>
    <w:rsid w:val="00A66371"/>
    <w:rsid w:val="00A669AE"/>
    <w:rsid w:val="00A66B49"/>
    <w:rsid w:val="00A66F21"/>
    <w:rsid w:val="00A6724F"/>
    <w:rsid w:val="00A70469"/>
    <w:rsid w:val="00A70AE9"/>
    <w:rsid w:val="00A70BB3"/>
    <w:rsid w:val="00A724E9"/>
    <w:rsid w:val="00A72591"/>
    <w:rsid w:val="00A7299D"/>
    <w:rsid w:val="00A732E3"/>
    <w:rsid w:val="00A73F5B"/>
    <w:rsid w:val="00A74768"/>
    <w:rsid w:val="00A74BC5"/>
    <w:rsid w:val="00A757CC"/>
    <w:rsid w:val="00A758B0"/>
    <w:rsid w:val="00A79C15"/>
    <w:rsid w:val="00A80F95"/>
    <w:rsid w:val="00A817B0"/>
    <w:rsid w:val="00A85614"/>
    <w:rsid w:val="00A8597E"/>
    <w:rsid w:val="00A8681A"/>
    <w:rsid w:val="00A87880"/>
    <w:rsid w:val="00A87DA3"/>
    <w:rsid w:val="00A8DAF6"/>
    <w:rsid w:val="00A90044"/>
    <w:rsid w:val="00A9005A"/>
    <w:rsid w:val="00A902E1"/>
    <w:rsid w:val="00A90319"/>
    <w:rsid w:val="00A91795"/>
    <w:rsid w:val="00A919FB"/>
    <w:rsid w:val="00A924E3"/>
    <w:rsid w:val="00A92694"/>
    <w:rsid w:val="00A92B58"/>
    <w:rsid w:val="00A92FE5"/>
    <w:rsid w:val="00A93166"/>
    <w:rsid w:val="00A93FCB"/>
    <w:rsid w:val="00A9434D"/>
    <w:rsid w:val="00A950F1"/>
    <w:rsid w:val="00A952E1"/>
    <w:rsid w:val="00A955B6"/>
    <w:rsid w:val="00A957CA"/>
    <w:rsid w:val="00A95894"/>
    <w:rsid w:val="00A95DA1"/>
    <w:rsid w:val="00A968C7"/>
    <w:rsid w:val="00A96E1A"/>
    <w:rsid w:val="00A97292"/>
    <w:rsid w:val="00A97A78"/>
    <w:rsid w:val="00A97BF1"/>
    <w:rsid w:val="00A97FC1"/>
    <w:rsid w:val="00AA18C5"/>
    <w:rsid w:val="00AA25EA"/>
    <w:rsid w:val="00AA298A"/>
    <w:rsid w:val="00AA2B06"/>
    <w:rsid w:val="00AA315B"/>
    <w:rsid w:val="00AA38B7"/>
    <w:rsid w:val="00AA3965"/>
    <w:rsid w:val="00AA3F82"/>
    <w:rsid w:val="00AA4490"/>
    <w:rsid w:val="00AA4B1E"/>
    <w:rsid w:val="00AA4DBA"/>
    <w:rsid w:val="00AA579A"/>
    <w:rsid w:val="00AA6302"/>
    <w:rsid w:val="00AA63D8"/>
    <w:rsid w:val="00AA6EB0"/>
    <w:rsid w:val="00AA6FEF"/>
    <w:rsid w:val="00AA7002"/>
    <w:rsid w:val="00AA7404"/>
    <w:rsid w:val="00AA78AF"/>
    <w:rsid w:val="00AB2C41"/>
    <w:rsid w:val="00AB2FE9"/>
    <w:rsid w:val="00AB356B"/>
    <w:rsid w:val="00AB366A"/>
    <w:rsid w:val="00AB3DD9"/>
    <w:rsid w:val="00AB48A9"/>
    <w:rsid w:val="00AB578B"/>
    <w:rsid w:val="00AB6244"/>
    <w:rsid w:val="00AB6661"/>
    <w:rsid w:val="00AB6857"/>
    <w:rsid w:val="00AB68DE"/>
    <w:rsid w:val="00AB6E1E"/>
    <w:rsid w:val="00AB773B"/>
    <w:rsid w:val="00AB7A07"/>
    <w:rsid w:val="00AB7C4B"/>
    <w:rsid w:val="00AC0BAA"/>
    <w:rsid w:val="00AC0FED"/>
    <w:rsid w:val="00AC164A"/>
    <w:rsid w:val="00AC1A2A"/>
    <w:rsid w:val="00AC37B8"/>
    <w:rsid w:val="00AC3BAE"/>
    <w:rsid w:val="00AC3C8F"/>
    <w:rsid w:val="00AC40FD"/>
    <w:rsid w:val="00AC499C"/>
    <w:rsid w:val="00AC4C08"/>
    <w:rsid w:val="00AC4CE8"/>
    <w:rsid w:val="00AC5355"/>
    <w:rsid w:val="00AC58E3"/>
    <w:rsid w:val="00AC5D5A"/>
    <w:rsid w:val="00AC62C7"/>
    <w:rsid w:val="00AC6306"/>
    <w:rsid w:val="00AC6AAB"/>
    <w:rsid w:val="00AC71B8"/>
    <w:rsid w:val="00AC7B34"/>
    <w:rsid w:val="00AC7FC2"/>
    <w:rsid w:val="00AD048A"/>
    <w:rsid w:val="00AD0941"/>
    <w:rsid w:val="00AD0A00"/>
    <w:rsid w:val="00AD0B9C"/>
    <w:rsid w:val="00AD0C85"/>
    <w:rsid w:val="00AD14D3"/>
    <w:rsid w:val="00AD19AD"/>
    <w:rsid w:val="00AD2108"/>
    <w:rsid w:val="00AD291F"/>
    <w:rsid w:val="00AD3EA8"/>
    <w:rsid w:val="00AD409B"/>
    <w:rsid w:val="00AD5459"/>
    <w:rsid w:val="00AD552F"/>
    <w:rsid w:val="00AD5A17"/>
    <w:rsid w:val="00AD5C49"/>
    <w:rsid w:val="00AD5F3F"/>
    <w:rsid w:val="00AD6695"/>
    <w:rsid w:val="00AD71BD"/>
    <w:rsid w:val="00AD7C74"/>
    <w:rsid w:val="00AE0B16"/>
    <w:rsid w:val="00AE131E"/>
    <w:rsid w:val="00AE236D"/>
    <w:rsid w:val="00AE2A55"/>
    <w:rsid w:val="00AE3035"/>
    <w:rsid w:val="00AE40E5"/>
    <w:rsid w:val="00AE4193"/>
    <w:rsid w:val="00AE448A"/>
    <w:rsid w:val="00AE44AA"/>
    <w:rsid w:val="00AE57C1"/>
    <w:rsid w:val="00AE5D1C"/>
    <w:rsid w:val="00AE6063"/>
    <w:rsid w:val="00AE6175"/>
    <w:rsid w:val="00AE6C05"/>
    <w:rsid w:val="00AE6EE4"/>
    <w:rsid w:val="00AF1199"/>
    <w:rsid w:val="00AF13A3"/>
    <w:rsid w:val="00AF15E7"/>
    <w:rsid w:val="00AF1D97"/>
    <w:rsid w:val="00AF2050"/>
    <w:rsid w:val="00AF2057"/>
    <w:rsid w:val="00AF271A"/>
    <w:rsid w:val="00AF3632"/>
    <w:rsid w:val="00AF3A25"/>
    <w:rsid w:val="00AF3CC6"/>
    <w:rsid w:val="00AF50E2"/>
    <w:rsid w:val="00AF5B63"/>
    <w:rsid w:val="00AF6691"/>
    <w:rsid w:val="00AF671D"/>
    <w:rsid w:val="00AF724E"/>
    <w:rsid w:val="00AF72D9"/>
    <w:rsid w:val="00AF7337"/>
    <w:rsid w:val="00AF7EC2"/>
    <w:rsid w:val="00B006B8"/>
    <w:rsid w:val="00B00A5E"/>
    <w:rsid w:val="00B00C0A"/>
    <w:rsid w:val="00B01019"/>
    <w:rsid w:val="00B01FA9"/>
    <w:rsid w:val="00B023F3"/>
    <w:rsid w:val="00B0361E"/>
    <w:rsid w:val="00B0391E"/>
    <w:rsid w:val="00B03CA8"/>
    <w:rsid w:val="00B03E9D"/>
    <w:rsid w:val="00B04458"/>
    <w:rsid w:val="00B05582"/>
    <w:rsid w:val="00B055F6"/>
    <w:rsid w:val="00B05A5B"/>
    <w:rsid w:val="00B05E8B"/>
    <w:rsid w:val="00B0704E"/>
    <w:rsid w:val="00B070F3"/>
    <w:rsid w:val="00B0736D"/>
    <w:rsid w:val="00B1062D"/>
    <w:rsid w:val="00B111B7"/>
    <w:rsid w:val="00B11D11"/>
    <w:rsid w:val="00B12564"/>
    <w:rsid w:val="00B12F1D"/>
    <w:rsid w:val="00B13056"/>
    <w:rsid w:val="00B130B4"/>
    <w:rsid w:val="00B143BD"/>
    <w:rsid w:val="00B1541D"/>
    <w:rsid w:val="00B15467"/>
    <w:rsid w:val="00B1683F"/>
    <w:rsid w:val="00B170D4"/>
    <w:rsid w:val="00B17B26"/>
    <w:rsid w:val="00B17B4A"/>
    <w:rsid w:val="00B20A89"/>
    <w:rsid w:val="00B21D14"/>
    <w:rsid w:val="00B21E01"/>
    <w:rsid w:val="00B2222A"/>
    <w:rsid w:val="00B22583"/>
    <w:rsid w:val="00B238B4"/>
    <w:rsid w:val="00B240A3"/>
    <w:rsid w:val="00B241B9"/>
    <w:rsid w:val="00B24D12"/>
    <w:rsid w:val="00B24EDF"/>
    <w:rsid w:val="00B24FAD"/>
    <w:rsid w:val="00B254FC"/>
    <w:rsid w:val="00B25737"/>
    <w:rsid w:val="00B25890"/>
    <w:rsid w:val="00B26213"/>
    <w:rsid w:val="00B26267"/>
    <w:rsid w:val="00B2652B"/>
    <w:rsid w:val="00B272CE"/>
    <w:rsid w:val="00B273E6"/>
    <w:rsid w:val="00B275BE"/>
    <w:rsid w:val="00B2762A"/>
    <w:rsid w:val="00B27679"/>
    <w:rsid w:val="00B27C91"/>
    <w:rsid w:val="00B27CCC"/>
    <w:rsid w:val="00B301F9"/>
    <w:rsid w:val="00B303F3"/>
    <w:rsid w:val="00B311DA"/>
    <w:rsid w:val="00B314FD"/>
    <w:rsid w:val="00B3161A"/>
    <w:rsid w:val="00B31D18"/>
    <w:rsid w:val="00B32822"/>
    <w:rsid w:val="00B32D65"/>
    <w:rsid w:val="00B3341E"/>
    <w:rsid w:val="00B3348D"/>
    <w:rsid w:val="00B334DE"/>
    <w:rsid w:val="00B33A87"/>
    <w:rsid w:val="00B33C0A"/>
    <w:rsid w:val="00B3418D"/>
    <w:rsid w:val="00B345A3"/>
    <w:rsid w:val="00B34DC0"/>
    <w:rsid w:val="00B34E5C"/>
    <w:rsid w:val="00B34FBA"/>
    <w:rsid w:val="00B35A18"/>
    <w:rsid w:val="00B362FE"/>
    <w:rsid w:val="00B3666D"/>
    <w:rsid w:val="00B3698B"/>
    <w:rsid w:val="00B375C4"/>
    <w:rsid w:val="00B37C24"/>
    <w:rsid w:val="00B37F63"/>
    <w:rsid w:val="00B40525"/>
    <w:rsid w:val="00B4106F"/>
    <w:rsid w:val="00B41587"/>
    <w:rsid w:val="00B41E38"/>
    <w:rsid w:val="00B4223C"/>
    <w:rsid w:val="00B428B5"/>
    <w:rsid w:val="00B430E4"/>
    <w:rsid w:val="00B4376C"/>
    <w:rsid w:val="00B43E6D"/>
    <w:rsid w:val="00B4487C"/>
    <w:rsid w:val="00B44E7C"/>
    <w:rsid w:val="00B454EA"/>
    <w:rsid w:val="00B456FD"/>
    <w:rsid w:val="00B45DFE"/>
    <w:rsid w:val="00B45F6E"/>
    <w:rsid w:val="00B465FC"/>
    <w:rsid w:val="00B46EA1"/>
    <w:rsid w:val="00B4734B"/>
    <w:rsid w:val="00B47C62"/>
    <w:rsid w:val="00B5020B"/>
    <w:rsid w:val="00B50B95"/>
    <w:rsid w:val="00B50D29"/>
    <w:rsid w:val="00B50E9C"/>
    <w:rsid w:val="00B50F85"/>
    <w:rsid w:val="00B518CD"/>
    <w:rsid w:val="00B518D3"/>
    <w:rsid w:val="00B521C9"/>
    <w:rsid w:val="00B5365B"/>
    <w:rsid w:val="00B53E2D"/>
    <w:rsid w:val="00B54067"/>
    <w:rsid w:val="00B5417B"/>
    <w:rsid w:val="00B54DDC"/>
    <w:rsid w:val="00B55010"/>
    <w:rsid w:val="00B55E19"/>
    <w:rsid w:val="00B56633"/>
    <w:rsid w:val="00B56D13"/>
    <w:rsid w:val="00B572B6"/>
    <w:rsid w:val="00B57420"/>
    <w:rsid w:val="00B6003E"/>
    <w:rsid w:val="00B60D5B"/>
    <w:rsid w:val="00B621B7"/>
    <w:rsid w:val="00B62F77"/>
    <w:rsid w:val="00B6305D"/>
    <w:rsid w:val="00B6320A"/>
    <w:rsid w:val="00B6331B"/>
    <w:rsid w:val="00B63863"/>
    <w:rsid w:val="00B63BF0"/>
    <w:rsid w:val="00B64142"/>
    <w:rsid w:val="00B64302"/>
    <w:rsid w:val="00B64E4C"/>
    <w:rsid w:val="00B65019"/>
    <w:rsid w:val="00B65BA9"/>
    <w:rsid w:val="00B6691D"/>
    <w:rsid w:val="00B669AB"/>
    <w:rsid w:val="00B6734C"/>
    <w:rsid w:val="00B67637"/>
    <w:rsid w:val="00B70423"/>
    <w:rsid w:val="00B70A59"/>
    <w:rsid w:val="00B71669"/>
    <w:rsid w:val="00B716F0"/>
    <w:rsid w:val="00B719A9"/>
    <w:rsid w:val="00B72B33"/>
    <w:rsid w:val="00B7300A"/>
    <w:rsid w:val="00B73106"/>
    <w:rsid w:val="00B73559"/>
    <w:rsid w:val="00B737DC"/>
    <w:rsid w:val="00B73B61"/>
    <w:rsid w:val="00B75609"/>
    <w:rsid w:val="00B76338"/>
    <w:rsid w:val="00B7673A"/>
    <w:rsid w:val="00B76CA3"/>
    <w:rsid w:val="00B76F8C"/>
    <w:rsid w:val="00B7740F"/>
    <w:rsid w:val="00B774F8"/>
    <w:rsid w:val="00B77B0B"/>
    <w:rsid w:val="00B77BAD"/>
    <w:rsid w:val="00B77D2B"/>
    <w:rsid w:val="00B77F32"/>
    <w:rsid w:val="00B802A6"/>
    <w:rsid w:val="00B80313"/>
    <w:rsid w:val="00B80505"/>
    <w:rsid w:val="00B80AED"/>
    <w:rsid w:val="00B80DEB"/>
    <w:rsid w:val="00B8102B"/>
    <w:rsid w:val="00B810B5"/>
    <w:rsid w:val="00B81226"/>
    <w:rsid w:val="00B82F55"/>
    <w:rsid w:val="00B82FA4"/>
    <w:rsid w:val="00B83764"/>
    <w:rsid w:val="00B83E70"/>
    <w:rsid w:val="00B84113"/>
    <w:rsid w:val="00B8422F"/>
    <w:rsid w:val="00B85325"/>
    <w:rsid w:val="00B85561"/>
    <w:rsid w:val="00B85BC0"/>
    <w:rsid w:val="00B85D48"/>
    <w:rsid w:val="00B8667E"/>
    <w:rsid w:val="00B86FD1"/>
    <w:rsid w:val="00B8766B"/>
    <w:rsid w:val="00B91901"/>
    <w:rsid w:val="00B91ACE"/>
    <w:rsid w:val="00B928E8"/>
    <w:rsid w:val="00B92C7B"/>
    <w:rsid w:val="00B931BE"/>
    <w:rsid w:val="00B93259"/>
    <w:rsid w:val="00B941C8"/>
    <w:rsid w:val="00B94758"/>
    <w:rsid w:val="00B9481C"/>
    <w:rsid w:val="00B94915"/>
    <w:rsid w:val="00B94A08"/>
    <w:rsid w:val="00B94F9D"/>
    <w:rsid w:val="00B974AB"/>
    <w:rsid w:val="00B97A44"/>
    <w:rsid w:val="00BA1767"/>
    <w:rsid w:val="00BA18A0"/>
    <w:rsid w:val="00BA1A0E"/>
    <w:rsid w:val="00BA1FF8"/>
    <w:rsid w:val="00BA2365"/>
    <w:rsid w:val="00BA2498"/>
    <w:rsid w:val="00BA2C0F"/>
    <w:rsid w:val="00BA3530"/>
    <w:rsid w:val="00BA3B9E"/>
    <w:rsid w:val="00BA4021"/>
    <w:rsid w:val="00BA4AC7"/>
    <w:rsid w:val="00BA4B6D"/>
    <w:rsid w:val="00BA4F5D"/>
    <w:rsid w:val="00BA58D0"/>
    <w:rsid w:val="00BA5B70"/>
    <w:rsid w:val="00BA5CB6"/>
    <w:rsid w:val="00BA6404"/>
    <w:rsid w:val="00BA6737"/>
    <w:rsid w:val="00BA6F7C"/>
    <w:rsid w:val="00BA714F"/>
    <w:rsid w:val="00BA77E9"/>
    <w:rsid w:val="00BB1979"/>
    <w:rsid w:val="00BB2501"/>
    <w:rsid w:val="00BB26C5"/>
    <w:rsid w:val="00BB3EC5"/>
    <w:rsid w:val="00BB4A66"/>
    <w:rsid w:val="00BB5139"/>
    <w:rsid w:val="00BB603B"/>
    <w:rsid w:val="00BB64B3"/>
    <w:rsid w:val="00BB6596"/>
    <w:rsid w:val="00BB7911"/>
    <w:rsid w:val="00BB7919"/>
    <w:rsid w:val="00BC0342"/>
    <w:rsid w:val="00BC1792"/>
    <w:rsid w:val="00BC2F35"/>
    <w:rsid w:val="00BC31A6"/>
    <w:rsid w:val="00BC31BD"/>
    <w:rsid w:val="00BC33AA"/>
    <w:rsid w:val="00BC3472"/>
    <w:rsid w:val="00BC3815"/>
    <w:rsid w:val="00BC3FFD"/>
    <w:rsid w:val="00BC4CCA"/>
    <w:rsid w:val="00BC4D51"/>
    <w:rsid w:val="00BC4DCB"/>
    <w:rsid w:val="00BC4EEF"/>
    <w:rsid w:val="00BC5969"/>
    <w:rsid w:val="00BC599E"/>
    <w:rsid w:val="00BC5EE8"/>
    <w:rsid w:val="00BC656E"/>
    <w:rsid w:val="00BC6AC6"/>
    <w:rsid w:val="00BC7038"/>
    <w:rsid w:val="00BC7353"/>
    <w:rsid w:val="00BC73E6"/>
    <w:rsid w:val="00BC765E"/>
    <w:rsid w:val="00BC770D"/>
    <w:rsid w:val="00BC7880"/>
    <w:rsid w:val="00BD0535"/>
    <w:rsid w:val="00BD0715"/>
    <w:rsid w:val="00BD0BD1"/>
    <w:rsid w:val="00BD0C35"/>
    <w:rsid w:val="00BD157D"/>
    <w:rsid w:val="00BD1C5B"/>
    <w:rsid w:val="00BD1CD6"/>
    <w:rsid w:val="00BD2A08"/>
    <w:rsid w:val="00BD3332"/>
    <w:rsid w:val="00BD381A"/>
    <w:rsid w:val="00BD3911"/>
    <w:rsid w:val="00BD3A8E"/>
    <w:rsid w:val="00BD3BC4"/>
    <w:rsid w:val="00BD425B"/>
    <w:rsid w:val="00BD42E1"/>
    <w:rsid w:val="00BD4F81"/>
    <w:rsid w:val="00BD5695"/>
    <w:rsid w:val="00BD58C7"/>
    <w:rsid w:val="00BD5F49"/>
    <w:rsid w:val="00BD6257"/>
    <w:rsid w:val="00BD6B66"/>
    <w:rsid w:val="00BD6D49"/>
    <w:rsid w:val="00BD6DAF"/>
    <w:rsid w:val="00BD78BA"/>
    <w:rsid w:val="00BD7B41"/>
    <w:rsid w:val="00BE108D"/>
    <w:rsid w:val="00BE1590"/>
    <w:rsid w:val="00BE2499"/>
    <w:rsid w:val="00BE2644"/>
    <w:rsid w:val="00BE2926"/>
    <w:rsid w:val="00BE307E"/>
    <w:rsid w:val="00BE3CC8"/>
    <w:rsid w:val="00BE417C"/>
    <w:rsid w:val="00BE43E6"/>
    <w:rsid w:val="00BE548F"/>
    <w:rsid w:val="00BE5892"/>
    <w:rsid w:val="00BE5A45"/>
    <w:rsid w:val="00BE5E67"/>
    <w:rsid w:val="00BE6074"/>
    <w:rsid w:val="00BE660E"/>
    <w:rsid w:val="00BE6697"/>
    <w:rsid w:val="00BE67C5"/>
    <w:rsid w:val="00BF09DD"/>
    <w:rsid w:val="00BF0BC7"/>
    <w:rsid w:val="00BF2556"/>
    <w:rsid w:val="00BF2684"/>
    <w:rsid w:val="00BF2DB7"/>
    <w:rsid w:val="00BF30CF"/>
    <w:rsid w:val="00BF30D2"/>
    <w:rsid w:val="00BF3199"/>
    <w:rsid w:val="00BF324E"/>
    <w:rsid w:val="00BF369C"/>
    <w:rsid w:val="00BF37EC"/>
    <w:rsid w:val="00BF3B92"/>
    <w:rsid w:val="00BF4DE6"/>
    <w:rsid w:val="00BF4EBE"/>
    <w:rsid w:val="00BF5A0B"/>
    <w:rsid w:val="00BF62C0"/>
    <w:rsid w:val="00BF68B8"/>
    <w:rsid w:val="00BF6B1B"/>
    <w:rsid w:val="00C008B4"/>
    <w:rsid w:val="00C00931"/>
    <w:rsid w:val="00C00F8A"/>
    <w:rsid w:val="00C015AC"/>
    <w:rsid w:val="00C01A83"/>
    <w:rsid w:val="00C01B63"/>
    <w:rsid w:val="00C03173"/>
    <w:rsid w:val="00C034CF"/>
    <w:rsid w:val="00C04F0C"/>
    <w:rsid w:val="00C05DB6"/>
    <w:rsid w:val="00C061E9"/>
    <w:rsid w:val="00C06B13"/>
    <w:rsid w:val="00C07585"/>
    <w:rsid w:val="00C07917"/>
    <w:rsid w:val="00C10047"/>
    <w:rsid w:val="00C10E7E"/>
    <w:rsid w:val="00C11481"/>
    <w:rsid w:val="00C117A9"/>
    <w:rsid w:val="00C11DC5"/>
    <w:rsid w:val="00C127EE"/>
    <w:rsid w:val="00C12D03"/>
    <w:rsid w:val="00C136F6"/>
    <w:rsid w:val="00C142CD"/>
    <w:rsid w:val="00C14C39"/>
    <w:rsid w:val="00C14D97"/>
    <w:rsid w:val="00C150CA"/>
    <w:rsid w:val="00C15569"/>
    <w:rsid w:val="00C1562B"/>
    <w:rsid w:val="00C17484"/>
    <w:rsid w:val="00C17D0E"/>
    <w:rsid w:val="00C17DBE"/>
    <w:rsid w:val="00C20AA1"/>
    <w:rsid w:val="00C20C36"/>
    <w:rsid w:val="00C2146E"/>
    <w:rsid w:val="00C21636"/>
    <w:rsid w:val="00C21972"/>
    <w:rsid w:val="00C21D47"/>
    <w:rsid w:val="00C228EF"/>
    <w:rsid w:val="00C22A40"/>
    <w:rsid w:val="00C232C1"/>
    <w:rsid w:val="00C236C7"/>
    <w:rsid w:val="00C237E0"/>
    <w:rsid w:val="00C23A69"/>
    <w:rsid w:val="00C23AB4"/>
    <w:rsid w:val="00C23C67"/>
    <w:rsid w:val="00C23C95"/>
    <w:rsid w:val="00C2435D"/>
    <w:rsid w:val="00C24796"/>
    <w:rsid w:val="00C24A6D"/>
    <w:rsid w:val="00C24AE5"/>
    <w:rsid w:val="00C24DF2"/>
    <w:rsid w:val="00C24E7C"/>
    <w:rsid w:val="00C25C9A"/>
    <w:rsid w:val="00C25EF4"/>
    <w:rsid w:val="00C27B73"/>
    <w:rsid w:val="00C27D25"/>
    <w:rsid w:val="00C305BB"/>
    <w:rsid w:val="00C30890"/>
    <w:rsid w:val="00C30F80"/>
    <w:rsid w:val="00C31374"/>
    <w:rsid w:val="00C31521"/>
    <w:rsid w:val="00C318D9"/>
    <w:rsid w:val="00C31C4B"/>
    <w:rsid w:val="00C32A22"/>
    <w:rsid w:val="00C32DC6"/>
    <w:rsid w:val="00C33171"/>
    <w:rsid w:val="00C33B0A"/>
    <w:rsid w:val="00C349DD"/>
    <w:rsid w:val="00C35187"/>
    <w:rsid w:val="00C3595F"/>
    <w:rsid w:val="00C3598A"/>
    <w:rsid w:val="00C35CF1"/>
    <w:rsid w:val="00C3678C"/>
    <w:rsid w:val="00C36C09"/>
    <w:rsid w:val="00C36FD5"/>
    <w:rsid w:val="00C3705B"/>
    <w:rsid w:val="00C373F5"/>
    <w:rsid w:val="00C37A6D"/>
    <w:rsid w:val="00C4043D"/>
    <w:rsid w:val="00C410D2"/>
    <w:rsid w:val="00C41335"/>
    <w:rsid w:val="00C41371"/>
    <w:rsid w:val="00C416C9"/>
    <w:rsid w:val="00C419D0"/>
    <w:rsid w:val="00C41AE3"/>
    <w:rsid w:val="00C41C8E"/>
    <w:rsid w:val="00C42541"/>
    <w:rsid w:val="00C42CDE"/>
    <w:rsid w:val="00C43AC7"/>
    <w:rsid w:val="00C43B6B"/>
    <w:rsid w:val="00C43EF2"/>
    <w:rsid w:val="00C440EE"/>
    <w:rsid w:val="00C44120"/>
    <w:rsid w:val="00C45815"/>
    <w:rsid w:val="00C460CD"/>
    <w:rsid w:val="00C46623"/>
    <w:rsid w:val="00C46D83"/>
    <w:rsid w:val="00C47281"/>
    <w:rsid w:val="00C47F02"/>
    <w:rsid w:val="00C5097B"/>
    <w:rsid w:val="00C50B60"/>
    <w:rsid w:val="00C5109F"/>
    <w:rsid w:val="00C515B0"/>
    <w:rsid w:val="00C51731"/>
    <w:rsid w:val="00C5182A"/>
    <w:rsid w:val="00C51A44"/>
    <w:rsid w:val="00C51D2D"/>
    <w:rsid w:val="00C51DA4"/>
    <w:rsid w:val="00C524E6"/>
    <w:rsid w:val="00C543EE"/>
    <w:rsid w:val="00C5571B"/>
    <w:rsid w:val="00C55882"/>
    <w:rsid w:val="00C56448"/>
    <w:rsid w:val="00C56965"/>
    <w:rsid w:val="00C56F7E"/>
    <w:rsid w:val="00C57235"/>
    <w:rsid w:val="00C57287"/>
    <w:rsid w:val="00C57875"/>
    <w:rsid w:val="00C6002C"/>
    <w:rsid w:val="00C60196"/>
    <w:rsid w:val="00C60DE0"/>
    <w:rsid w:val="00C610EE"/>
    <w:rsid w:val="00C6196D"/>
    <w:rsid w:val="00C61BDE"/>
    <w:rsid w:val="00C61D81"/>
    <w:rsid w:val="00C620A6"/>
    <w:rsid w:val="00C6325F"/>
    <w:rsid w:val="00C63D79"/>
    <w:rsid w:val="00C63EE9"/>
    <w:rsid w:val="00C6448A"/>
    <w:rsid w:val="00C64DB4"/>
    <w:rsid w:val="00C65069"/>
    <w:rsid w:val="00C659FE"/>
    <w:rsid w:val="00C65D78"/>
    <w:rsid w:val="00C66757"/>
    <w:rsid w:val="00C676AF"/>
    <w:rsid w:val="00C67CD1"/>
    <w:rsid w:val="00C70211"/>
    <w:rsid w:val="00C707F1"/>
    <w:rsid w:val="00C7082D"/>
    <w:rsid w:val="00C71088"/>
    <w:rsid w:val="00C71148"/>
    <w:rsid w:val="00C7144E"/>
    <w:rsid w:val="00C71E9B"/>
    <w:rsid w:val="00C71EBB"/>
    <w:rsid w:val="00C72D0E"/>
    <w:rsid w:val="00C72F14"/>
    <w:rsid w:val="00C733DA"/>
    <w:rsid w:val="00C734A5"/>
    <w:rsid w:val="00C73733"/>
    <w:rsid w:val="00C73CD8"/>
    <w:rsid w:val="00C7406F"/>
    <w:rsid w:val="00C741C4"/>
    <w:rsid w:val="00C7446F"/>
    <w:rsid w:val="00C752B3"/>
    <w:rsid w:val="00C75326"/>
    <w:rsid w:val="00C760AA"/>
    <w:rsid w:val="00C766D0"/>
    <w:rsid w:val="00C77F57"/>
    <w:rsid w:val="00C80374"/>
    <w:rsid w:val="00C8099C"/>
    <w:rsid w:val="00C80C4D"/>
    <w:rsid w:val="00C810B6"/>
    <w:rsid w:val="00C81138"/>
    <w:rsid w:val="00C8151B"/>
    <w:rsid w:val="00C82125"/>
    <w:rsid w:val="00C82202"/>
    <w:rsid w:val="00C82463"/>
    <w:rsid w:val="00C825E4"/>
    <w:rsid w:val="00C82D4D"/>
    <w:rsid w:val="00C831B9"/>
    <w:rsid w:val="00C83275"/>
    <w:rsid w:val="00C8365C"/>
    <w:rsid w:val="00C8389D"/>
    <w:rsid w:val="00C85392"/>
    <w:rsid w:val="00C853F6"/>
    <w:rsid w:val="00C862BF"/>
    <w:rsid w:val="00C86BC4"/>
    <w:rsid w:val="00C86BED"/>
    <w:rsid w:val="00C87A4B"/>
    <w:rsid w:val="00C87EEC"/>
    <w:rsid w:val="00C902D9"/>
    <w:rsid w:val="00C9043B"/>
    <w:rsid w:val="00C90718"/>
    <w:rsid w:val="00C90958"/>
    <w:rsid w:val="00C90B65"/>
    <w:rsid w:val="00C90CC8"/>
    <w:rsid w:val="00C912DD"/>
    <w:rsid w:val="00C9148E"/>
    <w:rsid w:val="00C91672"/>
    <w:rsid w:val="00C91BBC"/>
    <w:rsid w:val="00C9230F"/>
    <w:rsid w:val="00C9343B"/>
    <w:rsid w:val="00C94188"/>
    <w:rsid w:val="00C94AAA"/>
    <w:rsid w:val="00C94F40"/>
    <w:rsid w:val="00C95A33"/>
    <w:rsid w:val="00C96479"/>
    <w:rsid w:val="00C967C4"/>
    <w:rsid w:val="00C96BD2"/>
    <w:rsid w:val="00C96CF5"/>
    <w:rsid w:val="00C97632"/>
    <w:rsid w:val="00C97896"/>
    <w:rsid w:val="00CA0296"/>
    <w:rsid w:val="00CA0837"/>
    <w:rsid w:val="00CA0C9B"/>
    <w:rsid w:val="00CA0FAE"/>
    <w:rsid w:val="00CA16EB"/>
    <w:rsid w:val="00CA16F3"/>
    <w:rsid w:val="00CA249D"/>
    <w:rsid w:val="00CA27FF"/>
    <w:rsid w:val="00CA2C21"/>
    <w:rsid w:val="00CA2F6C"/>
    <w:rsid w:val="00CA341F"/>
    <w:rsid w:val="00CA3720"/>
    <w:rsid w:val="00CA37B1"/>
    <w:rsid w:val="00CA3D5B"/>
    <w:rsid w:val="00CA432F"/>
    <w:rsid w:val="00CA5986"/>
    <w:rsid w:val="00CA5C5B"/>
    <w:rsid w:val="00CA5E15"/>
    <w:rsid w:val="00CA6C8C"/>
    <w:rsid w:val="00CA75E6"/>
    <w:rsid w:val="00CA7970"/>
    <w:rsid w:val="00CA7E1D"/>
    <w:rsid w:val="00CB015A"/>
    <w:rsid w:val="00CB018C"/>
    <w:rsid w:val="00CB15B3"/>
    <w:rsid w:val="00CB1959"/>
    <w:rsid w:val="00CB1AC2"/>
    <w:rsid w:val="00CB1FC1"/>
    <w:rsid w:val="00CB230B"/>
    <w:rsid w:val="00CB27DC"/>
    <w:rsid w:val="00CB2C54"/>
    <w:rsid w:val="00CB2E9C"/>
    <w:rsid w:val="00CB3516"/>
    <w:rsid w:val="00CB44E8"/>
    <w:rsid w:val="00CB4B08"/>
    <w:rsid w:val="00CB52E3"/>
    <w:rsid w:val="00CB6A2A"/>
    <w:rsid w:val="00CB71FF"/>
    <w:rsid w:val="00CB7911"/>
    <w:rsid w:val="00CC09A8"/>
    <w:rsid w:val="00CC0DD0"/>
    <w:rsid w:val="00CC110C"/>
    <w:rsid w:val="00CC14EE"/>
    <w:rsid w:val="00CC1A5A"/>
    <w:rsid w:val="00CC1DAD"/>
    <w:rsid w:val="00CC1E2E"/>
    <w:rsid w:val="00CC249A"/>
    <w:rsid w:val="00CC2C8B"/>
    <w:rsid w:val="00CC2D93"/>
    <w:rsid w:val="00CC3AE1"/>
    <w:rsid w:val="00CC3E4A"/>
    <w:rsid w:val="00CC45CD"/>
    <w:rsid w:val="00CC45DA"/>
    <w:rsid w:val="00CC4A3F"/>
    <w:rsid w:val="00CC5645"/>
    <w:rsid w:val="00CC58B2"/>
    <w:rsid w:val="00CC598C"/>
    <w:rsid w:val="00CC5A9A"/>
    <w:rsid w:val="00CC6747"/>
    <w:rsid w:val="00CC68B2"/>
    <w:rsid w:val="00CC694E"/>
    <w:rsid w:val="00CC6985"/>
    <w:rsid w:val="00CC6E0F"/>
    <w:rsid w:val="00CC741B"/>
    <w:rsid w:val="00CD057C"/>
    <w:rsid w:val="00CD0E4B"/>
    <w:rsid w:val="00CD13C9"/>
    <w:rsid w:val="00CD1541"/>
    <w:rsid w:val="00CD1B06"/>
    <w:rsid w:val="00CD307F"/>
    <w:rsid w:val="00CD3415"/>
    <w:rsid w:val="00CD3E09"/>
    <w:rsid w:val="00CD4148"/>
    <w:rsid w:val="00CD4F61"/>
    <w:rsid w:val="00CD5C5D"/>
    <w:rsid w:val="00CD649E"/>
    <w:rsid w:val="00CD651A"/>
    <w:rsid w:val="00CD6544"/>
    <w:rsid w:val="00CD6681"/>
    <w:rsid w:val="00CD6770"/>
    <w:rsid w:val="00CD6C30"/>
    <w:rsid w:val="00CD6D5D"/>
    <w:rsid w:val="00CD771C"/>
    <w:rsid w:val="00CE0511"/>
    <w:rsid w:val="00CE08E8"/>
    <w:rsid w:val="00CE0B65"/>
    <w:rsid w:val="00CE12A1"/>
    <w:rsid w:val="00CE236F"/>
    <w:rsid w:val="00CE2884"/>
    <w:rsid w:val="00CE2D6C"/>
    <w:rsid w:val="00CE32F5"/>
    <w:rsid w:val="00CE3491"/>
    <w:rsid w:val="00CE42E8"/>
    <w:rsid w:val="00CE432F"/>
    <w:rsid w:val="00CE4C89"/>
    <w:rsid w:val="00CE5298"/>
    <w:rsid w:val="00CE5FF3"/>
    <w:rsid w:val="00CE65B4"/>
    <w:rsid w:val="00CE67F6"/>
    <w:rsid w:val="00CE712B"/>
    <w:rsid w:val="00CE7571"/>
    <w:rsid w:val="00CE7D94"/>
    <w:rsid w:val="00CEE26D"/>
    <w:rsid w:val="00CF030A"/>
    <w:rsid w:val="00CF031D"/>
    <w:rsid w:val="00CF0522"/>
    <w:rsid w:val="00CF06C1"/>
    <w:rsid w:val="00CF0722"/>
    <w:rsid w:val="00CF07BA"/>
    <w:rsid w:val="00CF0888"/>
    <w:rsid w:val="00CF13C3"/>
    <w:rsid w:val="00CF2202"/>
    <w:rsid w:val="00CF2261"/>
    <w:rsid w:val="00CF3132"/>
    <w:rsid w:val="00CF3B3B"/>
    <w:rsid w:val="00CF6177"/>
    <w:rsid w:val="00CF7666"/>
    <w:rsid w:val="00CF7CB5"/>
    <w:rsid w:val="00D004B5"/>
    <w:rsid w:val="00D008AA"/>
    <w:rsid w:val="00D014DB"/>
    <w:rsid w:val="00D01A7E"/>
    <w:rsid w:val="00D01F1B"/>
    <w:rsid w:val="00D0253A"/>
    <w:rsid w:val="00D0296C"/>
    <w:rsid w:val="00D02D94"/>
    <w:rsid w:val="00D043AE"/>
    <w:rsid w:val="00D04AE9"/>
    <w:rsid w:val="00D04D33"/>
    <w:rsid w:val="00D053F8"/>
    <w:rsid w:val="00D0575A"/>
    <w:rsid w:val="00D06152"/>
    <w:rsid w:val="00D07063"/>
    <w:rsid w:val="00D07DFE"/>
    <w:rsid w:val="00D107D3"/>
    <w:rsid w:val="00D10BB3"/>
    <w:rsid w:val="00D10CB0"/>
    <w:rsid w:val="00D11272"/>
    <w:rsid w:val="00D11A34"/>
    <w:rsid w:val="00D11E3F"/>
    <w:rsid w:val="00D13336"/>
    <w:rsid w:val="00D13B4C"/>
    <w:rsid w:val="00D13D3A"/>
    <w:rsid w:val="00D13FD7"/>
    <w:rsid w:val="00D14038"/>
    <w:rsid w:val="00D1435E"/>
    <w:rsid w:val="00D1443C"/>
    <w:rsid w:val="00D15B3F"/>
    <w:rsid w:val="00D16FEE"/>
    <w:rsid w:val="00D1740A"/>
    <w:rsid w:val="00D1784F"/>
    <w:rsid w:val="00D17B90"/>
    <w:rsid w:val="00D17D15"/>
    <w:rsid w:val="00D2002E"/>
    <w:rsid w:val="00D20206"/>
    <w:rsid w:val="00D206BE"/>
    <w:rsid w:val="00D20714"/>
    <w:rsid w:val="00D2084F"/>
    <w:rsid w:val="00D210C8"/>
    <w:rsid w:val="00D215A9"/>
    <w:rsid w:val="00D21607"/>
    <w:rsid w:val="00D21915"/>
    <w:rsid w:val="00D2224D"/>
    <w:rsid w:val="00D22915"/>
    <w:rsid w:val="00D22A12"/>
    <w:rsid w:val="00D2326B"/>
    <w:rsid w:val="00D23A78"/>
    <w:rsid w:val="00D24412"/>
    <w:rsid w:val="00D248DB"/>
    <w:rsid w:val="00D2587F"/>
    <w:rsid w:val="00D26557"/>
    <w:rsid w:val="00D26CE3"/>
    <w:rsid w:val="00D26E20"/>
    <w:rsid w:val="00D307D2"/>
    <w:rsid w:val="00D30B75"/>
    <w:rsid w:val="00D30F31"/>
    <w:rsid w:val="00D31130"/>
    <w:rsid w:val="00D312E9"/>
    <w:rsid w:val="00D31AD7"/>
    <w:rsid w:val="00D320D5"/>
    <w:rsid w:val="00D3221B"/>
    <w:rsid w:val="00D32D6F"/>
    <w:rsid w:val="00D333CA"/>
    <w:rsid w:val="00D35AD7"/>
    <w:rsid w:val="00D35DA1"/>
    <w:rsid w:val="00D36D0D"/>
    <w:rsid w:val="00D37447"/>
    <w:rsid w:val="00D37B04"/>
    <w:rsid w:val="00D37D55"/>
    <w:rsid w:val="00D40640"/>
    <w:rsid w:val="00D40B8E"/>
    <w:rsid w:val="00D424C0"/>
    <w:rsid w:val="00D433BB"/>
    <w:rsid w:val="00D436A1"/>
    <w:rsid w:val="00D43E77"/>
    <w:rsid w:val="00D445FD"/>
    <w:rsid w:val="00D44D80"/>
    <w:rsid w:val="00D45CB0"/>
    <w:rsid w:val="00D45D36"/>
    <w:rsid w:val="00D46317"/>
    <w:rsid w:val="00D46D46"/>
    <w:rsid w:val="00D46DC7"/>
    <w:rsid w:val="00D46DCF"/>
    <w:rsid w:val="00D46F19"/>
    <w:rsid w:val="00D47290"/>
    <w:rsid w:val="00D474C9"/>
    <w:rsid w:val="00D50C95"/>
    <w:rsid w:val="00D5115B"/>
    <w:rsid w:val="00D512B0"/>
    <w:rsid w:val="00D5141A"/>
    <w:rsid w:val="00D517E5"/>
    <w:rsid w:val="00D51C54"/>
    <w:rsid w:val="00D5200F"/>
    <w:rsid w:val="00D528F2"/>
    <w:rsid w:val="00D53750"/>
    <w:rsid w:val="00D53C94"/>
    <w:rsid w:val="00D53DD1"/>
    <w:rsid w:val="00D53E19"/>
    <w:rsid w:val="00D540C6"/>
    <w:rsid w:val="00D541A2"/>
    <w:rsid w:val="00D543EB"/>
    <w:rsid w:val="00D5443D"/>
    <w:rsid w:val="00D55656"/>
    <w:rsid w:val="00D55D7A"/>
    <w:rsid w:val="00D56437"/>
    <w:rsid w:val="00D56E2B"/>
    <w:rsid w:val="00D56EF0"/>
    <w:rsid w:val="00D57966"/>
    <w:rsid w:val="00D57976"/>
    <w:rsid w:val="00D60C50"/>
    <w:rsid w:val="00D613B1"/>
    <w:rsid w:val="00D61B74"/>
    <w:rsid w:val="00D61D24"/>
    <w:rsid w:val="00D626B3"/>
    <w:rsid w:val="00D627BF"/>
    <w:rsid w:val="00D62E80"/>
    <w:rsid w:val="00D62F47"/>
    <w:rsid w:val="00D6307D"/>
    <w:rsid w:val="00D630A8"/>
    <w:rsid w:val="00D64BD1"/>
    <w:rsid w:val="00D6504F"/>
    <w:rsid w:val="00D65177"/>
    <w:rsid w:val="00D66219"/>
    <w:rsid w:val="00D66692"/>
    <w:rsid w:val="00D6691F"/>
    <w:rsid w:val="00D675A8"/>
    <w:rsid w:val="00D679B5"/>
    <w:rsid w:val="00D67E23"/>
    <w:rsid w:val="00D67FD1"/>
    <w:rsid w:val="00D70B4D"/>
    <w:rsid w:val="00D714CC"/>
    <w:rsid w:val="00D71541"/>
    <w:rsid w:val="00D7168A"/>
    <w:rsid w:val="00D71B95"/>
    <w:rsid w:val="00D71C4F"/>
    <w:rsid w:val="00D71D07"/>
    <w:rsid w:val="00D71E38"/>
    <w:rsid w:val="00D722F3"/>
    <w:rsid w:val="00D724C5"/>
    <w:rsid w:val="00D72628"/>
    <w:rsid w:val="00D7262C"/>
    <w:rsid w:val="00D72677"/>
    <w:rsid w:val="00D734FF"/>
    <w:rsid w:val="00D7369E"/>
    <w:rsid w:val="00D7400B"/>
    <w:rsid w:val="00D742F4"/>
    <w:rsid w:val="00D74585"/>
    <w:rsid w:val="00D749F1"/>
    <w:rsid w:val="00D754B6"/>
    <w:rsid w:val="00D75656"/>
    <w:rsid w:val="00D759A9"/>
    <w:rsid w:val="00D7649E"/>
    <w:rsid w:val="00D76EE5"/>
    <w:rsid w:val="00D76F95"/>
    <w:rsid w:val="00D77356"/>
    <w:rsid w:val="00D77A4C"/>
    <w:rsid w:val="00D8116F"/>
    <w:rsid w:val="00D8178D"/>
    <w:rsid w:val="00D82646"/>
    <w:rsid w:val="00D82657"/>
    <w:rsid w:val="00D841FB"/>
    <w:rsid w:val="00D84E0A"/>
    <w:rsid w:val="00D851B5"/>
    <w:rsid w:val="00D8581A"/>
    <w:rsid w:val="00D85B5B"/>
    <w:rsid w:val="00D86693"/>
    <w:rsid w:val="00D86FD4"/>
    <w:rsid w:val="00D87356"/>
    <w:rsid w:val="00D8768B"/>
    <w:rsid w:val="00D878EE"/>
    <w:rsid w:val="00D90A44"/>
    <w:rsid w:val="00D92130"/>
    <w:rsid w:val="00D92254"/>
    <w:rsid w:val="00D92541"/>
    <w:rsid w:val="00D92775"/>
    <w:rsid w:val="00D92ED6"/>
    <w:rsid w:val="00D930E2"/>
    <w:rsid w:val="00D940F7"/>
    <w:rsid w:val="00D947E2"/>
    <w:rsid w:val="00D95075"/>
    <w:rsid w:val="00D95550"/>
    <w:rsid w:val="00D95AB1"/>
    <w:rsid w:val="00D95BB5"/>
    <w:rsid w:val="00D96E17"/>
    <w:rsid w:val="00D97AA5"/>
    <w:rsid w:val="00DA0EC5"/>
    <w:rsid w:val="00DA10C2"/>
    <w:rsid w:val="00DA14CB"/>
    <w:rsid w:val="00DA25ED"/>
    <w:rsid w:val="00DA2CB6"/>
    <w:rsid w:val="00DA332B"/>
    <w:rsid w:val="00DA3646"/>
    <w:rsid w:val="00DA3961"/>
    <w:rsid w:val="00DA410F"/>
    <w:rsid w:val="00DA509A"/>
    <w:rsid w:val="00DA5454"/>
    <w:rsid w:val="00DA57F2"/>
    <w:rsid w:val="00DA5ABF"/>
    <w:rsid w:val="00DA603D"/>
    <w:rsid w:val="00DA67E6"/>
    <w:rsid w:val="00DA6C5F"/>
    <w:rsid w:val="00DA6E8B"/>
    <w:rsid w:val="00DA7161"/>
    <w:rsid w:val="00DA7184"/>
    <w:rsid w:val="00DA7705"/>
    <w:rsid w:val="00DA776F"/>
    <w:rsid w:val="00DA7D6D"/>
    <w:rsid w:val="00DB058C"/>
    <w:rsid w:val="00DB0781"/>
    <w:rsid w:val="00DB08E5"/>
    <w:rsid w:val="00DB1972"/>
    <w:rsid w:val="00DB1E1B"/>
    <w:rsid w:val="00DB1E88"/>
    <w:rsid w:val="00DB248C"/>
    <w:rsid w:val="00DB2B3F"/>
    <w:rsid w:val="00DB2DF6"/>
    <w:rsid w:val="00DB32EF"/>
    <w:rsid w:val="00DB36EE"/>
    <w:rsid w:val="00DB4019"/>
    <w:rsid w:val="00DB4621"/>
    <w:rsid w:val="00DB46CD"/>
    <w:rsid w:val="00DB5A92"/>
    <w:rsid w:val="00DB60AF"/>
    <w:rsid w:val="00DB6956"/>
    <w:rsid w:val="00DB70A7"/>
    <w:rsid w:val="00DB7AAA"/>
    <w:rsid w:val="00DC0074"/>
    <w:rsid w:val="00DC0746"/>
    <w:rsid w:val="00DC1322"/>
    <w:rsid w:val="00DC1542"/>
    <w:rsid w:val="00DC1CC3"/>
    <w:rsid w:val="00DC1E44"/>
    <w:rsid w:val="00DC2017"/>
    <w:rsid w:val="00DC27EF"/>
    <w:rsid w:val="00DC2878"/>
    <w:rsid w:val="00DC2C88"/>
    <w:rsid w:val="00DC376D"/>
    <w:rsid w:val="00DC3D77"/>
    <w:rsid w:val="00DC3FE7"/>
    <w:rsid w:val="00DC49AE"/>
    <w:rsid w:val="00DC5422"/>
    <w:rsid w:val="00DC5E86"/>
    <w:rsid w:val="00DC6275"/>
    <w:rsid w:val="00DC6665"/>
    <w:rsid w:val="00DC6AEE"/>
    <w:rsid w:val="00DC7545"/>
    <w:rsid w:val="00DC78A4"/>
    <w:rsid w:val="00DC7EA2"/>
    <w:rsid w:val="00DC7F27"/>
    <w:rsid w:val="00DD07D6"/>
    <w:rsid w:val="00DD0C00"/>
    <w:rsid w:val="00DD1026"/>
    <w:rsid w:val="00DD16BE"/>
    <w:rsid w:val="00DD1BDC"/>
    <w:rsid w:val="00DD22CC"/>
    <w:rsid w:val="00DD2C82"/>
    <w:rsid w:val="00DD3C64"/>
    <w:rsid w:val="00DD4375"/>
    <w:rsid w:val="00DD44C5"/>
    <w:rsid w:val="00DD64FD"/>
    <w:rsid w:val="00DD7498"/>
    <w:rsid w:val="00DD7E28"/>
    <w:rsid w:val="00DE0068"/>
    <w:rsid w:val="00DE0358"/>
    <w:rsid w:val="00DE037E"/>
    <w:rsid w:val="00DE0827"/>
    <w:rsid w:val="00DE084C"/>
    <w:rsid w:val="00DE0DF9"/>
    <w:rsid w:val="00DE1843"/>
    <w:rsid w:val="00DE1BAD"/>
    <w:rsid w:val="00DE1FFB"/>
    <w:rsid w:val="00DE2131"/>
    <w:rsid w:val="00DE225D"/>
    <w:rsid w:val="00DE26CD"/>
    <w:rsid w:val="00DE317C"/>
    <w:rsid w:val="00DE3454"/>
    <w:rsid w:val="00DE34B2"/>
    <w:rsid w:val="00DE3732"/>
    <w:rsid w:val="00DE4220"/>
    <w:rsid w:val="00DE5685"/>
    <w:rsid w:val="00DE56C4"/>
    <w:rsid w:val="00DE6123"/>
    <w:rsid w:val="00DE6905"/>
    <w:rsid w:val="00DE7F45"/>
    <w:rsid w:val="00DEF956"/>
    <w:rsid w:val="00DF039E"/>
    <w:rsid w:val="00DF09DC"/>
    <w:rsid w:val="00DF0BFB"/>
    <w:rsid w:val="00DF18A9"/>
    <w:rsid w:val="00DF1A7C"/>
    <w:rsid w:val="00DF213A"/>
    <w:rsid w:val="00DF26C4"/>
    <w:rsid w:val="00DF2E46"/>
    <w:rsid w:val="00DF368C"/>
    <w:rsid w:val="00DF3BA4"/>
    <w:rsid w:val="00DF4445"/>
    <w:rsid w:val="00DF4983"/>
    <w:rsid w:val="00DF4CA2"/>
    <w:rsid w:val="00DF4F78"/>
    <w:rsid w:val="00DF66AF"/>
    <w:rsid w:val="00DF686C"/>
    <w:rsid w:val="00DF70A2"/>
    <w:rsid w:val="00DF7A97"/>
    <w:rsid w:val="00DF7B51"/>
    <w:rsid w:val="00E00169"/>
    <w:rsid w:val="00E0068C"/>
    <w:rsid w:val="00E01A1E"/>
    <w:rsid w:val="00E01C2A"/>
    <w:rsid w:val="00E02E19"/>
    <w:rsid w:val="00E03C5E"/>
    <w:rsid w:val="00E03D50"/>
    <w:rsid w:val="00E04352"/>
    <w:rsid w:val="00E04580"/>
    <w:rsid w:val="00E051DC"/>
    <w:rsid w:val="00E051F4"/>
    <w:rsid w:val="00E06221"/>
    <w:rsid w:val="00E07869"/>
    <w:rsid w:val="00E07C35"/>
    <w:rsid w:val="00E10823"/>
    <w:rsid w:val="00E10E85"/>
    <w:rsid w:val="00E10FF9"/>
    <w:rsid w:val="00E1130D"/>
    <w:rsid w:val="00E11ADD"/>
    <w:rsid w:val="00E11FF3"/>
    <w:rsid w:val="00E11FFF"/>
    <w:rsid w:val="00E1208E"/>
    <w:rsid w:val="00E123C8"/>
    <w:rsid w:val="00E1292C"/>
    <w:rsid w:val="00E14065"/>
    <w:rsid w:val="00E14528"/>
    <w:rsid w:val="00E1476B"/>
    <w:rsid w:val="00E14BBF"/>
    <w:rsid w:val="00E14C66"/>
    <w:rsid w:val="00E14F51"/>
    <w:rsid w:val="00E15E8A"/>
    <w:rsid w:val="00E16409"/>
    <w:rsid w:val="00E1669E"/>
    <w:rsid w:val="00E171C2"/>
    <w:rsid w:val="00E172C1"/>
    <w:rsid w:val="00E206D4"/>
    <w:rsid w:val="00E2079A"/>
    <w:rsid w:val="00E21C1E"/>
    <w:rsid w:val="00E21FBA"/>
    <w:rsid w:val="00E221EC"/>
    <w:rsid w:val="00E22552"/>
    <w:rsid w:val="00E2339C"/>
    <w:rsid w:val="00E23808"/>
    <w:rsid w:val="00E23B73"/>
    <w:rsid w:val="00E23D36"/>
    <w:rsid w:val="00E24454"/>
    <w:rsid w:val="00E2540A"/>
    <w:rsid w:val="00E25824"/>
    <w:rsid w:val="00E25CE3"/>
    <w:rsid w:val="00E26515"/>
    <w:rsid w:val="00E26870"/>
    <w:rsid w:val="00E27AB9"/>
    <w:rsid w:val="00E27C5F"/>
    <w:rsid w:val="00E27CCC"/>
    <w:rsid w:val="00E30187"/>
    <w:rsid w:val="00E301A0"/>
    <w:rsid w:val="00E3154F"/>
    <w:rsid w:val="00E31876"/>
    <w:rsid w:val="00E32002"/>
    <w:rsid w:val="00E3285D"/>
    <w:rsid w:val="00E3317D"/>
    <w:rsid w:val="00E34985"/>
    <w:rsid w:val="00E34C96"/>
    <w:rsid w:val="00E34CDE"/>
    <w:rsid w:val="00E35254"/>
    <w:rsid w:val="00E357B7"/>
    <w:rsid w:val="00E3641F"/>
    <w:rsid w:val="00E36E2B"/>
    <w:rsid w:val="00E37BC8"/>
    <w:rsid w:val="00E4011D"/>
    <w:rsid w:val="00E40CEC"/>
    <w:rsid w:val="00E4107B"/>
    <w:rsid w:val="00E41256"/>
    <w:rsid w:val="00E416CA"/>
    <w:rsid w:val="00E426F8"/>
    <w:rsid w:val="00E4273E"/>
    <w:rsid w:val="00E42D39"/>
    <w:rsid w:val="00E43148"/>
    <w:rsid w:val="00E436BA"/>
    <w:rsid w:val="00E4546C"/>
    <w:rsid w:val="00E4594B"/>
    <w:rsid w:val="00E45DD3"/>
    <w:rsid w:val="00E460E9"/>
    <w:rsid w:val="00E461E6"/>
    <w:rsid w:val="00E46440"/>
    <w:rsid w:val="00E465FE"/>
    <w:rsid w:val="00E467E4"/>
    <w:rsid w:val="00E47F4B"/>
    <w:rsid w:val="00E50358"/>
    <w:rsid w:val="00E50A43"/>
    <w:rsid w:val="00E51856"/>
    <w:rsid w:val="00E51D14"/>
    <w:rsid w:val="00E524BB"/>
    <w:rsid w:val="00E52B0F"/>
    <w:rsid w:val="00E52B3A"/>
    <w:rsid w:val="00E52F87"/>
    <w:rsid w:val="00E5325A"/>
    <w:rsid w:val="00E5340A"/>
    <w:rsid w:val="00E53800"/>
    <w:rsid w:val="00E53988"/>
    <w:rsid w:val="00E54D0D"/>
    <w:rsid w:val="00E55339"/>
    <w:rsid w:val="00E558CA"/>
    <w:rsid w:val="00E562DA"/>
    <w:rsid w:val="00E56499"/>
    <w:rsid w:val="00E569A5"/>
    <w:rsid w:val="00E57988"/>
    <w:rsid w:val="00E6008D"/>
    <w:rsid w:val="00E6081F"/>
    <w:rsid w:val="00E6086F"/>
    <w:rsid w:val="00E60C0B"/>
    <w:rsid w:val="00E60E12"/>
    <w:rsid w:val="00E615D6"/>
    <w:rsid w:val="00E63696"/>
    <w:rsid w:val="00E6383B"/>
    <w:rsid w:val="00E63B68"/>
    <w:rsid w:val="00E63CBE"/>
    <w:rsid w:val="00E63F4A"/>
    <w:rsid w:val="00E64174"/>
    <w:rsid w:val="00E64201"/>
    <w:rsid w:val="00E6454D"/>
    <w:rsid w:val="00E65117"/>
    <w:rsid w:val="00E651BA"/>
    <w:rsid w:val="00E6520F"/>
    <w:rsid w:val="00E65B1E"/>
    <w:rsid w:val="00E65D83"/>
    <w:rsid w:val="00E66959"/>
    <w:rsid w:val="00E669FA"/>
    <w:rsid w:val="00E679A5"/>
    <w:rsid w:val="00E67B74"/>
    <w:rsid w:val="00E70594"/>
    <w:rsid w:val="00E70952"/>
    <w:rsid w:val="00E71165"/>
    <w:rsid w:val="00E71F14"/>
    <w:rsid w:val="00E720B7"/>
    <w:rsid w:val="00E725A3"/>
    <w:rsid w:val="00E726C0"/>
    <w:rsid w:val="00E72D8B"/>
    <w:rsid w:val="00E73520"/>
    <w:rsid w:val="00E73B02"/>
    <w:rsid w:val="00E73B1C"/>
    <w:rsid w:val="00E7413D"/>
    <w:rsid w:val="00E76BF0"/>
    <w:rsid w:val="00E77A8B"/>
    <w:rsid w:val="00E80284"/>
    <w:rsid w:val="00E809CD"/>
    <w:rsid w:val="00E80FE5"/>
    <w:rsid w:val="00E81549"/>
    <w:rsid w:val="00E81DAB"/>
    <w:rsid w:val="00E81E50"/>
    <w:rsid w:val="00E8255F"/>
    <w:rsid w:val="00E8296D"/>
    <w:rsid w:val="00E82CD1"/>
    <w:rsid w:val="00E831B6"/>
    <w:rsid w:val="00E83259"/>
    <w:rsid w:val="00E83B73"/>
    <w:rsid w:val="00E83F39"/>
    <w:rsid w:val="00E84447"/>
    <w:rsid w:val="00E8444A"/>
    <w:rsid w:val="00E844A1"/>
    <w:rsid w:val="00E8457B"/>
    <w:rsid w:val="00E847F0"/>
    <w:rsid w:val="00E8496D"/>
    <w:rsid w:val="00E85439"/>
    <w:rsid w:val="00E85B6E"/>
    <w:rsid w:val="00E8645F"/>
    <w:rsid w:val="00E86818"/>
    <w:rsid w:val="00E86B10"/>
    <w:rsid w:val="00E86B12"/>
    <w:rsid w:val="00E86BDA"/>
    <w:rsid w:val="00E8701F"/>
    <w:rsid w:val="00E87080"/>
    <w:rsid w:val="00E870C6"/>
    <w:rsid w:val="00E87B61"/>
    <w:rsid w:val="00E90427"/>
    <w:rsid w:val="00E91573"/>
    <w:rsid w:val="00E919AF"/>
    <w:rsid w:val="00E919B6"/>
    <w:rsid w:val="00E91D84"/>
    <w:rsid w:val="00E91F8B"/>
    <w:rsid w:val="00E9245E"/>
    <w:rsid w:val="00E92EFE"/>
    <w:rsid w:val="00E93247"/>
    <w:rsid w:val="00E932F6"/>
    <w:rsid w:val="00E934DE"/>
    <w:rsid w:val="00E94ADF"/>
    <w:rsid w:val="00E94B98"/>
    <w:rsid w:val="00E94D3E"/>
    <w:rsid w:val="00E95133"/>
    <w:rsid w:val="00E95A3B"/>
    <w:rsid w:val="00E95C2F"/>
    <w:rsid w:val="00E95EA7"/>
    <w:rsid w:val="00E960AC"/>
    <w:rsid w:val="00E9629D"/>
    <w:rsid w:val="00E962FD"/>
    <w:rsid w:val="00E96998"/>
    <w:rsid w:val="00E97501"/>
    <w:rsid w:val="00EA04B2"/>
    <w:rsid w:val="00EA07FA"/>
    <w:rsid w:val="00EA0A27"/>
    <w:rsid w:val="00EA0A6D"/>
    <w:rsid w:val="00EA0F09"/>
    <w:rsid w:val="00EA1131"/>
    <w:rsid w:val="00EA18ED"/>
    <w:rsid w:val="00EA1A8B"/>
    <w:rsid w:val="00EA20F3"/>
    <w:rsid w:val="00EA2266"/>
    <w:rsid w:val="00EA2516"/>
    <w:rsid w:val="00EA2A39"/>
    <w:rsid w:val="00EA3259"/>
    <w:rsid w:val="00EA450A"/>
    <w:rsid w:val="00EA6053"/>
    <w:rsid w:val="00EA6BC8"/>
    <w:rsid w:val="00EA7D66"/>
    <w:rsid w:val="00EB0343"/>
    <w:rsid w:val="00EB0D2B"/>
    <w:rsid w:val="00EB0E93"/>
    <w:rsid w:val="00EB1C56"/>
    <w:rsid w:val="00EB21EF"/>
    <w:rsid w:val="00EB2200"/>
    <w:rsid w:val="00EB2294"/>
    <w:rsid w:val="00EB32A8"/>
    <w:rsid w:val="00EB3ACC"/>
    <w:rsid w:val="00EB464E"/>
    <w:rsid w:val="00EB4768"/>
    <w:rsid w:val="00EB5EE2"/>
    <w:rsid w:val="00EB5F0E"/>
    <w:rsid w:val="00EB64DA"/>
    <w:rsid w:val="00EB6A10"/>
    <w:rsid w:val="00EB6FCA"/>
    <w:rsid w:val="00EB74EB"/>
    <w:rsid w:val="00EB7CF1"/>
    <w:rsid w:val="00EC0DA8"/>
    <w:rsid w:val="00EC1147"/>
    <w:rsid w:val="00EC13B6"/>
    <w:rsid w:val="00EC1C4F"/>
    <w:rsid w:val="00EC236E"/>
    <w:rsid w:val="00EC246D"/>
    <w:rsid w:val="00EC250B"/>
    <w:rsid w:val="00EC40E8"/>
    <w:rsid w:val="00EC42CC"/>
    <w:rsid w:val="00EC4339"/>
    <w:rsid w:val="00EC463F"/>
    <w:rsid w:val="00EC4666"/>
    <w:rsid w:val="00EC46C6"/>
    <w:rsid w:val="00EC4B16"/>
    <w:rsid w:val="00EC5078"/>
    <w:rsid w:val="00EC647F"/>
    <w:rsid w:val="00EC69EE"/>
    <w:rsid w:val="00EC6D76"/>
    <w:rsid w:val="00EC7C33"/>
    <w:rsid w:val="00ED0459"/>
    <w:rsid w:val="00ED0658"/>
    <w:rsid w:val="00ED0703"/>
    <w:rsid w:val="00ED1C81"/>
    <w:rsid w:val="00ED1E3F"/>
    <w:rsid w:val="00ED2831"/>
    <w:rsid w:val="00ED285A"/>
    <w:rsid w:val="00ED2DD3"/>
    <w:rsid w:val="00ED311A"/>
    <w:rsid w:val="00ED378A"/>
    <w:rsid w:val="00ED4232"/>
    <w:rsid w:val="00ED43D1"/>
    <w:rsid w:val="00ED5CAE"/>
    <w:rsid w:val="00ED646F"/>
    <w:rsid w:val="00ED6985"/>
    <w:rsid w:val="00ED77A2"/>
    <w:rsid w:val="00ED7E58"/>
    <w:rsid w:val="00ED7E75"/>
    <w:rsid w:val="00EE0537"/>
    <w:rsid w:val="00EE0770"/>
    <w:rsid w:val="00EE0A9C"/>
    <w:rsid w:val="00EE21FC"/>
    <w:rsid w:val="00EE2540"/>
    <w:rsid w:val="00EE25F4"/>
    <w:rsid w:val="00EE2BBC"/>
    <w:rsid w:val="00EE3E87"/>
    <w:rsid w:val="00EE43B1"/>
    <w:rsid w:val="00EE4EE1"/>
    <w:rsid w:val="00EE5392"/>
    <w:rsid w:val="00EE53E5"/>
    <w:rsid w:val="00EE591D"/>
    <w:rsid w:val="00EE5F16"/>
    <w:rsid w:val="00EE618D"/>
    <w:rsid w:val="00EE657B"/>
    <w:rsid w:val="00EE6CC0"/>
    <w:rsid w:val="00EE7318"/>
    <w:rsid w:val="00EE7774"/>
    <w:rsid w:val="00EE780E"/>
    <w:rsid w:val="00EE7EB6"/>
    <w:rsid w:val="00EF00B4"/>
    <w:rsid w:val="00EF11E5"/>
    <w:rsid w:val="00EF1828"/>
    <w:rsid w:val="00EF1A8A"/>
    <w:rsid w:val="00EF347E"/>
    <w:rsid w:val="00EF3907"/>
    <w:rsid w:val="00EF415D"/>
    <w:rsid w:val="00EF4574"/>
    <w:rsid w:val="00EF4DCA"/>
    <w:rsid w:val="00EF5117"/>
    <w:rsid w:val="00EF5A08"/>
    <w:rsid w:val="00EF5BC5"/>
    <w:rsid w:val="00EF5FB3"/>
    <w:rsid w:val="00EF637E"/>
    <w:rsid w:val="00EF6405"/>
    <w:rsid w:val="00EF6892"/>
    <w:rsid w:val="00EF78BE"/>
    <w:rsid w:val="00EF7A8C"/>
    <w:rsid w:val="00EF7E9B"/>
    <w:rsid w:val="00F00AF6"/>
    <w:rsid w:val="00F01D3A"/>
    <w:rsid w:val="00F034CB"/>
    <w:rsid w:val="00F0454E"/>
    <w:rsid w:val="00F04981"/>
    <w:rsid w:val="00F04E82"/>
    <w:rsid w:val="00F05286"/>
    <w:rsid w:val="00F05396"/>
    <w:rsid w:val="00F059AE"/>
    <w:rsid w:val="00F05BA8"/>
    <w:rsid w:val="00F06A1B"/>
    <w:rsid w:val="00F079EB"/>
    <w:rsid w:val="00F10C84"/>
    <w:rsid w:val="00F11236"/>
    <w:rsid w:val="00F11408"/>
    <w:rsid w:val="00F11E9B"/>
    <w:rsid w:val="00F121D0"/>
    <w:rsid w:val="00F137CA"/>
    <w:rsid w:val="00F138B6"/>
    <w:rsid w:val="00F145C9"/>
    <w:rsid w:val="00F150A0"/>
    <w:rsid w:val="00F150B2"/>
    <w:rsid w:val="00F15256"/>
    <w:rsid w:val="00F159DB"/>
    <w:rsid w:val="00F16A7F"/>
    <w:rsid w:val="00F16F8F"/>
    <w:rsid w:val="00F1726F"/>
    <w:rsid w:val="00F175CF"/>
    <w:rsid w:val="00F17D10"/>
    <w:rsid w:val="00F202C1"/>
    <w:rsid w:val="00F211FC"/>
    <w:rsid w:val="00F2268F"/>
    <w:rsid w:val="00F22750"/>
    <w:rsid w:val="00F2313D"/>
    <w:rsid w:val="00F235FC"/>
    <w:rsid w:val="00F249A1"/>
    <w:rsid w:val="00F24ACE"/>
    <w:rsid w:val="00F24E4A"/>
    <w:rsid w:val="00F24EDB"/>
    <w:rsid w:val="00F25A93"/>
    <w:rsid w:val="00F26351"/>
    <w:rsid w:val="00F26703"/>
    <w:rsid w:val="00F2672A"/>
    <w:rsid w:val="00F2684E"/>
    <w:rsid w:val="00F27005"/>
    <w:rsid w:val="00F27C2D"/>
    <w:rsid w:val="00F30D83"/>
    <w:rsid w:val="00F31C5E"/>
    <w:rsid w:val="00F31E48"/>
    <w:rsid w:val="00F31EF3"/>
    <w:rsid w:val="00F321A6"/>
    <w:rsid w:val="00F32299"/>
    <w:rsid w:val="00F326DF"/>
    <w:rsid w:val="00F33387"/>
    <w:rsid w:val="00F33449"/>
    <w:rsid w:val="00F337B8"/>
    <w:rsid w:val="00F35326"/>
    <w:rsid w:val="00F3546B"/>
    <w:rsid w:val="00F35F46"/>
    <w:rsid w:val="00F3608B"/>
    <w:rsid w:val="00F366A6"/>
    <w:rsid w:val="00F36FF3"/>
    <w:rsid w:val="00F37879"/>
    <w:rsid w:val="00F41496"/>
    <w:rsid w:val="00F414C2"/>
    <w:rsid w:val="00F417F6"/>
    <w:rsid w:val="00F41BC1"/>
    <w:rsid w:val="00F41F0D"/>
    <w:rsid w:val="00F42C0A"/>
    <w:rsid w:val="00F43329"/>
    <w:rsid w:val="00F4344B"/>
    <w:rsid w:val="00F434D8"/>
    <w:rsid w:val="00F43812"/>
    <w:rsid w:val="00F43FE2"/>
    <w:rsid w:val="00F44330"/>
    <w:rsid w:val="00F45850"/>
    <w:rsid w:val="00F462D7"/>
    <w:rsid w:val="00F46E6E"/>
    <w:rsid w:val="00F47629"/>
    <w:rsid w:val="00F4765B"/>
    <w:rsid w:val="00F47AF2"/>
    <w:rsid w:val="00F47D36"/>
    <w:rsid w:val="00F47E11"/>
    <w:rsid w:val="00F504E7"/>
    <w:rsid w:val="00F5111E"/>
    <w:rsid w:val="00F51892"/>
    <w:rsid w:val="00F5193E"/>
    <w:rsid w:val="00F5231C"/>
    <w:rsid w:val="00F52D15"/>
    <w:rsid w:val="00F53193"/>
    <w:rsid w:val="00F5319A"/>
    <w:rsid w:val="00F53372"/>
    <w:rsid w:val="00F53479"/>
    <w:rsid w:val="00F536C7"/>
    <w:rsid w:val="00F5397A"/>
    <w:rsid w:val="00F53B4B"/>
    <w:rsid w:val="00F53BAF"/>
    <w:rsid w:val="00F53C5C"/>
    <w:rsid w:val="00F53EC1"/>
    <w:rsid w:val="00F53FEB"/>
    <w:rsid w:val="00F5404C"/>
    <w:rsid w:val="00F540F4"/>
    <w:rsid w:val="00F54151"/>
    <w:rsid w:val="00F54F46"/>
    <w:rsid w:val="00F54FCA"/>
    <w:rsid w:val="00F552BA"/>
    <w:rsid w:val="00F55501"/>
    <w:rsid w:val="00F566B4"/>
    <w:rsid w:val="00F6032F"/>
    <w:rsid w:val="00F60E9B"/>
    <w:rsid w:val="00F621A5"/>
    <w:rsid w:val="00F62B06"/>
    <w:rsid w:val="00F62DC8"/>
    <w:rsid w:val="00F62EE8"/>
    <w:rsid w:val="00F63617"/>
    <w:rsid w:val="00F64138"/>
    <w:rsid w:val="00F65078"/>
    <w:rsid w:val="00F65232"/>
    <w:rsid w:val="00F65B81"/>
    <w:rsid w:val="00F65C92"/>
    <w:rsid w:val="00F66B00"/>
    <w:rsid w:val="00F67082"/>
    <w:rsid w:val="00F700B1"/>
    <w:rsid w:val="00F70830"/>
    <w:rsid w:val="00F70B86"/>
    <w:rsid w:val="00F70D6C"/>
    <w:rsid w:val="00F729EF"/>
    <w:rsid w:val="00F73381"/>
    <w:rsid w:val="00F7349C"/>
    <w:rsid w:val="00F7389D"/>
    <w:rsid w:val="00F73A51"/>
    <w:rsid w:val="00F73B7F"/>
    <w:rsid w:val="00F73D7F"/>
    <w:rsid w:val="00F744A2"/>
    <w:rsid w:val="00F7469E"/>
    <w:rsid w:val="00F747D9"/>
    <w:rsid w:val="00F749A6"/>
    <w:rsid w:val="00F755F4"/>
    <w:rsid w:val="00F759F2"/>
    <w:rsid w:val="00F77434"/>
    <w:rsid w:val="00F776A2"/>
    <w:rsid w:val="00F779EC"/>
    <w:rsid w:val="00F77A83"/>
    <w:rsid w:val="00F77CAE"/>
    <w:rsid w:val="00F8031B"/>
    <w:rsid w:val="00F80683"/>
    <w:rsid w:val="00F81BE0"/>
    <w:rsid w:val="00F81C3C"/>
    <w:rsid w:val="00F82271"/>
    <w:rsid w:val="00F825FD"/>
    <w:rsid w:val="00F82B61"/>
    <w:rsid w:val="00F82E54"/>
    <w:rsid w:val="00F83428"/>
    <w:rsid w:val="00F835B5"/>
    <w:rsid w:val="00F83E5A"/>
    <w:rsid w:val="00F850C2"/>
    <w:rsid w:val="00F851DF"/>
    <w:rsid w:val="00F85FD1"/>
    <w:rsid w:val="00F86ADB"/>
    <w:rsid w:val="00F87102"/>
    <w:rsid w:val="00F871C5"/>
    <w:rsid w:val="00F8767E"/>
    <w:rsid w:val="00F87AD3"/>
    <w:rsid w:val="00F909BF"/>
    <w:rsid w:val="00F90C45"/>
    <w:rsid w:val="00F90ED4"/>
    <w:rsid w:val="00F90FDD"/>
    <w:rsid w:val="00F911C2"/>
    <w:rsid w:val="00F916CA"/>
    <w:rsid w:val="00F92240"/>
    <w:rsid w:val="00F925A8"/>
    <w:rsid w:val="00F92702"/>
    <w:rsid w:val="00F92AD1"/>
    <w:rsid w:val="00F92CCF"/>
    <w:rsid w:val="00F92FC5"/>
    <w:rsid w:val="00F941B5"/>
    <w:rsid w:val="00F94607"/>
    <w:rsid w:val="00F967E2"/>
    <w:rsid w:val="00F96BB9"/>
    <w:rsid w:val="00F96D00"/>
    <w:rsid w:val="00F97C7E"/>
    <w:rsid w:val="00FA08B9"/>
    <w:rsid w:val="00FA1399"/>
    <w:rsid w:val="00FA15C7"/>
    <w:rsid w:val="00FA16D7"/>
    <w:rsid w:val="00FA21F0"/>
    <w:rsid w:val="00FA259A"/>
    <w:rsid w:val="00FA2EAC"/>
    <w:rsid w:val="00FA3042"/>
    <w:rsid w:val="00FA4202"/>
    <w:rsid w:val="00FA54BE"/>
    <w:rsid w:val="00FA5899"/>
    <w:rsid w:val="00FA5ADE"/>
    <w:rsid w:val="00FA628D"/>
    <w:rsid w:val="00FA6374"/>
    <w:rsid w:val="00FA6B0D"/>
    <w:rsid w:val="00FA7695"/>
    <w:rsid w:val="00FA76DE"/>
    <w:rsid w:val="00FA79F2"/>
    <w:rsid w:val="00FB0623"/>
    <w:rsid w:val="00FB0C28"/>
    <w:rsid w:val="00FB160F"/>
    <w:rsid w:val="00FB1A18"/>
    <w:rsid w:val="00FB269D"/>
    <w:rsid w:val="00FB2755"/>
    <w:rsid w:val="00FB287C"/>
    <w:rsid w:val="00FB2A6C"/>
    <w:rsid w:val="00FB2BA3"/>
    <w:rsid w:val="00FB2F3D"/>
    <w:rsid w:val="00FB40A4"/>
    <w:rsid w:val="00FB45BA"/>
    <w:rsid w:val="00FB45F5"/>
    <w:rsid w:val="00FB4682"/>
    <w:rsid w:val="00FB47ED"/>
    <w:rsid w:val="00FB4BE8"/>
    <w:rsid w:val="00FB4FAC"/>
    <w:rsid w:val="00FB50E5"/>
    <w:rsid w:val="00FB51EB"/>
    <w:rsid w:val="00FB5BE8"/>
    <w:rsid w:val="00FB7128"/>
    <w:rsid w:val="00FB792B"/>
    <w:rsid w:val="00FC04F8"/>
    <w:rsid w:val="00FC160E"/>
    <w:rsid w:val="00FC2647"/>
    <w:rsid w:val="00FC2C1A"/>
    <w:rsid w:val="00FC3154"/>
    <w:rsid w:val="00FC322F"/>
    <w:rsid w:val="00FC35AB"/>
    <w:rsid w:val="00FC38A5"/>
    <w:rsid w:val="00FC3D37"/>
    <w:rsid w:val="00FC402D"/>
    <w:rsid w:val="00FC4164"/>
    <w:rsid w:val="00FC4305"/>
    <w:rsid w:val="00FC470F"/>
    <w:rsid w:val="00FC563D"/>
    <w:rsid w:val="00FC5CF0"/>
    <w:rsid w:val="00FC679B"/>
    <w:rsid w:val="00FC6D8C"/>
    <w:rsid w:val="00FC713D"/>
    <w:rsid w:val="00FC73FA"/>
    <w:rsid w:val="00FC73FC"/>
    <w:rsid w:val="00FC74D5"/>
    <w:rsid w:val="00FC781B"/>
    <w:rsid w:val="00FC7923"/>
    <w:rsid w:val="00FC7BD2"/>
    <w:rsid w:val="00FD03BA"/>
    <w:rsid w:val="00FD0844"/>
    <w:rsid w:val="00FD1A0C"/>
    <w:rsid w:val="00FD1AD6"/>
    <w:rsid w:val="00FD270B"/>
    <w:rsid w:val="00FD345A"/>
    <w:rsid w:val="00FD388A"/>
    <w:rsid w:val="00FD3F99"/>
    <w:rsid w:val="00FD477E"/>
    <w:rsid w:val="00FD4B00"/>
    <w:rsid w:val="00FD4B29"/>
    <w:rsid w:val="00FD5071"/>
    <w:rsid w:val="00FD554F"/>
    <w:rsid w:val="00FD57F0"/>
    <w:rsid w:val="00FD581E"/>
    <w:rsid w:val="00FD5D01"/>
    <w:rsid w:val="00FD677E"/>
    <w:rsid w:val="00FD696A"/>
    <w:rsid w:val="00FD701B"/>
    <w:rsid w:val="00FD7AFB"/>
    <w:rsid w:val="00FE015C"/>
    <w:rsid w:val="00FE043A"/>
    <w:rsid w:val="00FE0A28"/>
    <w:rsid w:val="00FE11F6"/>
    <w:rsid w:val="00FE1316"/>
    <w:rsid w:val="00FE1B69"/>
    <w:rsid w:val="00FE2023"/>
    <w:rsid w:val="00FE22CC"/>
    <w:rsid w:val="00FE270F"/>
    <w:rsid w:val="00FE2833"/>
    <w:rsid w:val="00FE29FE"/>
    <w:rsid w:val="00FE3B40"/>
    <w:rsid w:val="00FE40F8"/>
    <w:rsid w:val="00FE52C0"/>
    <w:rsid w:val="00FE5B9D"/>
    <w:rsid w:val="00FE5E83"/>
    <w:rsid w:val="00FE69FA"/>
    <w:rsid w:val="00FE6D51"/>
    <w:rsid w:val="00FE6F2A"/>
    <w:rsid w:val="00FE707F"/>
    <w:rsid w:val="00FE7461"/>
    <w:rsid w:val="00FE7D13"/>
    <w:rsid w:val="00FF0DFB"/>
    <w:rsid w:val="00FF11DA"/>
    <w:rsid w:val="00FF173B"/>
    <w:rsid w:val="00FF1957"/>
    <w:rsid w:val="00FF2F41"/>
    <w:rsid w:val="00FF32A7"/>
    <w:rsid w:val="00FF357E"/>
    <w:rsid w:val="00FF35E0"/>
    <w:rsid w:val="00FF391D"/>
    <w:rsid w:val="00FF3C77"/>
    <w:rsid w:val="00FF3D44"/>
    <w:rsid w:val="00FF4267"/>
    <w:rsid w:val="00FF480A"/>
    <w:rsid w:val="00FF540B"/>
    <w:rsid w:val="00FF6222"/>
    <w:rsid w:val="00FF628E"/>
    <w:rsid w:val="00FF673A"/>
    <w:rsid w:val="00FF6893"/>
    <w:rsid w:val="00FF6CFD"/>
    <w:rsid w:val="00FF7965"/>
    <w:rsid w:val="00FF7BB0"/>
    <w:rsid w:val="01002682"/>
    <w:rsid w:val="0102FCFD"/>
    <w:rsid w:val="010472B2"/>
    <w:rsid w:val="010A763C"/>
    <w:rsid w:val="010BB7BC"/>
    <w:rsid w:val="0136CE6B"/>
    <w:rsid w:val="013E547A"/>
    <w:rsid w:val="013F504C"/>
    <w:rsid w:val="01419AEA"/>
    <w:rsid w:val="015ABB98"/>
    <w:rsid w:val="0162F6FB"/>
    <w:rsid w:val="016DF43C"/>
    <w:rsid w:val="0173EBE3"/>
    <w:rsid w:val="017728CA"/>
    <w:rsid w:val="0182C89B"/>
    <w:rsid w:val="018C390D"/>
    <w:rsid w:val="018C67C1"/>
    <w:rsid w:val="01AE0468"/>
    <w:rsid w:val="01AF376A"/>
    <w:rsid w:val="01BF7FEE"/>
    <w:rsid w:val="01C5C462"/>
    <w:rsid w:val="01CDD184"/>
    <w:rsid w:val="01D9C153"/>
    <w:rsid w:val="01E4BBFD"/>
    <w:rsid w:val="01ED7836"/>
    <w:rsid w:val="01F41F19"/>
    <w:rsid w:val="020230B2"/>
    <w:rsid w:val="0206370E"/>
    <w:rsid w:val="02097E8D"/>
    <w:rsid w:val="020E96A8"/>
    <w:rsid w:val="02138BFE"/>
    <w:rsid w:val="021F37CE"/>
    <w:rsid w:val="0226D0E0"/>
    <w:rsid w:val="02309DDA"/>
    <w:rsid w:val="023A4710"/>
    <w:rsid w:val="023B6B82"/>
    <w:rsid w:val="023B92AC"/>
    <w:rsid w:val="024CFEAF"/>
    <w:rsid w:val="025010C6"/>
    <w:rsid w:val="02534EA2"/>
    <w:rsid w:val="0269BCA7"/>
    <w:rsid w:val="026A8C2A"/>
    <w:rsid w:val="026B0399"/>
    <w:rsid w:val="027D112B"/>
    <w:rsid w:val="029744B6"/>
    <w:rsid w:val="02AA0652"/>
    <w:rsid w:val="02CD90D1"/>
    <w:rsid w:val="02DC875F"/>
    <w:rsid w:val="02E67091"/>
    <w:rsid w:val="02E6E9AB"/>
    <w:rsid w:val="03076E35"/>
    <w:rsid w:val="032A3FB1"/>
    <w:rsid w:val="033E360E"/>
    <w:rsid w:val="0342CC73"/>
    <w:rsid w:val="0361D126"/>
    <w:rsid w:val="036E2F59"/>
    <w:rsid w:val="03732ADE"/>
    <w:rsid w:val="037A9BB4"/>
    <w:rsid w:val="03809286"/>
    <w:rsid w:val="038519E9"/>
    <w:rsid w:val="038D32CA"/>
    <w:rsid w:val="03966867"/>
    <w:rsid w:val="039892A0"/>
    <w:rsid w:val="03A192C4"/>
    <w:rsid w:val="03A86FFD"/>
    <w:rsid w:val="03AE0EFA"/>
    <w:rsid w:val="03B630A7"/>
    <w:rsid w:val="03BE6FF9"/>
    <w:rsid w:val="03C9659A"/>
    <w:rsid w:val="03D2F6EB"/>
    <w:rsid w:val="03D963D9"/>
    <w:rsid w:val="0418A5D6"/>
    <w:rsid w:val="041B4B42"/>
    <w:rsid w:val="041CA42E"/>
    <w:rsid w:val="041E5B8B"/>
    <w:rsid w:val="041FF2A5"/>
    <w:rsid w:val="042DCA07"/>
    <w:rsid w:val="0445330C"/>
    <w:rsid w:val="0452E417"/>
    <w:rsid w:val="045A8CB5"/>
    <w:rsid w:val="045FAC12"/>
    <w:rsid w:val="04628FEE"/>
    <w:rsid w:val="04673517"/>
    <w:rsid w:val="04710F85"/>
    <w:rsid w:val="048D9B55"/>
    <w:rsid w:val="049D3443"/>
    <w:rsid w:val="04A33E96"/>
    <w:rsid w:val="04A68F1D"/>
    <w:rsid w:val="04B4DD1C"/>
    <w:rsid w:val="04BCDB58"/>
    <w:rsid w:val="04DA066F"/>
    <w:rsid w:val="04DBF2E2"/>
    <w:rsid w:val="04FB7285"/>
    <w:rsid w:val="04FEBF11"/>
    <w:rsid w:val="050116DC"/>
    <w:rsid w:val="0526A9A8"/>
    <w:rsid w:val="0538CDF4"/>
    <w:rsid w:val="053B45CF"/>
    <w:rsid w:val="0540AE5C"/>
    <w:rsid w:val="0542046E"/>
    <w:rsid w:val="054938DC"/>
    <w:rsid w:val="055ED881"/>
    <w:rsid w:val="056A6966"/>
    <w:rsid w:val="05858F26"/>
    <w:rsid w:val="058AEF64"/>
    <w:rsid w:val="058BC2E2"/>
    <w:rsid w:val="059B7545"/>
    <w:rsid w:val="05D92B4F"/>
    <w:rsid w:val="05ECD1E9"/>
    <w:rsid w:val="05ED13A6"/>
    <w:rsid w:val="05FA4B7B"/>
    <w:rsid w:val="05FFA11C"/>
    <w:rsid w:val="05FFB071"/>
    <w:rsid w:val="06043D1E"/>
    <w:rsid w:val="060D8F6A"/>
    <w:rsid w:val="06133A51"/>
    <w:rsid w:val="061A99E6"/>
    <w:rsid w:val="0623386A"/>
    <w:rsid w:val="0639CFC3"/>
    <w:rsid w:val="06508775"/>
    <w:rsid w:val="065253A0"/>
    <w:rsid w:val="06581F54"/>
    <w:rsid w:val="065B231E"/>
    <w:rsid w:val="065B8B5C"/>
    <w:rsid w:val="066BEC18"/>
    <w:rsid w:val="0671F97F"/>
    <w:rsid w:val="0672CD9C"/>
    <w:rsid w:val="06744E17"/>
    <w:rsid w:val="068ABD89"/>
    <w:rsid w:val="068D8B77"/>
    <w:rsid w:val="06A36E64"/>
    <w:rsid w:val="06A9C133"/>
    <w:rsid w:val="06B11E59"/>
    <w:rsid w:val="06BA06E3"/>
    <w:rsid w:val="06BD599E"/>
    <w:rsid w:val="06BE0449"/>
    <w:rsid w:val="06C76B43"/>
    <w:rsid w:val="06C8765B"/>
    <w:rsid w:val="06C8CA04"/>
    <w:rsid w:val="06D0CC9E"/>
    <w:rsid w:val="06E2E984"/>
    <w:rsid w:val="06E34C53"/>
    <w:rsid w:val="06E96678"/>
    <w:rsid w:val="0716D175"/>
    <w:rsid w:val="0718A19B"/>
    <w:rsid w:val="074570D8"/>
    <w:rsid w:val="074E806F"/>
    <w:rsid w:val="075C8E1F"/>
    <w:rsid w:val="075FA30E"/>
    <w:rsid w:val="07622AFF"/>
    <w:rsid w:val="076A7ED4"/>
    <w:rsid w:val="077414D3"/>
    <w:rsid w:val="077668CD"/>
    <w:rsid w:val="07881FE9"/>
    <w:rsid w:val="079B586F"/>
    <w:rsid w:val="079C8545"/>
    <w:rsid w:val="07A99190"/>
    <w:rsid w:val="07C912C9"/>
    <w:rsid w:val="07DB2F87"/>
    <w:rsid w:val="07E7F590"/>
    <w:rsid w:val="07F6F37F"/>
    <w:rsid w:val="0808F039"/>
    <w:rsid w:val="08177C66"/>
    <w:rsid w:val="0821D32A"/>
    <w:rsid w:val="0832C11B"/>
    <w:rsid w:val="0854AD5A"/>
    <w:rsid w:val="08552862"/>
    <w:rsid w:val="085D65D2"/>
    <w:rsid w:val="086BE89F"/>
    <w:rsid w:val="0872A591"/>
    <w:rsid w:val="08781E3F"/>
    <w:rsid w:val="087EB9E5"/>
    <w:rsid w:val="087F8A34"/>
    <w:rsid w:val="088ADDDB"/>
    <w:rsid w:val="088DCA53"/>
    <w:rsid w:val="08AD4BFC"/>
    <w:rsid w:val="08B137FC"/>
    <w:rsid w:val="08B240D3"/>
    <w:rsid w:val="08B85BFF"/>
    <w:rsid w:val="08BC2CF1"/>
    <w:rsid w:val="08C314E0"/>
    <w:rsid w:val="08CA7DAC"/>
    <w:rsid w:val="08CBFEB1"/>
    <w:rsid w:val="08D91F2E"/>
    <w:rsid w:val="08F1D497"/>
    <w:rsid w:val="08F224B7"/>
    <w:rsid w:val="08F3F071"/>
    <w:rsid w:val="08F63604"/>
    <w:rsid w:val="08FDFB60"/>
    <w:rsid w:val="09087256"/>
    <w:rsid w:val="0908F187"/>
    <w:rsid w:val="09302489"/>
    <w:rsid w:val="0936BE0A"/>
    <w:rsid w:val="0938C4FD"/>
    <w:rsid w:val="093E4786"/>
    <w:rsid w:val="094931D1"/>
    <w:rsid w:val="0956AC0C"/>
    <w:rsid w:val="095D3037"/>
    <w:rsid w:val="09673026"/>
    <w:rsid w:val="0989CA50"/>
    <w:rsid w:val="09A18373"/>
    <w:rsid w:val="09A63D93"/>
    <w:rsid w:val="09B6F726"/>
    <w:rsid w:val="09CE90F2"/>
    <w:rsid w:val="09D81650"/>
    <w:rsid w:val="09F275D3"/>
    <w:rsid w:val="0A004F70"/>
    <w:rsid w:val="0A07A3F3"/>
    <w:rsid w:val="0A086192"/>
    <w:rsid w:val="0A116FA7"/>
    <w:rsid w:val="0A1B7948"/>
    <w:rsid w:val="0A285319"/>
    <w:rsid w:val="0A33C0E5"/>
    <w:rsid w:val="0A38CB6C"/>
    <w:rsid w:val="0A3A2D77"/>
    <w:rsid w:val="0A3BB2B3"/>
    <w:rsid w:val="0A479DF2"/>
    <w:rsid w:val="0A482C09"/>
    <w:rsid w:val="0A52154E"/>
    <w:rsid w:val="0A53FBDC"/>
    <w:rsid w:val="0A55598A"/>
    <w:rsid w:val="0A663AB3"/>
    <w:rsid w:val="0A75E3C5"/>
    <w:rsid w:val="0A7D336F"/>
    <w:rsid w:val="0A820F05"/>
    <w:rsid w:val="0A86F147"/>
    <w:rsid w:val="0A928F28"/>
    <w:rsid w:val="0AA0BE36"/>
    <w:rsid w:val="0AA7F512"/>
    <w:rsid w:val="0AAA7508"/>
    <w:rsid w:val="0AB5CB28"/>
    <w:rsid w:val="0AD15F17"/>
    <w:rsid w:val="0AD9B769"/>
    <w:rsid w:val="0ADB9AD5"/>
    <w:rsid w:val="0AE09D8D"/>
    <w:rsid w:val="0AF03977"/>
    <w:rsid w:val="0B0E5B7B"/>
    <w:rsid w:val="0B1C9872"/>
    <w:rsid w:val="0B29383B"/>
    <w:rsid w:val="0B32A792"/>
    <w:rsid w:val="0B4253D1"/>
    <w:rsid w:val="0B5A50F4"/>
    <w:rsid w:val="0B7EFB9F"/>
    <w:rsid w:val="0BA7F016"/>
    <w:rsid w:val="0BB29D95"/>
    <w:rsid w:val="0BB72AF6"/>
    <w:rsid w:val="0BB9D795"/>
    <w:rsid w:val="0BBD44C2"/>
    <w:rsid w:val="0BC55CC8"/>
    <w:rsid w:val="0BDC0EE4"/>
    <w:rsid w:val="0BEA3840"/>
    <w:rsid w:val="0BEAAE6F"/>
    <w:rsid w:val="0BF6357B"/>
    <w:rsid w:val="0BF844D7"/>
    <w:rsid w:val="0BFA30E8"/>
    <w:rsid w:val="0BFA9416"/>
    <w:rsid w:val="0BFF05E7"/>
    <w:rsid w:val="0C096B2D"/>
    <w:rsid w:val="0C0CAE26"/>
    <w:rsid w:val="0C0F60B7"/>
    <w:rsid w:val="0C105EEB"/>
    <w:rsid w:val="0C1513F5"/>
    <w:rsid w:val="0C239F7E"/>
    <w:rsid w:val="0C27555B"/>
    <w:rsid w:val="0C315421"/>
    <w:rsid w:val="0C3E660C"/>
    <w:rsid w:val="0C40D0C9"/>
    <w:rsid w:val="0C4A6E61"/>
    <w:rsid w:val="0C910E8F"/>
    <w:rsid w:val="0C9CB3B7"/>
    <w:rsid w:val="0CA4350D"/>
    <w:rsid w:val="0CCB4A59"/>
    <w:rsid w:val="0CD1C694"/>
    <w:rsid w:val="0CD52EAC"/>
    <w:rsid w:val="0CF91742"/>
    <w:rsid w:val="0CFC54B4"/>
    <w:rsid w:val="0D022083"/>
    <w:rsid w:val="0D0D0BC0"/>
    <w:rsid w:val="0D139300"/>
    <w:rsid w:val="0D1F9FEF"/>
    <w:rsid w:val="0D25F91E"/>
    <w:rsid w:val="0D31E5EB"/>
    <w:rsid w:val="0D38C28A"/>
    <w:rsid w:val="0D400254"/>
    <w:rsid w:val="0D423E1B"/>
    <w:rsid w:val="0D508D9C"/>
    <w:rsid w:val="0D51EEC6"/>
    <w:rsid w:val="0D627B59"/>
    <w:rsid w:val="0D6EF6D8"/>
    <w:rsid w:val="0D7E851C"/>
    <w:rsid w:val="0D7FCCCB"/>
    <w:rsid w:val="0D87603D"/>
    <w:rsid w:val="0D881B5A"/>
    <w:rsid w:val="0D8C77FF"/>
    <w:rsid w:val="0DA7D24C"/>
    <w:rsid w:val="0DCDC6B7"/>
    <w:rsid w:val="0DCE02A1"/>
    <w:rsid w:val="0DD18535"/>
    <w:rsid w:val="0DD7243D"/>
    <w:rsid w:val="0DD82C54"/>
    <w:rsid w:val="0DF0FC1D"/>
    <w:rsid w:val="0E0EBFDB"/>
    <w:rsid w:val="0E139488"/>
    <w:rsid w:val="0E213E2F"/>
    <w:rsid w:val="0E22244B"/>
    <w:rsid w:val="0E2CFDD2"/>
    <w:rsid w:val="0E31F95C"/>
    <w:rsid w:val="0E378A03"/>
    <w:rsid w:val="0E3CDF76"/>
    <w:rsid w:val="0E40E0BC"/>
    <w:rsid w:val="0E516CF3"/>
    <w:rsid w:val="0E56DDFA"/>
    <w:rsid w:val="0E7C8313"/>
    <w:rsid w:val="0E9E1CB9"/>
    <w:rsid w:val="0EA36BFE"/>
    <w:rsid w:val="0EB2B76C"/>
    <w:rsid w:val="0EC4D471"/>
    <w:rsid w:val="0EC72168"/>
    <w:rsid w:val="0ED0A20F"/>
    <w:rsid w:val="0ED83F0F"/>
    <w:rsid w:val="0ED94157"/>
    <w:rsid w:val="0EDBD2B5"/>
    <w:rsid w:val="0EDDDA5D"/>
    <w:rsid w:val="0EE17E94"/>
    <w:rsid w:val="0EE28928"/>
    <w:rsid w:val="0EE3E235"/>
    <w:rsid w:val="0EE50036"/>
    <w:rsid w:val="0EEECBB8"/>
    <w:rsid w:val="0EFF4482"/>
    <w:rsid w:val="0F190C7B"/>
    <w:rsid w:val="0F1AA1FD"/>
    <w:rsid w:val="0F30BED6"/>
    <w:rsid w:val="0F31D1AA"/>
    <w:rsid w:val="0F44588B"/>
    <w:rsid w:val="0F557542"/>
    <w:rsid w:val="0F63CAFB"/>
    <w:rsid w:val="0F640958"/>
    <w:rsid w:val="0F658677"/>
    <w:rsid w:val="0F663959"/>
    <w:rsid w:val="0F784A25"/>
    <w:rsid w:val="0F814EC5"/>
    <w:rsid w:val="0F83050A"/>
    <w:rsid w:val="0FA03940"/>
    <w:rsid w:val="0FAA9EDF"/>
    <w:rsid w:val="0FAC20C9"/>
    <w:rsid w:val="0FACD354"/>
    <w:rsid w:val="0FAE6F92"/>
    <w:rsid w:val="0FB56018"/>
    <w:rsid w:val="0FC4BB66"/>
    <w:rsid w:val="0FCFDBD5"/>
    <w:rsid w:val="0FD97EB4"/>
    <w:rsid w:val="0FE08989"/>
    <w:rsid w:val="0FE55C5B"/>
    <w:rsid w:val="0FE71626"/>
    <w:rsid w:val="0FEEE988"/>
    <w:rsid w:val="0FF18131"/>
    <w:rsid w:val="0FFCD385"/>
    <w:rsid w:val="101301A1"/>
    <w:rsid w:val="101D3B51"/>
    <w:rsid w:val="101FBD03"/>
    <w:rsid w:val="1029B69E"/>
    <w:rsid w:val="102A6989"/>
    <w:rsid w:val="104D838B"/>
    <w:rsid w:val="1053B1D2"/>
    <w:rsid w:val="105EC34C"/>
    <w:rsid w:val="1076E533"/>
    <w:rsid w:val="10851E38"/>
    <w:rsid w:val="1087C7F3"/>
    <w:rsid w:val="1096288E"/>
    <w:rsid w:val="10A30269"/>
    <w:rsid w:val="10A35D8A"/>
    <w:rsid w:val="10A72B9A"/>
    <w:rsid w:val="10A85001"/>
    <w:rsid w:val="10AECFB3"/>
    <w:rsid w:val="10B2A6E6"/>
    <w:rsid w:val="10C1A1F2"/>
    <w:rsid w:val="10D0BD22"/>
    <w:rsid w:val="10D30D95"/>
    <w:rsid w:val="10D543B6"/>
    <w:rsid w:val="10D7DE34"/>
    <w:rsid w:val="10DBE78F"/>
    <w:rsid w:val="10E412AD"/>
    <w:rsid w:val="10EC4070"/>
    <w:rsid w:val="10ED72B9"/>
    <w:rsid w:val="10F1C02F"/>
    <w:rsid w:val="10FBB111"/>
    <w:rsid w:val="10FC6139"/>
    <w:rsid w:val="1114E79D"/>
    <w:rsid w:val="11187FB9"/>
    <w:rsid w:val="111AC26B"/>
    <w:rsid w:val="11211759"/>
    <w:rsid w:val="112EE157"/>
    <w:rsid w:val="1147DDBB"/>
    <w:rsid w:val="1148DB5B"/>
    <w:rsid w:val="115077AE"/>
    <w:rsid w:val="11609D22"/>
    <w:rsid w:val="11737291"/>
    <w:rsid w:val="117D0890"/>
    <w:rsid w:val="118DD605"/>
    <w:rsid w:val="11A51767"/>
    <w:rsid w:val="11B34265"/>
    <w:rsid w:val="11B8836F"/>
    <w:rsid w:val="11CFBA9E"/>
    <w:rsid w:val="11E0A284"/>
    <w:rsid w:val="11E2459C"/>
    <w:rsid w:val="11E5CEB9"/>
    <w:rsid w:val="11E8E113"/>
    <w:rsid w:val="11EACC82"/>
    <w:rsid w:val="11ECBFD8"/>
    <w:rsid w:val="11F6E927"/>
    <w:rsid w:val="11FEAACD"/>
    <w:rsid w:val="120220CA"/>
    <w:rsid w:val="1206323B"/>
    <w:rsid w:val="1209B928"/>
    <w:rsid w:val="120C4E92"/>
    <w:rsid w:val="120C88DC"/>
    <w:rsid w:val="12130D28"/>
    <w:rsid w:val="121B8D62"/>
    <w:rsid w:val="121C333B"/>
    <w:rsid w:val="122BD205"/>
    <w:rsid w:val="122DDCBE"/>
    <w:rsid w:val="124C9CD7"/>
    <w:rsid w:val="1250AD3D"/>
    <w:rsid w:val="12583795"/>
    <w:rsid w:val="1263734B"/>
    <w:rsid w:val="127AD5E1"/>
    <w:rsid w:val="12954F62"/>
    <w:rsid w:val="12956348"/>
    <w:rsid w:val="12A2C83F"/>
    <w:rsid w:val="12A9BF39"/>
    <w:rsid w:val="12B0C361"/>
    <w:rsid w:val="12B74288"/>
    <w:rsid w:val="12C5C562"/>
    <w:rsid w:val="12D399B7"/>
    <w:rsid w:val="12D6360F"/>
    <w:rsid w:val="12D8E7A1"/>
    <w:rsid w:val="12DE5A56"/>
    <w:rsid w:val="12E4F7CD"/>
    <w:rsid w:val="12E6A626"/>
    <w:rsid w:val="12E7BD10"/>
    <w:rsid w:val="12EA981C"/>
    <w:rsid w:val="12EB2244"/>
    <w:rsid w:val="12F5C28F"/>
    <w:rsid w:val="12FB3752"/>
    <w:rsid w:val="1302A70C"/>
    <w:rsid w:val="1302C677"/>
    <w:rsid w:val="13071516"/>
    <w:rsid w:val="130F011E"/>
    <w:rsid w:val="131918AB"/>
    <w:rsid w:val="131FDF1B"/>
    <w:rsid w:val="133D8B84"/>
    <w:rsid w:val="133F33C0"/>
    <w:rsid w:val="134D9B83"/>
    <w:rsid w:val="135717A9"/>
    <w:rsid w:val="138B5294"/>
    <w:rsid w:val="138B82DB"/>
    <w:rsid w:val="1393EA48"/>
    <w:rsid w:val="13984594"/>
    <w:rsid w:val="13A6BB72"/>
    <w:rsid w:val="13A9F2A0"/>
    <w:rsid w:val="13E792C1"/>
    <w:rsid w:val="1403A271"/>
    <w:rsid w:val="1403FBC0"/>
    <w:rsid w:val="14220AD5"/>
    <w:rsid w:val="1428450F"/>
    <w:rsid w:val="142CB876"/>
    <w:rsid w:val="144183F5"/>
    <w:rsid w:val="14489B8D"/>
    <w:rsid w:val="1450CA05"/>
    <w:rsid w:val="147B5BFF"/>
    <w:rsid w:val="14827687"/>
    <w:rsid w:val="14BA1884"/>
    <w:rsid w:val="14BA299E"/>
    <w:rsid w:val="14CAB18D"/>
    <w:rsid w:val="14CD5780"/>
    <w:rsid w:val="15042AE1"/>
    <w:rsid w:val="15056949"/>
    <w:rsid w:val="150D4813"/>
    <w:rsid w:val="150E4B76"/>
    <w:rsid w:val="1519E65E"/>
    <w:rsid w:val="151C4E1F"/>
    <w:rsid w:val="152171BE"/>
    <w:rsid w:val="153A6F0E"/>
    <w:rsid w:val="154B1439"/>
    <w:rsid w:val="154FCD19"/>
    <w:rsid w:val="1550AF10"/>
    <w:rsid w:val="155664AE"/>
    <w:rsid w:val="157B02F6"/>
    <w:rsid w:val="1583DCEA"/>
    <w:rsid w:val="1595F1BF"/>
    <w:rsid w:val="159F5EA6"/>
    <w:rsid w:val="15A900B4"/>
    <w:rsid w:val="15AC33D1"/>
    <w:rsid w:val="15ACC6FA"/>
    <w:rsid w:val="15AD4099"/>
    <w:rsid w:val="15AF0816"/>
    <w:rsid w:val="15C010A1"/>
    <w:rsid w:val="15C27BC3"/>
    <w:rsid w:val="15C95320"/>
    <w:rsid w:val="15CEB23D"/>
    <w:rsid w:val="15D29726"/>
    <w:rsid w:val="15E19B25"/>
    <w:rsid w:val="15E24C19"/>
    <w:rsid w:val="15EB6755"/>
    <w:rsid w:val="15FC77C0"/>
    <w:rsid w:val="160F9F5E"/>
    <w:rsid w:val="16103488"/>
    <w:rsid w:val="16136F32"/>
    <w:rsid w:val="1613F57C"/>
    <w:rsid w:val="163093B2"/>
    <w:rsid w:val="16752C46"/>
    <w:rsid w:val="16799904"/>
    <w:rsid w:val="1696268F"/>
    <w:rsid w:val="169B74F6"/>
    <w:rsid w:val="169BA0C7"/>
    <w:rsid w:val="16A26FB7"/>
    <w:rsid w:val="16A64346"/>
    <w:rsid w:val="16AF89D9"/>
    <w:rsid w:val="16AFDBA0"/>
    <w:rsid w:val="16B1B831"/>
    <w:rsid w:val="16BC074A"/>
    <w:rsid w:val="16DB5EFF"/>
    <w:rsid w:val="16E207A9"/>
    <w:rsid w:val="16E2DD7D"/>
    <w:rsid w:val="16E7CA66"/>
    <w:rsid w:val="16ED8011"/>
    <w:rsid w:val="16F57C4C"/>
    <w:rsid w:val="16F60CFA"/>
    <w:rsid w:val="16F8B475"/>
    <w:rsid w:val="16F8DDC4"/>
    <w:rsid w:val="16FB666A"/>
    <w:rsid w:val="17017A23"/>
    <w:rsid w:val="1707E467"/>
    <w:rsid w:val="170DE465"/>
    <w:rsid w:val="1712E675"/>
    <w:rsid w:val="171D1560"/>
    <w:rsid w:val="17247AE1"/>
    <w:rsid w:val="1724820D"/>
    <w:rsid w:val="172E4FE5"/>
    <w:rsid w:val="1739B6F2"/>
    <w:rsid w:val="173AF8BA"/>
    <w:rsid w:val="173B15BD"/>
    <w:rsid w:val="17408C5A"/>
    <w:rsid w:val="174A77E2"/>
    <w:rsid w:val="174F02EB"/>
    <w:rsid w:val="1767CA62"/>
    <w:rsid w:val="1768C085"/>
    <w:rsid w:val="177B7CCE"/>
    <w:rsid w:val="179A5097"/>
    <w:rsid w:val="17A3A390"/>
    <w:rsid w:val="17B00234"/>
    <w:rsid w:val="17BA5AB2"/>
    <w:rsid w:val="17C2F1AF"/>
    <w:rsid w:val="17D8EF9A"/>
    <w:rsid w:val="17E21C44"/>
    <w:rsid w:val="17E8E21F"/>
    <w:rsid w:val="17F00629"/>
    <w:rsid w:val="17F1494E"/>
    <w:rsid w:val="17F5302D"/>
    <w:rsid w:val="17F6B35E"/>
    <w:rsid w:val="17F93914"/>
    <w:rsid w:val="17FD1A52"/>
    <w:rsid w:val="17FE2494"/>
    <w:rsid w:val="1802524F"/>
    <w:rsid w:val="1819FF99"/>
    <w:rsid w:val="181BC97B"/>
    <w:rsid w:val="1823D6DD"/>
    <w:rsid w:val="18271F51"/>
    <w:rsid w:val="183B7747"/>
    <w:rsid w:val="183D5774"/>
    <w:rsid w:val="184CEFAB"/>
    <w:rsid w:val="1854543F"/>
    <w:rsid w:val="185AC8F5"/>
    <w:rsid w:val="18659C9E"/>
    <w:rsid w:val="18769698"/>
    <w:rsid w:val="187BF89C"/>
    <w:rsid w:val="188E0570"/>
    <w:rsid w:val="189484D6"/>
    <w:rsid w:val="18B951FF"/>
    <w:rsid w:val="18BB8A8E"/>
    <w:rsid w:val="18F79F4B"/>
    <w:rsid w:val="1915D3E7"/>
    <w:rsid w:val="19182065"/>
    <w:rsid w:val="19193BE7"/>
    <w:rsid w:val="191E25B8"/>
    <w:rsid w:val="1929ED01"/>
    <w:rsid w:val="1932CA4E"/>
    <w:rsid w:val="194657BB"/>
    <w:rsid w:val="194C595E"/>
    <w:rsid w:val="19501610"/>
    <w:rsid w:val="1957E08C"/>
    <w:rsid w:val="1963270A"/>
    <w:rsid w:val="197214F1"/>
    <w:rsid w:val="197B0590"/>
    <w:rsid w:val="197F37B2"/>
    <w:rsid w:val="1986158F"/>
    <w:rsid w:val="1997D1FB"/>
    <w:rsid w:val="199CE803"/>
    <w:rsid w:val="19ACCD08"/>
    <w:rsid w:val="19B6E56B"/>
    <w:rsid w:val="19BC5748"/>
    <w:rsid w:val="19BE4D73"/>
    <w:rsid w:val="19D343EF"/>
    <w:rsid w:val="19D95AB7"/>
    <w:rsid w:val="19DE6D7E"/>
    <w:rsid w:val="19EC8FC3"/>
    <w:rsid w:val="19FA6C0A"/>
    <w:rsid w:val="19FF96C7"/>
    <w:rsid w:val="1A0EB409"/>
    <w:rsid w:val="1A1090D6"/>
    <w:rsid w:val="1A163F05"/>
    <w:rsid w:val="1A1A131E"/>
    <w:rsid w:val="1A3BE70B"/>
    <w:rsid w:val="1A4A844B"/>
    <w:rsid w:val="1A598DEF"/>
    <w:rsid w:val="1A59C6E4"/>
    <w:rsid w:val="1A748451"/>
    <w:rsid w:val="1A8922C9"/>
    <w:rsid w:val="1A9300DF"/>
    <w:rsid w:val="1A9E35F2"/>
    <w:rsid w:val="1AAF5214"/>
    <w:rsid w:val="1AB6DE15"/>
    <w:rsid w:val="1AB7DD11"/>
    <w:rsid w:val="1ADCE1DE"/>
    <w:rsid w:val="1ADDF537"/>
    <w:rsid w:val="1AF243E8"/>
    <w:rsid w:val="1AF3B2D3"/>
    <w:rsid w:val="1B0FA8E0"/>
    <w:rsid w:val="1B17F2DA"/>
    <w:rsid w:val="1B187EB7"/>
    <w:rsid w:val="1B227E3C"/>
    <w:rsid w:val="1B24A021"/>
    <w:rsid w:val="1B30F14F"/>
    <w:rsid w:val="1B317F59"/>
    <w:rsid w:val="1B35BA1C"/>
    <w:rsid w:val="1B4B2AD2"/>
    <w:rsid w:val="1B512B3E"/>
    <w:rsid w:val="1B5F822E"/>
    <w:rsid w:val="1B607490"/>
    <w:rsid w:val="1B72617B"/>
    <w:rsid w:val="1B72D0F6"/>
    <w:rsid w:val="1B7EC0D3"/>
    <w:rsid w:val="1B87B958"/>
    <w:rsid w:val="1B93C2B4"/>
    <w:rsid w:val="1B9C7871"/>
    <w:rsid w:val="1B9EAD16"/>
    <w:rsid w:val="1BB07F1B"/>
    <w:rsid w:val="1BB55410"/>
    <w:rsid w:val="1BC07E67"/>
    <w:rsid w:val="1BCD845A"/>
    <w:rsid w:val="1BCDFB6E"/>
    <w:rsid w:val="1BE7AD99"/>
    <w:rsid w:val="1BE83214"/>
    <w:rsid w:val="1BEFDFCD"/>
    <w:rsid w:val="1C017B8E"/>
    <w:rsid w:val="1C10A221"/>
    <w:rsid w:val="1C1BE661"/>
    <w:rsid w:val="1C1F76C3"/>
    <w:rsid w:val="1C29E5FA"/>
    <w:rsid w:val="1C2B2F5B"/>
    <w:rsid w:val="1C4C3A3B"/>
    <w:rsid w:val="1C502F56"/>
    <w:rsid w:val="1C53A73A"/>
    <w:rsid w:val="1C59D221"/>
    <w:rsid w:val="1C6DA023"/>
    <w:rsid w:val="1C716FB4"/>
    <w:rsid w:val="1C75B653"/>
    <w:rsid w:val="1C78C158"/>
    <w:rsid w:val="1C7C817B"/>
    <w:rsid w:val="1C812171"/>
    <w:rsid w:val="1CA32AA6"/>
    <w:rsid w:val="1CA649AB"/>
    <w:rsid w:val="1CA92C06"/>
    <w:rsid w:val="1CB1E736"/>
    <w:rsid w:val="1CB62538"/>
    <w:rsid w:val="1CBAC69C"/>
    <w:rsid w:val="1CCA3F64"/>
    <w:rsid w:val="1CCE141B"/>
    <w:rsid w:val="1CDBA5F0"/>
    <w:rsid w:val="1CE0BB45"/>
    <w:rsid w:val="1CEA8487"/>
    <w:rsid w:val="1CF6698D"/>
    <w:rsid w:val="1D04F796"/>
    <w:rsid w:val="1D0A38C4"/>
    <w:rsid w:val="1D107806"/>
    <w:rsid w:val="1D109E91"/>
    <w:rsid w:val="1D225649"/>
    <w:rsid w:val="1D284414"/>
    <w:rsid w:val="1D2B4D30"/>
    <w:rsid w:val="1D2E4808"/>
    <w:rsid w:val="1D458C6E"/>
    <w:rsid w:val="1D460726"/>
    <w:rsid w:val="1D587977"/>
    <w:rsid w:val="1D6020F5"/>
    <w:rsid w:val="1D6B024E"/>
    <w:rsid w:val="1D814B5F"/>
    <w:rsid w:val="1D931ECA"/>
    <w:rsid w:val="1D9671C7"/>
    <w:rsid w:val="1D9AEA3C"/>
    <w:rsid w:val="1D9B4D6A"/>
    <w:rsid w:val="1D9D4D94"/>
    <w:rsid w:val="1D9D6BB0"/>
    <w:rsid w:val="1DA1703E"/>
    <w:rsid w:val="1DA5F46F"/>
    <w:rsid w:val="1DA799A4"/>
    <w:rsid w:val="1DAF5773"/>
    <w:rsid w:val="1DB13D6C"/>
    <w:rsid w:val="1DB17F94"/>
    <w:rsid w:val="1DBB1C57"/>
    <w:rsid w:val="1DC0C38B"/>
    <w:rsid w:val="1DC45B66"/>
    <w:rsid w:val="1DD6572D"/>
    <w:rsid w:val="1DE04FE7"/>
    <w:rsid w:val="1DEBA7FF"/>
    <w:rsid w:val="1E104AFD"/>
    <w:rsid w:val="1E1186B4"/>
    <w:rsid w:val="1E12EB9E"/>
    <w:rsid w:val="1E1E89E9"/>
    <w:rsid w:val="1E261F8C"/>
    <w:rsid w:val="1E3A1552"/>
    <w:rsid w:val="1E3C231E"/>
    <w:rsid w:val="1E42E968"/>
    <w:rsid w:val="1E4BFE0E"/>
    <w:rsid w:val="1E5A392B"/>
    <w:rsid w:val="1E69E47C"/>
    <w:rsid w:val="1E76BFB8"/>
    <w:rsid w:val="1E76E003"/>
    <w:rsid w:val="1E78CEC2"/>
    <w:rsid w:val="1E83D2BF"/>
    <w:rsid w:val="1E958A49"/>
    <w:rsid w:val="1E95BD98"/>
    <w:rsid w:val="1EA1E4D0"/>
    <w:rsid w:val="1EA53E26"/>
    <w:rsid w:val="1EA6C918"/>
    <w:rsid w:val="1EC1DA32"/>
    <w:rsid w:val="1EC3195F"/>
    <w:rsid w:val="1ECFEF10"/>
    <w:rsid w:val="1EF0CF5C"/>
    <w:rsid w:val="1EF961FF"/>
    <w:rsid w:val="1F12BA77"/>
    <w:rsid w:val="1F19E656"/>
    <w:rsid w:val="1F303A36"/>
    <w:rsid w:val="1F3BD2DE"/>
    <w:rsid w:val="1F3E2FC3"/>
    <w:rsid w:val="1F46203A"/>
    <w:rsid w:val="1F4E81B3"/>
    <w:rsid w:val="1F4FE2FA"/>
    <w:rsid w:val="1F6FFB0A"/>
    <w:rsid w:val="1F700602"/>
    <w:rsid w:val="1F7A4781"/>
    <w:rsid w:val="1F7A86CE"/>
    <w:rsid w:val="1F925323"/>
    <w:rsid w:val="1F9A4927"/>
    <w:rsid w:val="1FBCD2E4"/>
    <w:rsid w:val="1FC2EF57"/>
    <w:rsid w:val="1FC6B30C"/>
    <w:rsid w:val="1FC852B3"/>
    <w:rsid w:val="1FDCC4DC"/>
    <w:rsid w:val="1FDCF1A4"/>
    <w:rsid w:val="1FE41A54"/>
    <w:rsid w:val="1FE6D833"/>
    <w:rsid w:val="1FEAB3BD"/>
    <w:rsid w:val="1FED0984"/>
    <w:rsid w:val="1FFF4D93"/>
    <w:rsid w:val="2007ECD8"/>
    <w:rsid w:val="201FEEE0"/>
    <w:rsid w:val="202C80C7"/>
    <w:rsid w:val="2033D61B"/>
    <w:rsid w:val="203B5D3C"/>
    <w:rsid w:val="203F626C"/>
    <w:rsid w:val="2046820B"/>
    <w:rsid w:val="2046BA7F"/>
    <w:rsid w:val="204A4913"/>
    <w:rsid w:val="20782177"/>
    <w:rsid w:val="20869561"/>
    <w:rsid w:val="208A4280"/>
    <w:rsid w:val="209423EA"/>
    <w:rsid w:val="20971CF9"/>
    <w:rsid w:val="20B13531"/>
    <w:rsid w:val="20B23880"/>
    <w:rsid w:val="20B3AE4F"/>
    <w:rsid w:val="20B82D6B"/>
    <w:rsid w:val="20EB1436"/>
    <w:rsid w:val="20FCA2E3"/>
    <w:rsid w:val="2104760B"/>
    <w:rsid w:val="211B496B"/>
    <w:rsid w:val="213BC3DF"/>
    <w:rsid w:val="213C55AE"/>
    <w:rsid w:val="213FA501"/>
    <w:rsid w:val="214009CC"/>
    <w:rsid w:val="214639B4"/>
    <w:rsid w:val="21492776"/>
    <w:rsid w:val="2156FA29"/>
    <w:rsid w:val="21605290"/>
    <w:rsid w:val="21625C2F"/>
    <w:rsid w:val="2170FC55"/>
    <w:rsid w:val="2176559F"/>
    <w:rsid w:val="2178BF53"/>
    <w:rsid w:val="2188173D"/>
    <w:rsid w:val="218F81E5"/>
    <w:rsid w:val="21D31FD3"/>
    <w:rsid w:val="21E62115"/>
    <w:rsid w:val="21ED5344"/>
    <w:rsid w:val="21F1CEC9"/>
    <w:rsid w:val="2204B7E6"/>
    <w:rsid w:val="2252CB5C"/>
    <w:rsid w:val="2262113F"/>
    <w:rsid w:val="2267B338"/>
    <w:rsid w:val="227D594E"/>
    <w:rsid w:val="228A5F26"/>
    <w:rsid w:val="228B905B"/>
    <w:rsid w:val="2296AACB"/>
    <w:rsid w:val="22A9C699"/>
    <w:rsid w:val="22A9CE8B"/>
    <w:rsid w:val="22AEE6A7"/>
    <w:rsid w:val="22B4A823"/>
    <w:rsid w:val="22B64E4D"/>
    <w:rsid w:val="22C552B2"/>
    <w:rsid w:val="22D1ECF1"/>
    <w:rsid w:val="22EF1DFC"/>
    <w:rsid w:val="22F30FA0"/>
    <w:rsid w:val="23153FC6"/>
    <w:rsid w:val="23165A8B"/>
    <w:rsid w:val="2323F00E"/>
    <w:rsid w:val="232623F1"/>
    <w:rsid w:val="23412C16"/>
    <w:rsid w:val="234D0A22"/>
    <w:rsid w:val="236532F9"/>
    <w:rsid w:val="236B76DD"/>
    <w:rsid w:val="236F913D"/>
    <w:rsid w:val="2377E230"/>
    <w:rsid w:val="237A5D6C"/>
    <w:rsid w:val="2380AD99"/>
    <w:rsid w:val="239E0269"/>
    <w:rsid w:val="23A3F784"/>
    <w:rsid w:val="23A523CA"/>
    <w:rsid w:val="23C6AF9B"/>
    <w:rsid w:val="23CA5B9B"/>
    <w:rsid w:val="23D614EC"/>
    <w:rsid w:val="23E093BE"/>
    <w:rsid w:val="23E472C3"/>
    <w:rsid w:val="23EF6755"/>
    <w:rsid w:val="23F99550"/>
    <w:rsid w:val="240AAD06"/>
    <w:rsid w:val="240CDE90"/>
    <w:rsid w:val="240F5381"/>
    <w:rsid w:val="241929AF"/>
    <w:rsid w:val="241F6D08"/>
    <w:rsid w:val="24260ACC"/>
    <w:rsid w:val="242760BC"/>
    <w:rsid w:val="24344D85"/>
    <w:rsid w:val="24348EF4"/>
    <w:rsid w:val="2434A35D"/>
    <w:rsid w:val="2439A465"/>
    <w:rsid w:val="2449B9C4"/>
    <w:rsid w:val="24517058"/>
    <w:rsid w:val="2454BBFC"/>
    <w:rsid w:val="24616DA2"/>
    <w:rsid w:val="246676ED"/>
    <w:rsid w:val="2488AA58"/>
    <w:rsid w:val="248E6492"/>
    <w:rsid w:val="248E8A56"/>
    <w:rsid w:val="24961BF1"/>
    <w:rsid w:val="24B51CF9"/>
    <w:rsid w:val="24BA7D1A"/>
    <w:rsid w:val="24BB85CB"/>
    <w:rsid w:val="24CE44D4"/>
    <w:rsid w:val="24D0A8E0"/>
    <w:rsid w:val="24D9FEC7"/>
    <w:rsid w:val="24DC4C68"/>
    <w:rsid w:val="24DFCCEA"/>
    <w:rsid w:val="24E75949"/>
    <w:rsid w:val="2500125C"/>
    <w:rsid w:val="2515D8CF"/>
    <w:rsid w:val="25196868"/>
    <w:rsid w:val="2530CB44"/>
    <w:rsid w:val="2531B4B9"/>
    <w:rsid w:val="256E77D9"/>
    <w:rsid w:val="257334E7"/>
    <w:rsid w:val="257D2193"/>
    <w:rsid w:val="25876DFD"/>
    <w:rsid w:val="2590E8A5"/>
    <w:rsid w:val="25928EFA"/>
    <w:rsid w:val="25B55ECD"/>
    <w:rsid w:val="25CB2C9D"/>
    <w:rsid w:val="25D02F6E"/>
    <w:rsid w:val="25DC89B8"/>
    <w:rsid w:val="25E95ABD"/>
    <w:rsid w:val="2602073A"/>
    <w:rsid w:val="260A0E12"/>
    <w:rsid w:val="2618B32F"/>
    <w:rsid w:val="262582E1"/>
    <w:rsid w:val="263A771B"/>
    <w:rsid w:val="263D40AA"/>
    <w:rsid w:val="2649795B"/>
    <w:rsid w:val="264C6EFE"/>
    <w:rsid w:val="26514A68"/>
    <w:rsid w:val="26515299"/>
    <w:rsid w:val="268A2376"/>
    <w:rsid w:val="268A9677"/>
    <w:rsid w:val="26901FF8"/>
    <w:rsid w:val="2691D18E"/>
    <w:rsid w:val="2695237B"/>
    <w:rsid w:val="269D150D"/>
    <w:rsid w:val="269D6027"/>
    <w:rsid w:val="269E6004"/>
    <w:rsid w:val="26A33B90"/>
    <w:rsid w:val="26B07897"/>
    <w:rsid w:val="26B89C63"/>
    <w:rsid w:val="26BFB2D7"/>
    <w:rsid w:val="26BFD63F"/>
    <w:rsid w:val="26C88C79"/>
    <w:rsid w:val="26D1175C"/>
    <w:rsid w:val="26D50585"/>
    <w:rsid w:val="270F0548"/>
    <w:rsid w:val="27202C73"/>
    <w:rsid w:val="2720AC3A"/>
    <w:rsid w:val="2730F4D9"/>
    <w:rsid w:val="2741CC82"/>
    <w:rsid w:val="274CD92A"/>
    <w:rsid w:val="275D751A"/>
    <w:rsid w:val="27789FC2"/>
    <w:rsid w:val="277AD5E8"/>
    <w:rsid w:val="278EB2F2"/>
    <w:rsid w:val="279ABA6D"/>
    <w:rsid w:val="27A894F2"/>
    <w:rsid w:val="27ACC7EB"/>
    <w:rsid w:val="27ADF03A"/>
    <w:rsid w:val="27B80159"/>
    <w:rsid w:val="27C61440"/>
    <w:rsid w:val="27D20CA2"/>
    <w:rsid w:val="27E4B05C"/>
    <w:rsid w:val="27E865C1"/>
    <w:rsid w:val="27E8EDAE"/>
    <w:rsid w:val="27F1064C"/>
    <w:rsid w:val="27F13D62"/>
    <w:rsid w:val="2801123B"/>
    <w:rsid w:val="280D0A98"/>
    <w:rsid w:val="282968D8"/>
    <w:rsid w:val="282E051D"/>
    <w:rsid w:val="282EBCC5"/>
    <w:rsid w:val="28307AE4"/>
    <w:rsid w:val="283843E8"/>
    <w:rsid w:val="283C86E3"/>
    <w:rsid w:val="2841F9A8"/>
    <w:rsid w:val="284C8519"/>
    <w:rsid w:val="284E6FDF"/>
    <w:rsid w:val="2854950A"/>
    <w:rsid w:val="28788B56"/>
    <w:rsid w:val="28878906"/>
    <w:rsid w:val="2887B40B"/>
    <w:rsid w:val="288DF0E1"/>
    <w:rsid w:val="28938C41"/>
    <w:rsid w:val="28988E24"/>
    <w:rsid w:val="28B3D1D8"/>
    <w:rsid w:val="28E44DCB"/>
    <w:rsid w:val="28E7FD1E"/>
    <w:rsid w:val="28F175FB"/>
    <w:rsid w:val="28F5D319"/>
    <w:rsid w:val="290407E4"/>
    <w:rsid w:val="290D7E17"/>
    <w:rsid w:val="290E2405"/>
    <w:rsid w:val="2910904D"/>
    <w:rsid w:val="291109F2"/>
    <w:rsid w:val="291FDCF9"/>
    <w:rsid w:val="29205C02"/>
    <w:rsid w:val="292135BB"/>
    <w:rsid w:val="2922D943"/>
    <w:rsid w:val="292906BA"/>
    <w:rsid w:val="292BB3D5"/>
    <w:rsid w:val="292E6985"/>
    <w:rsid w:val="292FCC49"/>
    <w:rsid w:val="29343DBB"/>
    <w:rsid w:val="29379646"/>
    <w:rsid w:val="29481385"/>
    <w:rsid w:val="294A88C5"/>
    <w:rsid w:val="29517C38"/>
    <w:rsid w:val="295264F2"/>
    <w:rsid w:val="2963CC39"/>
    <w:rsid w:val="29644296"/>
    <w:rsid w:val="2966B11A"/>
    <w:rsid w:val="296EEAE4"/>
    <w:rsid w:val="29792CB3"/>
    <w:rsid w:val="29818299"/>
    <w:rsid w:val="2982ABD0"/>
    <w:rsid w:val="298C3454"/>
    <w:rsid w:val="29B33DD2"/>
    <w:rsid w:val="29B4FFA8"/>
    <w:rsid w:val="29B74EE7"/>
    <w:rsid w:val="29BC1157"/>
    <w:rsid w:val="29C9BB20"/>
    <w:rsid w:val="29C9F70A"/>
    <w:rsid w:val="29CE809F"/>
    <w:rsid w:val="29E118E2"/>
    <w:rsid w:val="29E6EA69"/>
    <w:rsid w:val="29EB4583"/>
    <w:rsid w:val="2A05CC60"/>
    <w:rsid w:val="2A0C8F5D"/>
    <w:rsid w:val="2A249C82"/>
    <w:rsid w:val="2A2C2E13"/>
    <w:rsid w:val="2A31549E"/>
    <w:rsid w:val="2A537D63"/>
    <w:rsid w:val="2A659E9F"/>
    <w:rsid w:val="2A690ADC"/>
    <w:rsid w:val="2A69CD5C"/>
    <w:rsid w:val="2A86DAF7"/>
    <w:rsid w:val="2AA12DEE"/>
    <w:rsid w:val="2AB0C87F"/>
    <w:rsid w:val="2AC73BE1"/>
    <w:rsid w:val="2ACA3A0F"/>
    <w:rsid w:val="2ACF3CC0"/>
    <w:rsid w:val="2ADC058A"/>
    <w:rsid w:val="2ADD7F35"/>
    <w:rsid w:val="2AE4347D"/>
    <w:rsid w:val="2AF27B31"/>
    <w:rsid w:val="2AF4E3F0"/>
    <w:rsid w:val="2B082B91"/>
    <w:rsid w:val="2B14522E"/>
    <w:rsid w:val="2B1649A3"/>
    <w:rsid w:val="2B1C4441"/>
    <w:rsid w:val="2B1EC72A"/>
    <w:rsid w:val="2B423C68"/>
    <w:rsid w:val="2B61E7D5"/>
    <w:rsid w:val="2B7713B4"/>
    <w:rsid w:val="2B7BB1D3"/>
    <w:rsid w:val="2B8686D9"/>
    <w:rsid w:val="2B9CB77A"/>
    <w:rsid w:val="2BA384F5"/>
    <w:rsid w:val="2BAAC627"/>
    <w:rsid w:val="2BAB646F"/>
    <w:rsid w:val="2BBC4D09"/>
    <w:rsid w:val="2BF9F30C"/>
    <w:rsid w:val="2BFEE358"/>
    <w:rsid w:val="2C1C2938"/>
    <w:rsid w:val="2C24A051"/>
    <w:rsid w:val="2C26699B"/>
    <w:rsid w:val="2C36D689"/>
    <w:rsid w:val="2C44FAE9"/>
    <w:rsid w:val="2C480AEE"/>
    <w:rsid w:val="2C4D5032"/>
    <w:rsid w:val="2C5FF26B"/>
    <w:rsid w:val="2C609A3E"/>
    <w:rsid w:val="2C667105"/>
    <w:rsid w:val="2C67611A"/>
    <w:rsid w:val="2C696D11"/>
    <w:rsid w:val="2C729C93"/>
    <w:rsid w:val="2C79E642"/>
    <w:rsid w:val="2C803335"/>
    <w:rsid w:val="2C807E90"/>
    <w:rsid w:val="2C80B613"/>
    <w:rsid w:val="2C92B681"/>
    <w:rsid w:val="2C96AEEC"/>
    <w:rsid w:val="2CA58519"/>
    <w:rsid w:val="2CAB141D"/>
    <w:rsid w:val="2CB343F6"/>
    <w:rsid w:val="2CCBB1A6"/>
    <w:rsid w:val="2CCFCD41"/>
    <w:rsid w:val="2CDB6640"/>
    <w:rsid w:val="2CE66CB5"/>
    <w:rsid w:val="2CEFB87F"/>
    <w:rsid w:val="2CFD17A5"/>
    <w:rsid w:val="2D03CEB2"/>
    <w:rsid w:val="2D39181D"/>
    <w:rsid w:val="2D39BC67"/>
    <w:rsid w:val="2D3B5912"/>
    <w:rsid w:val="2D3FB849"/>
    <w:rsid w:val="2D52148D"/>
    <w:rsid w:val="2D573696"/>
    <w:rsid w:val="2D67795E"/>
    <w:rsid w:val="2D6FCA80"/>
    <w:rsid w:val="2D74C92F"/>
    <w:rsid w:val="2D98AF6F"/>
    <w:rsid w:val="2DA8D0A5"/>
    <w:rsid w:val="2DBDB218"/>
    <w:rsid w:val="2DBE9547"/>
    <w:rsid w:val="2DC25417"/>
    <w:rsid w:val="2DD42246"/>
    <w:rsid w:val="2DD598F4"/>
    <w:rsid w:val="2DDEBBBC"/>
    <w:rsid w:val="2DEF47A4"/>
    <w:rsid w:val="2DFBB437"/>
    <w:rsid w:val="2E098C1A"/>
    <w:rsid w:val="2E0F6D33"/>
    <w:rsid w:val="2E12D6E5"/>
    <w:rsid w:val="2E312FBB"/>
    <w:rsid w:val="2E4485BC"/>
    <w:rsid w:val="2E572206"/>
    <w:rsid w:val="2E6483D5"/>
    <w:rsid w:val="2E6E7FCF"/>
    <w:rsid w:val="2E7FCA17"/>
    <w:rsid w:val="2E869678"/>
    <w:rsid w:val="2E89882D"/>
    <w:rsid w:val="2E8BA89C"/>
    <w:rsid w:val="2EA263C5"/>
    <w:rsid w:val="2EA53427"/>
    <w:rsid w:val="2EA98EFE"/>
    <w:rsid w:val="2EC6FB7E"/>
    <w:rsid w:val="2EC85911"/>
    <w:rsid w:val="2ECD6CAD"/>
    <w:rsid w:val="2ED26AF5"/>
    <w:rsid w:val="2ED556F8"/>
    <w:rsid w:val="2ED58CC8"/>
    <w:rsid w:val="2EE0DEB8"/>
    <w:rsid w:val="2EE9B117"/>
    <w:rsid w:val="2F018C8E"/>
    <w:rsid w:val="2F19548A"/>
    <w:rsid w:val="2F2B11FD"/>
    <w:rsid w:val="2F31C435"/>
    <w:rsid w:val="2F32887F"/>
    <w:rsid w:val="2F33796A"/>
    <w:rsid w:val="2F3ECE12"/>
    <w:rsid w:val="2F4318B6"/>
    <w:rsid w:val="2F45004C"/>
    <w:rsid w:val="2F6D2BF2"/>
    <w:rsid w:val="2F8AC36A"/>
    <w:rsid w:val="2F951725"/>
    <w:rsid w:val="2F978808"/>
    <w:rsid w:val="2FAF441F"/>
    <w:rsid w:val="2FB0976E"/>
    <w:rsid w:val="2FC4DFE6"/>
    <w:rsid w:val="2FCD001C"/>
    <w:rsid w:val="2FD48C97"/>
    <w:rsid w:val="2FD57579"/>
    <w:rsid w:val="2FEA5B00"/>
    <w:rsid w:val="2FF3E429"/>
    <w:rsid w:val="300EA822"/>
    <w:rsid w:val="300ECFC4"/>
    <w:rsid w:val="301E1C98"/>
    <w:rsid w:val="301E3415"/>
    <w:rsid w:val="302ACEF6"/>
    <w:rsid w:val="30324634"/>
    <w:rsid w:val="3039507D"/>
    <w:rsid w:val="303DD028"/>
    <w:rsid w:val="304B77CC"/>
    <w:rsid w:val="3052667F"/>
    <w:rsid w:val="3061C9BC"/>
    <w:rsid w:val="306BB1EA"/>
    <w:rsid w:val="30715D29"/>
    <w:rsid w:val="307AAB41"/>
    <w:rsid w:val="307DBA9C"/>
    <w:rsid w:val="308D7DF4"/>
    <w:rsid w:val="3094229C"/>
    <w:rsid w:val="30B53FE2"/>
    <w:rsid w:val="30BAE28A"/>
    <w:rsid w:val="30D229C7"/>
    <w:rsid w:val="30E8AEC8"/>
    <w:rsid w:val="310E9E11"/>
    <w:rsid w:val="3115439D"/>
    <w:rsid w:val="311FAC9E"/>
    <w:rsid w:val="313EC48D"/>
    <w:rsid w:val="3141356F"/>
    <w:rsid w:val="314336BF"/>
    <w:rsid w:val="314CC0B9"/>
    <w:rsid w:val="315491EB"/>
    <w:rsid w:val="315BC1A1"/>
    <w:rsid w:val="3163ADBA"/>
    <w:rsid w:val="3193A388"/>
    <w:rsid w:val="3197D1A9"/>
    <w:rsid w:val="31996AF4"/>
    <w:rsid w:val="31A8DDDC"/>
    <w:rsid w:val="31AD650A"/>
    <w:rsid w:val="31BA928A"/>
    <w:rsid w:val="31BCE05D"/>
    <w:rsid w:val="31C3495E"/>
    <w:rsid w:val="31D7B9EB"/>
    <w:rsid w:val="31DCD5EB"/>
    <w:rsid w:val="31E939FC"/>
    <w:rsid w:val="3206B870"/>
    <w:rsid w:val="3206BBBF"/>
    <w:rsid w:val="320DE03F"/>
    <w:rsid w:val="3212C679"/>
    <w:rsid w:val="322ACC53"/>
    <w:rsid w:val="322C8A7C"/>
    <w:rsid w:val="323D4A4C"/>
    <w:rsid w:val="324D90E9"/>
    <w:rsid w:val="324E6016"/>
    <w:rsid w:val="3272A4B7"/>
    <w:rsid w:val="32842791"/>
    <w:rsid w:val="328D7155"/>
    <w:rsid w:val="32C5D06E"/>
    <w:rsid w:val="32C5E644"/>
    <w:rsid w:val="32C65C53"/>
    <w:rsid w:val="32C77DF5"/>
    <w:rsid w:val="32C92A6D"/>
    <w:rsid w:val="32CC53C7"/>
    <w:rsid w:val="32DE7E0A"/>
    <w:rsid w:val="32E2B8F0"/>
    <w:rsid w:val="32EB3D9E"/>
    <w:rsid w:val="330EE46F"/>
    <w:rsid w:val="332CB8C1"/>
    <w:rsid w:val="3346C939"/>
    <w:rsid w:val="3350BBA5"/>
    <w:rsid w:val="3352AFE5"/>
    <w:rsid w:val="336512E9"/>
    <w:rsid w:val="336BA19C"/>
    <w:rsid w:val="337B9791"/>
    <w:rsid w:val="3395D0E1"/>
    <w:rsid w:val="33C7BF37"/>
    <w:rsid w:val="33D9470A"/>
    <w:rsid w:val="33D9A62F"/>
    <w:rsid w:val="33D9AB87"/>
    <w:rsid w:val="34194AF9"/>
    <w:rsid w:val="342E0141"/>
    <w:rsid w:val="34365CF5"/>
    <w:rsid w:val="34383206"/>
    <w:rsid w:val="344853E7"/>
    <w:rsid w:val="3456CDA6"/>
    <w:rsid w:val="34593F1A"/>
    <w:rsid w:val="3460091B"/>
    <w:rsid w:val="34601C1C"/>
    <w:rsid w:val="34797616"/>
    <w:rsid w:val="34797A12"/>
    <w:rsid w:val="34801260"/>
    <w:rsid w:val="348C7DC3"/>
    <w:rsid w:val="34A0AA04"/>
    <w:rsid w:val="34A0EE5D"/>
    <w:rsid w:val="34A7DCC6"/>
    <w:rsid w:val="34AF094A"/>
    <w:rsid w:val="34B34AA1"/>
    <w:rsid w:val="34BCEC0F"/>
    <w:rsid w:val="34CC79D0"/>
    <w:rsid w:val="34E3CFF7"/>
    <w:rsid w:val="34E4CE7E"/>
    <w:rsid w:val="3506CB0A"/>
    <w:rsid w:val="350A00EC"/>
    <w:rsid w:val="350D763F"/>
    <w:rsid w:val="3510DA55"/>
    <w:rsid w:val="352087F7"/>
    <w:rsid w:val="352B5005"/>
    <w:rsid w:val="35301973"/>
    <w:rsid w:val="35537753"/>
    <w:rsid w:val="3553A410"/>
    <w:rsid w:val="3555B07C"/>
    <w:rsid w:val="355EFC11"/>
    <w:rsid w:val="3563AD2A"/>
    <w:rsid w:val="35740742"/>
    <w:rsid w:val="357D5ED5"/>
    <w:rsid w:val="357F4362"/>
    <w:rsid w:val="3583B8DA"/>
    <w:rsid w:val="358AAC14"/>
    <w:rsid w:val="358F2301"/>
    <w:rsid w:val="35965B0C"/>
    <w:rsid w:val="35B1C404"/>
    <w:rsid w:val="35C33BFC"/>
    <w:rsid w:val="35CB1DDA"/>
    <w:rsid w:val="35CE9EAF"/>
    <w:rsid w:val="35D41CA7"/>
    <w:rsid w:val="35ED23A7"/>
    <w:rsid w:val="35F722D4"/>
    <w:rsid w:val="35FE3C77"/>
    <w:rsid w:val="360D1043"/>
    <w:rsid w:val="360D1B59"/>
    <w:rsid w:val="3613F1EE"/>
    <w:rsid w:val="3622F36F"/>
    <w:rsid w:val="362D3943"/>
    <w:rsid w:val="3633D7AB"/>
    <w:rsid w:val="3638B783"/>
    <w:rsid w:val="36539DBE"/>
    <w:rsid w:val="3654AB39"/>
    <w:rsid w:val="36561BA4"/>
    <w:rsid w:val="3662B665"/>
    <w:rsid w:val="3669818A"/>
    <w:rsid w:val="366C1BA7"/>
    <w:rsid w:val="368DF792"/>
    <w:rsid w:val="369FACF3"/>
    <w:rsid w:val="36A3B7C3"/>
    <w:rsid w:val="36A4741A"/>
    <w:rsid w:val="36AACDC1"/>
    <w:rsid w:val="36AFE2DE"/>
    <w:rsid w:val="36B33026"/>
    <w:rsid w:val="36B332D9"/>
    <w:rsid w:val="36B6FABF"/>
    <w:rsid w:val="36BF24F4"/>
    <w:rsid w:val="36C772E8"/>
    <w:rsid w:val="36C83126"/>
    <w:rsid w:val="36CFF585"/>
    <w:rsid w:val="36D96C79"/>
    <w:rsid w:val="36DA9610"/>
    <w:rsid w:val="36E325AC"/>
    <w:rsid w:val="36F0554C"/>
    <w:rsid w:val="3701F157"/>
    <w:rsid w:val="37085E15"/>
    <w:rsid w:val="371AE44C"/>
    <w:rsid w:val="37272E0C"/>
    <w:rsid w:val="373DC411"/>
    <w:rsid w:val="374E791A"/>
    <w:rsid w:val="374EEE92"/>
    <w:rsid w:val="37760129"/>
    <w:rsid w:val="377DDC97"/>
    <w:rsid w:val="37851CE1"/>
    <w:rsid w:val="3788F929"/>
    <w:rsid w:val="378BC58C"/>
    <w:rsid w:val="3792F335"/>
    <w:rsid w:val="3799CD76"/>
    <w:rsid w:val="37A589CD"/>
    <w:rsid w:val="37A99BCF"/>
    <w:rsid w:val="37AA5EB0"/>
    <w:rsid w:val="37ABC29C"/>
    <w:rsid w:val="37AEB110"/>
    <w:rsid w:val="37BC023D"/>
    <w:rsid w:val="37BFB3D2"/>
    <w:rsid w:val="37CFBE47"/>
    <w:rsid w:val="37D0EF0A"/>
    <w:rsid w:val="37D27204"/>
    <w:rsid w:val="37D6CBC8"/>
    <w:rsid w:val="37D97A6A"/>
    <w:rsid w:val="37DB5D75"/>
    <w:rsid w:val="37E3C77F"/>
    <w:rsid w:val="37E923C3"/>
    <w:rsid w:val="37EA207C"/>
    <w:rsid w:val="37F63B80"/>
    <w:rsid w:val="37F82CEB"/>
    <w:rsid w:val="37FF77B2"/>
    <w:rsid w:val="380A6B07"/>
    <w:rsid w:val="38139292"/>
    <w:rsid w:val="381468DE"/>
    <w:rsid w:val="3814F08F"/>
    <w:rsid w:val="38190657"/>
    <w:rsid w:val="382648A5"/>
    <w:rsid w:val="382C3C85"/>
    <w:rsid w:val="3850D967"/>
    <w:rsid w:val="3856B3E1"/>
    <w:rsid w:val="385B8642"/>
    <w:rsid w:val="385F3070"/>
    <w:rsid w:val="3862F0C7"/>
    <w:rsid w:val="38631B20"/>
    <w:rsid w:val="38644308"/>
    <w:rsid w:val="38715059"/>
    <w:rsid w:val="3874E5DB"/>
    <w:rsid w:val="38839DD4"/>
    <w:rsid w:val="3887B823"/>
    <w:rsid w:val="388AE9AB"/>
    <w:rsid w:val="388BD65D"/>
    <w:rsid w:val="3895A3E4"/>
    <w:rsid w:val="38969CD3"/>
    <w:rsid w:val="38A63FAE"/>
    <w:rsid w:val="38BA99B9"/>
    <w:rsid w:val="38D67AA5"/>
    <w:rsid w:val="38E9FAFC"/>
    <w:rsid w:val="38EBCFAF"/>
    <w:rsid w:val="38F6E9FF"/>
    <w:rsid w:val="39032359"/>
    <w:rsid w:val="3906F073"/>
    <w:rsid w:val="390CE90A"/>
    <w:rsid w:val="391A801F"/>
    <w:rsid w:val="39233A7F"/>
    <w:rsid w:val="39242911"/>
    <w:rsid w:val="392C427E"/>
    <w:rsid w:val="392CEE9F"/>
    <w:rsid w:val="3930F220"/>
    <w:rsid w:val="394233FD"/>
    <w:rsid w:val="39442057"/>
    <w:rsid w:val="39458AF5"/>
    <w:rsid w:val="39471F60"/>
    <w:rsid w:val="39528C1E"/>
    <w:rsid w:val="395FC89E"/>
    <w:rsid w:val="3961B90F"/>
    <w:rsid w:val="39798CBF"/>
    <w:rsid w:val="397F517D"/>
    <w:rsid w:val="3980469B"/>
    <w:rsid w:val="3981FAFF"/>
    <w:rsid w:val="398F3380"/>
    <w:rsid w:val="399277B6"/>
    <w:rsid w:val="39955DB7"/>
    <w:rsid w:val="39965DBB"/>
    <w:rsid w:val="39981742"/>
    <w:rsid w:val="399E43CA"/>
    <w:rsid w:val="39A646BE"/>
    <w:rsid w:val="39BBEEB1"/>
    <w:rsid w:val="39ED3D68"/>
    <w:rsid w:val="3A46E512"/>
    <w:rsid w:val="3A4F1776"/>
    <w:rsid w:val="3A531756"/>
    <w:rsid w:val="3A60FBA8"/>
    <w:rsid w:val="3A6148ED"/>
    <w:rsid w:val="3A6434E6"/>
    <w:rsid w:val="3A89D462"/>
    <w:rsid w:val="3A945750"/>
    <w:rsid w:val="3A965742"/>
    <w:rsid w:val="3A96888A"/>
    <w:rsid w:val="3A989DEA"/>
    <w:rsid w:val="3AA8DA37"/>
    <w:rsid w:val="3AAD5821"/>
    <w:rsid w:val="3AADDF31"/>
    <w:rsid w:val="3AB5E55A"/>
    <w:rsid w:val="3AB7F344"/>
    <w:rsid w:val="3ABEEA0C"/>
    <w:rsid w:val="3AC2A43F"/>
    <w:rsid w:val="3AC44495"/>
    <w:rsid w:val="3AC5C797"/>
    <w:rsid w:val="3ACED096"/>
    <w:rsid w:val="3AE0F01C"/>
    <w:rsid w:val="3AF5A6FA"/>
    <w:rsid w:val="3B191E38"/>
    <w:rsid w:val="3B2465D9"/>
    <w:rsid w:val="3B253878"/>
    <w:rsid w:val="3B288016"/>
    <w:rsid w:val="3B28A6EE"/>
    <w:rsid w:val="3B404E0F"/>
    <w:rsid w:val="3B58233A"/>
    <w:rsid w:val="3B64EBB3"/>
    <w:rsid w:val="3B654812"/>
    <w:rsid w:val="3B673516"/>
    <w:rsid w:val="3B86747D"/>
    <w:rsid w:val="3B8A6801"/>
    <w:rsid w:val="3B9A21F4"/>
    <w:rsid w:val="3B9C73DE"/>
    <w:rsid w:val="3B9CE0BD"/>
    <w:rsid w:val="3BA150CE"/>
    <w:rsid w:val="3BA37709"/>
    <w:rsid w:val="3BAE1832"/>
    <w:rsid w:val="3BB0644E"/>
    <w:rsid w:val="3BB4864B"/>
    <w:rsid w:val="3BC22F86"/>
    <w:rsid w:val="3BE15FCA"/>
    <w:rsid w:val="3BE80249"/>
    <w:rsid w:val="3BF68527"/>
    <w:rsid w:val="3C1AAC2C"/>
    <w:rsid w:val="3C219BBE"/>
    <w:rsid w:val="3C21C853"/>
    <w:rsid w:val="3C2486DC"/>
    <w:rsid w:val="3C2BB070"/>
    <w:rsid w:val="3C4489CC"/>
    <w:rsid w:val="3C4B0AA0"/>
    <w:rsid w:val="3C604538"/>
    <w:rsid w:val="3C6A8285"/>
    <w:rsid w:val="3C7AA304"/>
    <w:rsid w:val="3C7B8922"/>
    <w:rsid w:val="3C80D456"/>
    <w:rsid w:val="3C850DFA"/>
    <w:rsid w:val="3C873735"/>
    <w:rsid w:val="3C879C1C"/>
    <w:rsid w:val="3C934621"/>
    <w:rsid w:val="3C98A467"/>
    <w:rsid w:val="3C9C7AC7"/>
    <w:rsid w:val="3CA29372"/>
    <w:rsid w:val="3CEF5F92"/>
    <w:rsid w:val="3CF61B2F"/>
    <w:rsid w:val="3D01B13C"/>
    <w:rsid w:val="3D044F5F"/>
    <w:rsid w:val="3D0F6679"/>
    <w:rsid w:val="3D1CA7A8"/>
    <w:rsid w:val="3D1F56B0"/>
    <w:rsid w:val="3D1FB71E"/>
    <w:rsid w:val="3D2A0B2D"/>
    <w:rsid w:val="3D4C3A0C"/>
    <w:rsid w:val="3D5EE8B8"/>
    <w:rsid w:val="3D67E436"/>
    <w:rsid w:val="3D6A78AD"/>
    <w:rsid w:val="3D6BA56C"/>
    <w:rsid w:val="3D7827AD"/>
    <w:rsid w:val="3D8189B1"/>
    <w:rsid w:val="3D903EE5"/>
    <w:rsid w:val="3D9BD27D"/>
    <w:rsid w:val="3DB140C7"/>
    <w:rsid w:val="3DB44938"/>
    <w:rsid w:val="3DC46852"/>
    <w:rsid w:val="3DE33971"/>
    <w:rsid w:val="3DEEA566"/>
    <w:rsid w:val="3E058038"/>
    <w:rsid w:val="3E195A6D"/>
    <w:rsid w:val="3E1A08EA"/>
    <w:rsid w:val="3E30538D"/>
    <w:rsid w:val="3E3754E8"/>
    <w:rsid w:val="3E3EA645"/>
    <w:rsid w:val="3E427681"/>
    <w:rsid w:val="3E4461A6"/>
    <w:rsid w:val="3E453E0D"/>
    <w:rsid w:val="3E4BD758"/>
    <w:rsid w:val="3E4F67AA"/>
    <w:rsid w:val="3E4FA40C"/>
    <w:rsid w:val="3E50D18A"/>
    <w:rsid w:val="3E54D0F4"/>
    <w:rsid w:val="3E6E6AF8"/>
    <w:rsid w:val="3E819BB4"/>
    <w:rsid w:val="3EAE4B1A"/>
    <w:rsid w:val="3EBAFB83"/>
    <w:rsid w:val="3EBDD864"/>
    <w:rsid w:val="3ECCC5C6"/>
    <w:rsid w:val="3ED04321"/>
    <w:rsid w:val="3ED5591D"/>
    <w:rsid w:val="3EE6D1B9"/>
    <w:rsid w:val="3EFB3B02"/>
    <w:rsid w:val="3F007839"/>
    <w:rsid w:val="3F0DD88A"/>
    <w:rsid w:val="3F113991"/>
    <w:rsid w:val="3F246D6A"/>
    <w:rsid w:val="3F2E011B"/>
    <w:rsid w:val="3F2E24A1"/>
    <w:rsid w:val="3F338B85"/>
    <w:rsid w:val="3F44560F"/>
    <w:rsid w:val="3F7189D9"/>
    <w:rsid w:val="3F734739"/>
    <w:rsid w:val="3F8C5520"/>
    <w:rsid w:val="3F9D6052"/>
    <w:rsid w:val="3FA06C80"/>
    <w:rsid w:val="3FA31501"/>
    <w:rsid w:val="3FA62169"/>
    <w:rsid w:val="3FA6DC43"/>
    <w:rsid w:val="3FA6E610"/>
    <w:rsid w:val="3FB245CC"/>
    <w:rsid w:val="3FB925B5"/>
    <w:rsid w:val="3FB95DDC"/>
    <w:rsid w:val="3FBC57D8"/>
    <w:rsid w:val="3FD385FE"/>
    <w:rsid w:val="3FD4F8BA"/>
    <w:rsid w:val="3FE3BB16"/>
    <w:rsid w:val="3FF150EA"/>
    <w:rsid w:val="3FF83667"/>
    <w:rsid w:val="400139E2"/>
    <w:rsid w:val="400655A1"/>
    <w:rsid w:val="400A76AE"/>
    <w:rsid w:val="400ADC21"/>
    <w:rsid w:val="400CF7A4"/>
    <w:rsid w:val="4012EE01"/>
    <w:rsid w:val="4015C971"/>
    <w:rsid w:val="401AE307"/>
    <w:rsid w:val="402CC720"/>
    <w:rsid w:val="403954CE"/>
    <w:rsid w:val="403ACF2B"/>
    <w:rsid w:val="4055B5A3"/>
    <w:rsid w:val="40572852"/>
    <w:rsid w:val="4059E42C"/>
    <w:rsid w:val="407291E4"/>
    <w:rsid w:val="4075B912"/>
    <w:rsid w:val="407C1199"/>
    <w:rsid w:val="4082FD40"/>
    <w:rsid w:val="4087EC91"/>
    <w:rsid w:val="408D611E"/>
    <w:rsid w:val="4093FCA2"/>
    <w:rsid w:val="40B88C6A"/>
    <w:rsid w:val="40C61323"/>
    <w:rsid w:val="40D9C38F"/>
    <w:rsid w:val="40DDF142"/>
    <w:rsid w:val="40F3C78C"/>
    <w:rsid w:val="4100C087"/>
    <w:rsid w:val="41120AEB"/>
    <w:rsid w:val="41151088"/>
    <w:rsid w:val="41198E63"/>
    <w:rsid w:val="411D77FC"/>
    <w:rsid w:val="412180DF"/>
    <w:rsid w:val="412FE48D"/>
    <w:rsid w:val="41315FBA"/>
    <w:rsid w:val="41357F35"/>
    <w:rsid w:val="413BE07B"/>
    <w:rsid w:val="414836D7"/>
    <w:rsid w:val="4154A2F2"/>
    <w:rsid w:val="415B77FE"/>
    <w:rsid w:val="41618ADD"/>
    <w:rsid w:val="416A46E2"/>
    <w:rsid w:val="41A0776B"/>
    <w:rsid w:val="41BAF7FF"/>
    <w:rsid w:val="41CF42BA"/>
    <w:rsid w:val="41E3DB82"/>
    <w:rsid w:val="41E90801"/>
    <w:rsid w:val="41F128D3"/>
    <w:rsid w:val="41FE3420"/>
    <w:rsid w:val="420904A7"/>
    <w:rsid w:val="420C12B9"/>
    <w:rsid w:val="420C62EA"/>
    <w:rsid w:val="4219089D"/>
    <w:rsid w:val="422A33D7"/>
    <w:rsid w:val="424422CA"/>
    <w:rsid w:val="42497D99"/>
    <w:rsid w:val="4278B31E"/>
    <w:rsid w:val="427BA831"/>
    <w:rsid w:val="42839A61"/>
    <w:rsid w:val="4286A248"/>
    <w:rsid w:val="4293D3F1"/>
    <w:rsid w:val="429534AA"/>
    <w:rsid w:val="42B389E1"/>
    <w:rsid w:val="42D1521C"/>
    <w:rsid w:val="42D8E537"/>
    <w:rsid w:val="42D96325"/>
    <w:rsid w:val="42F91592"/>
    <w:rsid w:val="42FF0A48"/>
    <w:rsid w:val="430E241C"/>
    <w:rsid w:val="4315DCAE"/>
    <w:rsid w:val="431CA6B4"/>
    <w:rsid w:val="4342764F"/>
    <w:rsid w:val="4366B43F"/>
    <w:rsid w:val="437F874A"/>
    <w:rsid w:val="438AA932"/>
    <w:rsid w:val="438BAC9B"/>
    <w:rsid w:val="439184EE"/>
    <w:rsid w:val="4399416E"/>
    <w:rsid w:val="43997A25"/>
    <w:rsid w:val="43A11535"/>
    <w:rsid w:val="43A1CC99"/>
    <w:rsid w:val="43A46259"/>
    <w:rsid w:val="43BDA734"/>
    <w:rsid w:val="43C014BD"/>
    <w:rsid w:val="43C35996"/>
    <w:rsid w:val="43C4BAA4"/>
    <w:rsid w:val="43CFE9F6"/>
    <w:rsid w:val="43DAC74E"/>
    <w:rsid w:val="43E1B905"/>
    <w:rsid w:val="43FCB713"/>
    <w:rsid w:val="43FDE586"/>
    <w:rsid w:val="44053A9D"/>
    <w:rsid w:val="44144668"/>
    <w:rsid w:val="441A033E"/>
    <w:rsid w:val="442E692A"/>
    <w:rsid w:val="44344358"/>
    <w:rsid w:val="44375036"/>
    <w:rsid w:val="44713409"/>
    <w:rsid w:val="44765509"/>
    <w:rsid w:val="4479C6F2"/>
    <w:rsid w:val="44823B59"/>
    <w:rsid w:val="44861F25"/>
    <w:rsid w:val="44867833"/>
    <w:rsid w:val="4487678D"/>
    <w:rsid w:val="44899234"/>
    <w:rsid w:val="448FB437"/>
    <w:rsid w:val="44988F90"/>
    <w:rsid w:val="449A6E36"/>
    <w:rsid w:val="44B87D97"/>
    <w:rsid w:val="44DE0BF5"/>
    <w:rsid w:val="44DF8683"/>
    <w:rsid w:val="44E70637"/>
    <w:rsid w:val="44E7394F"/>
    <w:rsid w:val="44E7DA1D"/>
    <w:rsid w:val="44E918A8"/>
    <w:rsid w:val="44F4F814"/>
    <w:rsid w:val="44FCFDCE"/>
    <w:rsid w:val="4518B908"/>
    <w:rsid w:val="4526B25E"/>
    <w:rsid w:val="452A3647"/>
    <w:rsid w:val="4538CE94"/>
    <w:rsid w:val="453B8368"/>
    <w:rsid w:val="453D7221"/>
    <w:rsid w:val="453ED4BF"/>
    <w:rsid w:val="453F64B0"/>
    <w:rsid w:val="4541686A"/>
    <w:rsid w:val="455C8CFC"/>
    <w:rsid w:val="455D25C0"/>
    <w:rsid w:val="456D12D1"/>
    <w:rsid w:val="457DF149"/>
    <w:rsid w:val="459D1895"/>
    <w:rsid w:val="45A17CCA"/>
    <w:rsid w:val="45A44D4E"/>
    <w:rsid w:val="45A61C4C"/>
    <w:rsid w:val="45AE6AC3"/>
    <w:rsid w:val="45B4C491"/>
    <w:rsid w:val="45C6211F"/>
    <w:rsid w:val="45C65815"/>
    <w:rsid w:val="45CE3C48"/>
    <w:rsid w:val="45E3D7D5"/>
    <w:rsid w:val="4602FD42"/>
    <w:rsid w:val="460F9710"/>
    <w:rsid w:val="4611AB76"/>
    <w:rsid w:val="461BDA1E"/>
    <w:rsid w:val="4627BD30"/>
    <w:rsid w:val="4649E202"/>
    <w:rsid w:val="46508368"/>
    <w:rsid w:val="465847E9"/>
    <w:rsid w:val="465AEC16"/>
    <w:rsid w:val="466A7E5E"/>
    <w:rsid w:val="46767C85"/>
    <w:rsid w:val="4682CA16"/>
    <w:rsid w:val="46935D37"/>
    <w:rsid w:val="469ADDC0"/>
    <w:rsid w:val="46A5E347"/>
    <w:rsid w:val="46B8F070"/>
    <w:rsid w:val="46C2DC1F"/>
    <w:rsid w:val="46C38BAF"/>
    <w:rsid w:val="46C9FAD3"/>
    <w:rsid w:val="46CB1DCB"/>
    <w:rsid w:val="46CDDDFD"/>
    <w:rsid w:val="46D0B19B"/>
    <w:rsid w:val="46D0FC6F"/>
    <w:rsid w:val="46D134A0"/>
    <w:rsid w:val="46D8CEBD"/>
    <w:rsid w:val="46D9E9EF"/>
    <w:rsid w:val="46E7ED66"/>
    <w:rsid w:val="470270F0"/>
    <w:rsid w:val="4705AC67"/>
    <w:rsid w:val="4706A06F"/>
    <w:rsid w:val="470ADB33"/>
    <w:rsid w:val="470DA879"/>
    <w:rsid w:val="4721FB10"/>
    <w:rsid w:val="472575C2"/>
    <w:rsid w:val="472CE147"/>
    <w:rsid w:val="4731946E"/>
    <w:rsid w:val="4738E8F6"/>
    <w:rsid w:val="474A1F4C"/>
    <w:rsid w:val="4763E9A8"/>
    <w:rsid w:val="4771A53D"/>
    <w:rsid w:val="47775092"/>
    <w:rsid w:val="477958B2"/>
    <w:rsid w:val="47820F63"/>
    <w:rsid w:val="479024C4"/>
    <w:rsid w:val="47A4C33F"/>
    <w:rsid w:val="47C4BD4C"/>
    <w:rsid w:val="47DAA465"/>
    <w:rsid w:val="47E83920"/>
    <w:rsid w:val="47F654ED"/>
    <w:rsid w:val="4802ED60"/>
    <w:rsid w:val="4809C61F"/>
    <w:rsid w:val="48102F59"/>
    <w:rsid w:val="4813171A"/>
    <w:rsid w:val="48141347"/>
    <w:rsid w:val="481459CD"/>
    <w:rsid w:val="4815E772"/>
    <w:rsid w:val="481EF6B2"/>
    <w:rsid w:val="4827A9FB"/>
    <w:rsid w:val="4834E574"/>
    <w:rsid w:val="483F2E46"/>
    <w:rsid w:val="48613EF3"/>
    <w:rsid w:val="48765B74"/>
    <w:rsid w:val="48788E8D"/>
    <w:rsid w:val="488C076C"/>
    <w:rsid w:val="488C14F5"/>
    <w:rsid w:val="48A0194D"/>
    <w:rsid w:val="48A28A90"/>
    <w:rsid w:val="48A2B9C2"/>
    <w:rsid w:val="48D000BB"/>
    <w:rsid w:val="48D4021D"/>
    <w:rsid w:val="48F6A671"/>
    <w:rsid w:val="48F7121A"/>
    <w:rsid w:val="48FFBA09"/>
    <w:rsid w:val="4903CBE4"/>
    <w:rsid w:val="4909E477"/>
    <w:rsid w:val="490B53A5"/>
    <w:rsid w:val="4918FE19"/>
    <w:rsid w:val="491FEDF7"/>
    <w:rsid w:val="49268AB3"/>
    <w:rsid w:val="492FE37E"/>
    <w:rsid w:val="493777F8"/>
    <w:rsid w:val="493AAD3E"/>
    <w:rsid w:val="49425413"/>
    <w:rsid w:val="4943D516"/>
    <w:rsid w:val="494D53DE"/>
    <w:rsid w:val="49528D44"/>
    <w:rsid w:val="495CB9EA"/>
    <w:rsid w:val="495D732F"/>
    <w:rsid w:val="49614F18"/>
    <w:rsid w:val="496EA00F"/>
    <w:rsid w:val="4978E097"/>
    <w:rsid w:val="498F7C37"/>
    <w:rsid w:val="4994C861"/>
    <w:rsid w:val="49972067"/>
    <w:rsid w:val="499EC729"/>
    <w:rsid w:val="49A66F21"/>
    <w:rsid w:val="49A9B626"/>
    <w:rsid w:val="49C3ED83"/>
    <w:rsid w:val="49CCC934"/>
    <w:rsid w:val="49D2D34C"/>
    <w:rsid w:val="49D3A764"/>
    <w:rsid w:val="49DB7BF7"/>
    <w:rsid w:val="49E7C13D"/>
    <w:rsid w:val="49FD724B"/>
    <w:rsid w:val="4A08BA88"/>
    <w:rsid w:val="4A0D4294"/>
    <w:rsid w:val="4A43681F"/>
    <w:rsid w:val="4A4F4906"/>
    <w:rsid w:val="4A56B1FA"/>
    <w:rsid w:val="4A64A0C2"/>
    <w:rsid w:val="4A65C477"/>
    <w:rsid w:val="4A7A56F3"/>
    <w:rsid w:val="4A7C59A2"/>
    <w:rsid w:val="4A833987"/>
    <w:rsid w:val="4A8BAF9C"/>
    <w:rsid w:val="4A8F95B5"/>
    <w:rsid w:val="4AA145E0"/>
    <w:rsid w:val="4AA5B4D8"/>
    <w:rsid w:val="4AA80270"/>
    <w:rsid w:val="4AA96C3D"/>
    <w:rsid w:val="4AABE109"/>
    <w:rsid w:val="4AB7353F"/>
    <w:rsid w:val="4AE4F2F2"/>
    <w:rsid w:val="4AE72A07"/>
    <w:rsid w:val="4AEAE665"/>
    <w:rsid w:val="4AEF7F88"/>
    <w:rsid w:val="4B01FCBD"/>
    <w:rsid w:val="4B02429A"/>
    <w:rsid w:val="4B135235"/>
    <w:rsid w:val="4B194731"/>
    <w:rsid w:val="4B2486C0"/>
    <w:rsid w:val="4B24FDE3"/>
    <w:rsid w:val="4B27BF1B"/>
    <w:rsid w:val="4B3726EA"/>
    <w:rsid w:val="4B39429F"/>
    <w:rsid w:val="4B524603"/>
    <w:rsid w:val="4B52EB25"/>
    <w:rsid w:val="4B5AF9E3"/>
    <w:rsid w:val="4B5CF641"/>
    <w:rsid w:val="4B60871A"/>
    <w:rsid w:val="4B722D27"/>
    <w:rsid w:val="4B737326"/>
    <w:rsid w:val="4B737940"/>
    <w:rsid w:val="4B744E55"/>
    <w:rsid w:val="4B7A6536"/>
    <w:rsid w:val="4B7B7917"/>
    <w:rsid w:val="4B9A0823"/>
    <w:rsid w:val="4B9BD42B"/>
    <w:rsid w:val="4BB1F6B7"/>
    <w:rsid w:val="4BC9E69C"/>
    <w:rsid w:val="4BD31736"/>
    <w:rsid w:val="4BD90619"/>
    <w:rsid w:val="4BD91173"/>
    <w:rsid w:val="4BDF9F5C"/>
    <w:rsid w:val="4BE68446"/>
    <w:rsid w:val="4BECB76B"/>
    <w:rsid w:val="4BFEB053"/>
    <w:rsid w:val="4BFEC880"/>
    <w:rsid w:val="4C1C98D1"/>
    <w:rsid w:val="4C2963AF"/>
    <w:rsid w:val="4C40EC48"/>
    <w:rsid w:val="4C52A7F2"/>
    <w:rsid w:val="4C703D93"/>
    <w:rsid w:val="4C722473"/>
    <w:rsid w:val="4C7B604C"/>
    <w:rsid w:val="4C8C669D"/>
    <w:rsid w:val="4C954397"/>
    <w:rsid w:val="4C9BBD8D"/>
    <w:rsid w:val="4CAF7763"/>
    <w:rsid w:val="4CB3C63C"/>
    <w:rsid w:val="4CB6EB4E"/>
    <w:rsid w:val="4CE5BC18"/>
    <w:rsid w:val="4CE755BF"/>
    <w:rsid w:val="4CECD30E"/>
    <w:rsid w:val="4D00F59C"/>
    <w:rsid w:val="4D0A9167"/>
    <w:rsid w:val="4D1822DE"/>
    <w:rsid w:val="4D319709"/>
    <w:rsid w:val="4D34C892"/>
    <w:rsid w:val="4D47FCC5"/>
    <w:rsid w:val="4D5389EB"/>
    <w:rsid w:val="4D5E50D9"/>
    <w:rsid w:val="4D6088CB"/>
    <w:rsid w:val="4D6E46F8"/>
    <w:rsid w:val="4D8C5F58"/>
    <w:rsid w:val="4D8CAEBE"/>
    <w:rsid w:val="4D97001C"/>
    <w:rsid w:val="4D97D243"/>
    <w:rsid w:val="4DA737E1"/>
    <w:rsid w:val="4DB1944D"/>
    <w:rsid w:val="4DCFFFE1"/>
    <w:rsid w:val="4DD41537"/>
    <w:rsid w:val="4DD4C982"/>
    <w:rsid w:val="4DFE26AA"/>
    <w:rsid w:val="4E0E0664"/>
    <w:rsid w:val="4E0E461D"/>
    <w:rsid w:val="4E1385F7"/>
    <w:rsid w:val="4E170457"/>
    <w:rsid w:val="4E1BF3ED"/>
    <w:rsid w:val="4E277098"/>
    <w:rsid w:val="4E291534"/>
    <w:rsid w:val="4E2C1A9F"/>
    <w:rsid w:val="4E3189EC"/>
    <w:rsid w:val="4E3E4F4E"/>
    <w:rsid w:val="4E409E91"/>
    <w:rsid w:val="4E6E409B"/>
    <w:rsid w:val="4E7A285D"/>
    <w:rsid w:val="4E864009"/>
    <w:rsid w:val="4E8D143D"/>
    <w:rsid w:val="4E96101E"/>
    <w:rsid w:val="4EA39075"/>
    <w:rsid w:val="4EB10940"/>
    <w:rsid w:val="4EC00168"/>
    <w:rsid w:val="4EC9C170"/>
    <w:rsid w:val="4ED6FD9B"/>
    <w:rsid w:val="4EDAD19C"/>
    <w:rsid w:val="4EDF87B7"/>
    <w:rsid w:val="4EE0246A"/>
    <w:rsid w:val="4EE8AE6A"/>
    <w:rsid w:val="4EEBB684"/>
    <w:rsid w:val="4EEF5BCF"/>
    <w:rsid w:val="4EFB48F0"/>
    <w:rsid w:val="4F03675A"/>
    <w:rsid w:val="4F1A373F"/>
    <w:rsid w:val="4F2893D3"/>
    <w:rsid w:val="4F3407DB"/>
    <w:rsid w:val="4F44DD7B"/>
    <w:rsid w:val="4F463334"/>
    <w:rsid w:val="4F548EAC"/>
    <w:rsid w:val="4F58354F"/>
    <w:rsid w:val="4F59745B"/>
    <w:rsid w:val="4F5E73F2"/>
    <w:rsid w:val="4F6CB417"/>
    <w:rsid w:val="4F73A438"/>
    <w:rsid w:val="4F9171D6"/>
    <w:rsid w:val="4F91E362"/>
    <w:rsid w:val="4F94FA74"/>
    <w:rsid w:val="4F9E2AA6"/>
    <w:rsid w:val="4FA09EE7"/>
    <w:rsid w:val="4FA240E0"/>
    <w:rsid w:val="4FBCF934"/>
    <w:rsid w:val="4FBD69C7"/>
    <w:rsid w:val="4FD837C4"/>
    <w:rsid w:val="4FDE4A9A"/>
    <w:rsid w:val="4FE9BA81"/>
    <w:rsid w:val="4FEBC1A1"/>
    <w:rsid w:val="4FEF0BE3"/>
    <w:rsid w:val="500A850F"/>
    <w:rsid w:val="5011D6D5"/>
    <w:rsid w:val="5013B737"/>
    <w:rsid w:val="501B0F3A"/>
    <w:rsid w:val="502B3FEE"/>
    <w:rsid w:val="503A85BD"/>
    <w:rsid w:val="5052CE0A"/>
    <w:rsid w:val="506F930F"/>
    <w:rsid w:val="507236DB"/>
    <w:rsid w:val="5088A6DD"/>
    <w:rsid w:val="50905B0D"/>
    <w:rsid w:val="50910498"/>
    <w:rsid w:val="509202D5"/>
    <w:rsid w:val="5096C7FD"/>
    <w:rsid w:val="50CD934B"/>
    <w:rsid w:val="50E786C0"/>
    <w:rsid w:val="50E788A3"/>
    <w:rsid w:val="50F261D1"/>
    <w:rsid w:val="51014812"/>
    <w:rsid w:val="51080C30"/>
    <w:rsid w:val="51100ACF"/>
    <w:rsid w:val="5112B974"/>
    <w:rsid w:val="5117045F"/>
    <w:rsid w:val="5129298E"/>
    <w:rsid w:val="512CBEEC"/>
    <w:rsid w:val="513159C0"/>
    <w:rsid w:val="513FB49C"/>
    <w:rsid w:val="51501396"/>
    <w:rsid w:val="515ED963"/>
    <w:rsid w:val="5167D667"/>
    <w:rsid w:val="5176C6D6"/>
    <w:rsid w:val="5176CA32"/>
    <w:rsid w:val="5184E272"/>
    <w:rsid w:val="518C4101"/>
    <w:rsid w:val="5193CBC5"/>
    <w:rsid w:val="51976FFA"/>
    <w:rsid w:val="519A6C12"/>
    <w:rsid w:val="51A989D7"/>
    <w:rsid w:val="51B00DEF"/>
    <w:rsid w:val="51C8A289"/>
    <w:rsid w:val="51D2974A"/>
    <w:rsid w:val="51D33583"/>
    <w:rsid w:val="51DF4A04"/>
    <w:rsid w:val="51E34FCB"/>
    <w:rsid w:val="51E9604E"/>
    <w:rsid w:val="51EED4B4"/>
    <w:rsid w:val="51F9A581"/>
    <w:rsid w:val="51FA11F0"/>
    <w:rsid w:val="5204D753"/>
    <w:rsid w:val="520A5DB1"/>
    <w:rsid w:val="520E5108"/>
    <w:rsid w:val="52159EAD"/>
    <w:rsid w:val="523AA0BD"/>
    <w:rsid w:val="5242F1EF"/>
    <w:rsid w:val="5260AA4A"/>
    <w:rsid w:val="5261A560"/>
    <w:rsid w:val="526963AC"/>
    <w:rsid w:val="526AA714"/>
    <w:rsid w:val="526BB279"/>
    <w:rsid w:val="5270734F"/>
    <w:rsid w:val="527656AC"/>
    <w:rsid w:val="527726CB"/>
    <w:rsid w:val="529475A8"/>
    <w:rsid w:val="52ADEEBA"/>
    <w:rsid w:val="52B24778"/>
    <w:rsid w:val="52C4A355"/>
    <w:rsid w:val="52CBC688"/>
    <w:rsid w:val="52D0A75F"/>
    <w:rsid w:val="52D5E1C9"/>
    <w:rsid w:val="52D85A8E"/>
    <w:rsid w:val="52EE9CC8"/>
    <w:rsid w:val="52EF0901"/>
    <w:rsid w:val="52EFE01D"/>
    <w:rsid w:val="53148C97"/>
    <w:rsid w:val="531522EB"/>
    <w:rsid w:val="5316B565"/>
    <w:rsid w:val="5318FDE1"/>
    <w:rsid w:val="531EC636"/>
    <w:rsid w:val="53200B88"/>
    <w:rsid w:val="533542AD"/>
    <w:rsid w:val="533882FB"/>
    <w:rsid w:val="534D1C9C"/>
    <w:rsid w:val="5371E824"/>
    <w:rsid w:val="537499B9"/>
    <w:rsid w:val="538136E5"/>
    <w:rsid w:val="53819BA2"/>
    <w:rsid w:val="53896A9B"/>
    <w:rsid w:val="538A800F"/>
    <w:rsid w:val="53979EAD"/>
    <w:rsid w:val="5397B636"/>
    <w:rsid w:val="539EDA7E"/>
    <w:rsid w:val="53A489B0"/>
    <w:rsid w:val="53A89303"/>
    <w:rsid w:val="53B04131"/>
    <w:rsid w:val="53C4B12C"/>
    <w:rsid w:val="53C7A052"/>
    <w:rsid w:val="53C826AF"/>
    <w:rsid w:val="53D2DCDD"/>
    <w:rsid w:val="53D70691"/>
    <w:rsid w:val="53D92664"/>
    <w:rsid w:val="53D957DF"/>
    <w:rsid w:val="53E184D7"/>
    <w:rsid w:val="53E90BAC"/>
    <w:rsid w:val="53EBEED3"/>
    <w:rsid w:val="53F62D7E"/>
    <w:rsid w:val="53FA610E"/>
    <w:rsid w:val="53FC7AAB"/>
    <w:rsid w:val="53FDDEFA"/>
    <w:rsid w:val="5409F948"/>
    <w:rsid w:val="54139F90"/>
    <w:rsid w:val="54224B29"/>
    <w:rsid w:val="543A47DF"/>
    <w:rsid w:val="5449A2C7"/>
    <w:rsid w:val="54503B0E"/>
    <w:rsid w:val="5453DEFC"/>
    <w:rsid w:val="545D31D7"/>
    <w:rsid w:val="5465B2FC"/>
    <w:rsid w:val="54690A3F"/>
    <w:rsid w:val="546F5BE1"/>
    <w:rsid w:val="5481FD3B"/>
    <w:rsid w:val="54A2F645"/>
    <w:rsid w:val="54A39909"/>
    <w:rsid w:val="54A954A9"/>
    <w:rsid w:val="54B4FA73"/>
    <w:rsid w:val="54B51314"/>
    <w:rsid w:val="54B76852"/>
    <w:rsid w:val="54BAB61E"/>
    <w:rsid w:val="54C0F49A"/>
    <w:rsid w:val="54C80A2E"/>
    <w:rsid w:val="54D55800"/>
    <w:rsid w:val="54D8CB53"/>
    <w:rsid w:val="54E202FA"/>
    <w:rsid w:val="54E4B981"/>
    <w:rsid w:val="54E6E378"/>
    <w:rsid w:val="54F01892"/>
    <w:rsid w:val="54FEF723"/>
    <w:rsid w:val="550CECDF"/>
    <w:rsid w:val="55103F76"/>
    <w:rsid w:val="551B98DC"/>
    <w:rsid w:val="551DFC11"/>
    <w:rsid w:val="5532485C"/>
    <w:rsid w:val="553BD02C"/>
    <w:rsid w:val="554EA44B"/>
    <w:rsid w:val="55596153"/>
    <w:rsid w:val="55722264"/>
    <w:rsid w:val="5581C977"/>
    <w:rsid w:val="55875C47"/>
    <w:rsid w:val="55A4B148"/>
    <w:rsid w:val="55AE4198"/>
    <w:rsid w:val="55C3437F"/>
    <w:rsid w:val="55C3C717"/>
    <w:rsid w:val="55CEA631"/>
    <w:rsid w:val="55D27BF8"/>
    <w:rsid w:val="55D53BA0"/>
    <w:rsid w:val="55DADE0E"/>
    <w:rsid w:val="55EF0E75"/>
    <w:rsid w:val="56029DB1"/>
    <w:rsid w:val="5609B71A"/>
    <w:rsid w:val="56144382"/>
    <w:rsid w:val="561B7961"/>
    <w:rsid w:val="56393E54"/>
    <w:rsid w:val="564ABC88"/>
    <w:rsid w:val="565E36B9"/>
    <w:rsid w:val="5677C827"/>
    <w:rsid w:val="5680F425"/>
    <w:rsid w:val="5686C4CB"/>
    <w:rsid w:val="569B988F"/>
    <w:rsid w:val="56AA4C5D"/>
    <w:rsid w:val="56B5E1A9"/>
    <w:rsid w:val="56C21950"/>
    <w:rsid w:val="56C7A5FC"/>
    <w:rsid w:val="56D895C5"/>
    <w:rsid w:val="56DDE785"/>
    <w:rsid w:val="56EE14CF"/>
    <w:rsid w:val="56FA9410"/>
    <w:rsid w:val="5705E64D"/>
    <w:rsid w:val="570BDB7E"/>
    <w:rsid w:val="5734A920"/>
    <w:rsid w:val="573ED552"/>
    <w:rsid w:val="5740711E"/>
    <w:rsid w:val="57424145"/>
    <w:rsid w:val="574311FC"/>
    <w:rsid w:val="57434C50"/>
    <w:rsid w:val="575174CC"/>
    <w:rsid w:val="5756545A"/>
    <w:rsid w:val="5757D17D"/>
    <w:rsid w:val="5759A12E"/>
    <w:rsid w:val="575C13B9"/>
    <w:rsid w:val="575CED98"/>
    <w:rsid w:val="5769EC53"/>
    <w:rsid w:val="576CCC65"/>
    <w:rsid w:val="57728171"/>
    <w:rsid w:val="5774A9D4"/>
    <w:rsid w:val="5781FAF8"/>
    <w:rsid w:val="5790776D"/>
    <w:rsid w:val="57935A5D"/>
    <w:rsid w:val="579E336B"/>
    <w:rsid w:val="57A9ADF6"/>
    <w:rsid w:val="57AE8A8F"/>
    <w:rsid w:val="57B279BA"/>
    <w:rsid w:val="57B2BC4B"/>
    <w:rsid w:val="57B2C99B"/>
    <w:rsid w:val="57B7C07A"/>
    <w:rsid w:val="57B902D2"/>
    <w:rsid w:val="57C2722D"/>
    <w:rsid w:val="57C87AAE"/>
    <w:rsid w:val="57C8926A"/>
    <w:rsid w:val="57C8EB44"/>
    <w:rsid w:val="57C93F73"/>
    <w:rsid w:val="57C9C991"/>
    <w:rsid w:val="57D3EF5F"/>
    <w:rsid w:val="57D4376D"/>
    <w:rsid w:val="57D4F849"/>
    <w:rsid w:val="57D6F467"/>
    <w:rsid w:val="57DA7E6E"/>
    <w:rsid w:val="57ECDA44"/>
    <w:rsid w:val="57FA071A"/>
    <w:rsid w:val="57FA2822"/>
    <w:rsid w:val="580BC05F"/>
    <w:rsid w:val="5812299A"/>
    <w:rsid w:val="58142676"/>
    <w:rsid w:val="581EB8D8"/>
    <w:rsid w:val="582BDBD3"/>
    <w:rsid w:val="582C81CE"/>
    <w:rsid w:val="583C2DED"/>
    <w:rsid w:val="584AB795"/>
    <w:rsid w:val="585A99C0"/>
    <w:rsid w:val="58630B6B"/>
    <w:rsid w:val="58680FC8"/>
    <w:rsid w:val="5869736F"/>
    <w:rsid w:val="586CE0FA"/>
    <w:rsid w:val="587133D6"/>
    <w:rsid w:val="5871CB45"/>
    <w:rsid w:val="587F6B23"/>
    <w:rsid w:val="588685A4"/>
    <w:rsid w:val="5897F535"/>
    <w:rsid w:val="58A67E98"/>
    <w:rsid w:val="58B62F05"/>
    <w:rsid w:val="58C3C2B7"/>
    <w:rsid w:val="58E3564F"/>
    <w:rsid w:val="58E88261"/>
    <w:rsid w:val="58F37DF1"/>
    <w:rsid w:val="58F56B65"/>
    <w:rsid w:val="58FC85CA"/>
    <w:rsid w:val="5902BBBE"/>
    <w:rsid w:val="590BA1BA"/>
    <w:rsid w:val="591B7A6F"/>
    <w:rsid w:val="591DCB59"/>
    <w:rsid w:val="5923388E"/>
    <w:rsid w:val="592D98F5"/>
    <w:rsid w:val="592ED763"/>
    <w:rsid w:val="5932EB8E"/>
    <w:rsid w:val="593F2F00"/>
    <w:rsid w:val="5946460B"/>
    <w:rsid w:val="59554E5F"/>
    <w:rsid w:val="595D09A3"/>
    <w:rsid w:val="595F358E"/>
    <w:rsid w:val="5964F0EE"/>
    <w:rsid w:val="596C1739"/>
    <w:rsid w:val="596FBCF6"/>
    <w:rsid w:val="5971697E"/>
    <w:rsid w:val="597D7475"/>
    <w:rsid w:val="5988EEE7"/>
    <w:rsid w:val="5994AB65"/>
    <w:rsid w:val="5995EE29"/>
    <w:rsid w:val="599755C6"/>
    <w:rsid w:val="59B4D1A0"/>
    <w:rsid w:val="59B51F80"/>
    <w:rsid w:val="59B9AF8B"/>
    <w:rsid w:val="59BEC85E"/>
    <w:rsid w:val="59BF8E38"/>
    <w:rsid w:val="59C13002"/>
    <w:rsid w:val="59C2CC8D"/>
    <w:rsid w:val="59CEC6BF"/>
    <w:rsid w:val="59FA4D48"/>
    <w:rsid w:val="59FA56BF"/>
    <w:rsid w:val="59FAD0EC"/>
    <w:rsid w:val="5A009554"/>
    <w:rsid w:val="5A00EBCC"/>
    <w:rsid w:val="5A0630C1"/>
    <w:rsid w:val="5A0A0904"/>
    <w:rsid w:val="5A0B198F"/>
    <w:rsid w:val="5A1E4775"/>
    <w:rsid w:val="5A21470C"/>
    <w:rsid w:val="5A389B18"/>
    <w:rsid w:val="5A4084EB"/>
    <w:rsid w:val="5A45E108"/>
    <w:rsid w:val="5A50C65B"/>
    <w:rsid w:val="5A57EBF2"/>
    <w:rsid w:val="5A5A05C0"/>
    <w:rsid w:val="5A6A2EC9"/>
    <w:rsid w:val="5A7715B2"/>
    <w:rsid w:val="5A835F1D"/>
    <w:rsid w:val="5AA15DE3"/>
    <w:rsid w:val="5AB4AC10"/>
    <w:rsid w:val="5AB773C1"/>
    <w:rsid w:val="5ABD8BFF"/>
    <w:rsid w:val="5ABED88D"/>
    <w:rsid w:val="5AC7E24D"/>
    <w:rsid w:val="5ADD247D"/>
    <w:rsid w:val="5AE203F6"/>
    <w:rsid w:val="5AE4A019"/>
    <w:rsid w:val="5AF11DFB"/>
    <w:rsid w:val="5AF9CBAF"/>
    <w:rsid w:val="5B0187B6"/>
    <w:rsid w:val="5B047EE7"/>
    <w:rsid w:val="5B0935E3"/>
    <w:rsid w:val="5B185262"/>
    <w:rsid w:val="5B240EAD"/>
    <w:rsid w:val="5B247085"/>
    <w:rsid w:val="5B2CA80E"/>
    <w:rsid w:val="5B329C5B"/>
    <w:rsid w:val="5B389E18"/>
    <w:rsid w:val="5B4B8910"/>
    <w:rsid w:val="5B4BFB3A"/>
    <w:rsid w:val="5B5555DD"/>
    <w:rsid w:val="5B5C3C1E"/>
    <w:rsid w:val="5B5D366C"/>
    <w:rsid w:val="5B5FA70E"/>
    <w:rsid w:val="5B6370A1"/>
    <w:rsid w:val="5B86498F"/>
    <w:rsid w:val="5B8B4BC1"/>
    <w:rsid w:val="5B8CAD87"/>
    <w:rsid w:val="5B93A3A1"/>
    <w:rsid w:val="5BAF9B95"/>
    <w:rsid w:val="5BB4B106"/>
    <w:rsid w:val="5BBB2281"/>
    <w:rsid w:val="5BBC9C2E"/>
    <w:rsid w:val="5BBD2F0F"/>
    <w:rsid w:val="5BC3EBCF"/>
    <w:rsid w:val="5BCCCC71"/>
    <w:rsid w:val="5BD8A0FC"/>
    <w:rsid w:val="5BDD6FE7"/>
    <w:rsid w:val="5BED3614"/>
    <w:rsid w:val="5BFE7E24"/>
    <w:rsid w:val="5C0004B1"/>
    <w:rsid w:val="5C01EEEE"/>
    <w:rsid w:val="5C030AD5"/>
    <w:rsid w:val="5C0DD526"/>
    <w:rsid w:val="5C1885A2"/>
    <w:rsid w:val="5C1994DD"/>
    <w:rsid w:val="5C274B8D"/>
    <w:rsid w:val="5C31A5D8"/>
    <w:rsid w:val="5C384989"/>
    <w:rsid w:val="5C473E7E"/>
    <w:rsid w:val="5C535348"/>
    <w:rsid w:val="5C67E159"/>
    <w:rsid w:val="5C6A8C50"/>
    <w:rsid w:val="5C719288"/>
    <w:rsid w:val="5C757635"/>
    <w:rsid w:val="5C7BD542"/>
    <w:rsid w:val="5C7FF633"/>
    <w:rsid w:val="5C82E1AE"/>
    <w:rsid w:val="5C863ABE"/>
    <w:rsid w:val="5C952BF2"/>
    <w:rsid w:val="5C9BC680"/>
    <w:rsid w:val="5C9C617F"/>
    <w:rsid w:val="5CA97A6E"/>
    <w:rsid w:val="5CA9A4A6"/>
    <w:rsid w:val="5CB4668E"/>
    <w:rsid w:val="5CB6D388"/>
    <w:rsid w:val="5CBA8B8F"/>
    <w:rsid w:val="5CBAFEA1"/>
    <w:rsid w:val="5CBC665E"/>
    <w:rsid w:val="5CC1B2DD"/>
    <w:rsid w:val="5CE38C52"/>
    <w:rsid w:val="5CE41A2C"/>
    <w:rsid w:val="5CE9B2E1"/>
    <w:rsid w:val="5CF60526"/>
    <w:rsid w:val="5D0267FE"/>
    <w:rsid w:val="5D05BB3E"/>
    <w:rsid w:val="5D117E4B"/>
    <w:rsid w:val="5D1344D6"/>
    <w:rsid w:val="5D32A0DE"/>
    <w:rsid w:val="5D4E42BB"/>
    <w:rsid w:val="5D6C4EF6"/>
    <w:rsid w:val="5D85CA5C"/>
    <w:rsid w:val="5D8829E8"/>
    <w:rsid w:val="5D9667E8"/>
    <w:rsid w:val="5D9CA69A"/>
    <w:rsid w:val="5DAE3D96"/>
    <w:rsid w:val="5DB9F578"/>
    <w:rsid w:val="5DBA1486"/>
    <w:rsid w:val="5DC55A43"/>
    <w:rsid w:val="5DDB253B"/>
    <w:rsid w:val="5DDC8B9C"/>
    <w:rsid w:val="5DDEF007"/>
    <w:rsid w:val="5DE65DB8"/>
    <w:rsid w:val="5DEC2816"/>
    <w:rsid w:val="5DF87393"/>
    <w:rsid w:val="5E024AFD"/>
    <w:rsid w:val="5E19E006"/>
    <w:rsid w:val="5E2A1C93"/>
    <w:rsid w:val="5E369694"/>
    <w:rsid w:val="5E3C75AE"/>
    <w:rsid w:val="5E46FC2B"/>
    <w:rsid w:val="5E5036EF"/>
    <w:rsid w:val="5E525EA1"/>
    <w:rsid w:val="5E73C848"/>
    <w:rsid w:val="5E779E5F"/>
    <w:rsid w:val="5E7A93CE"/>
    <w:rsid w:val="5E882E5A"/>
    <w:rsid w:val="5EC67BB3"/>
    <w:rsid w:val="5EE20B4C"/>
    <w:rsid w:val="5EEFFD36"/>
    <w:rsid w:val="5EF57295"/>
    <w:rsid w:val="5F1007ED"/>
    <w:rsid w:val="5F1338FE"/>
    <w:rsid w:val="5F1AA746"/>
    <w:rsid w:val="5F1D5F05"/>
    <w:rsid w:val="5F228BBD"/>
    <w:rsid w:val="5F418D64"/>
    <w:rsid w:val="5F41D4CF"/>
    <w:rsid w:val="5F49A30C"/>
    <w:rsid w:val="5F5697FC"/>
    <w:rsid w:val="5F5AA0E6"/>
    <w:rsid w:val="5F5BB4EE"/>
    <w:rsid w:val="5F65C758"/>
    <w:rsid w:val="5F67A60E"/>
    <w:rsid w:val="5F715182"/>
    <w:rsid w:val="5F7EA4FD"/>
    <w:rsid w:val="5F839B2F"/>
    <w:rsid w:val="5F946ECF"/>
    <w:rsid w:val="5FA33FEC"/>
    <w:rsid w:val="5FA3EDA0"/>
    <w:rsid w:val="5FB7407B"/>
    <w:rsid w:val="5FB7DB40"/>
    <w:rsid w:val="5FC33CEA"/>
    <w:rsid w:val="5FC3C5D7"/>
    <w:rsid w:val="5FCE1C3E"/>
    <w:rsid w:val="5FD264FD"/>
    <w:rsid w:val="5FD2D7B2"/>
    <w:rsid w:val="5FDD506B"/>
    <w:rsid w:val="5FEC0750"/>
    <w:rsid w:val="5FEE3206"/>
    <w:rsid w:val="5FF1025E"/>
    <w:rsid w:val="5FFA8042"/>
    <w:rsid w:val="6005CD9C"/>
    <w:rsid w:val="6010EA89"/>
    <w:rsid w:val="6012EF97"/>
    <w:rsid w:val="602DC6DF"/>
    <w:rsid w:val="6030D6A8"/>
    <w:rsid w:val="603F46D9"/>
    <w:rsid w:val="605016EE"/>
    <w:rsid w:val="6052464F"/>
    <w:rsid w:val="60548000"/>
    <w:rsid w:val="605D261A"/>
    <w:rsid w:val="605E4984"/>
    <w:rsid w:val="607DF0D1"/>
    <w:rsid w:val="6097178F"/>
    <w:rsid w:val="609AD548"/>
    <w:rsid w:val="60C4ABE9"/>
    <w:rsid w:val="60D5E3D2"/>
    <w:rsid w:val="60E1659F"/>
    <w:rsid w:val="60EDCB37"/>
    <w:rsid w:val="60F07BB8"/>
    <w:rsid w:val="60F81409"/>
    <w:rsid w:val="60F84E71"/>
    <w:rsid w:val="610295A9"/>
    <w:rsid w:val="612205D6"/>
    <w:rsid w:val="612A512F"/>
    <w:rsid w:val="612D9679"/>
    <w:rsid w:val="612ED0A6"/>
    <w:rsid w:val="6134A6CB"/>
    <w:rsid w:val="61397F34"/>
    <w:rsid w:val="61460624"/>
    <w:rsid w:val="614EBB1A"/>
    <w:rsid w:val="6155C502"/>
    <w:rsid w:val="6173BA7F"/>
    <w:rsid w:val="618A0267"/>
    <w:rsid w:val="619442E2"/>
    <w:rsid w:val="619DE2F5"/>
    <w:rsid w:val="61ADEE8A"/>
    <w:rsid w:val="61B49943"/>
    <w:rsid w:val="61B72C8C"/>
    <w:rsid w:val="61B99FCB"/>
    <w:rsid w:val="61C468EB"/>
    <w:rsid w:val="61C51D0A"/>
    <w:rsid w:val="61C57F69"/>
    <w:rsid w:val="61D9C9C7"/>
    <w:rsid w:val="61E716F3"/>
    <w:rsid w:val="61F5C43E"/>
    <w:rsid w:val="61FFF925"/>
    <w:rsid w:val="620377D4"/>
    <w:rsid w:val="6208F192"/>
    <w:rsid w:val="6211B588"/>
    <w:rsid w:val="6213BFC1"/>
    <w:rsid w:val="6219CB15"/>
    <w:rsid w:val="621EEDEB"/>
    <w:rsid w:val="622192C1"/>
    <w:rsid w:val="62270218"/>
    <w:rsid w:val="623B0B79"/>
    <w:rsid w:val="6241EEE2"/>
    <w:rsid w:val="624798C2"/>
    <w:rsid w:val="626BD1C6"/>
    <w:rsid w:val="62735219"/>
    <w:rsid w:val="6278F1AC"/>
    <w:rsid w:val="627EBB9A"/>
    <w:rsid w:val="627FB566"/>
    <w:rsid w:val="627FBF25"/>
    <w:rsid w:val="6285E109"/>
    <w:rsid w:val="628BD95E"/>
    <w:rsid w:val="62A5812F"/>
    <w:rsid w:val="62B7D7C8"/>
    <w:rsid w:val="62BE5F43"/>
    <w:rsid w:val="62BF9F0D"/>
    <w:rsid w:val="62DA7197"/>
    <w:rsid w:val="62EBC5A2"/>
    <w:rsid w:val="62EDF5F3"/>
    <w:rsid w:val="62F4C484"/>
    <w:rsid w:val="63092904"/>
    <w:rsid w:val="630E4073"/>
    <w:rsid w:val="63226BF2"/>
    <w:rsid w:val="6323A812"/>
    <w:rsid w:val="632A16AE"/>
    <w:rsid w:val="632F0303"/>
    <w:rsid w:val="63377976"/>
    <w:rsid w:val="63436E44"/>
    <w:rsid w:val="635870D8"/>
    <w:rsid w:val="636BF556"/>
    <w:rsid w:val="638E4717"/>
    <w:rsid w:val="639796B5"/>
    <w:rsid w:val="639FC48E"/>
    <w:rsid w:val="63AE9CE5"/>
    <w:rsid w:val="63CE81F2"/>
    <w:rsid w:val="63D21387"/>
    <w:rsid w:val="63D32B1C"/>
    <w:rsid w:val="63D6D9D2"/>
    <w:rsid w:val="63D8DDD8"/>
    <w:rsid w:val="64045684"/>
    <w:rsid w:val="6406910A"/>
    <w:rsid w:val="640A3034"/>
    <w:rsid w:val="640FC48A"/>
    <w:rsid w:val="641E528C"/>
    <w:rsid w:val="6423EE5F"/>
    <w:rsid w:val="643E9456"/>
    <w:rsid w:val="64569E51"/>
    <w:rsid w:val="64578330"/>
    <w:rsid w:val="645A25EB"/>
    <w:rsid w:val="645B7CFF"/>
    <w:rsid w:val="645C1508"/>
    <w:rsid w:val="645E3755"/>
    <w:rsid w:val="646406BF"/>
    <w:rsid w:val="64659AB2"/>
    <w:rsid w:val="64795132"/>
    <w:rsid w:val="6495476A"/>
    <w:rsid w:val="649E1F6E"/>
    <w:rsid w:val="64B5B8BB"/>
    <w:rsid w:val="64BF02D2"/>
    <w:rsid w:val="64C76A47"/>
    <w:rsid w:val="64CDF165"/>
    <w:rsid w:val="64D57949"/>
    <w:rsid w:val="64D9A8AF"/>
    <w:rsid w:val="64DF4AA3"/>
    <w:rsid w:val="64E343E0"/>
    <w:rsid w:val="64F349EC"/>
    <w:rsid w:val="64FF3BE9"/>
    <w:rsid w:val="6504E1F8"/>
    <w:rsid w:val="650E3B5C"/>
    <w:rsid w:val="65263915"/>
    <w:rsid w:val="65281CB1"/>
    <w:rsid w:val="65351F08"/>
    <w:rsid w:val="6535B764"/>
    <w:rsid w:val="653D557E"/>
    <w:rsid w:val="65407053"/>
    <w:rsid w:val="6542144D"/>
    <w:rsid w:val="654AA9EE"/>
    <w:rsid w:val="65560795"/>
    <w:rsid w:val="6558A391"/>
    <w:rsid w:val="6561059D"/>
    <w:rsid w:val="65708F55"/>
    <w:rsid w:val="65885F1C"/>
    <w:rsid w:val="658F15FB"/>
    <w:rsid w:val="65902C98"/>
    <w:rsid w:val="659A3219"/>
    <w:rsid w:val="65AE40B6"/>
    <w:rsid w:val="65AE736A"/>
    <w:rsid w:val="65B33B66"/>
    <w:rsid w:val="65B3CC7C"/>
    <w:rsid w:val="65B65C5C"/>
    <w:rsid w:val="65B75772"/>
    <w:rsid w:val="65B89A6A"/>
    <w:rsid w:val="65BD50B1"/>
    <w:rsid w:val="65BFDBDA"/>
    <w:rsid w:val="65C7AFD6"/>
    <w:rsid w:val="65D1CAD7"/>
    <w:rsid w:val="65DFDBF5"/>
    <w:rsid w:val="65E5FDDD"/>
    <w:rsid w:val="65F88AA3"/>
    <w:rsid w:val="65FF3869"/>
    <w:rsid w:val="66066A31"/>
    <w:rsid w:val="66105E13"/>
    <w:rsid w:val="661FDD9A"/>
    <w:rsid w:val="6623FF9B"/>
    <w:rsid w:val="66240239"/>
    <w:rsid w:val="6624628F"/>
    <w:rsid w:val="66249BA9"/>
    <w:rsid w:val="66262952"/>
    <w:rsid w:val="6646200C"/>
    <w:rsid w:val="665658FD"/>
    <w:rsid w:val="666F5AB5"/>
    <w:rsid w:val="666FD8FF"/>
    <w:rsid w:val="66716A72"/>
    <w:rsid w:val="6683C935"/>
    <w:rsid w:val="66923825"/>
    <w:rsid w:val="669661C4"/>
    <w:rsid w:val="669DDA80"/>
    <w:rsid w:val="66A5153F"/>
    <w:rsid w:val="66D3EBED"/>
    <w:rsid w:val="66DD322D"/>
    <w:rsid w:val="66DD38A4"/>
    <w:rsid w:val="66F5B090"/>
    <w:rsid w:val="6707B332"/>
    <w:rsid w:val="6711D5CF"/>
    <w:rsid w:val="67165F4E"/>
    <w:rsid w:val="671682F1"/>
    <w:rsid w:val="67191E68"/>
    <w:rsid w:val="673F0DD7"/>
    <w:rsid w:val="67806A76"/>
    <w:rsid w:val="679D838F"/>
    <w:rsid w:val="67AEBDF2"/>
    <w:rsid w:val="67B88402"/>
    <w:rsid w:val="67CE397B"/>
    <w:rsid w:val="67DDAE08"/>
    <w:rsid w:val="67DF9D6B"/>
    <w:rsid w:val="67E836C5"/>
    <w:rsid w:val="67E8DA48"/>
    <w:rsid w:val="67F3E522"/>
    <w:rsid w:val="68038F1C"/>
    <w:rsid w:val="68061D1A"/>
    <w:rsid w:val="6841B01B"/>
    <w:rsid w:val="6848CFD6"/>
    <w:rsid w:val="68549A55"/>
    <w:rsid w:val="6854C11E"/>
    <w:rsid w:val="6854E762"/>
    <w:rsid w:val="68592FFE"/>
    <w:rsid w:val="686393A8"/>
    <w:rsid w:val="686FCD8E"/>
    <w:rsid w:val="688C4B7E"/>
    <w:rsid w:val="68B752C2"/>
    <w:rsid w:val="68C4993E"/>
    <w:rsid w:val="68CD7629"/>
    <w:rsid w:val="68CD9C76"/>
    <w:rsid w:val="68D85B3A"/>
    <w:rsid w:val="68E21E2E"/>
    <w:rsid w:val="68E5E8FC"/>
    <w:rsid w:val="68F6A860"/>
    <w:rsid w:val="68F70083"/>
    <w:rsid w:val="690262A5"/>
    <w:rsid w:val="690D0D93"/>
    <w:rsid w:val="6916743F"/>
    <w:rsid w:val="6928A899"/>
    <w:rsid w:val="692F6D75"/>
    <w:rsid w:val="6931931D"/>
    <w:rsid w:val="69468C3F"/>
    <w:rsid w:val="694BC8EA"/>
    <w:rsid w:val="695473D3"/>
    <w:rsid w:val="6955174F"/>
    <w:rsid w:val="695A6DCD"/>
    <w:rsid w:val="69646AE2"/>
    <w:rsid w:val="6965C687"/>
    <w:rsid w:val="6969C2FD"/>
    <w:rsid w:val="696B97C3"/>
    <w:rsid w:val="697B2C98"/>
    <w:rsid w:val="6980B87E"/>
    <w:rsid w:val="699D8C79"/>
    <w:rsid w:val="69A02A07"/>
    <w:rsid w:val="69B5079F"/>
    <w:rsid w:val="69C12972"/>
    <w:rsid w:val="69C604FE"/>
    <w:rsid w:val="69D21913"/>
    <w:rsid w:val="69E5D4D5"/>
    <w:rsid w:val="69E967EE"/>
    <w:rsid w:val="69F062CC"/>
    <w:rsid w:val="69F9B286"/>
    <w:rsid w:val="6A0D3EE8"/>
    <w:rsid w:val="6A10C6A1"/>
    <w:rsid w:val="6A203616"/>
    <w:rsid w:val="6A33BAED"/>
    <w:rsid w:val="6A368B39"/>
    <w:rsid w:val="6A3C0781"/>
    <w:rsid w:val="6A3F9EC1"/>
    <w:rsid w:val="6A40DD0F"/>
    <w:rsid w:val="6A42776C"/>
    <w:rsid w:val="6A4726C9"/>
    <w:rsid w:val="6A4D3905"/>
    <w:rsid w:val="6A4F693C"/>
    <w:rsid w:val="6A686038"/>
    <w:rsid w:val="6AAA62D7"/>
    <w:rsid w:val="6AB962D8"/>
    <w:rsid w:val="6ABD188B"/>
    <w:rsid w:val="6ABE7694"/>
    <w:rsid w:val="6ABFC300"/>
    <w:rsid w:val="6AC3F1E2"/>
    <w:rsid w:val="6AEAF927"/>
    <w:rsid w:val="6AEB30C3"/>
    <w:rsid w:val="6AFC870F"/>
    <w:rsid w:val="6B074691"/>
    <w:rsid w:val="6B15991A"/>
    <w:rsid w:val="6B190D70"/>
    <w:rsid w:val="6B1E7507"/>
    <w:rsid w:val="6B1EF37D"/>
    <w:rsid w:val="6B256FC7"/>
    <w:rsid w:val="6B3CCA95"/>
    <w:rsid w:val="6B4525A9"/>
    <w:rsid w:val="6B455681"/>
    <w:rsid w:val="6B48BAAA"/>
    <w:rsid w:val="6B4BAD86"/>
    <w:rsid w:val="6B4E42A0"/>
    <w:rsid w:val="6B780B64"/>
    <w:rsid w:val="6B784E03"/>
    <w:rsid w:val="6B7BFA89"/>
    <w:rsid w:val="6B7C3E07"/>
    <w:rsid w:val="6B805BD0"/>
    <w:rsid w:val="6BAFE357"/>
    <w:rsid w:val="6BB2644D"/>
    <w:rsid w:val="6BB48488"/>
    <w:rsid w:val="6BB67EA4"/>
    <w:rsid w:val="6BD49CED"/>
    <w:rsid w:val="6BDFC5B7"/>
    <w:rsid w:val="6BE88639"/>
    <w:rsid w:val="6BF06A3B"/>
    <w:rsid w:val="6BF3102B"/>
    <w:rsid w:val="6BF4F5F8"/>
    <w:rsid w:val="6BF7E314"/>
    <w:rsid w:val="6C0D12C2"/>
    <w:rsid w:val="6C208C79"/>
    <w:rsid w:val="6C310AE2"/>
    <w:rsid w:val="6C56D729"/>
    <w:rsid w:val="6C58E6D1"/>
    <w:rsid w:val="6C63E4B4"/>
    <w:rsid w:val="6C6AEB9F"/>
    <w:rsid w:val="6C7F1FAD"/>
    <w:rsid w:val="6C8100F4"/>
    <w:rsid w:val="6C869C8B"/>
    <w:rsid w:val="6C931169"/>
    <w:rsid w:val="6CA90988"/>
    <w:rsid w:val="6CAB4FBC"/>
    <w:rsid w:val="6CAE520C"/>
    <w:rsid w:val="6CB8D522"/>
    <w:rsid w:val="6CBFDAED"/>
    <w:rsid w:val="6CC63984"/>
    <w:rsid w:val="6CCADB82"/>
    <w:rsid w:val="6CDA08B2"/>
    <w:rsid w:val="6CF0462F"/>
    <w:rsid w:val="6CF93E21"/>
    <w:rsid w:val="6CFE47B8"/>
    <w:rsid w:val="6D011DA4"/>
    <w:rsid w:val="6D112BF2"/>
    <w:rsid w:val="6D14F716"/>
    <w:rsid w:val="6D462A7B"/>
    <w:rsid w:val="6D5B4AB0"/>
    <w:rsid w:val="6D6BE0AF"/>
    <w:rsid w:val="6D7490F2"/>
    <w:rsid w:val="6D794F82"/>
    <w:rsid w:val="6D7B7945"/>
    <w:rsid w:val="6D7C8384"/>
    <w:rsid w:val="6D7ED621"/>
    <w:rsid w:val="6D86485F"/>
    <w:rsid w:val="6D916E92"/>
    <w:rsid w:val="6D97E4CB"/>
    <w:rsid w:val="6D985365"/>
    <w:rsid w:val="6DAA7E02"/>
    <w:rsid w:val="6DB1A13F"/>
    <w:rsid w:val="6DC50D97"/>
    <w:rsid w:val="6DC5702F"/>
    <w:rsid w:val="6DCC9511"/>
    <w:rsid w:val="6DD18737"/>
    <w:rsid w:val="6DE61CDA"/>
    <w:rsid w:val="6DF2CEF1"/>
    <w:rsid w:val="6E0294C0"/>
    <w:rsid w:val="6E097105"/>
    <w:rsid w:val="6E0CCD7B"/>
    <w:rsid w:val="6E296588"/>
    <w:rsid w:val="6E2E4566"/>
    <w:rsid w:val="6E5A4A5B"/>
    <w:rsid w:val="6E62E2C8"/>
    <w:rsid w:val="6E745054"/>
    <w:rsid w:val="6E8CD7B0"/>
    <w:rsid w:val="6E8D3529"/>
    <w:rsid w:val="6E8F0170"/>
    <w:rsid w:val="6E8F904F"/>
    <w:rsid w:val="6EAD62D5"/>
    <w:rsid w:val="6EB39D73"/>
    <w:rsid w:val="6EC69280"/>
    <w:rsid w:val="6ECE0A98"/>
    <w:rsid w:val="6ECFCC79"/>
    <w:rsid w:val="6ED6EE0B"/>
    <w:rsid w:val="6EDC166C"/>
    <w:rsid w:val="6EE25F99"/>
    <w:rsid w:val="6EF71B11"/>
    <w:rsid w:val="6F0D9168"/>
    <w:rsid w:val="6F11E9AD"/>
    <w:rsid w:val="6F15081C"/>
    <w:rsid w:val="6F1BEAD1"/>
    <w:rsid w:val="6F3E8596"/>
    <w:rsid w:val="6F3EE0A3"/>
    <w:rsid w:val="6F42E826"/>
    <w:rsid w:val="6F4CCFA7"/>
    <w:rsid w:val="6F54691A"/>
    <w:rsid w:val="6F62CAE7"/>
    <w:rsid w:val="6F66981B"/>
    <w:rsid w:val="6F6D4C11"/>
    <w:rsid w:val="6F7CFD9F"/>
    <w:rsid w:val="6F7EFFA5"/>
    <w:rsid w:val="6F9F4D48"/>
    <w:rsid w:val="6FA0BCDF"/>
    <w:rsid w:val="6FA86E15"/>
    <w:rsid w:val="6FB203A3"/>
    <w:rsid w:val="6FCACC7F"/>
    <w:rsid w:val="6FD993F9"/>
    <w:rsid w:val="6FF20051"/>
    <w:rsid w:val="6FFE1E68"/>
    <w:rsid w:val="7003C67D"/>
    <w:rsid w:val="70089B8C"/>
    <w:rsid w:val="701412E7"/>
    <w:rsid w:val="702125C8"/>
    <w:rsid w:val="702294CA"/>
    <w:rsid w:val="7041F20A"/>
    <w:rsid w:val="7064A2E0"/>
    <w:rsid w:val="7064DC2B"/>
    <w:rsid w:val="70732D57"/>
    <w:rsid w:val="708B33E4"/>
    <w:rsid w:val="7092EB72"/>
    <w:rsid w:val="709445BB"/>
    <w:rsid w:val="7094D709"/>
    <w:rsid w:val="70AA1843"/>
    <w:rsid w:val="70AE92C9"/>
    <w:rsid w:val="70BF7252"/>
    <w:rsid w:val="70C11CF3"/>
    <w:rsid w:val="70CA31E0"/>
    <w:rsid w:val="70CC6276"/>
    <w:rsid w:val="70E5C135"/>
    <w:rsid w:val="70E8C0A4"/>
    <w:rsid w:val="70F47B52"/>
    <w:rsid w:val="70FA6104"/>
    <w:rsid w:val="710BC7B1"/>
    <w:rsid w:val="7115E798"/>
    <w:rsid w:val="712F3948"/>
    <w:rsid w:val="71321B68"/>
    <w:rsid w:val="7138C70B"/>
    <w:rsid w:val="7139D783"/>
    <w:rsid w:val="713EFD13"/>
    <w:rsid w:val="7142EEA0"/>
    <w:rsid w:val="715B7085"/>
    <w:rsid w:val="71651EAB"/>
    <w:rsid w:val="7165CB58"/>
    <w:rsid w:val="716AA37B"/>
    <w:rsid w:val="716C5F02"/>
    <w:rsid w:val="716CA04C"/>
    <w:rsid w:val="7173311F"/>
    <w:rsid w:val="71746144"/>
    <w:rsid w:val="717A4BEC"/>
    <w:rsid w:val="718B030C"/>
    <w:rsid w:val="719DC090"/>
    <w:rsid w:val="71A80C5F"/>
    <w:rsid w:val="71C0045C"/>
    <w:rsid w:val="71CF6C80"/>
    <w:rsid w:val="71D91A53"/>
    <w:rsid w:val="71DCC031"/>
    <w:rsid w:val="71EF650C"/>
    <w:rsid w:val="71F49008"/>
    <w:rsid w:val="71FBBC77"/>
    <w:rsid w:val="72007341"/>
    <w:rsid w:val="720B45F8"/>
    <w:rsid w:val="720C95E9"/>
    <w:rsid w:val="7215CD31"/>
    <w:rsid w:val="7215FE56"/>
    <w:rsid w:val="7222DDB5"/>
    <w:rsid w:val="722410DE"/>
    <w:rsid w:val="722F5971"/>
    <w:rsid w:val="7232E591"/>
    <w:rsid w:val="72443B40"/>
    <w:rsid w:val="72449FFD"/>
    <w:rsid w:val="72455763"/>
    <w:rsid w:val="7246A103"/>
    <w:rsid w:val="724DF66F"/>
    <w:rsid w:val="72513EA3"/>
    <w:rsid w:val="72543082"/>
    <w:rsid w:val="725FABBF"/>
    <w:rsid w:val="7266FE60"/>
    <w:rsid w:val="7267A7F4"/>
    <w:rsid w:val="7276450D"/>
    <w:rsid w:val="727DCA14"/>
    <w:rsid w:val="72866557"/>
    <w:rsid w:val="7292E811"/>
    <w:rsid w:val="72A17B00"/>
    <w:rsid w:val="72CC4F0D"/>
    <w:rsid w:val="72D1B391"/>
    <w:rsid w:val="72DB3518"/>
    <w:rsid w:val="72F43634"/>
    <w:rsid w:val="72F98C28"/>
    <w:rsid w:val="731B528E"/>
    <w:rsid w:val="7339E25F"/>
    <w:rsid w:val="735AC4AE"/>
    <w:rsid w:val="7360D511"/>
    <w:rsid w:val="73620449"/>
    <w:rsid w:val="7362FF46"/>
    <w:rsid w:val="736B5D5D"/>
    <w:rsid w:val="7386F7CF"/>
    <w:rsid w:val="73A5077E"/>
    <w:rsid w:val="73A7412B"/>
    <w:rsid w:val="73A908D6"/>
    <w:rsid w:val="73B00981"/>
    <w:rsid w:val="73BA79F1"/>
    <w:rsid w:val="73C34551"/>
    <w:rsid w:val="73CFF88C"/>
    <w:rsid w:val="73D627A1"/>
    <w:rsid w:val="73ECF9E8"/>
    <w:rsid w:val="73FB7C20"/>
    <w:rsid w:val="73FD1C24"/>
    <w:rsid w:val="741024FF"/>
    <w:rsid w:val="74249EF5"/>
    <w:rsid w:val="7429F6C4"/>
    <w:rsid w:val="742A92A7"/>
    <w:rsid w:val="742BB91D"/>
    <w:rsid w:val="742D33CA"/>
    <w:rsid w:val="742F2AE9"/>
    <w:rsid w:val="74402057"/>
    <w:rsid w:val="744F47ED"/>
    <w:rsid w:val="7451AC1D"/>
    <w:rsid w:val="745537D8"/>
    <w:rsid w:val="745A6CEF"/>
    <w:rsid w:val="746408C9"/>
    <w:rsid w:val="748620E7"/>
    <w:rsid w:val="749081F2"/>
    <w:rsid w:val="74A1940F"/>
    <w:rsid w:val="74A8A35E"/>
    <w:rsid w:val="74B778F9"/>
    <w:rsid w:val="74CF2FB5"/>
    <w:rsid w:val="74D3DDC9"/>
    <w:rsid w:val="74E73F15"/>
    <w:rsid w:val="74FE42F4"/>
    <w:rsid w:val="75075783"/>
    <w:rsid w:val="75215169"/>
    <w:rsid w:val="752C2F00"/>
    <w:rsid w:val="753BFCA1"/>
    <w:rsid w:val="754CA43C"/>
    <w:rsid w:val="7560F5F1"/>
    <w:rsid w:val="756AFF15"/>
    <w:rsid w:val="756D9B1E"/>
    <w:rsid w:val="7571F038"/>
    <w:rsid w:val="7584821D"/>
    <w:rsid w:val="759AE46C"/>
    <w:rsid w:val="759C7592"/>
    <w:rsid w:val="75B9E7B1"/>
    <w:rsid w:val="75C7C5E0"/>
    <w:rsid w:val="75D1AAFB"/>
    <w:rsid w:val="75DE9BFA"/>
    <w:rsid w:val="75F7811C"/>
    <w:rsid w:val="75FF6A0D"/>
    <w:rsid w:val="7615D063"/>
    <w:rsid w:val="761A7B9F"/>
    <w:rsid w:val="762148A0"/>
    <w:rsid w:val="762231D6"/>
    <w:rsid w:val="762508FF"/>
    <w:rsid w:val="762B6896"/>
    <w:rsid w:val="7640B17E"/>
    <w:rsid w:val="766D15AA"/>
    <w:rsid w:val="766FC16B"/>
    <w:rsid w:val="767D46F6"/>
    <w:rsid w:val="768E9B1F"/>
    <w:rsid w:val="769639CA"/>
    <w:rsid w:val="769A1355"/>
    <w:rsid w:val="76ACBDDA"/>
    <w:rsid w:val="76B4CB1B"/>
    <w:rsid w:val="76B8FBA7"/>
    <w:rsid w:val="76C34A6A"/>
    <w:rsid w:val="76C3C19A"/>
    <w:rsid w:val="76C44E96"/>
    <w:rsid w:val="76CE6742"/>
    <w:rsid w:val="76E5125E"/>
    <w:rsid w:val="76E8414C"/>
    <w:rsid w:val="76FBAE29"/>
    <w:rsid w:val="770109CC"/>
    <w:rsid w:val="7704D666"/>
    <w:rsid w:val="7710973E"/>
    <w:rsid w:val="771B71A5"/>
    <w:rsid w:val="771C8841"/>
    <w:rsid w:val="7731735E"/>
    <w:rsid w:val="773B5A87"/>
    <w:rsid w:val="774EE85D"/>
    <w:rsid w:val="774F909C"/>
    <w:rsid w:val="775BDC25"/>
    <w:rsid w:val="775DD113"/>
    <w:rsid w:val="7769F72F"/>
    <w:rsid w:val="7770B28B"/>
    <w:rsid w:val="777BAEAE"/>
    <w:rsid w:val="77822320"/>
    <w:rsid w:val="779C8DEF"/>
    <w:rsid w:val="77AF435A"/>
    <w:rsid w:val="77BF551D"/>
    <w:rsid w:val="77C81A16"/>
    <w:rsid w:val="77D77B21"/>
    <w:rsid w:val="780325DD"/>
    <w:rsid w:val="7806B811"/>
    <w:rsid w:val="7810F852"/>
    <w:rsid w:val="7814E2B9"/>
    <w:rsid w:val="7815019F"/>
    <w:rsid w:val="7816626B"/>
    <w:rsid w:val="781A2C01"/>
    <w:rsid w:val="78214EE0"/>
    <w:rsid w:val="78304D7C"/>
    <w:rsid w:val="7838D283"/>
    <w:rsid w:val="785827E2"/>
    <w:rsid w:val="785A8DE0"/>
    <w:rsid w:val="785C82E0"/>
    <w:rsid w:val="785F61E6"/>
    <w:rsid w:val="78610F4E"/>
    <w:rsid w:val="786EFD0E"/>
    <w:rsid w:val="7879DF33"/>
    <w:rsid w:val="787C8557"/>
    <w:rsid w:val="78A0BBDF"/>
    <w:rsid w:val="78A1D6AF"/>
    <w:rsid w:val="78B139D0"/>
    <w:rsid w:val="78C340ED"/>
    <w:rsid w:val="78C68543"/>
    <w:rsid w:val="78CFA983"/>
    <w:rsid w:val="78D6A03A"/>
    <w:rsid w:val="78D8CC2A"/>
    <w:rsid w:val="78E8B46F"/>
    <w:rsid w:val="78F88796"/>
    <w:rsid w:val="78FFF29C"/>
    <w:rsid w:val="7901DDC3"/>
    <w:rsid w:val="791EC6AA"/>
    <w:rsid w:val="792A2370"/>
    <w:rsid w:val="79375946"/>
    <w:rsid w:val="793E43D2"/>
    <w:rsid w:val="795229FA"/>
    <w:rsid w:val="7959920A"/>
    <w:rsid w:val="79651332"/>
    <w:rsid w:val="796CF178"/>
    <w:rsid w:val="796FEEBD"/>
    <w:rsid w:val="7978476E"/>
    <w:rsid w:val="7979DA3F"/>
    <w:rsid w:val="797CA015"/>
    <w:rsid w:val="7987A92B"/>
    <w:rsid w:val="798F95BC"/>
    <w:rsid w:val="79A2F8CC"/>
    <w:rsid w:val="79A75208"/>
    <w:rsid w:val="79AC0D1F"/>
    <w:rsid w:val="79C2586B"/>
    <w:rsid w:val="79C8B4FB"/>
    <w:rsid w:val="79CD86E7"/>
    <w:rsid w:val="79D7A4DE"/>
    <w:rsid w:val="79E8C175"/>
    <w:rsid w:val="79EE196C"/>
    <w:rsid w:val="79FAE0D0"/>
    <w:rsid w:val="7A1E8AD3"/>
    <w:rsid w:val="7A226BD1"/>
    <w:rsid w:val="7A25B700"/>
    <w:rsid w:val="7A4B6678"/>
    <w:rsid w:val="7A4E8EC3"/>
    <w:rsid w:val="7A53FBAE"/>
    <w:rsid w:val="7A542E25"/>
    <w:rsid w:val="7A59EC1C"/>
    <w:rsid w:val="7A6D1A35"/>
    <w:rsid w:val="7A807D07"/>
    <w:rsid w:val="7A82F6FC"/>
    <w:rsid w:val="7A85D18C"/>
    <w:rsid w:val="7A91FBE4"/>
    <w:rsid w:val="7A965A8D"/>
    <w:rsid w:val="7A9D6863"/>
    <w:rsid w:val="7AA5E84D"/>
    <w:rsid w:val="7AC14370"/>
    <w:rsid w:val="7AC1DEC5"/>
    <w:rsid w:val="7ACC19B3"/>
    <w:rsid w:val="7AD16BFB"/>
    <w:rsid w:val="7AD67D89"/>
    <w:rsid w:val="7AE2702E"/>
    <w:rsid w:val="7AE7AD82"/>
    <w:rsid w:val="7AF89625"/>
    <w:rsid w:val="7AFD91D6"/>
    <w:rsid w:val="7B05B16C"/>
    <w:rsid w:val="7B097287"/>
    <w:rsid w:val="7B10B6A0"/>
    <w:rsid w:val="7B20D0D2"/>
    <w:rsid w:val="7B2B0939"/>
    <w:rsid w:val="7B2F09BD"/>
    <w:rsid w:val="7B34B964"/>
    <w:rsid w:val="7B3CF1E1"/>
    <w:rsid w:val="7B481797"/>
    <w:rsid w:val="7B540454"/>
    <w:rsid w:val="7B545C1B"/>
    <w:rsid w:val="7B599937"/>
    <w:rsid w:val="7B663B22"/>
    <w:rsid w:val="7B69DC89"/>
    <w:rsid w:val="7B6CC3E8"/>
    <w:rsid w:val="7B6D8478"/>
    <w:rsid w:val="7B6E3882"/>
    <w:rsid w:val="7B72DF4C"/>
    <w:rsid w:val="7B76024F"/>
    <w:rsid w:val="7B773DF3"/>
    <w:rsid w:val="7B8620A2"/>
    <w:rsid w:val="7B8F8ACE"/>
    <w:rsid w:val="7B90BB4D"/>
    <w:rsid w:val="7B9A18EA"/>
    <w:rsid w:val="7BA1F4E8"/>
    <w:rsid w:val="7BACD610"/>
    <w:rsid w:val="7BB4A098"/>
    <w:rsid w:val="7BD44C48"/>
    <w:rsid w:val="7BE40D1D"/>
    <w:rsid w:val="7BFBBCC8"/>
    <w:rsid w:val="7C025FF6"/>
    <w:rsid w:val="7C035C65"/>
    <w:rsid w:val="7C0451C7"/>
    <w:rsid w:val="7C09052A"/>
    <w:rsid w:val="7C136BFA"/>
    <w:rsid w:val="7C2A9359"/>
    <w:rsid w:val="7C2C6433"/>
    <w:rsid w:val="7C3380C5"/>
    <w:rsid w:val="7C338A38"/>
    <w:rsid w:val="7C47CBDB"/>
    <w:rsid w:val="7C4A660A"/>
    <w:rsid w:val="7C50B669"/>
    <w:rsid w:val="7C573565"/>
    <w:rsid w:val="7C5B0545"/>
    <w:rsid w:val="7C5EA792"/>
    <w:rsid w:val="7C5F2C52"/>
    <w:rsid w:val="7C6B10F2"/>
    <w:rsid w:val="7C6CDAA0"/>
    <w:rsid w:val="7C7931EB"/>
    <w:rsid w:val="7C8674EF"/>
    <w:rsid w:val="7C953360"/>
    <w:rsid w:val="7C979905"/>
    <w:rsid w:val="7C9B4AED"/>
    <w:rsid w:val="7C9B7D37"/>
    <w:rsid w:val="7CA50F6A"/>
    <w:rsid w:val="7CA542E8"/>
    <w:rsid w:val="7CB278B8"/>
    <w:rsid w:val="7CCB0179"/>
    <w:rsid w:val="7CD3D98B"/>
    <w:rsid w:val="7CD55474"/>
    <w:rsid w:val="7CE1E2EE"/>
    <w:rsid w:val="7CE248E4"/>
    <w:rsid w:val="7CE6C7BE"/>
    <w:rsid w:val="7CEDA881"/>
    <w:rsid w:val="7CEDC202"/>
    <w:rsid w:val="7CF4C003"/>
    <w:rsid w:val="7CF79F17"/>
    <w:rsid w:val="7D09EEA9"/>
    <w:rsid w:val="7D152291"/>
    <w:rsid w:val="7D19300F"/>
    <w:rsid w:val="7D1B83B6"/>
    <w:rsid w:val="7D1EDA97"/>
    <w:rsid w:val="7D21A5B6"/>
    <w:rsid w:val="7D21F103"/>
    <w:rsid w:val="7D235873"/>
    <w:rsid w:val="7D26D085"/>
    <w:rsid w:val="7D2827ED"/>
    <w:rsid w:val="7D2ED8FB"/>
    <w:rsid w:val="7D30E75B"/>
    <w:rsid w:val="7D322E45"/>
    <w:rsid w:val="7D3CE5CD"/>
    <w:rsid w:val="7D44106E"/>
    <w:rsid w:val="7D50CB5C"/>
    <w:rsid w:val="7D518E2C"/>
    <w:rsid w:val="7D543ACD"/>
    <w:rsid w:val="7D79A329"/>
    <w:rsid w:val="7D822C21"/>
    <w:rsid w:val="7DB87793"/>
    <w:rsid w:val="7DE82D47"/>
    <w:rsid w:val="7DF810E3"/>
    <w:rsid w:val="7E26CBA0"/>
    <w:rsid w:val="7E27D4F6"/>
    <w:rsid w:val="7E291D14"/>
    <w:rsid w:val="7E3357C3"/>
    <w:rsid w:val="7E40E65E"/>
    <w:rsid w:val="7E503960"/>
    <w:rsid w:val="7E5A3BB9"/>
    <w:rsid w:val="7E616314"/>
    <w:rsid w:val="7EA2367E"/>
    <w:rsid w:val="7EB8B1C9"/>
    <w:rsid w:val="7EBDE0E1"/>
    <w:rsid w:val="7EC52977"/>
    <w:rsid w:val="7ED43698"/>
    <w:rsid w:val="7EE132F8"/>
    <w:rsid w:val="7EE569DE"/>
    <w:rsid w:val="7EE644FA"/>
    <w:rsid w:val="7EEA3282"/>
    <w:rsid w:val="7EF5ABD9"/>
    <w:rsid w:val="7F0216BB"/>
    <w:rsid w:val="7F1B71C2"/>
    <w:rsid w:val="7F4ABABA"/>
    <w:rsid w:val="7F4EDC94"/>
    <w:rsid w:val="7F597E79"/>
    <w:rsid w:val="7F64C92D"/>
    <w:rsid w:val="7F676B03"/>
    <w:rsid w:val="7F756044"/>
    <w:rsid w:val="7FA9680F"/>
    <w:rsid w:val="7FC1A561"/>
    <w:rsid w:val="7FC24CC9"/>
    <w:rsid w:val="7FD480D4"/>
    <w:rsid w:val="7FDCE3AA"/>
    <w:rsid w:val="7FE201AA"/>
    <w:rsid w:val="7FEB7B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434D8"/>
    <w:pPr>
      <w:suppressAutoHyphens/>
      <w:spacing w:before="120" w:after="60" w:line="260" w:lineRule="atLeast"/>
    </w:pPr>
    <w:rPr>
      <w:color w:val="000000" w:themeColor="text1"/>
      <w:lang w:val="en-GB"/>
    </w:rPr>
  </w:style>
  <w:style w:type="paragraph" w:styleId="Heading1">
    <w:name w:val="heading 1"/>
    <w:basedOn w:val="Normal"/>
    <w:next w:val="Normal"/>
    <w:link w:val="Heading1Char"/>
    <w:uiPriority w:val="9"/>
    <w:qFormat/>
    <w:rsid w:val="004E15C0"/>
    <w:pPr>
      <w:keepNext/>
      <w:keepLines/>
      <w:spacing w:after="240" w:line="240" w:lineRule="auto"/>
      <w:outlineLvl w:val="0"/>
    </w:pPr>
    <w:rPr>
      <w:rFonts w:asciiTheme="majorHAnsi" w:eastAsiaTheme="majorEastAsia" w:hAnsiTheme="majorHAnsi" w:cstheme="majorBidi"/>
      <w:b/>
      <w:bCs/>
      <w:caps/>
      <w:sz w:val="36"/>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Normal"/>
    <w:next w:val="Normal"/>
    <w:link w:val="Heading3Char"/>
    <w:uiPriority w:val="9"/>
    <w:unhideWhenUsed/>
    <w:qFormat/>
    <w:rsid w:val="00ED2831"/>
    <w:pPr>
      <w:spacing w:line="360" w:lineRule="atLeast"/>
      <w:outlineLvl w:val="2"/>
    </w:pPr>
    <w:rPr>
      <w:bCs/>
      <w:caps/>
      <w:sz w:val="30"/>
    </w:rPr>
  </w:style>
  <w:style w:type="paragraph" w:styleId="Heading4">
    <w:name w:val="heading 4"/>
    <w:basedOn w:val="Heading3"/>
    <w:next w:val="Normal"/>
    <w:link w:val="Heading4Char"/>
    <w:uiPriority w:val="9"/>
    <w:unhideWhenUsed/>
    <w:qFormat/>
    <w:rsid w:val="00A4144F"/>
    <w:pPr>
      <w:keepNext/>
      <w:keepLines/>
      <w:spacing w:before="240" w:after="120" w:line="280" w:lineRule="atLeast"/>
      <w:contextualSpacing/>
      <w:outlineLvl w:val="3"/>
    </w:pPr>
    <w:rPr>
      <w:rFonts w:asciiTheme="majorHAnsi" w:eastAsiaTheme="majorEastAsia" w:hAnsiTheme="majorHAnsi" w:cstheme="majorBidi"/>
      <w:iCs/>
      <w:caps w:val="0"/>
      <w:sz w:val="24"/>
      <w:szCs w:val="26"/>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5C0"/>
    <w:rPr>
      <w:rFonts w:asciiTheme="majorHAnsi" w:eastAsiaTheme="majorEastAsia" w:hAnsiTheme="majorHAnsi" w:cstheme="majorBidi"/>
      <w:b/>
      <w:bCs/>
      <w:caps/>
      <w:color w:val="495965" w:themeColor="text2"/>
      <w:sz w:val="36"/>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C4C1F"/>
    <w:rPr>
      <w:bCs/>
      <w:caps/>
      <w:color w:val="495965" w:themeColor="text2"/>
      <w:sz w:val="30"/>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901406"/>
    <w:pPr>
      <w:numPr>
        <w:numId w:val="39"/>
      </w:numPr>
      <w:spacing w:before="60" w:line="240" w:lineRule="auto"/>
    </w:pPr>
    <w:rPr>
      <w:sz w:val="21"/>
    </w:r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22"/>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0D4227"/>
    <w:pPr>
      <w:numPr>
        <w:numId w:val="23"/>
      </w:numPr>
      <w:spacing w:before="240" w:after="120"/>
    </w:pPr>
  </w:style>
  <w:style w:type="paragraph" w:customStyle="1" w:styleId="Heading2Numbered">
    <w:name w:val="Heading 2 Numbered"/>
    <w:basedOn w:val="Heading2"/>
    <w:next w:val="Normal"/>
    <w:qFormat/>
    <w:rsid w:val="00EE591D"/>
    <w:pPr>
      <w:numPr>
        <w:ilvl w:val="1"/>
        <w:numId w:val="26"/>
      </w:numPr>
      <w:spacing w:before="240"/>
    </w:pPr>
    <w:rPr>
      <w:bCs/>
      <w:sz w:val="30"/>
    </w:rPr>
  </w:style>
  <w:style w:type="paragraph" w:customStyle="1" w:styleId="Heading3Numbered">
    <w:name w:val="Heading 3 Numbered"/>
    <w:basedOn w:val="Heading3"/>
    <w:next w:val="Normal"/>
    <w:qFormat/>
    <w:rsid w:val="003B29B8"/>
    <w:pPr>
      <w:keepNext/>
      <w:keepLines/>
      <w:numPr>
        <w:ilvl w:val="2"/>
        <w:numId w:val="26"/>
      </w:numPr>
      <w:spacing w:before="240" w:after="120" w:line="240" w:lineRule="auto"/>
    </w:pPr>
    <w:rPr>
      <w:rFonts w:asciiTheme="majorHAnsi" w:eastAsiaTheme="majorEastAsia" w:hAnsiTheme="majorHAnsi" w:cstheme="majorBidi"/>
      <w:caps w:val="0"/>
      <w:sz w:val="24"/>
    </w:rPr>
  </w:style>
  <w:style w:type="numbering" w:customStyle="1" w:styleId="BulletsList">
    <w:name w:val="Bullets List"/>
    <w:uiPriority w:val="99"/>
    <w:rsid w:val="007706B8"/>
    <w:pPr>
      <w:numPr>
        <w:numId w:val="21"/>
      </w:numPr>
    </w:pPr>
  </w:style>
  <w:style w:type="numbering" w:customStyle="1" w:styleId="Numberedlist">
    <w:name w:val="Numbered list"/>
    <w:uiPriority w:val="99"/>
    <w:rsid w:val="00F2684E"/>
    <w:pPr>
      <w:numPr>
        <w:numId w:val="22"/>
      </w:numPr>
    </w:pPr>
  </w:style>
  <w:style w:type="numbering" w:customStyle="1" w:styleId="HeadingsList">
    <w:name w:val="Headings List"/>
    <w:uiPriority w:val="99"/>
    <w:rsid w:val="001E1DC0"/>
    <w:pPr>
      <w:numPr>
        <w:numId w:val="2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387190"/>
    <w:pPr>
      <w:tabs>
        <w:tab w:val="left" w:pos="660"/>
        <w:tab w:val="right" w:leader="dot" w:pos="9628"/>
      </w:tabs>
      <w:spacing w:after="120"/>
    </w:pPr>
    <w:rPr>
      <w:rFonts w:cstheme="minorHAnsi"/>
      <w:b/>
      <w:bCs/>
      <w:caps/>
      <w:sz w:val="20"/>
      <w:szCs w:val="20"/>
    </w:rPr>
  </w:style>
  <w:style w:type="paragraph" w:styleId="TOC2">
    <w:name w:val="toc 2"/>
    <w:basedOn w:val="Normal"/>
    <w:next w:val="Normal"/>
    <w:autoRedefine/>
    <w:uiPriority w:val="39"/>
    <w:unhideWhenUsed/>
    <w:rsid w:val="004B7F42"/>
    <w:pPr>
      <w:tabs>
        <w:tab w:val="left" w:pos="880"/>
        <w:tab w:val="right" w:leader="dot" w:pos="9628"/>
      </w:tabs>
      <w:spacing w:before="0" w:after="0"/>
      <w:ind w:left="220"/>
    </w:pPr>
    <w:rPr>
      <w:rFonts w:cstheme="minorHAnsi"/>
      <w:smallCaps/>
      <w:sz w:val="20"/>
      <w:szCs w:val="20"/>
    </w:rPr>
  </w:style>
  <w:style w:type="paragraph" w:styleId="TOC3">
    <w:name w:val="toc 3"/>
    <w:basedOn w:val="Normal"/>
    <w:next w:val="Normal"/>
    <w:autoRedefine/>
    <w:uiPriority w:val="39"/>
    <w:unhideWhenUsed/>
    <w:rsid w:val="00646E71"/>
    <w:pPr>
      <w:tabs>
        <w:tab w:val="left" w:pos="1320"/>
        <w:tab w:val="right" w:leader="dot" w:pos="9628"/>
      </w:tabs>
      <w:spacing w:before="0" w:after="0"/>
      <w:ind w:left="440"/>
    </w:pPr>
    <w:rPr>
      <w:rFonts w:cstheme="minorHAnsi"/>
      <w:i/>
      <w:iCs/>
      <w:sz w:val="20"/>
      <w:szCs w:val="20"/>
    </w:r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pacing w:before="0" w:after="0"/>
      <w:ind w:left="660"/>
    </w:pPr>
    <w:rPr>
      <w:rFonts w:cstheme="minorHAnsi"/>
      <w:sz w:val="18"/>
      <w:szCs w:val="18"/>
    </w:rPr>
  </w:style>
  <w:style w:type="paragraph" w:styleId="TOC5">
    <w:name w:val="toc 5"/>
    <w:basedOn w:val="Normal"/>
    <w:next w:val="Normal"/>
    <w:autoRedefine/>
    <w:uiPriority w:val="39"/>
    <w:unhideWhenUsed/>
    <w:locked/>
    <w:rsid w:val="0035119D"/>
    <w:pPr>
      <w:spacing w:before="0" w:after="0"/>
      <w:ind w:left="880"/>
    </w:pPr>
    <w:rPr>
      <w:rFonts w:cstheme="minorHAnsi"/>
      <w:sz w:val="18"/>
      <w:szCs w:val="18"/>
    </w:rPr>
  </w:style>
  <w:style w:type="paragraph" w:styleId="TOC6">
    <w:name w:val="toc 6"/>
    <w:basedOn w:val="Normal"/>
    <w:next w:val="Normal"/>
    <w:autoRedefine/>
    <w:uiPriority w:val="39"/>
    <w:unhideWhenUsed/>
    <w:locked/>
    <w:rsid w:val="0035119D"/>
    <w:pPr>
      <w:spacing w:before="0" w:after="0"/>
      <w:ind w:left="1100"/>
    </w:pPr>
    <w:rPr>
      <w:rFonts w:cstheme="minorHAnsi"/>
      <w:sz w:val="18"/>
      <w:szCs w:val="18"/>
    </w:rPr>
  </w:style>
  <w:style w:type="paragraph" w:styleId="TOC7">
    <w:name w:val="toc 7"/>
    <w:basedOn w:val="Normal"/>
    <w:next w:val="Normal"/>
    <w:autoRedefine/>
    <w:uiPriority w:val="39"/>
    <w:unhideWhenUsed/>
    <w:locked/>
    <w:rsid w:val="0035119D"/>
    <w:pPr>
      <w:spacing w:before="0" w:after="0"/>
      <w:ind w:left="1320"/>
    </w:pPr>
    <w:rPr>
      <w:rFonts w:cstheme="minorHAnsi"/>
      <w:sz w:val="18"/>
      <w:szCs w:val="18"/>
    </w:rPr>
  </w:style>
  <w:style w:type="numbering" w:customStyle="1" w:styleId="TableHeadingNumbers">
    <w:name w:val="Table Heading Numbers"/>
    <w:uiPriority w:val="99"/>
    <w:rsid w:val="00ED2831"/>
    <w:pPr>
      <w:numPr>
        <w:numId w:val="24"/>
      </w:numPr>
    </w:pPr>
  </w:style>
  <w:style w:type="paragraph" w:styleId="TOC8">
    <w:name w:val="toc 8"/>
    <w:basedOn w:val="Normal"/>
    <w:next w:val="Normal"/>
    <w:autoRedefine/>
    <w:uiPriority w:val="39"/>
    <w:unhideWhenUsed/>
    <w:locked/>
    <w:rsid w:val="0035119D"/>
    <w:pPr>
      <w:spacing w:before="0" w:after="0"/>
      <w:ind w:left="1540"/>
    </w:pPr>
    <w:rPr>
      <w:rFonts w:cstheme="minorHAnsi"/>
      <w:sz w:val="18"/>
      <w:szCs w:val="18"/>
    </w:rPr>
  </w:style>
  <w:style w:type="paragraph" w:styleId="TOC9">
    <w:name w:val="toc 9"/>
    <w:basedOn w:val="Normal"/>
    <w:next w:val="Normal"/>
    <w:autoRedefine/>
    <w:uiPriority w:val="39"/>
    <w:unhideWhenUsed/>
    <w:locked/>
    <w:rsid w:val="0035119D"/>
    <w:pPr>
      <w:spacing w:before="0" w:after="0"/>
      <w:ind w:left="1760"/>
    </w:pPr>
    <w:rPr>
      <w:rFonts w:cstheme="minorHAnsi"/>
      <w:sz w:val="18"/>
      <w:szCs w:val="18"/>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2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ootnote,FOOTNOTES,fn,single space,Footnote Text 1,Footnote Text Char1,Footnote Text Char Char,Footnote Text Char Char Char,Char,ALTS FOOTNOTE,Fußnotentext arial,Footnote Text1 Char,Footnote Text2,ft,ADB,Footnote Text Char1 Char1,Geneva 9"/>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ootnote Char,FOOTNOTES Char,fn Char,single space Char,Footnote Text 1 Char,Footnote Text Char1 Char,Footnote Text Char Char Char1,Footnote Text Char Char Char Char,Char Char,ALTS FOOTNOTE Char,Fußnotentext arial Char,ft Char,ADB Char"/>
    <w:basedOn w:val="DefaultParagraphFont"/>
    <w:link w:val="FootnoteText"/>
    <w:uiPriority w:val="99"/>
    <w:qFormat/>
    <w:rsid w:val="008C5A0E"/>
    <w:rPr>
      <w:color w:val="495965" w:themeColor="text2"/>
      <w:sz w:val="12"/>
      <w:szCs w:val="20"/>
    </w:rPr>
  </w:style>
  <w:style w:type="character" w:styleId="FootnoteReference">
    <w:name w:val="footnote reference"/>
    <w:aliases w:val="Normal + Font:9 Point,Superscript 3 Point Times,Footnote Text PAPE Char,ftref,16 Point,Superscript 6 Point,BVI fnr,Знак сноски 1,(NECG) Footnote Reference,fr,Footnote + Arial,10 pt,Black,Fußnotenzeichen DISS,Ref,de nota al pie,SUPERS"/>
    <w:basedOn w:val="DefaultParagraphFont"/>
    <w:link w:val="FootnoteTextPAPE"/>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E043A"/>
  </w:style>
  <w:style w:type="paragraph" w:customStyle="1" w:styleId="TableBullet1">
    <w:name w:val="Table Bullet 1"/>
    <w:basedOn w:val="Bullet1"/>
    <w:qFormat/>
    <w:rsid w:val="00ED2831"/>
    <w:pPr>
      <w:spacing w:line="220" w:lineRule="atLeast"/>
    </w:pPr>
    <w:rPr>
      <w:rFonts w:ascii="Calibri" w:hAnsi="Calibri"/>
      <w:sz w:val="18"/>
    </w:rPr>
  </w:style>
  <w:style w:type="paragraph" w:customStyle="1" w:styleId="TableBullet2">
    <w:name w:val="Table Bullet 2"/>
    <w:basedOn w:val="Bullet2"/>
    <w:qFormat/>
    <w:rsid w:val="00ED2831"/>
    <w:pPr>
      <w:spacing w:line="220" w:lineRule="atLeast"/>
    </w:pPr>
    <w:rPr>
      <w:rFonts w:ascii="Calibri" w:hAnsi="Calibri"/>
      <w:sz w:val="18"/>
    </w:rPr>
  </w:style>
  <w:style w:type="paragraph" w:customStyle="1" w:styleId="TableBullet3">
    <w:name w:val="Table Bullet 3"/>
    <w:basedOn w:val="Bullet3"/>
    <w:qFormat/>
    <w:rsid w:val="00ED2831"/>
    <w:pPr>
      <w:spacing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keepNext/>
      <w:keepLines/>
      <w:spacing w:before="60" w:after="120"/>
      <w:contextualSpacing/>
    </w:pPr>
    <w:rPr>
      <w:rFonts w:asciiTheme="majorHAnsi" w:eastAsiaTheme="majorEastAsia" w:hAnsiTheme="majorHAnsi" w:cstheme="majorBidi"/>
      <w:caps w:val="0"/>
      <w:szCs w:val="26"/>
    </w:r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27"/>
      </w:numPr>
      <w:ind w:left="454" w:hanging="170"/>
    </w:pPr>
  </w:style>
  <w:style w:type="paragraph" w:customStyle="1" w:styleId="Box2Bullet">
    <w:name w:val="Box 2 Bullet"/>
    <w:basedOn w:val="Box2Text"/>
    <w:qFormat/>
    <w:rsid w:val="00C42541"/>
    <w:pPr>
      <w:numPr>
        <w:numId w:val="28"/>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 出 段 落"/>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29"/>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39"/>
    <w:locked/>
    <w:rsid w:val="00B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B22583"/>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B22583"/>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B22583"/>
    <w:pPr>
      <w:spacing w:before="0" w:after="120" w:line="240" w:lineRule="auto"/>
    </w:pPr>
    <w:rPr>
      <w:rFonts w:ascii="Calibri" w:hAnsi="Calibri"/>
      <w:lang w:eastAsia="en-AU"/>
    </w:rPr>
  </w:style>
  <w:style w:type="character" w:customStyle="1" w:styleId="BodyTextHangingChar">
    <w:name w:val="Body Text Hanging Char"/>
    <w:basedOn w:val="BodyTextChar"/>
    <w:link w:val="BodyTextHanging"/>
    <w:rsid w:val="00B22583"/>
    <w:rPr>
      <w:rFonts w:ascii="Calibri" w:hAnsi="Calibri"/>
      <w:color w:val="000000" w:themeColor="text1"/>
      <w:lang w:val="en-GB" w:eastAsia="en-AU"/>
    </w:rPr>
  </w:style>
  <w:style w:type="table" w:styleId="GridTable1Light">
    <w:name w:val="Grid Table 1 Light"/>
    <w:basedOn w:val="TableNormal"/>
    <w:uiPriority w:val="46"/>
    <w:locked/>
    <w:rsid w:val="003617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074"/>
    <w:rPr>
      <w:color w:val="800080" w:themeColor="followedHyperlink"/>
      <w:u w:val="single"/>
    </w:rPr>
  </w:style>
  <w:style w:type="paragraph" w:styleId="Revision">
    <w:name w:val="Revision"/>
    <w:hidden/>
    <w:uiPriority w:val="99"/>
    <w:semiHidden/>
    <w:rsid w:val="00A64085"/>
    <w:pPr>
      <w:spacing w:after="0" w:line="240" w:lineRule="auto"/>
    </w:pPr>
    <w:rPr>
      <w:color w:val="495965" w:themeColor="text2"/>
      <w:lang w:val="en-GB"/>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locked/>
    <w:rsid w:val="007A26F1"/>
    <w:rPr>
      <w:color w:val="495965" w:themeColor="text2"/>
      <w:lang w:val="en-GB"/>
    </w:rPr>
  </w:style>
  <w:style w:type="character" w:styleId="UnresolvedMention">
    <w:name w:val="Unresolved Mention"/>
    <w:basedOn w:val="DefaultParagraphFont"/>
    <w:uiPriority w:val="99"/>
    <w:semiHidden/>
    <w:unhideWhenUsed/>
    <w:rsid w:val="002200D9"/>
    <w:rPr>
      <w:color w:val="605E5C"/>
      <w:shd w:val="clear" w:color="auto" w:fill="E1DFDD"/>
    </w:rPr>
  </w:style>
  <w:style w:type="character" w:customStyle="1" w:styleId="normaltextrun">
    <w:name w:val="normaltextrun"/>
    <w:basedOn w:val="DefaultParagraphFont"/>
    <w:rsid w:val="00CA5E15"/>
  </w:style>
  <w:style w:type="character" w:customStyle="1" w:styleId="findhit">
    <w:name w:val="findhit"/>
    <w:basedOn w:val="DefaultParagraphFont"/>
    <w:rsid w:val="00CA5E15"/>
  </w:style>
  <w:style w:type="table" w:customStyle="1" w:styleId="GridTable2-Accent13">
    <w:name w:val="Grid Table 2 - Accent 13"/>
    <w:basedOn w:val="TableNormal"/>
    <w:next w:val="GridTable2-Accent1"/>
    <w:uiPriority w:val="47"/>
    <w:locked/>
    <w:rsid w:val="003339D3"/>
    <w:pPr>
      <w:spacing w:after="0" w:line="240" w:lineRule="auto"/>
    </w:pPr>
    <w:tblPr>
      <w:tblStyleRowBandSize w:val="1"/>
      <w:tblStyleColBandSize w:val="1"/>
      <w:tblBorders>
        <w:top w:val="single" w:sz="2" w:space="0" w:color="A2DCD1"/>
        <w:bottom w:val="single" w:sz="2" w:space="0" w:color="A2DCD1"/>
        <w:insideH w:val="single" w:sz="2" w:space="0" w:color="A2DCD1"/>
        <w:insideV w:val="single" w:sz="2" w:space="0" w:color="A2DCD1"/>
      </w:tblBorders>
    </w:tblPr>
    <w:tblStylePr w:type="firstRow">
      <w:rPr>
        <w:b/>
        <w:bCs/>
      </w:rPr>
      <w:tblPr/>
      <w:tcPr>
        <w:tcBorders>
          <w:top w:val="nil"/>
          <w:bottom w:val="single" w:sz="12" w:space="0" w:color="A2DCD1"/>
          <w:insideH w:val="nil"/>
          <w:insideV w:val="nil"/>
        </w:tcBorders>
        <w:shd w:val="clear" w:color="auto" w:fill="FFFFFF"/>
      </w:tcPr>
    </w:tblStylePr>
    <w:tblStylePr w:type="lastRow">
      <w:rPr>
        <w:b/>
        <w:bCs/>
      </w:rPr>
      <w:tblPr/>
      <w:tcPr>
        <w:tcBorders>
          <w:top w:val="double" w:sz="2" w:space="0" w:color="A2DCD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0F3EF"/>
      </w:tcPr>
    </w:tblStylePr>
    <w:tblStylePr w:type="band1Horz">
      <w:tblPr/>
      <w:tcPr>
        <w:shd w:val="clear" w:color="auto" w:fill="E0F3EF"/>
      </w:tcPr>
    </w:tblStylePr>
  </w:style>
  <w:style w:type="table" w:styleId="GridTable2-Accent1">
    <w:name w:val="Grid Table 2 Accent 1"/>
    <w:basedOn w:val="TableNormal"/>
    <w:uiPriority w:val="47"/>
    <w:locked/>
    <w:rsid w:val="003339D3"/>
    <w:pPr>
      <w:spacing w:after="0" w:line="240" w:lineRule="auto"/>
    </w:pPr>
    <w:tblPr>
      <w:tblStyleRowBandSize w:val="1"/>
      <w:tblStyleColBandSize w:val="1"/>
      <w:tblBorders>
        <w:top w:val="single" w:sz="2" w:space="0" w:color="A2DCD1" w:themeColor="accent1" w:themeTint="99"/>
        <w:bottom w:val="single" w:sz="2" w:space="0" w:color="A2DCD1" w:themeColor="accent1" w:themeTint="99"/>
        <w:insideH w:val="single" w:sz="2" w:space="0" w:color="A2DCD1" w:themeColor="accent1" w:themeTint="99"/>
        <w:insideV w:val="single" w:sz="2" w:space="0" w:color="A2DCD1" w:themeColor="accent1" w:themeTint="99"/>
      </w:tblBorders>
    </w:tblPr>
    <w:tblStylePr w:type="firstRow">
      <w:rPr>
        <w:b/>
        <w:bCs/>
      </w:rPr>
      <w:tblPr/>
      <w:tcPr>
        <w:tcBorders>
          <w:top w:val="nil"/>
          <w:bottom w:val="single" w:sz="12" w:space="0" w:color="A2DCD1" w:themeColor="accent1" w:themeTint="99"/>
          <w:insideH w:val="nil"/>
          <w:insideV w:val="nil"/>
        </w:tcBorders>
        <w:shd w:val="clear" w:color="auto" w:fill="FFFFFF" w:themeFill="background1"/>
      </w:tcPr>
    </w:tblStylePr>
    <w:tblStylePr w:type="lastRow">
      <w:rPr>
        <w:b/>
        <w:bCs/>
      </w:rPr>
      <w:tblPr/>
      <w:tcPr>
        <w:tcBorders>
          <w:top w:val="double" w:sz="2" w:space="0" w:color="A2DC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styleId="ListTable3-Accent1">
    <w:name w:val="List Table 3 Accent 1"/>
    <w:basedOn w:val="TableNormal"/>
    <w:uiPriority w:val="48"/>
    <w:locked/>
    <w:rsid w:val="00AA3965"/>
    <w:pPr>
      <w:spacing w:after="0" w:line="240" w:lineRule="auto"/>
    </w:pPr>
    <w:tblPr>
      <w:tblStyleRowBandSize w:val="1"/>
      <w:tblStyleColBandSize w:val="1"/>
      <w:tblBorders>
        <w:top w:val="single" w:sz="4" w:space="0" w:color="65C5B4" w:themeColor="accent1"/>
        <w:left w:val="single" w:sz="4" w:space="0" w:color="65C5B4" w:themeColor="accent1"/>
        <w:bottom w:val="single" w:sz="4" w:space="0" w:color="65C5B4" w:themeColor="accent1"/>
        <w:right w:val="single" w:sz="4" w:space="0" w:color="65C5B4" w:themeColor="accent1"/>
      </w:tblBorders>
    </w:tblPr>
    <w:tblStylePr w:type="firstRow">
      <w:rPr>
        <w:b/>
        <w:bCs/>
        <w:color w:val="FFFFFF" w:themeColor="background1"/>
      </w:rPr>
      <w:tblPr/>
      <w:tcPr>
        <w:shd w:val="clear" w:color="auto" w:fill="65C5B4" w:themeFill="accent1"/>
      </w:tcPr>
    </w:tblStylePr>
    <w:tblStylePr w:type="lastRow">
      <w:rPr>
        <w:b/>
        <w:bCs/>
      </w:rPr>
      <w:tblPr/>
      <w:tcPr>
        <w:tcBorders>
          <w:top w:val="double" w:sz="4" w:space="0" w:color="65C5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C5B4" w:themeColor="accent1"/>
          <w:right w:val="single" w:sz="4" w:space="0" w:color="65C5B4" w:themeColor="accent1"/>
        </w:tcBorders>
      </w:tcPr>
    </w:tblStylePr>
    <w:tblStylePr w:type="band1Horz">
      <w:tblPr/>
      <w:tcPr>
        <w:tcBorders>
          <w:top w:val="single" w:sz="4" w:space="0" w:color="65C5B4" w:themeColor="accent1"/>
          <w:bottom w:val="single" w:sz="4" w:space="0" w:color="65C5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C5B4" w:themeColor="accent1"/>
          <w:left w:val="nil"/>
        </w:tcBorders>
      </w:tcPr>
    </w:tblStylePr>
    <w:tblStylePr w:type="swCell">
      <w:tblPr/>
      <w:tcPr>
        <w:tcBorders>
          <w:top w:val="double" w:sz="4" w:space="0" w:color="65C5B4" w:themeColor="accent1"/>
          <w:right w:val="nil"/>
        </w:tcBorders>
      </w:tcPr>
    </w:tblStylePr>
  </w:style>
  <w:style w:type="paragraph" w:customStyle="1" w:styleId="FootnoteTextPAPE">
    <w:name w:val="Footnote Text PAPE"/>
    <w:basedOn w:val="Normal"/>
    <w:link w:val="FootnoteReference"/>
    <w:uiPriority w:val="99"/>
    <w:rsid w:val="00384D57"/>
    <w:pPr>
      <w:suppressAutoHyphens w:val="0"/>
      <w:spacing w:before="0" w:after="120" w:line="240" w:lineRule="auto"/>
    </w:pPr>
    <w:rPr>
      <w:color w:val="auto"/>
      <w:vertAlign w:val="superscript"/>
      <w:lang w:val="en-AU"/>
    </w:rPr>
  </w:style>
  <w:style w:type="character" w:customStyle="1" w:styleId="Hyperlink1">
    <w:name w:val="Hyperlink1"/>
    <w:basedOn w:val="DefaultParagraphFont"/>
    <w:uiPriority w:val="99"/>
    <w:rsid w:val="007067E4"/>
    <w:rPr>
      <w:rFonts w:ascii="Calibri Light" w:hAnsi="Calibri Light" w:cs="MuseoSans-500"/>
      <w:color w:val="auto"/>
      <w:u w:val="single" w:color="0070C0"/>
    </w:rPr>
  </w:style>
  <w:style w:type="paragraph" w:styleId="NormalWeb">
    <w:name w:val="Normal (Web)"/>
    <w:basedOn w:val="Normal"/>
    <w:uiPriority w:val="99"/>
    <w:semiHidden/>
    <w:unhideWhenUsed/>
    <w:rsid w:val="006C429E"/>
    <w:rPr>
      <w:rFonts w:ascii="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989">
      <w:bodyDiv w:val="1"/>
      <w:marLeft w:val="0"/>
      <w:marRight w:val="0"/>
      <w:marTop w:val="0"/>
      <w:marBottom w:val="0"/>
      <w:divBdr>
        <w:top w:val="none" w:sz="0" w:space="0" w:color="auto"/>
        <w:left w:val="none" w:sz="0" w:space="0" w:color="auto"/>
        <w:bottom w:val="none" w:sz="0" w:space="0" w:color="auto"/>
        <w:right w:val="none" w:sz="0" w:space="0" w:color="auto"/>
      </w:divBdr>
      <w:divsChild>
        <w:div w:id="81610390">
          <w:marLeft w:val="1166"/>
          <w:marRight w:val="0"/>
          <w:marTop w:val="0"/>
          <w:marBottom w:val="120"/>
          <w:divBdr>
            <w:top w:val="none" w:sz="0" w:space="0" w:color="auto"/>
            <w:left w:val="none" w:sz="0" w:space="0" w:color="auto"/>
            <w:bottom w:val="none" w:sz="0" w:space="0" w:color="auto"/>
            <w:right w:val="none" w:sz="0" w:space="0" w:color="auto"/>
          </w:divBdr>
        </w:div>
        <w:div w:id="170804804">
          <w:marLeft w:val="547"/>
          <w:marRight w:val="0"/>
          <w:marTop w:val="0"/>
          <w:marBottom w:val="120"/>
          <w:divBdr>
            <w:top w:val="none" w:sz="0" w:space="0" w:color="auto"/>
            <w:left w:val="none" w:sz="0" w:space="0" w:color="auto"/>
            <w:bottom w:val="none" w:sz="0" w:space="0" w:color="auto"/>
            <w:right w:val="none" w:sz="0" w:space="0" w:color="auto"/>
          </w:divBdr>
        </w:div>
        <w:div w:id="183523382">
          <w:marLeft w:val="1166"/>
          <w:marRight w:val="0"/>
          <w:marTop w:val="0"/>
          <w:marBottom w:val="120"/>
          <w:divBdr>
            <w:top w:val="none" w:sz="0" w:space="0" w:color="auto"/>
            <w:left w:val="none" w:sz="0" w:space="0" w:color="auto"/>
            <w:bottom w:val="none" w:sz="0" w:space="0" w:color="auto"/>
            <w:right w:val="none" w:sz="0" w:space="0" w:color="auto"/>
          </w:divBdr>
        </w:div>
        <w:div w:id="323045262">
          <w:marLeft w:val="1166"/>
          <w:marRight w:val="0"/>
          <w:marTop w:val="0"/>
          <w:marBottom w:val="120"/>
          <w:divBdr>
            <w:top w:val="none" w:sz="0" w:space="0" w:color="auto"/>
            <w:left w:val="none" w:sz="0" w:space="0" w:color="auto"/>
            <w:bottom w:val="none" w:sz="0" w:space="0" w:color="auto"/>
            <w:right w:val="none" w:sz="0" w:space="0" w:color="auto"/>
          </w:divBdr>
        </w:div>
        <w:div w:id="447745769">
          <w:marLeft w:val="1166"/>
          <w:marRight w:val="0"/>
          <w:marTop w:val="0"/>
          <w:marBottom w:val="120"/>
          <w:divBdr>
            <w:top w:val="none" w:sz="0" w:space="0" w:color="auto"/>
            <w:left w:val="none" w:sz="0" w:space="0" w:color="auto"/>
            <w:bottom w:val="none" w:sz="0" w:space="0" w:color="auto"/>
            <w:right w:val="none" w:sz="0" w:space="0" w:color="auto"/>
          </w:divBdr>
        </w:div>
        <w:div w:id="477304086">
          <w:marLeft w:val="547"/>
          <w:marRight w:val="0"/>
          <w:marTop w:val="0"/>
          <w:marBottom w:val="120"/>
          <w:divBdr>
            <w:top w:val="none" w:sz="0" w:space="0" w:color="auto"/>
            <w:left w:val="none" w:sz="0" w:space="0" w:color="auto"/>
            <w:bottom w:val="none" w:sz="0" w:space="0" w:color="auto"/>
            <w:right w:val="none" w:sz="0" w:space="0" w:color="auto"/>
          </w:divBdr>
        </w:div>
        <w:div w:id="520124484">
          <w:marLeft w:val="1166"/>
          <w:marRight w:val="0"/>
          <w:marTop w:val="0"/>
          <w:marBottom w:val="120"/>
          <w:divBdr>
            <w:top w:val="none" w:sz="0" w:space="0" w:color="auto"/>
            <w:left w:val="none" w:sz="0" w:space="0" w:color="auto"/>
            <w:bottom w:val="none" w:sz="0" w:space="0" w:color="auto"/>
            <w:right w:val="none" w:sz="0" w:space="0" w:color="auto"/>
          </w:divBdr>
        </w:div>
        <w:div w:id="590311594">
          <w:marLeft w:val="1166"/>
          <w:marRight w:val="0"/>
          <w:marTop w:val="0"/>
          <w:marBottom w:val="120"/>
          <w:divBdr>
            <w:top w:val="none" w:sz="0" w:space="0" w:color="auto"/>
            <w:left w:val="none" w:sz="0" w:space="0" w:color="auto"/>
            <w:bottom w:val="none" w:sz="0" w:space="0" w:color="auto"/>
            <w:right w:val="none" w:sz="0" w:space="0" w:color="auto"/>
          </w:divBdr>
        </w:div>
        <w:div w:id="751899986">
          <w:marLeft w:val="547"/>
          <w:marRight w:val="0"/>
          <w:marTop w:val="0"/>
          <w:marBottom w:val="120"/>
          <w:divBdr>
            <w:top w:val="none" w:sz="0" w:space="0" w:color="auto"/>
            <w:left w:val="none" w:sz="0" w:space="0" w:color="auto"/>
            <w:bottom w:val="none" w:sz="0" w:space="0" w:color="auto"/>
            <w:right w:val="none" w:sz="0" w:space="0" w:color="auto"/>
          </w:divBdr>
        </w:div>
        <w:div w:id="760760784">
          <w:marLeft w:val="547"/>
          <w:marRight w:val="0"/>
          <w:marTop w:val="0"/>
          <w:marBottom w:val="120"/>
          <w:divBdr>
            <w:top w:val="none" w:sz="0" w:space="0" w:color="auto"/>
            <w:left w:val="none" w:sz="0" w:space="0" w:color="auto"/>
            <w:bottom w:val="none" w:sz="0" w:space="0" w:color="auto"/>
            <w:right w:val="none" w:sz="0" w:space="0" w:color="auto"/>
          </w:divBdr>
        </w:div>
        <w:div w:id="815994875">
          <w:marLeft w:val="1166"/>
          <w:marRight w:val="0"/>
          <w:marTop w:val="0"/>
          <w:marBottom w:val="120"/>
          <w:divBdr>
            <w:top w:val="none" w:sz="0" w:space="0" w:color="auto"/>
            <w:left w:val="none" w:sz="0" w:space="0" w:color="auto"/>
            <w:bottom w:val="none" w:sz="0" w:space="0" w:color="auto"/>
            <w:right w:val="none" w:sz="0" w:space="0" w:color="auto"/>
          </w:divBdr>
        </w:div>
        <w:div w:id="927075023">
          <w:marLeft w:val="1166"/>
          <w:marRight w:val="0"/>
          <w:marTop w:val="0"/>
          <w:marBottom w:val="120"/>
          <w:divBdr>
            <w:top w:val="none" w:sz="0" w:space="0" w:color="auto"/>
            <w:left w:val="none" w:sz="0" w:space="0" w:color="auto"/>
            <w:bottom w:val="none" w:sz="0" w:space="0" w:color="auto"/>
            <w:right w:val="none" w:sz="0" w:space="0" w:color="auto"/>
          </w:divBdr>
        </w:div>
        <w:div w:id="1252399495">
          <w:marLeft w:val="1166"/>
          <w:marRight w:val="0"/>
          <w:marTop w:val="0"/>
          <w:marBottom w:val="120"/>
          <w:divBdr>
            <w:top w:val="none" w:sz="0" w:space="0" w:color="auto"/>
            <w:left w:val="none" w:sz="0" w:space="0" w:color="auto"/>
            <w:bottom w:val="none" w:sz="0" w:space="0" w:color="auto"/>
            <w:right w:val="none" w:sz="0" w:space="0" w:color="auto"/>
          </w:divBdr>
        </w:div>
        <w:div w:id="1284925051">
          <w:marLeft w:val="1166"/>
          <w:marRight w:val="0"/>
          <w:marTop w:val="0"/>
          <w:marBottom w:val="120"/>
          <w:divBdr>
            <w:top w:val="none" w:sz="0" w:space="0" w:color="auto"/>
            <w:left w:val="none" w:sz="0" w:space="0" w:color="auto"/>
            <w:bottom w:val="none" w:sz="0" w:space="0" w:color="auto"/>
            <w:right w:val="none" w:sz="0" w:space="0" w:color="auto"/>
          </w:divBdr>
        </w:div>
        <w:div w:id="1323964984">
          <w:marLeft w:val="1166"/>
          <w:marRight w:val="0"/>
          <w:marTop w:val="0"/>
          <w:marBottom w:val="120"/>
          <w:divBdr>
            <w:top w:val="none" w:sz="0" w:space="0" w:color="auto"/>
            <w:left w:val="none" w:sz="0" w:space="0" w:color="auto"/>
            <w:bottom w:val="none" w:sz="0" w:space="0" w:color="auto"/>
            <w:right w:val="none" w:sz="0" w:space="0" w:color="auto"/>
          </w:divBdr>
        </w:div>
        <w:div w:id="1466503002">
          <w:marLeft w:val="1166"/>
          <w:marRight w:val="0"/>
          <w:marTop w:val="0"/>
          <w:marBottom w:val="120"/>
          <w:divBdr>
            <w:top w:val="none" w:sz="0" w:space="0" w:color="auto"/>
            <w:left w:val="none" w:sz="0" w:space="0" w:color="auto"/>
            <w:bottom w:val="none" w:sz="0" w:space="0" w:color="auto"/>
            <w:right w:val="none" w:sz="0" w:space="0" w:color="auto"/>
          </w:divBdr>
        </w:div>
        <w:div w:id="1740715021">
          <w:marLeft w:val="1166"/>
          <w:marRight w:val="0"/>
          <w:marTop w:val="0"/>
          <w:marBottom w:val="120"/>
          <w:divBdr>
            <w:top w:val="none" w:sz="0" w:space="0" w:color="auto"/>
            <w:left w:val="none" w:sz="0" w:space="0" w:color="auto"/>
            <w:bottom w:val="none" w:sz="0" w:space="0" w:color="auto"/>
            <w:right w:val="none" w:sz="0" w:space="0" w:color="auto"/>
          </w:divBdr>
        </w:div>
        <w:div w:id="1980070129">
          <w:marLeft w:val="547"/>
          <w:marRight w:val="0"/>
          <w:marTop w:val="0"/>
          <w:marBottom w:val="120"/>
          <w:divBdr>
            <w:top w:val="none" w:sz="0" w:space="0" w:color="auto"/>
            <w:left w:val="none" w:sz="0" w:space="0" w:color="auto"/>
            <w:bottom w:val="none" w:sz="0" w:space="0" w:color="auto"/>
            <w:right w:val="none" w:sz="0" w:space="0" w:color="auto"/>
          </w:divBdr>
        </w:div>
        <w:div w:id="2124567445">
          <w:marLeft w:val="1166"/>
          <w:marRight w:val="0"/>
          <w:marTop w:val="0"/>
          <w:marBottom w:val="120"/>
          <w:divBdr>
            <w:top w:val="none" w:sz="0" w:space="0" w:color="auto"/>
            <w:left w:val="none" w:sz="0" w:space="0" w:color="auto"/>
            <w:bottom w:val="none" w:sz="0" w:space="0" w:color="auto"/>
            <w:right w:val="none" w:sz="0" w:space="0" w:color="auto"/>
          </w:divBdr>
        </w:div>
      </w:divsChild>
    </w:div>
    <w:div w:id="11690306">
      <w:bodyDiv w:val="1"/>
      <w:marLeft w:val="0"/>
      <w:marRight w:val="0"/>
      <w:marTop w:val="0"/>
      <w:marBottom w:val="0"/>
      <w:divBdr>
        <w:top w:val="none" w:sz="0" w:space="0" w:color="auto"/>
        <w:left w:val="none" w:sz="0" w:space="0" w:color="auto"/>
        <w:bottom w:val="none" w:sz="0" w:space="0" w:color="auto"/>
        <w:right w:val="none" w:sz="0" w:space="0" w:color="auto"/>
      </w:divBdr>
    </w:div>
    <w:div w:id="61490694">
      <w:bodyDiv w:val="1"/>
      <w:marLeft w:val="0"/>
      <w:marRight w:val="0"/>
      <w:marTop w:val="0"/>
      <w:marBottom w:val="0"/>
      <w:divBdr>
        <w:top w:val="none" w:sz="0" w:space="0" w:color="auto"/>
        <w:left w:val="none" w:sz="0" w:space="0" w:color="auto"/>
        <w:bottom w:val="none" w:sz="0" w:space="0" w:color="auto"/>
        <w:right w:val="none" w:sz="0" w:space="0" w:color="auto"/>
      </w:divBdr>
    </w:div>
    <w:div w:id="64449846">
      <w:bodyDiv w:val="1"/>
      <w:marLeft w:val="0"/>
      <w:marRight w:val="0"/>
      <w:marTop w:val="0"/>
      <w:marBottom w:val="0"/>
      <w:divBdr>
        <w:top w:val="none" w:sz="0" w:space="0" w:color="auto"/>
        <w:left w:val="none" w:sz="0" w:space="0" w:color="auto"/>
        <w:bottom w:val="none" w:sz="0" w:space="0" w:color="auto"/>
        <w:right w:val="none" w:sz="0" w:space="0" w:color="auto"/>
      </w:divBdr>
    </w:div>
    <w:div w:id="93479219">
      <w:bodyDiv w:val="1"/>
      <w:marLeft w:val="0"/>
      <w:marRight w:val="0"/>
      <w:marTop w:val="0"/>
      <w:marBottom w:val="0"/>
      <w:divBdr>
        <w:top w:val="none" w:sz="0" w:space="0" w:color="auto"/>
        <w:left w:val="none" w:sz="0" w:space="0" w:color="auto"/>
        <w:bottom w:val="none" w:sz="0" w:space="0" w:color="auto"/>
        <w:right w:val="none" w:sz="0" w:space="0" w:color="auto"/>
      </w:divBdr>
    </w:div>
    <w:div w:id="95249812">
      <w:bodyDiv w:val="1"/>
      <w:marLeft w:val="0"/>
      <w:marRight w:val="0"/>
      <w:marTop w:val="0"/>
      <w:marBottom w:val="0"/>
      <w:divBdr>
        <w:top w:val="none" w:sz="0" w:space="0" w:color="auto"/>
        <w:left w:val="none" w:sz="0" w:space="0" w:color="auto"/>
        <w:bottom w:val="none" w:sz="0" w:space="0" w:color="auto"/>
        <w:right w:val="none" w:sz="0" w:space="0" w:color="auto"/>
      </w:divBdr>
      <w:divsChild>
        <w:div w:id="270014218">
          <w:marLeft w:val="1166"/>
          <w:marRight w:val="0"/>
          <w:marTop w:val="0"/>
          <w:marBottom w:val="120"/>
          <w:divBdr>
            <w:top w:val="none" w:sz="0" w:space="0" w:color="auto"/>
            <w:left w:val="none" w:sz="0" w:space="0" w:color="auto"/>
            <w:bottom w:val="none" w:sz="0" w:space="0" w:color="auto"/>
            <w:right w:val="none" w:sz="0" w:space="0" w:color="auto"/>
          </w:divBdr>
        </w:div>
        <w:div w:id="430472344">
          <w:marLeft w:val="1166"/>
          <w:marRight w:val="0"/>
          <w:marTop w:val="0"/>
          <w:marBottom w:val="120"/>
          <w:divBdr>
            <w:top w:val="none" w:sz="0" w:space="0" w:color="auto"/>
            <w:left w:val="none" w:sz="0" w:space="0" w:color="auto"/>
            <w:bottom w:val="none" w:sz="0" w:space="0" w:color="auto"/>
            <w:right w:val="none" w:sz="0" w:space="0" w:color="auto"/>
          </w:divBdr>
        </w:div>
        <w:div w:id="454567356">
          <w:marLeft w:val="1166"/>
          <w:marRight w:val="0"/>
          <w:marTop w:val="0"/>
          <w:marBottom w:val="120"/>
          <w:divBdr>
            <w:top w:val="none" w:sz="0" w:space="0" w:color="auto"/>
            <w:left w:val="none" w:sz="0" w:space="0" w:color="auto"/>
            <w:bottom w:val="none" w:sz="0" w:space="0" w:color="auto"/>
            <w:right w:val="none" w:sz="0" w:space="0" w:color="auto"/>
          </w:divBdr>
        </w:div>
        <w:div w:id="495999849">
          <w:marLeft w:val="547"/>
          <w:marRight w:val="0"/>
          <w:marTop w:val="0"/>
          <w:marBottom w:val="120"/>
          <w:divBdr>
            <w:top w:val="none" w:sz="0" w:space="0" w:color="auto"/>
            <w:left w:val="none" w:sz="0" w:space="0" w:color="auto"/>
            <w:bottom w:val="none" w:sz="0" w:space="0" w:color="auto"/>
            <w:right w:val="none" w:sz="0" w:space="0" w:color="auto"/>
          </w:divBdr>
        </w:div>
        <w:div w:id="839781452">
          <w:marLeft w:val="547"/>
          <w:marRight w:val="0"/>
          <w:marTop w:val="0"/>
          <w:marBottom w:val="120"/>
          <w:divBdr>
            <w:top w:val="none" w:sz="0" w:space="0" w:color="auto"/>
            <w:left w:val="none" w:sz="0" w:space="0" w:color="auto"/>
            <w:bottom w:val="none" w:sz="0" w:space="0" w:color="auto"/>
            <w:right w:val="none" w:sz="0" w:space="0" w:color="auto"/>
          </w:divBdr>
        </w:div>
        <w:div w:id="954945932">
          <w:marLeft w:val="547"/>
          <w:marRight w:val="0"/>
          <w:marTop w:val="0"/>
          <w:marBottom w:val="120"/>
          <w:divBdr>
            <w:top w:val="none" w:sz="0" w:space="0" w:color="auto"/>
            <w:left w:val="none" w:sz="0" w:space="0" w:color="auto"/>
            <w:bottom w:val="none" w:sz="0" w:space="0" w:color="auto"/>
            <w:right w:val="none" w:sz="0" w:space="0" w:color="auto"/>
          </w:divBdr>
        </w:div>
        <w:div w:id="1163744213">
          <w:marLeft w:val="1800"/>
          <w:marRight w:val="0"/>
          <w:marTop w:val="0"/>
          <w:marBottom w:val="120"/>
          <w:divBdr>
            <w:top w:val="none" w:sz="0" w:space="0" w:color="auto"/>
            <w:left w:val="none" w:sz="0" w:space="0" w:color="auto"/>
            <w:bottom w:val="none" w:sz="0" w:space="0" w:color="auto"/>
            <w:right w:val="none" w:sz="0" w:space="0" w:color="auto"/>
          </w:divBdr>
        </w:div>
        <w:div w:id="1548836139">
          <w:marLeft w:val="1166"/>
          <w:marRight w:val="0"/>
          <w:marTop w:val="0"/>
          <w:marBottom w:val="120"/>
          <w:divBdr>
            <w:top w:val="none" w:sz="0" w:space="0" w:color="auto"/>
            <w:left w:val="none" w:sz="0" w:space="0" w:color="auto"/>
            <w:bottom w:val="none" w:sz="0" w:space="0" w:color="auto"/>
            <w:right w:val="none" w:sz="0" w:space="0" w:color="auto"/>
          </w:divBdr>
        </w:div>
        <w:div w:id="1974019291">
          <w:marLeft w:val="1166"/>
          <w:marRight w:val="0"/>
          <w:marTop w:val="0"/>
          <w:marBottom w:val="120"/>
          <w:divBdr>
            <w:top w:val="none" w:sz="0" w:space="0" w:color="auto"/>
            <w:left w:val="none" w:sz="0" w:space="0" w:color="auto"/>
            <w:bottom w:val="none" w:sz="0" w:space="0" w:color="auto"/>
            <w:right w:val="none" w:sz="0" w:space="0" w:color="auto"/>
          </w:divBdr>
        </w:div>
        <w:div w:id="2089233092">
          <w:marLeft w:val="1166"/>
          <w:marRight w:val="0"/>
          <w:marTop w:val="0"/>
          <w:marBottom w:val="120"/>
          <w:divBdr>
            <w:top w:val="none" w:sz="0" w:space="0" w:color="auto"/>
            <w:left w:val="none" w:sz="0" w:space="0" w:color="auto"/>
            <w:bottom w:val="none" w:sz="0" w:space="0" w:color="auto"/>
            <w:right w:val="none" w:sz="0" w:space="0" w:color="auto"/>
          </w:divBdr>
        </w:div>
      </w:divsChild>
    </w:div>
    <w:div w:id="115485022">
      <w:bodyDiv w:val="1"/>
      <w:marLeft w:val="0"/>
      <w:marRight w:val="0"/>
      <w:marTop w:val="0"/>
      <w:marBottom w:val="0"/>
      <w:divBdr>
        <w:top w:val="none" w:sz="0" w:space="0" w:color="auto"/>
        <w:left w:val="none" w:sz="0" w:space="0" w:color="auto"/>
        <w:bottom w:val="none" w:sz="0" w:space="0" w:color="auto"/>
        <w:right w:val="none" w:sz="0" w:space="0" w:color="auto"/>
      </w:divBdr>
    </w:div>
    <w:div w:id="120079536">
      <w:bodyDiv w:val="1"/>
      <w:marLeft w:val="0"/>
      <w:marRight w:val="0"/>
      <w:marTop w:val="0"/>
      <w:marBottom w:val="0"/>
      <w:divBdr>
        <w:top w:val="none" w:sz="0" w:space="0" w:color="auto"/>
        <w:left w:val="none" w:sz="0" w:space="0" w:color="auto"/>
        <w:bottom w:val="none" w:sz="0" w:space="0" w:color="auto"/>
        <w:right w:val="none" w:sz="0" w:space="0" w:color="auto"/>
      </w:divBdr>
    </w:div>
    <w:div w:id="13417786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82">
          <w:marLeft w:val="0"/>
          <w:marRight w:val="0"/>
          <w:marTop w:val="0"/>
          <w:marBottom w:val="0"/>
          <w:divBdr>
            <w:top w:val="none" w:sz="0" w:space="0" w:color="auto"/>
            <w:left w:val="none" w:sz="0" w:space="0" w:color="auto"/>
            <w:bottom w:val="none" w:sz="0" w:space="0" w:color="auto"/>
            <w:right w:val="none" w:sz="0" w:space="0" w:color="auto"/>
          </w:divBdr>
          <w:divsChild>
            <w:div w:id="9264030">
              <w:marLeft w:val="0"/>
              <w:marRight w:val="0"/>
              <w:marTop w:val="0"/>
              <w:marBottom w:val="0"/>
              <w:divBdr>
                <w:top w:val="none" w:sz="0" w:space="0" w:color="auto"/>
                <w:left w:val="none" w:sz="0" w:space="0" w:color="auto"/>
                <w:bottom w:val="none" w:sz="0" w:space="0" w:color="auto"/>
                <w:right w:val="none" w:sz="0" w:space="0" w:color="auto"/>
              </w:divBdr>
              <w:divsChild>
                <w:div w:id="2015376211">
                  <w:marLeft w:val="0"/>
                  <w:marRight w:val="0"/>
                  <w:marTop w:val="0"/>
                  <w:marBottom w:val="0"/>
                  <w:divBdr>
                    <w:top w:val="none" w:sz="0" w:space="0" w:color="auto"/>
                    <w:left w:val="none" w:sz="0" w:space="0" w:color="auto"/>
                    <w:bottom w:val="none" w:sz="0" w:space="0" w:color="auto"/>
                    <w:right w:val="none" w:sz="0" w:space="0" w:color="auto"/>
                  </w:divBdr>
                  <w:divsChild>
                    <w:div w:id="784885694">
                      <w:marLeft w:val="2325"/>
                      <w:marRight w:val="0"/>
                      <w:marTop w:val="0"/>
                      <w:marBottom w:val="0"/>
                      <w:divBdr>
                        <w:top w:val="none" w:sz="0" w:space="0" w:color="auto"/>
                        <w:left w:val="none" w:sz="0" w:space="0" w:color="auto"/>
                        <w:bottom w:val="none" w:sz="0" w:space="0" w:color="auto"/>
                        <w:right w:val="none" w:sz="0" w:space="0" w:color="auto"/>
                      </w:divBdr>
                      <w:divsChild>
                        <w:div w:id="1207720167">
                          <w:marLeft w:val="0"/>
                          <w:marRight w:val="0"/>
                          <w:marTop w:val="0"/>
                          <w:marBottom w:val="0"/>
                          <w:divBdr>
                            <w:top w:val="none" w:sz="0" w:space="0" w:color="auto"/>
                            <w:left w:val="none" w:sz="0" w:space="0" w:color="auto"/>
                            <w:bottom w:val="none" w:sz="0" w:space="0" w:color="auto"/>
                            <w:right w:val="none" w:sz="0" w:space="0" w:color="auto"/>
                          </w:divBdr>
                          <w:divsChild>
                            <w:div w:id="204684341">
                              <w:marLeft w:val="0"/>
                              <w:marRight w:val="0"/>
                              <w:marTop w:val="0"/>
                              <w:marBottom w:val="0"/>
                              <w:divBdr>
                                <w:top w:val="none" w:sz="0" w:space="0" w:color="auto"/>
                                <w:left w:val="none" w:sz="0" w:space="0" w:color="auto"/>
                                <w:bottom w:val="none" w:sz="0" w:space="0" w:color="auto"/>
                                <w:right w:val="none" w:sz="0" w:space="0" w:color="auto"/>
                              </w:divBdr>
                              <w:divsChild>
                                <w:div w:id="1940067563">
                                  <w:marLeft w:val="0"/>
                                  <w:marRight w:val="0"/>
                                  <w:marTop w:val="0"/>
                                  <w:marBottom w:val="0"/>
                                  <w:divBdr>
                                    <w:top w:val="none" w:sz="0" w:space="0" w:color="auto"/>
                                    <w:left w:val="none" w:sz="0" w:space="0" w:color="auto"/>
                                    <w:bottom w:val="none" w:sz="0" w:space="0" w:color="auto"/>
                                    <w:right w:val="none" w:sz="0" w:space="0" w:color="auto"/>
                                  </w:divBdr>
                                  <w:divsChild>
                                    <w:div w:id="661281428">
                                      <w:marLeft w:val="0"/>
                                      <w:marRight w:val="0"/>
                                      <w:marTop w:val="0"/>
                                      <w:marBottom w:val="0"/>
                                      <w:divBdr>
                                        <w:top w:val="none" w:sz="0" w:space="0" w:color="auto"/>
                                        <w:left w:val="none" w:sz="0" w:space="0" w:color="auto"/>
                                        <w:bottom w:val="none" w:sz="0" w:space="0" w:color="auto"/>
                                        <w:right w:val="none" w:sz="0" w:space="0" w:color="auto"/>
                                      </w:divBdr>
                                      <w:divsChild>
                                        <w:div w:id="950743954">
                                          <w:marLeft w:val="0"/>
                                          <w:marRight w:val="0"/>
                                          <w:marTop w:val="0"/>
                                          <w:marBottom w:val="0"/>
                                          <w:divBdr>
                                            <w:top w:val="none" w:sz="0" w:space="0" w:color="auto"/>
                                            <w:left w:val="none" w:sz="0" w:space="0" w:color="auto"/>
                                            <w:bottom w:val="none" w:sz="0" w:space="0" w:color="auto"/>
                                            <w:right w:val="none" w:sz="0" w:space="0" w:color="auto"/>
                                          </w:divBdr>
                                          <w:divsChild>
                                            <w:div w:id="3649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19525">
      <w:bodyDiv w:val="1"/>
      <w:marLeft w:val="0"/>
      <w:marRight w:val="0"/>
      <w:marTop w:val="0"/>
      <w:marBottom w:val="0"/>
      <w:divBdr>
        <w:top w:val="none" w:sz="0" w:space="0" w:color="auto"/>
        <w:left w:val="none" w:sz="0" w:space="0" w:color="auto"/>
        <w:bottom w:val="none" w:sz="0" w:space="0" w:color="auto"/>
        <w:right w:val="none" w:sz="0" w:space="0" w:color="auto"/>
      </w:divBdr>
    </w:div>
    <w:div w:id="160125341">
      <w:bodyDiv w:val="1"/>
      <w:marLeft w:val="0"/>
      <w:marRight w:val="0"/>
      <w:marTop w:val="0"/>
      <w:marBottom w:val="0"/>
      <w:divBdr>
        <w:top w:val="none" w:sz="0" w:space="0" w:color="auto"/>
        <w:left w:val="none" w:sz="0" w:space="0" w:color="auto"/>
        <w:bottom w:val="none" w:sz="0" w:space="0" w:color="auto"/>
        <w:right w:val="none" w:sz="0" w:space="0" w:color="auto"/>
      </w:divBdr>
    </w:div>
    <w:div w:id="236864963">
      <w:bodyDiv w:val="1"/>
      <w:marLeft w:val="0"/>
      <w:marRight w:val="0"/>
      <w:marTop w:val="0"/>
      <w:marBottom w:val="0"/>
      <w:divBdr>
        <w:top w:val="none" w:sz="0" w:space="0" w:color="auto"/>
        <w:left w:val="none" w:sz="0" w:space="0" w:color="auto"/>
        <w:bottom w:val="none" w:sz="0" w:space="0" w:color="auto"/>
        <w:right w:val="none" w:sz="0" w:space="0" w:color="auto"/>
      </w:divBdr>
    </w:div>
    <w:div w:id="253636240">
      <w:bodyDiv w:val="1"/>
      <w:marLeft w:val="0"/>
      <w:marRight w:val="0"/>
      <w:marTop w:val="0"/>
      <w:marBottom w:val="0"/>
      <w:divBdr>
        <w:top w:val="none" w:sz="0" w:space="0" w:color="auto"/>
        <w:left w:val="none" w:sz="0" w:space="0" w:color="auto"/>
        <w:bottom w:val="none" w:sz="0" w:space="0" w:color="auto"/>
        <w:right w:val="none" w:sz="0" w:space="0" w:color="auto"/>
      </w:divBdr>
    </w:div>
    <w:div w:id="338389415">
      <w:bodyDiv w:val="1"/>
      <w:marLeft w:val="0"/>
      <w:marRight w:val="0"/>
      <w:marTop w:val="0"/>
      <w:marBottom w:val="0"/>
      <w:divBdr>
        <w:top w:val="none" w:sz="0" w:space="0" w:color="auto"/>
        <w:left w:val="none" w:sz="0" w:space="0" w:color="auto"/>
        <w:bottom w:val="none" w:sz="0" w:space="0" w:color="auto"/>
        <w:right w:val="none" w:sz="0" w:space="0" w:color="auto"/>
      </w:divBdr>
    </w:div>
    <w:div w:id="378433994">
      <w:bodyDiv w:val="1"/>
      <w:marLeft w:val="0"/>
      <w:marRight w:val="0"/>
      <w:marTop w:val="0"/>
      <w:marBottom w:val="0"/>
      <w:divBdr>
        <w:top w:val="none" w:sz="0" w:space="0" w:color="auto"/>
        <w:left w:val="none" w:sz="0" w:space="0" w:color="auto"/>
        <w:bottom w:val="none" w:sz="0" w:space="0" w:color="auto"/>
        <w:right w:val="none" w:sz="0" w:space="0" w:color="auto"/>
      </w:divBdr>
    </w:div>
    <w:div w:id="417362241">
      <w:bodyDiv w:val="1"/>
      <w:marLeft w:val="0"/>
      <w:marRight w:val="0"/>
      <w:marTop w:val="0"/>
      <w:marBottom w:val="0"/>
      <w:divBdr>
        <w:top w:val="none" w:sz="0" w:space="0" w:color="auto"/>
        <w:left w:val="none" w:sz="0" w:space="0" w:color="auto"/>
        <w:bottom w:val="none" w:sz="0" w:space="0" w:color="auto"/>
        <w:right w:val="none" w:sz="0" w:space="0" w:color="auto"/>
      </w:divBdr>
    </w:div>
    <w:div w:id="491264547">
      <w:bodyDiv w:val="1"/>
      <w:marLeft w:val="0"/>
      <w:marRight w:val="0"/>
      <w:marTop w:val="0"/>
      <w:marBottom w:val="0"/>
      <w:divBdr>
        <w:top w:val="none" w:sz="0" w:space="0" w:color="auto"/>
        <w:left w:val="none" w:sz="0" w:space="0" w:color="auto"/>
        <w:bottom w:val="none" w:sz="0" w:space="0" w:color="auto"/>
        <w:right w:val="none" w:sz="0" w:space="0" w:color="auto"/>
      </w:divBdr>
    </w:div>
    <w:div w:id="507330808">
      <w:bodyDiv w:val="1"/>
      <w:marLeft w:val="0"/>
      <w:marRight w:val="0"/>
      <w:marTop w:val="0"/>
      <w:marBottom w:val="0"/>
      <w:divBdr>
        <w:top w:val="none" w:sz="0" w:space="0" w:color="auto"/>
        <w:left w:val="none" w:sz="0" w:space="0" w:color="auto"/>
        <w:bottom w:val="none" w:sz="0" w:space="0" w:color="auto"/>
        <w:right w:val="none" w:sz="0" w:space="0" w:color="auto"/>
      </w:divBdr>
    </w:div>
    <w:div w:id="529729195">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609582958">
      <w:bodyDiv w:val="1"/>
      <w:marLeft w:val="0"/>
      <w:marRight w:val="0"/>
      <w:marTop w:val="0"/>
      <w:marBottom w:val="0"/>
      <w:divBdr>
        <w:top w:val="none" w:sz="0" w:space="0" w:color="auto"/>
        <w:left w:val="none" w:sz="0" w:space="0" w:color="auto"/>
        <w:bottom w:val="none" w:sz="0" w:space="0" w:color="auto"/>
        <w:right w:val="none" w:sz="0" w:space="0" w:color="auto"/>
      </w:divBdr>
    </w:div>
    <w:div w:id="627467118">
      <w:bodyDiv w:val="1"/>
      <w:marLeft w:val="0"/>
      <w:marRight w:val="0"/>
      <w:marTop w:val="0"/>
      <w:marBottom w:val="0"/>
      <w:divBdr>
        <w:top w:val="none" w:sz="0" w:space="0" w:color="auto"/>
        <w:left w:val="none" w:sz="0" w:space="0" w:color="auto"/>
        <w:bottom w:val="none" w:sz="0" w:space="0" w:color="auto"/>
        <w:right w:val="none" w:sz="0" w:space="0" w:color="auto"/>
      </w:divBdr>
    </w:div>
    <w:div w:id="656959420">
      <w:bodyDiv w:val="1"/>
      <w:marLeft w:val="0"/>
      <w:marRight w:val="0"/>
      <w:marTop w:val="0"/>
      <w:marBottom w:val="0"/>
      <w:divBdr>
        <w:top w:val="none" w:sz="0" w:space="0" w:color="auto"/>
        <w:left w:val="none" w:sz="0" w:space="0" w:color="auto"/>
        <w:bottom w:val="none" w:sz="0" w:space="0" w:color="auto"/>
        <w:right w:val="none" w:sz="0" w:space="0" w:color="auto"/>
      </w:divBdr>
    </w:div>
    <w:div w:id="674694237">
      <w:bodyDiv w:val="1"/>
      <w:marLeft w:val="0"/>
      <w:marRight w:val="0"/>
      <w:marTop w:val="0"/>
      <w:marBottom w:val="0"/>
      <w:divBdr>
        <w:top w:val="none" w:sz="0" w:space="0" w:color="auto"/>
        <w:left w:val="none" w:sz="0" w:space="0" w:color="auto"/>
        <w:bottom w:val="none" w:sz="0" w:space="0" w:color="auto"/>
        <w:right w:val="none" w:sz="0" w:space="0" w:color="auto"/>
      </w:divBdr>
      <w:divsChild>
        <w:div w:id="41253068">
          <w:marLeft w:val="1800"/>
          <w:marRight w:val="0"/>
          <w:marTop w:val="0"/>
          <w:marBottom w:val="120"/>
          <w:divBdr>
            <w:top w:val="none" w:sz="0" w:space="0" w:color="auto"/>
            <w:left w:val="none" w:sz="0" w:space="0" w:color="auto"/>
            <w:bottom w:val="none" w:sz="0" w:space="0" w:color="auto"/>
            <w:right w:val="none" w:sz="0" w:space="0" w:color="auto"/>
          </w:divBdr>
        </w:div>
        <w:div w:id="146676252">
          <w:marLeft w:val="1166"/>
          <w:marRight w:val="0"/>
          <w:marTop w:val="0"/>
          <w:marBottom w:val="120"/>
          <w:divBdr>
            <w:top w:val="none" w:sz="0" w:space="0" w:color="auto"/>
            <w:left w:val="none" w:sz="0" w:space="0" w:color="auto"/>
            <w:bottom w:val="none" w:sz="0" w:space="0" w:color="auto"/>
            <w:right w:val="none" w:sz="0" w:space="0" w:color="auto"/>
          </w:divBdr>
        </w:div>
        <w:div w:id="397482205">
          <w:marLeft w:val="1166"/>
          <w:marRight w:val="0"/>
          <w:marTop w:val="0"/>
          <w:marBottom w:val="120"/>
          <w:divBdr>
            <w:top w:val="none" w:sz="0" w:space="0" w:color="auto"/>
            <w:left w:val="none" w:sz="0" w:space="0" w:color="auto"/>
            <w:bottom w:val="none" w:sz="0" w:space="0" w:color="auto"/>
            <w:right w:val="none" w:sz="0" w:space="0" w:color="auto"/>
          </w:divBdr>
        </w:div>
        <w:div w:id="525753926">
          <w:marLeft w:val="1166"/>
          <w:marRight w:val="0"/>
          <w:marTop w:val="0"/>
          <w:marBottom w:val="120"/>
          <w:divBdr>
            <w:top w:val="none" w:sz="0" w:space="0" w:color="auto"/>
            <w:left w:val="none" w:sz="0" w:space="0" w:color="auto"/>
            <w:bottom w:val="none" w:sz="0" w:space="0" w:color="auto"/>
            <w:right w:val="none" w:sz="0" w:space="0" w:color="auto"/>
          </w:divBdr>
        </w:div>
        <w:div w:id="572740321">
          <w:marLeft w:val="547"/>
          <w:marRight w:val="0"/>
          <w:marTop w:val="0"/>
          <w:marBottom w:val="120"/>
          <w:divBdr>
            <w:top w:val="none" w:sz="0" w:space="0" w:color="auto"/>
            <w:left w:val="none" w:sz="0" w:space="0" w:color="auto"/>
            <w:bottom w:val="none" w:sz="0" w:space="0" w:color="auto"/>
            <w:right w:val="none" w:sz="0" w:space="0" w:color="auto"/>
          </w:divBdr>
        </w:div>
        <w:div w:id="941373021">
          <w:marLeft w:val="1166"/>
          <w:marRight w:val="0"/>
          <w:marTop w:val="0"/>
          <w:marBottom w:val="120"/>
          <w:divBdr>
            <w:top w:val="none" w:sz="0" w:space="0" w:color="auto"/>
            <w:left w:val="none" w:sz="0" w:space="0" w:color="auto"/>
            <w:bottom w:val="none" w:sz="0" w:space="0" w:color="auto"/>
            <w:right w:val="none" w:sz="0" w:space="0" w:color="auto"/>
          </w:divBdr>
        </w:div>
        <w:div w:id="1099983632">
          <w:marLeft w:val="547"/>
          <w:marRight w:val="0"/>
          <w:marTop w:val="0"/>
          <w:marBottom w:val="120"/>
          <w:divBdr>
            <w:top w:val="none" w:sz="0" w:space="0" w:color="auto"/>
            <w:left w:val="none" w:sz="0" w:space="0" w:color="auto"/>
            <w:bottom w:val="none" w:sz="0" w:space="0" w:color="auto"/>
            <w:right w:val="none" w:sz="0" w:space="0" w:color="auto"/>
          </w:divBdr>
        </w:div>
        <w:div w:id="1146361149">
          <w:marLeft w:val="1166"/>
          <w:marRight w:val="0"/>
          <w:marTop w:val="0"/>
          <w:marBottom w:val="120"/>
          <w:divBdr>
            <w:top w:val="none" w:sz="0" w:space="0" w:color="auto"/>
            <w:left w:val="none" w:sz="0" w:space="0" w:color="auto"/>
            <w:bottom w:val="none" w:sz="0" w:space="0" w:color="auto"/>
            <w:right w:val="none" w:sz="0" w:space="0" w:color="auto"/>
          </w:divBdr>
        </w:div>
        <w:div w:id="1166672436">
          <w:marLeft w:val="1166"/>
          <w:marRight w:val="0"/>
          <w:marTop w:val="0"/>
          <w:marBottom w:val="120"/>
          <w:divBdr>
            <w:top w:val="none" w:sz="0" w:space="0" w:color="auto"/>
            <w:left w:val="none" w:sz="0" w:space="0" w:color="auto"/>
            <w:bottom w:val="none" w:sz="0" w:space="0" w:color="auto"/>
            <w:right w:val="none" w:sz="0" w:space="0" w:color="auto"/>
          </w:divBdr>
        </w:div>
        <w:div w:id="1231958546">
          <w:marLeft w:val="1166"/>
          <w:marRight w:val="0"/>
          <w:marTop w:val="0"/>
          <w:marBottom w:val="120"/>
          <w:divBdr>
            <w:top w:val="none" w:sz="0" w:space="0" w:color="auto"/>
            <w:left w:val="none" w:sz="0" w:space="0" w:color="auto"/>
            <w:bottom w:val="none" w:sz="0" w:space="0" w:color="auto"/>
            <w:right w:val="none" w:sz="0" w:space="0" w:color="auto"/>
          </w:divBdr>
        </w:div>
        <w:div w:id="1252661926">
          <w:marLeft w:val="1800"/>
          <w:marRight w:val="0"/>
          <w:marTop w:val="0"/>
          <w:marBottom w:val="120"/>
          <w:divBdr>
            <w:top w:val="none" w:sz="0" w:space="0" w:color="auto"/>
            <w:left w:val="none" w:sz="0" w:space="0" w:color="auto"/>
            <w:bottom w:val="none" w:sz="0" w:space="0" w:color="auto"/>
            <w:right w:val="none" w:sz="0" w:space="0" w:color="auto"/>
          </w:divBdr>
        </w:div>
        <w:div w:id="1447311527">
          <w:marLeft w:val="547"/>
          <w:marRight w:val="0"/>
          <w:marTop w:val="0"/>
          <w:marBottom w:val="120"/>
          <w:divBdr>
            <w:top w:val="none" w:sz="0" w:space="0" w:color="auto"/>
            <w:left w:val="none" w:sz="0" w:space="0" w:color="auto"/>
            <w:bottom w:val="none" w:sz="0" w:space="0" w:color="auto"/>
            <w:right w:val="none" w:sz="0" w:space="0" w:color="auto"/>
          </w:divBdr>
        </w:div>
        <w:div w:id="1831483117">
          <w:marLeft w:val="1166"/>
          <w:marRight w:val="0"/>
          <w:marTop w:val="0"/>
          <w:marBottom w:val="120"/>
          <w:divBdr>
            <w:top w:val="none" w:sz="0" w:space="0" w:color="auto"/>
            <w:left w:val="none" w:sz="0" w:space="0" w:color="auto"/>
            <w:bottom w:val="none" w:sz="0" w:space="0" w:color="auto"/>
            <w:right w:val="none" w:sz="0" w:space="0" w:color="auto"/>
          </w:divBdr>
        </w:div>
        <w:div w:id="1835100667">
          <w:marLeft w:val="1166"/>
          <w:marRight w:val="0"/>
          <w:marTop w:val="0"/>
          <w:marBottom w:val="120"/>
          <w:divBdr>
            <w:top w:val="none" w:sz="0" w:space="0" w:color="auto"/>
            <w:left w:val="none" w:sz="0" w:space="0" w:color="auto"/>
            <w:bottom w:val="none" w:sz="0" w:space="0" w:color="auto"/>
            <w:right w:val="none" w:sz="0" w:space="0" w:color="auto"/>
          </w:divBdr>
        </w:div>
        <w:div w:id="2036493425">
          <w:marLeft w:val="547"/>
          <w:marRight w:val="0"/>
          <w:marTop w:val="0"/>
          <w:marBottom w:val="120"/>
          <w:divBdr>
            <w:top w:val="none" w:sz="0" w:space="0" w:color="auto"/>
            <w:left w:val="none" w:sz="0" w:space="0" w:color="auto"/>
            <w:bottom w:val="none" w:sz="0" w:space="0" w:color="auto"/>
            <w:right w:val="none" w:sz="0" w:space="0" w:color="auto"/>
          </w:divBdr>
        </w:div>
      </w:divsChild>
    </w:div>
    <w:div w:id="728764748">
      <w:bodyDiv w:val="1"/>
      <w:marLeft w:val="0"/>
      <w:marRight w:val="0"/>
      <w:marTop w:val="0"/>
      <w:marBottom w:val="0"/>
      <w:divBdr>
        <w:top w:val="none" w:sz="0" w:space="0" w:color="auto"/>
        <w:left w:val="none" w:sz="0" w:space="0" w:color="auto"/>
        <w:bottom w:val="none" w:sz="0" w:space="0" w:color="auto"/>
        <w:right w:val="none" w:sz="0" w:space="0" w:color="auto"/>
      </w:divBdr>
      <w:divsChild>
        <w:div w:id="77168133">
          <w:marLeft w:val="1166"/>
          <w:marRight w:val="0"/>
          <w:marTop w:val="0"/>
          <w:marBottom w:val="0"/>
          <w:divBdr>
            <w:top w:val="none" w:sz="0" w:space="0" w:color="auto"/>
            <w:left w:val="none" w:sz="0" w:space="0" w:color="auto"/>
            <w:bottom w:val="none" w:sz="0" w:space="0" w:color="auto"/>
            <w:right w:val="none" w:sz="0" w:space="0" w:color="auto"/>
          </w:divBdr>
        </w:div>
        <w:div w:id="132987097">
          <w:marLeft w:val="994"/>
          <w:marRight w:val="0"/>
          <w:marTop w:val="0"/>
          <w:marBottom w:val="0"/>
          <w:divBdr>
            <w:top w:val="none" w:sz="0" w:space="0" w:color="auto"/>
            <w:left w:val="none" w:sz="0" w:space="0" w:color="auto"/>
            <w:bottom w:val="none" w:sz="0" w:space="0" w:color="auto"/>
            <w:right w:val="none" w:sz="0" w:space="0" w:color="auto"/>
          </w:divBdr>
        </w:div>
        <w:div w:id="245767620">
          <w:marLeft w:val="446"/>
          <w:marRight w:val="0"/>
          <w:marTop w:val="0"/>
          <w:marBottom w:val="0"/>
          <w:divBdr>
            <w:top w:val="none" w:sz="0" w:space="0" w:color="auto"/>
            <w:left w:val="none" w:sz="0" w:space="0" w:color="auto"/>
            <w:bottom w:val="none" w:sz="0" w:space="0" w:color="auto"/>
            <w:right w:val="none" w:sz="0" w:space="0" w:color="auto"/>
          </w:divBdr>
        </w:div>
        <w:div w:id="328557162">
          <w:marLeft w:val="1166"/>
          <w:marRight w:val="0"/>
          <w:marTop w:val="0"/>
          <w:marBottom w:val="0"/>
          <w:divBdr>
            <w:top w:val="none" w:sz="0" w:space="0" w:color="auto"/>
            <w:left w:val="none" w:sz="0" w:space="0" w:color="auto"/>
            <w:bottom w:val="none" w:sz="0" w:space="0" w:color="auto"/>
            <w:right w:val="none" w:sz="0" w:space="0" w:color="auto"/>
          </w:divBdr>
        </w:div>
        <w:div w:id="426270424">
          <w:marLeft w:val="994"/>
          <w:marRight w:val="0"/>
          <w:marTop w:val="0"/>
          <w:marBottom w:val="0"/>
          <w:divBdr>
            <w:top w:val="none" w:sz="0" w:space="0" w:color="auto"/>
            <w:left w:val="none" w:sz="0" w:space="0" w:color="auto"/>
            <w:bottom w:val="none" w:sz="0" w:space="0" w:color="auto"/>
            <w:right w:val="none" w:sz="0" w:space="0" w:color="auto"/>
          </w:divBdr>
        </w:div>
        <w:div w:id="431704301">
          <w:marLeft w:val="446"/>
          <w:marRight w:val="0"/>
          <w:marTop w:val="120"/>
          <w:marBottom w:val="120"/>
          <w:divBdr>
            <w:top w:val="none" w:sz="0" w:space="0" w:color="auto"/>
            <w:left w:val="none" w:sz="0" w:space="0" w:color="auto"/>
            <w:bottom w:val="none" w:sz="0" w:space="0" w:color="auto"/>
            <w:right w:val="none" w:sz="0" w:space="0" w:color="auto"/>
          </w:divBdr>
        </w:div>
        <w:div w:id="456488214">
          <w:marLeft w:val="1166"/>
          <w:marRight w:val="0"/>
          <w:marTop w:val="0"/>
          <w:marBottom w:val="0"/>
          <w:divBdr>
            <w:top w:val="none" w:sz="0" w:space="0" w:color="auto"/>
            <w:left w:val="none" w:sz="0" w:space="0" w:color="auto"/>
            <w:bottom w:val="none" w:sz="0" w:space="0" w:color="auto"/>
            <w:right w:val="none" w:sz="0" w:space="0" w:color="auto"/>
          </w:divBdr>
        </w:div>
        <w:div w:id="629894626">
          <w:marLeft w:val="1166"/>
          <w:marRight w:val="0"/>
          <w:marTop w:val="0"/>
          <w:marBottom w:val="0"/>
          <w:divBdr>
            <w:top w:val="none" w:sz="0" w:space="0" w:color="auto"/>
            <w:left w:val="none" w:sz="0" w:space="0" w:color="auto"/>
            <w:bottom w:val="none" w:sz="0" w:space="0" w:color="auto"/>
            <w:right w:val="none" w:sz="0" w:space="0" w:color="auto"/>
          </w:divBdr>
        </w:div>
        <w:div w:id="924722717">
          <w:marLeft w:val="1166"/>
          <w:marRight w:val="0"/>
          <w:marTop w:val="0"/>
          <w:marBottom w:val="0"/>
          <w:divBdr>
            <w:top w:val="none" w:sz="0" w:space="0" w:color="auto"/>
            <w:left w:val="none" w:sz="0" w:space="0" w:color="auto"/>
            <w:bottom w:val="none" w:sz="0" w:space="0" w:color="auto"/>
            <w:right w:val="none" w:sz="0" w:space="0" w:color="auto"/>
          </w:divBdr>
        </w:div>
        <w:div w:id="1200508769">
          <w:marLeft w:val="1166"/>
          <w:marRight w:val="0"/>
          <w:marTop w:val="0"/>
          <w:marBottom w:val="0"/>
          <w:divBdr>
            <w:top w:val="none" w:sz="0" w:space="0" w:color="auto"/>
            <w:left w:val="none" w:sz="0" w:space="0" w:color="auto"/>
            <w:bottom w:val="none" w:sz="0" w:space="0" w:color="auto"/>
            <w:right w:val="none" w:sz="0" w:space="0" w:color="auto"/>
          </w:divBdr>
        </w:div>
        <w:div w:id="1236238073">
          <w:marLeft w:val="994"/>
          <w:marRight w:val="0"/>
          <w:marTop w:val="0"/>
          <w:marBottom w:val="0"/>
          <w:divBdr>
            <w:top w:val="none" w:sz="0" w:space="0" w:color="auto"/>
            <w:left w:val="none" w:sz="0" w:space="0" w:color="auto"/>
            <w:bottom w:val="none" w:sz="0" w:space="0" w:color="auto"/>
            <w:right w:val="none" w:sz="0" w:space="0" w:color="auto"/>
          </w:divBdr>
        </w:div>
        <w:div w:id="1309939004">
          <w:marLeft w:val="1166"/>
          <w:marRight w:val="0"/>
          <w:marTop w:val="0"/>
          <w:marBottom w:val="0"/>
          <w:divBdr>
            <w:top w:val="none" w:sz="0" w:space="0" w:color="auto"/>
            <w:left w:val="none" w:sz="0" w:space="0" w:color="auto"/>
            <w:bottom w:val="none" w:sz="0" w:space="0" w:color="auto"/>
            <w:right w:val="none" w:sz="0" w:space="0" w:color="auto"/>
          </w:divBdr>
        </w:div>
        <w:div w:id="1316880871">
          <w:marLeft w:val="1166"/>
          <w:marRight w:val="0"/>
          <w:marTop w:val="0"/>
          <w:marBottom w:val="0"/>
          <w:divBdr>
            <w:top w:val="none" w:sz="0" w:space="0" w:color="auto"/>
            <w:left w:val="none" w:sz="0" w:space="0" w:color="auto"/>
            <w:bottom w:val="none" w:sz="0" w:space="0" w:color="auto"/>
            <w:right w:val="none" w:sz="0" w:space="0" w:color="auto"/>
          </w:divBdr>
        </w:div>
        <w:div w:id="1455711994">
          <w:marLeft w:val="1166"/>
          <w:marRight w:val="0"/>
          <w:marTop w:val="0"/>
          <w:marBottom w:val="0"/>
          <w:divBdr>
            <w:top w:val="none" w:sz="0" w:space="0" w:color="auto"/>
            <w:left w:val="none" w:sz="0" w:space="0" w:color="auto"/>
            <w:bottom w:val="none" w:sz="0" w:space="0" w:color="auto"/>
            <w:right w:val="none" w:sz="0" w:space="0" w:color="auto"/>
          </w:divBdr>
        </w:div>
        <w:div w:id="1488088143">
          <w:marLeft w:val="446"/>
          <w:marRight w:val="0"/>
          <w:marTop w:val="120"/>
          <w:marBottom w:val="120"/>
          <w:divBdr>
            <w:top w:val="none" w:sz="0" w:space="0" w:color="auto"/>
            <w:left w:val="none" w:sz="0" w:space="0" w:color="auto"/>
            <w:bottom w:val="none" w:sz="0" w:space="0" w:color="auto"/>
            <w:right w:val="none" w:sz="0" w:space="0" w:color="auto"/>
          </w:divBdr>
        </w:div>
        <w:div w:id="1792168176">
          <w:marLeft w:val="1166"/>
          <w:marRight w:val="0"/>
          <w:marTop w:val="0"/>
          <w:marBottom w:val="0"/>
          <w:divBdr>
            <w:top w:val="none" w:sz="0" w:space="0" w:color="auto"/>
            <w:left w:val="none" w:sz="0" w:space="0" w:color="auto"/>
            <w:bottom w:val="none" w:sz="0" w:space="0" w:color="auto"/>
            <w:right w:val="none" w:sz="0" w:space="0" w:color="auto"/>
          </w:divBdr>
        </w:div>
        <w:div w:id="1850876371">
          <w:marLeft w:val="994"/>
          <w:marRight w:val="0"/>
          <w:marTop w:val="0"/>
          <w:marBottom w:val="0"/>
          <w:divBdr>
            <w:top w:val="none" w:sz="0" w:space="0" w:color="auto"/>
            <w:left w:val="none" w:sz="0" w:space="0" w:color="auto"/>
            <w:bottom w:val="none" w:sz="0" w:space="0" w:color="auto"/>
            <w:right w:val="none" w:sz="0" w:space="0" w:color="auto"/>
          </w:divBdr>
        </w:div>
        <w:div w:id="1987583918">
          <w:marLeft w:val="1166"/>
          <w:marRight w:val="0"/>
          <w:marTop w:val="0"/>
          <w:marBottom w:val="0"/>
          <w:divBdr>
            <w:top w:val="none" w:sz="0" w:space="0" w:color="auto"/>
            <w:left w:val="none" w:sz="0" w:space="0" w:color="auto"/>
            <w:bottom w:val="none" w:sz="0" w:space="0" w:color="auto"/>
            <w:right w:val="none" w:sz="0" w:space="0" w:color="auto"/>
          </w:divBdr>
        </w:div>
        <w:div w:id="2045598637">
          <w:marLeft w:val="994"/>
          <w:marRight w:val="0"/>
          <w:marTop w:val="0"/>
          <w:marBottom w:val="0"/>
          <w:divBdr>
            <w:top w:val="none" w:sz="0" w:space="0" w:color="auto"/>
            <w:left w:val="none" w:sz="0" w:space="0" w:color="auto"/>
            <w:bottom w:val="none" w:sz="0" w:space="0" w:color="auto"/>
            <w:right w:val="none" w:sz="0" w:space="0" w:color="auto"/>
          </w:divBdr>
        </w:div>
      </w:divsChild>
    </w:div>
    <w:div w:id="759716064">
      <w:bodyDiv w:val="1"/>
      <w:marLeft w:val="0"/>
      <w:marRight w:val="0"/>
      <w:marTop w:val="0"/>
      <w:marBottom w:val="0"/>
      <w:divBdr>
        <w:top w:val="none" w:sz="0" w:space="0" w:color="auto"/>
        <w:left w:val="none" w:sz="0" w:space="0" w:color="auto"/>
        <w:bottom w:val="none" w:sz="0" w:space="0" w:color="auto"/>
        <w:right w:val="none" w:sz="0" w:space="0" w:color="auto"/>
      </w:divBdr>
    </w:div>
    <w:div w:id="782962159">
      <w:bodyDiv w:val="1"/>
      <w:marLeft w:val="0"/>
      <w:marRight w:val="0"/>
      <w:marTop w:val="0"/>
      <w:marBottom w:val="0"/>
      <w:divBdr>
        <w:top w:val="none" w:sz="0" w:space="0" w:color="auto"/>
        <w:left w:val="none" w:sz="0" w:space="0" w:color="auto"/>
        <w:bottom w:val="none" w:sz="0" w:space="0" w:color="auto"/>
        <w:right w:val="none" w:sz="0" w:space="0" w:color="auto"/>
      </w:divBdr>
    </w:div>
    <w:div w:id="790364162">
      <w:bodyDiv w:val="1"/>
      <w:marLeft w:val="0"/>
      <w:marRight w:val="0"/>
      <w:marTop w:val="0"/>
      <w:marBottom w:val="0"/>
      <w:divBdr>
        <w:top w:val="none" w:sz="0" w:space="0" w:color="auto"/>
        <w:left w:val="none" w:sz="0" w:space="0" w:color="auto"/>
        <w:bottom w:val="none" w:sz="0" w:space="0" w:color="auto"/>
        <w:right w:val="none" w:sz="0" w:space="0" w:color="auto"/>
      </w:divBdr>
    </w:div>
    <w:div w:id="809438356">
      <w:bodyDiv w:val="1"/>
      <w:marLeft w:val="0"/>
      <w:marRight w:val="0"/>
      <w:marTop w:val="0"/>
      <w:marBottom w:val="0"/>
      <w:divBdr>
        <w:top w:val="none" w:sz="0" w:space="0" w:color="auto"/>
        <w:left w:val="none" w:sz="0" w:space="0" w:color="auto"/>
        <w:bottom w:val="none" w:sz="0" w:space="0" w:color="auto"/>
        <w:right w:val="none" w:sz="0" w:space="0" w:color="auto"/>
      </w:divBdr>
    </w:div>
    <w:div w:id="818689793">
      <w:bodyDiv w:val="1"/>
      <w:marLeft w:val="0"/>
      <w:marRight w:val="0"/>
      <w:marTop w:val="0"/>
      <w:marBottom w:val="0"/>
      <w:divBdr>
        <w:top w:val="none" w:sz="0" w:space="0" w:color="auto"/>
        <w:left w:val="none" w:sz="0" w:space="0" w:color="auto"/>
        <w:bottom w:val="none" w:sz="0" w:space="0" w:color="auto"/>
        <w:right w:val="none" w:sz="0" w:space="0" w:color="auto"/>
      </w:divBdr>
    </w:div>
    <w:div w:id="839009077">
      <w:bodyDiv w:val="1"/>
      <w:marLeft w:val="0"/>
      <w:marRight w:val="0"/>
      <w:marTop w:val="0"/>
      <w:marBottom w:val="0"/>
      <w:divBdr>
        <w:top w:val="none" w:sz="0" w:space="0" w:color="auto"/>
        <w:left w:val="none" w:sz="0" w:space="0" w:color="auto"/>
        <w:bottom w:val="none" w:sz="0" w:space="0" w:color="auto"/>
        <w:right w:val="none" w:sz="0" w:space="0" w:color="auto"/>
      </w:divBdr>
    </w:div>
    <w:div w:id="881556638">
      <w:bodyDiv w:val="1"/>
      <w:marLeft w:val="0"/>
      <w:marRight w:val="0"/>
      <w:marTop w:val="0"/>
      <w:marBottom w:val="0"/>
      <w:divBdr>
        <w:top w:val="none" w:sz="0" w:space="0" w:color="auto"/>
        <w:left w:val="none" w:sz="0" w:space="0" w:color="auto"/>
        <w:bottom w:val="none" w:sz="0" w:space="0" w:color="auto"/>
        <w:right w:val="none" w:sz="0" w:space="0" w:color="auto"/>
      </w:divBdr>
    </w:div>
    <w:div w:id="909343251">
      <w:bodyDiv w:val="1"/>
      <w:marLeft w:val="0"/>
      <w:marRight w:val="0"/>
      <w:marTop w:val="0"/>
      <w:marBottom w:val="0"/>
      <w:divBdr>
        <w:top w:val="none" w:sz="0" w:space="0" w:color="auto"/>
        <w:left w:val="none" w:sz="0" w:space="0" w:color="auto"/>
        <w:bottom w:val="none" w:sz="0" w:space="0" w:color="auto"/>
        <w:right w:val="none" w:sz="0" w:space="0" w:color="auto"/>
      </w:divBdr>
    </w:div>
    <w:div w:id="943002240">
      <w:bodyDiv w:val="1"/>
      <w:marLeft w:val="0"/>
      <w:marRight w:val="0"/>
      <w:marTop w:val="0"/>
      <w:marBottom w:val="0"/>
      <w:divBdr>
        <w:top w:val="none" w:sz="0" w:space="0" w:color="auto"/>
        <w:left w:val="none" w:sz="0" w:space="0" w:color="auto"/>
        <w:bottom w:val="none" w:sz="0" w:space="0" w:color="auto"/>
        <w:right w:val="none" w:sz="0" w:space="0" w:color="auto"/>
      </w:divBdr>
    </w:div>
    <w:div w:id="957178690">
      <w:bodyDiv w:val="1"/>
      <w:marLeft w:val="0"/>
      <w:marRight w:val="0"/>
      <w:marTop w:val="0"/>
      <w:marBottom w:val="0"/>
      <w:divBdr>
        <w:top w:val="none" w:sz="0" w:space="0" w:color="auto"/>
        <w:left w:val="none" w:sz="0" w:space="0" w:color="auto"/>
        <w:bottom w:val="none" w:sz="0" w:space="0" w:color="auto"/>
        <w:right w:val="none" w:sz="0" w:space="0" w:color="auto"/>
      </w:divBdr>
    </w:div>
    <w:div w:id="1090665735">
      <w:bodyDiv w:val="1"/>
      <w:marLeft w:val="0"/>
      <w:marRight w:val="0"/>
      <w:marTop w:val="0"/>
      <w:marBottom w:val="0"/>
      <w:divBdr>
        <w:top w:val="none" w:sz="0" w:space="0" w:color="auto"/>
        <w:left w:val="none" w:sz="0" w:space="0" w:color="auto"/>
        <w:bottom w:val="none" w:sz="0" w:space="0" w:color="auto"/>
        <w:right w:val="none" w:sz="0" w:space="0" w:color="auto"/>
      </w:divBdr>
      <w:divsChild>
        <w:div w:id="235746157">
          <w:marLeft w:val="1166"/>
          <w:marRight w:val="0"/>
          <w:marTop w:val="120"/>
          <w:marBottom w:val="120"/>
          <w:divBdr>
            <w:top w:val="none" w:sz="0" w:space="0" w:color="auto"/>
            <w:left w:val="none" w:sz="0" w:space="0" w:color="auto"/>
            <w:bottom w:val="none" w:sz="0" w:space="0" w:color="auto"/>
            <w:right w:val="none" w:sz="0" w:space="0" w:color="auto"/>
          </w:divBdr>
        </w:div>
        <w:div w:id="446318989">
          <w:marLeft w:val="1166"/>
          <w:marRight w:val="0"/>
          <w:marTop w:val="120"/>
          <w:marBottom w:val="120"/>
          <w:divBdr>
            <w:top w:val="none" w:sz="0" w:space="0" w:color="auto"/>
            <w:left w:val="none" w:sz="0" w:space="0" w:color="auto"/>
            <w:bottom w:val="none" w:sz="0" w:space="0" w:color="auto"/>
            <w:right w:val="none" w:sz="0" w:space="0" w:color="auto"/>
          </w:divBdr>
        </w:div>
        <w:div w:id="644243133">
          <w:marLeft w:val="1166"/>
          <w:marRight w:val="0"/>
          <w:marTop w:val="120"/>
          <w:marBottom w:val="120"/>
          <w:divBdr>
            <w:top w:val="none" w:sz="0" w:space="0" w:color="auto"/>
            <w:left w:val="none" w:sz="0" w:space="0" w:color="auto"/>
            <w:bottom w:val="none" w:sz="0" w:space="0" w:color="auto"/>
            <w:right w:val="none" w:sz="0" w:space="0" w:color="auto"/>
          </w:divBdr>
        </w:div>
        <w:div w:id="904923286">
          <w:marLeft w:val="446"/>
          <w:marRight w:val="0"/>
          <w:marTop w:val="120"/>
          <w:marBottom w:val="120"/>
          <w:divBdr>
            <w:top w:val="none" w:sz="0" w:space="0" w:color="auto"/>
            <w:left w:val="none" w:sz="0" w:space="0" w:color="auto"/>
            <w:bottom w:val="none" w:sz="0" w:space="0" w:color="auto"/>
            <w:right w:val="none" w:sz="0" w:space="0" w:color="auto"/>
          </w:divBdr>
        </w:div>
        <w:div w:id="1323893087">
          <w:marLeft w:val="1166"/>
          <w:marRight w:val="0"/>
          <w:marTop w:val="120"/>
          <w:marBottom w:val="120"/>
          <w:divBdr>
            <w:top w:val="none" w:sz="0" w:space="0" w:color="auto"/>
            <w:left w:val="none" w:sz="0" w:space="0" w:color="auto"/>
            <w:bottom w:val="none" w:sz="0" w:space="0" w:color="auto"/>
            <w:right w:val="none" w:sz="0" w:space="0" w:color="auto"/>
          </w:divBdr>
        </w:div>
        <w:div w:id="1569224153">
          <w:marLeft w:val="1886"/>
          <w:marRight w:val="0"/>
          <w:marTop w:val="120"/>
          <w:marBottom w:val="120"/>
          <w:divBdr>
            <w:top w:val="none" w:sz="0" w:space="0" w:color="auto"/>
            <w:left w:val="none" w:sz="0" w:space="0" w:color="auto"/>
            <w:bottom w:val="none" w:sz="0" w:space="0" w:color="auto"/>
            <w:right w:val="none" w:sz="0" w:space="0" w:color="auto"/>
          </w:divBdr>
        </w:div>
        <w:div w:id="1903636164">
          <w:marLeft w:val="446"/>
          <w:marRight w:val="0"/>
          <w:marTop w:val="120"/>
          <w:marBottom w:val="120"/>
          <w:divBdr>
            <w:top w:val="none" w:sz="0" w:space="0" w:color="auto"/>
            <w:left w:val="none" w:sz="0" w:space="0" w:color="auto"/>
            <w:bottom w:val="none" w:sz="0" w:space="0" w:color="auto"/>
            <w:right w:val="none" w:sz="0" w:space="0" w:color="auto"/>
          </w:divBdr>
        </w:div>
      </w:divsChild>
    </w:div>
    <w:div w:id="1117598680">
      <w:bodyDiv w:val="1"/>
      <w:marLeft w:val="0"/>
      <w:marRight w:val="0"/>
      <w:marTop w:val="0"/>
      <w:marBottom w:val="0"/>
      <w:divBdr>
        <w:top w:val="none" w:sz="0" w:space="0" w:color="auto"/>
        <w:left w:val="none" w:sz="0" w:space="0" w:color="auto"/>
        <w:bottom w:val="none" w:sz="0" w:space="0" w:color="auto"/>
        <w:right w:val="none" w:sz="0" w:space="0" w:color="auto"/>
      </w:divBdr>
    </w:div>
    <w:div w:id="1228611659">
      <w:bodyDiv w:val="1"/>
      <w:marLeft w:val="0"/>
      <w:marRight w:val="0"/>
      <w:marTop w:val="0"/>
      <w:marBottom w:val="0"/>
      <w:divBdr>
        <w:top w:val="none" w:sz="0" w:space="0" w:color="auto"/>
        <w:left w:val="none" w:sz="0" w:space="0" w:color="auto"/>
        <w:bottom w:val="none" w:sz="0" w:space="0" w:color="auto"/>
        <w:right w:val="none" w:sz="0" w:space="0" w:color="auto"/>
      </w:divBdr>
    </w:div>
    <w:div w:id="1274939057">
      <w:bodyDiv w:val="1"/>
      <w:marLeft w:val="0"/>
      <w:marRight w:val="0"/>
      <w:marTop w:val="0"/>
      <w:marBottom w:val="0"/>
      <w:divBdr>
        <w:top w:val="none" w:sz="0" w:space="0" w:color="auto"/>
        <w:left w:val="none" w:sz="0" w:space="0" w:color="auto"/>
        <w:bottom w:val="none" w:sz="0" w:space="0" w:color="auto"/>
        <w:right w:val="none" w:sz="0" w:space="0" w:color="auto"/>
      </w:divBdr>
    </w:div>
    <w:div w:id="1299064976">
      <w:bodyDiv w:val="1"/>
      <w:marLeft w:val="0"/>
      <w:marRight w:val="0"/>
      <w:marTop w:val="0"/>
      <w:marBottom w:val="0"/>
      <w:divBdr>
        <w:top w:val="none" w:sz="0" w:space="0" w:color="auto"/>
        <w:left w:val="none" w:sz="0" w:space="0" w:color="auto"/>
        <w:bottom w:val="none" w:sz="0" w:space="0" w:color="auto"/>
        <w:right w:val="none" w:sz="0" w:space="0" w:color="auto"/>
      </w:divBdr>
    </w:div>
    <w:div w:id="1336496788">
      <w:bodyDiv w:val="1"/>
      <w:marLeft w:val="0"/>
      <w:marRight w:val="0"/>
      <w:marTop w:val="0"/>
      <w:marBottom w:val="0"/>
      <w:divBdr>
        <w:top w:val="none" w:sz="0" w:space="0" w:color="auto"/>
        <w:left w:val="none" w:sz="0" w:space="0" w:color="auto"/>
        <w:bottom w:val="none" w:sz="0" w:space="0" w:color="auto"/>
        <w:right w:val="none" w:sz="0" w:space="0" w:color="auto"/>
      </w:divBdr>
    </w:div>
    <w:div w:id="1378823522">
      <w:bodyDiv w:val="1"/>
      <w:marLeft w:val="0"/>
      <w:marRight w:val="0"/>
      <w:marTop w:val="0"/>
      <w:marBottom w:val="0"/>
      <w:divBdr>
        <w:top w:val="none" w:sz="0" w:space="0" w:color="auto"/>
        <w:left w:val="none" w:sz="0" w:space="0" w:color="auto"/>
        <w:bottom w:val="none" w:sz="0" w:space="0" w:color="auto"/>
        <w:right w:val="none" w:sz="0" w:space="0" w:color="auto"/>
      </w:divBdr>
    </w:div>
    <w:div w:id="1388073009">
      <w:bodyDiv w:val="1"/>
      <w:marLeft w:val="0"/>
      <w:marRight w:val="0"/>
      <w:marTop w:val="0"/>
      <w:marBottom w:val="0"/>
      <w:divBdr>
        <w:top w:val="none" w:sz="0" w:space="0" w:color="auto"/>
        <w:left w:val="none" w:sz="0" w:space="0" w:color="auto"/>
        <w:bottom w:val="none" w:sz="0" w:space="0" w:color="auto"/>
        <w:right w:val="none" w:sz="0" w:space="0" w:color="auto"/>
      </w:divBdr>
    </w:div>
    <w:div w:id="1400863894">
      <w:bodyDiv w:val="1"/>
      <w:marLeft w:val="0"/>
      <w:marRight w:val="0"/>
      <w:marTop w:val="0"/>
      <w:marBottom w:val="0"/>
      <w:divBdr>
        <w:top w:val="none" w:sz="0" w:space="0" w:color="auto"/>
        <w:left w:val="none" w:sz="0" w:space="0" w:color="auto"/>
        <w:bottom w:val="none" w:sz="0" w:space="0" w:color="auto"/>
        <w:right w:val="none" w:sz="0" w:space="0" w:color="auto"/>
      </w:divBdr>
    </w:div>
    <w:div w:id="1405907158">
      <w:bodyDiv w:val="1"/>
      <w:marLeft w:val="0"/>
      <w:marRight w:val="0"/>
      <w:marTop w:val="0"/>
      <w:marBottom w:val="0"/>
      <w:divBdr>
        <w:top w:val="none" w:sz="0" w:space="0" w:color="auto"/>
        <w:left w:val="none" w:sz="0" w:space="0" w:color="auto"/>
        <w:bottom w:val="none" w:sz="0" w:space="0" w:color="auto"/>
        <w:right w:val="none" w:sz="0" w:space="0" w:color="auto"/>
      </w:divBdr>
    </w:div>
    <w:div w:id="1464422171">
      <w:bodyDiv w:val="1"/>
      <w:marLeft w:val="0"/>
      <w:marRight w:val="0"/>
      <w:marTop w:val="0"/>
      <w:marBottom w:val="0"/>
      <w:divBdr>
        <w:top w:val="none" w:sz="0" w:space="0" w:color="auto"/>
        <w:left w:val="none" w:sz="0" w:space="0" w:color="auto"/>
        <w:bottom w:val="none" w:sz="0" w:space="0" w:color="auto"/>
        <w:right w:val="none" w:sz="0" w:space="0" w:color="auto"/>
      </w:divBdr>
    </w:div>
    <w:div w:id="1564563155">
      <w:bodyDiv w:val="1"/>
      <w:marLeft w:val="0"/>
      <w:marRight w:val="0"/>
      <w:marTop w:val="0"/>
      <w:marBottom w:val="0"/>
      <w:divBdr>
        <w:top w:val="none" w:sz="0" w:space="0" w:color="auto"/>
        <w:left w:val="none" w:sz="0" w:space="0" w:color="auto"/>
        <w:bottom w:val="none" w:sz="0" w:space="0" w:color="auto"/>
        <w:right w:val="none" w:sz="0" w:space="0" w:color="auto"/>
      </w:divBdr>
    </w:div>
    <w:div w:id="1575551340">
      <w:bodyDiv w:val="1"/>
      <w:marLeft w:val="0"/>
      <w:marRight w:val="0"/>
      <w:marTop w:val="0"/>
      <w:marBottom w:val="0"/>
      <w:divBdr>
        <w:top w:val="none" w:sz="0" w:space="0" w:color="auto"/>
        <w:left w:val="none" w:sz="0" w:space="0" w:color="auto"/>
        <w:bottom w:val="none" w:sz="0" w:space="0" w:color="auto"/>
        <w:right w:val="none" w:sz="0" w:space="0" w:color="auto"/>
      </w:divBdr>
    </w:div>
    <w:div w:id="1587418528">
      <w:bodyDiv w:val="1"/>
      <w:marLeft w:val="0"/>
      <w:marRight w:val="0"/>
      <w:marTop w:val="0"/>
      <w:marBottom w:val="0"/>
      <w:divBdr>
        <w:top w:val="none" w:sz="0" w:space="0" w:color="auto"/>
        <w:left w:val="none" w:sz="0" w:space="0" w:color="auto"/>
        <w:bottom w:val="none" w:sz="0" w:space="0" w:color="auto"/>
        <w:right w:val="none" w:sz="0" w:space="0" w:color="auto"/>
      </w:divBdr>
      <w:divsChild>
        <w:div w:id="443959955">
          <w:marLeft w:val="446"/>
          <w:marRight w:val="0"/>
          <w:marTop w:val="120"/>
          <w:marBottom w:val="120"/>
          <w:divBdr>
            <w:top w:val="none" w:sz="0" w:space="0" w:color="auto"/>
            <w:left w:val="none" w:sz="0" w:space="0" w:color="auto"/>
            <w:bottom w:val="none" w:sz="0" w:space="0" w:color="auto"/>
            <w:right w:val="none" w:sz="0" w:space="0" w:color="auto"/>
          </w:divBdr>
        </w:div>
        <w:div w:id="462583307">
          <w:marLeft w:val="1166"/>
          <w:marRight w:val="0"/>
          <w:marTop w:val="120"/>
          <w:marBottom w:val="120"/>
          <w:divBdr>
            <w:top w:val="none" w:sz="0" w:space="0" w:color="auto"/>
            <w:left w:val="none" w:sz="0" w:space="0" w:color="auto"/>
            <w:bottom w:val="none" w:sz="0" w:space="0" w:color="auto"/>
            <w:right w:val="none" w:sz="0" w:space="0" w:color="auto"/>
          </w:divBdr>
        </w:div>
        <w:div w:id="539174721">
          <w:marLeft w:val="1166"/>
          <w:marRight w:val="0"/>
          <w:marTop w:val="120"/>
          <w:marBottom w:val="120"/>
          <w:divBdr>
            <w:top w:val="none" w:sz="0" w:space="0" w:color="auto"/>
            <w:left w:val="none" w:sz="0" w:space="0" w:color="auto"/>
            <w:bottom w:val="none" w:sz="0" w:space="0" w:color="auto"/>
            <w:right w:val="none" w:sz="0" w:space="0" w:color="auto"/>
          </w:divBdr>
        </w:div>
        <w:div w:id="968903351">
          <w:marLeft w:val="1166"/>
          <w:marRight w:val="0"/>
          <w:marTop w:val="120"/>
          <w:marBottom w:val="120"/>
          <w:divBdr>
            <w:top w:val="none" w:sz="0" w:space="0" w:color="auto"/>
            <w:left w:val="none" w:sz="0" w:space="0" w:color="auto"/>
            <w:bottom w:val="none" w:sz="0" w:space="0" w:color="auto"/>
            <w:right w:val="none" w:sz="0" w:space="0" w:color="auto"/>
          </w:divBdr>
        </w:div>
        <w:div w:id="1004360835">
          <w:marLeft w:val="446"/>
          <w:marRight w:val="0"/>
          <w:marTop w:val="120"/>
          <w:marBottom w:val="120"/>
          <w:divBdr>
            <w:top w:val="none" w:sz="0" w:space="0" w:color="auto"/>
            <w:left w:val="none" w:sz="0" w:space="0" w:color="auto"/>
            <w:bottom w:val="none" w:sz="0" w:space="0" w:color="auto"/>
            <w:right w:val="none" w:sz="0" w:space="0" w:color="auto"/>
          </w:divBdr>
        </w:div>
        <w:div w:id="1254170492">
          <w:marLeft w:val="446"/>
          <w:marRight w:val="0"/>
          <w:marTop w:val="120"/>
          <w:marBottom w:val="120"/>
          <w:divBdr>
            <w:top w:val="none" w:sz="0" w:space="0" w:color="auto"/>
            <w:left w:val="none" w:sz="0" w:space="0" w:color="auto"/>
            <w:bottom w:val="none" w:sz="0" w:space="0" w:color="auto"/>
            <w:right w:val="none" w:sz="0" w:space="0" w:color="auto"/>
          </w:divBdr>
        </w:div>
        <w:div w:id="1444837252">
          <w:marLeft w:val="1166"/>
          <w:marRight w:val="0"/>
          <w:marTop w:val="120"/>
          <w:marBottom w:val="120"/>
          <w:divBdr>
            <w:top w:val="none" w:sz="0" w:space="0" w:color="auto"/>
            <w:left w:val="none" w:sz="0" w:space="0" w:color="auto"/>
            <w:bottom w:val="none" w:sz="0" w:space="0" w:color="auto"/>
            <w:right w:val="none" w:sz="0" w:space="0" w:color="auto"/>
          </w:divBdr>
        </w:div>
        <w:div w:id="1674603157">
          <w:marLeft w:val="446"/>
          <w:marRight w:val="0"/>
          <w:marTop w:val="120"/>
          <w:marBottom w:val="120"/>
          <w:divBdr>
            <w:top w:val="none" w:sz="0" w:space="0" w:color="auto"/>
            <w:left w:val="none" w:sz="0" w:space="0" w:color="auto"/>
            <w:bottom w:val="none" w:sz="0" w:space="0" w:color="auto"/>
            <w:right w:val="none" w:sz="0" w:space="0" w:color="auto"/>
          </w:divBdr>
        </w:div>
        <w:div w:id="1695494121">
          <w:marLeft w:val="1166"/>
          <w:marRight w:val="0"/>
          <w:marTop w:val="120"/>
          <w:marBottom w:val="120"/>
          <w:divBdr>
            <w:top w:val="none" w:sz="0" w:space="0" w:color="auto"/>
            <w:left w:val="none" w:sz="0" w:space="0" w:color="auto"/>
            <w:bottom w:val="none" w:sz="0" w:space="0" w:color="auto"/>
            <w:right w:val="none" w:sz="0" w:space="0" w:color="auto"/>
          </w:divBdr>
        </w:div>
        <w:div w:id="2008709542">
          <w:marLeft w:val="1166"/>
          <w:marRight w:val="0"/>
          <w:marTop w:val="120"/>
          <w:marBottom w:val="120"/>
          <w:divBdr>
            <w:top w:val="none" w:sz="0" w:space="0" w:color="auto"/>
            <w:left w:val="none" w:sz="0" w:space="0" w:color="auto"/>
            <w:bottom w:val="none" w:sz="0" w:space="0" w:color="auto"/>
            <w:right w:val="none" w:sz="0" w:space="0" w:color="auto"/>
          </w:divBdr>
        </w:div>
      </w:divsChild>
    </w:div>
    <w:div w:id="1590969877">
      <w:bodyDiv w:val="1"/>
      <w:marLeft w:val="0"/>
      <w:marRight w:val="0"/>
      <w:marTop w:val="0"/>
      <w:marBottom w:val="0"/>
      <w:divBdr>
        <w:top w:val="none" w:sz="0" w:space="0" w:color="auto"/>
        <w:left w:val="none" w:sz="0" w:space="0" w:color="auto"/>
        <w:bottom w:val="none" w:sz="0" w:space="0" w:color="auto"/>
        <w:right w:val="none" w:sz="0" w:space="0" w:color="auto"/>
      </w:divBdr>
    </w:div>
    <w:div w:id="1602420740">
      <w:bodyDiv w:val="1"/>
      <w:marLeft w:val="0"/>
      <w:marRight w:val="0"/>
      <w:marTop w:val="0"/>
      <w:marBottom w:val="0"/>
      <w:divBdr>
        <w:top w:val="none" w:sz="0" w:space="0" w:color="auto"/>
        <w:left w:val="none" w:sz="0" w:space="0" w:color="auto"/>
        <w:bottom w:val="none" w:sz="0" w:space="0" w:color="auto"/>
        <w:right w:val="none" w:sz="0" w:space="0" w:color="auto"/>
      </w:divBdr>
    </w:div>
    <w:div w:id="1633750969">
      <w:bodyDiv w:val="1"/>
      <w:marLeft w:val="0"/>
      <w:marRight w:val="0"/>
      <w:marTop w:val="0"/>
      <w:marBottom w:val="0"/>
      <w:divBdr>
        <w:top w:val="none" w:sz="0" w:space="0" w:color="auto"/>
        <w:left w:val="none" w:sz="0" w:space="0" w:color="auto"/>
        <w:bottom w:val="none" w:sz="0" w:space="0" w:color="auto"/>
        <w:right w:val="none" w:sz="0" w:space="0" w:color="auto"/>
      </w:divBdr>
    </w:div>
    <w:div w:id="1661809882">
      <w:bodyDiv w:val="1"/>
      <w:marLeft w:val="0"/>
      <w:marRight w:val="0"/>
      <w:marTop w:val="0"/>
      <w:marBottom w:val="0"/>
      <w:divBdr>
        <w:top w:val="none" w:sz="0" w:space="0" w:color="auto"/>
        <w:left w:val="none" w:sz="0" w:space="0" w:color="auto"/>
        <w:bottom w:val="none" w:sz="0" w:space="0" w:color="auto"/>
        <w:right w:val="none" w:sz="0" w:space="0" w:color="auto"/>
      </w:divBdr>
    </w:div>
    <w:div w:id="1684436393">
      <w:bodyDiv w:val="1"/>
      <w:marLeft w:val="0"/>
      <w:marRight w:val="0"/>
      <w:marTop w:val="0"/>
      <w:marBottom w:val="0"/>
      <w:divBdr>
        <w:top w:val="none" w:sz="0" w:space="0" w:color="auto"/>
        <w:left w:val="none" w:sz="0" w:space="0" w:color="auto"/>
        <w:bottom w:val="none" w:sz="0" w:space="0" w:color="auto"/>
        <w:right w:val="none" w:sz="0" w:space="0" w:color="auto"/>
      </w:divBdr>
    </w:div>
    <w:div w:id="1750879496">
      <w:bodyDiv w:val="1"/>
      <w:marLeft w:val="0"/>
      <w:marRight w:val="0"/>
      <w:marTop w:val="0"/>
      <w:marBottom w:val="0"/>
      <w:divBdr>
        <w:top w:val="none" w:sz="0" w:space="0" w:color="auto"/>
        <w:left w:val="none" w:sz="0" w:space="0" w:color="auto"/>
        <w:bottom w:val="none" w:sz="0" w:space="0" w:color="auto"/>
        <w:right w:val="none" w:sz="0" w:space="0" w:color="auto"/>
      </w:divBdr>
      <w:divsChild>
        <w:div w:id="249395061">
          <w:marLeft w:val="446"/>
          <w:marRight w:val="0"/>
          <w:marTop w:val="120"/>
          <w:marBottom w:val="120"/>
          <w:divBdr>
            <w:top w:val="none" w:sz="0" w:space="0" w:color="auto"/>
            <w:left w:val="none" w:sz="0" w:space="0" w:color="auto"/>
            <w:bottom w:val="none" w:sz="0" w:space="0" w:color="auto"/>
            <w:right w:val="none" w:sz="0" w:space="0" w:color="auto"/>
          </w:divBdr>
        </w:div>
        <w:div w:id="389769215">
          <w:marLeft w:val="446"/>
          <w:marRight w:val="0"/>
          <w:marTop w:val="120"/>
          <w:marBottom w:val="120"/>
          <w:divBdr>
            <w:top w:val="none" w:sz="0" w:space="0" w:color="auto"/>
            <w:left w:val="none" w:sz="0" w:space="0" w:color="auto"/>
            <w:bottom w:val="none" w:sz="0" w:space="0" w:color="auto"/>
            <w:right w:val="none" w:sz="0" w:space="0" w:color="auto"/>
          </w:divBdr>
        </w:div>
        <w:div w:id="1071972764">
          <w:marLeft w:val="446"/>
          <w:marRight w:val="0"/>
          <w:marTop w:val="120"/>
          <w:marBottom w:val="120"/>
          <w:divBdr>
            <w:top w:val="none" w:sz="0" w:space="0" w:color="auto"/>
            <w:left w:val="none" w:sz="0" w:space="0" w:color="auto"/>
            <w:bottom w:val="none" w:sz="0" w:space="0" w:color="auto"/>
            <w:right w:val="none" w:sz="0" w:space="0" w:color="auto"/>
          </w:divBdr>
        </w:div>
        <w:div w:id="1276405561">
          <w:marLeft w:val="446"/>
          <w:marRight w:val="0"/>
          <w:marTop w:val="120"/>
          <w:marBottom w:val="120"/>
          <w:divBdr>
            <w:top w:val="none" w:sz="0" w:space="0" w:color="auto"/>
            <w:left w:val="none" w:sz="0" w:space="0" w:color="auto"/>
            <w:bottom w:val="none" w:sz="0" w:space="0" w:color="auto"/>
            <w:right w:val="none" w:sz="0" w:space="0" w:color="auto"/>
          </w:divBdr>
        </w:div>
        <w:div w:id="1499156952">
          <w:marLeft w:val="1166"/>
          <w:marRight w:val="0"/>
          <w:marTop w:val="120"/>
          <w:marBottom w:val="120"/>
          <w:divBdr>
            <w:top w:val="none" w:sz="0" w:space="0" w:color="auto"/>
            <w:left w:val="none" w:sz="0" w:space="0" w:color="auto"/>
            <w:bottom w:val="none" w:sz="0" w:space="0" w:color="auto"/>
            <w:right w:val="none" w:sz="0" w:space="0" w:color="auto"/>
          </w:divBdr>
        </w:div>
        <w:div w:id="1580747146">
          <w:marLeft w:val="446"/>
          <w:marRight w:val="0"/>
          <w:marTop w:val="120"/>
          <w:marBottom w:val="120"/>
          <w:divBdr>
            <w:top w:val="none" w:sz="0" w:space="0" w:color="auto"/>
            <w:left w:val="none" w:sz="0" w:space="0" w:color="auto"/>
            <w:bottom w:val="none" w:sz="0" w:space="0" w:color="auto"/>
            <w:right w:val="none" w:sz="0" w:space="0" w:color="auto"/>
          </w:divBdr>
        </w:div>
        <w:div w:id="1781148849">
          <w:marLeft w:val="446"/>
          <w:marRight w:val="0"/>
          <w:marTop w:val="120"/>
          <w:marBottom w:val="120"/>
          <w:divBdr>
            <w:top w:val="none" w:sz="0" w:space="0" w:color="auto"/>
            <w:left w:val="none" w:sz="0" w:space="0" w:color="auto"/>
            <w:bottom w:val="none" w:sz="0" w:space="0" w:color="auto"/>
            <w:right w:val="none" w:sz="0" w:space="0" w:color="auto"/>
          </w:divBdr>
        </w:div>
        <w:div w:id="1820993377">
          <w:marLeft w:val="446"/>
          <w:marRight w:val="0"/>
          <w:marTop w:val="120"/>
          <w:marBottom w:val="120"/>
          <w:divBdr>
            <w:top w:val="none" w:sz="0" w:space="0" w:color="auto"/>
            <w:left w:val="none" w:sz="0" w:space="0" w:color="auto"/>
            <w:bottom w:val="none" w:sz="0" w:space="0" w:color="auto"/>
            <w:right w:val="none" w:sz="0" w:space="0" w:color="auto"/>
          </w:divBdr>
        </w:div>
      </w:divsChild>
    </w:div>
    <w:div w:id="1771196521">
      <w:bodyDiv w:val="1"/>
      <w:marLeft w:val="0"/>
      <w:marRight w:val="0"/>
      <w:marTop w:val="0"/>
      <w:marBottom w:val="0"/>
      <w:divBdr>
        <w:top w:val="none" w:sz="0" w:space="0" w:color="auto"/>
        <w:left w:val="none" w:sz="0" w:space="0" w:color="auto"/>
        <w:bottom w:val="none" w:sz="0" w:space="0" w:color="auto"/>
        <w:right w:val="none" w:sz="0" w:space="0" w:color="auto"/>
      </w:divBdr>
    </w:div>
    <w:div w:id="1781605028">
      <w:bodyDiv w:val="1"/>
      <w:marLeft w:val="0"/>
      <w:marRight w:val="0"/>
      <w:marTop w:val="0"/>
      <w:marBottom w:val="0"/>
      <w:divBdr>
        <w:top w:val="none" w:sz="0" w:space="0" w:color="auto"/>
        <w:left w:val="none" w:sz="0" w:space="0" w:color="auto"/>
        <w:bottom w:val="none" w:sz="0" w:space="0" w:color="auto"/>
        <w:right w:val="none" w:sz="0" w:space="0" w:color="auto"/>
      </w:divBdr>
    </w:div>
    <w:div w:id="1784571467">
      <w:bodyDiv w:val="1"/>
      <w:marLeft w:val="0"/>
      <w:marRight w:val="0"/>
      <w:marTop w:val="0"/>
      <w:marBottom w:val="0"/>
      <w:divBdr>
        <w:top w:val="none" w:sz="0" w:space="0" w:color="auto"/>
        <w:left w:val="none" w:sz="0" w:space="0" w:color="auto"/>
        <w:bottom w:val="none" w:sz="0" w:space="0" w:color="auto"/>
        <w:right w:val="none" w:sz="0" w:space="0" w:color="auto"/>
      </w:divBdr>
    </w:div>
    <w:div w:id="1789396191">
      <w:bodyDiv w:val="1"/>
      <w:marLeft w:val="0"/>
      <w:marRight w:val="0"/>
      <w:marTop w:val="0"/>
      <w:marBottom w:val="0"/>
      <w:divBdr>
        <w:top w:val="none" w:sz="0" w:space="0" w:color="auto"/>
        <w:left w:val="none" w:sz="0" w:space="0" w:color="auto"/>
        <w:bottom w:val="none" w:sz="0" w:space="0" w:color="auto"/>
        <w:right w:val="none" w:sz="0" w:space="0" w:color="auto"/>
      </w:divBdr>
    </w:div>
    <w:div w:id="1805535955">
      <w:bodyDiv w:val="1"/>
      <w:marLeft w:val="0"/>
      <w:marRight w:val="0"/>
      <w:marTop w:val="0"/>
      <w:marBottom w:val="0"/>
      <w:divBdr>
        <w:top w:val="none" w:sz="0" w:space="0" w:color="auto"/>
        <w:left w:val="none" w:sz="0" w:space="0" w:color="auto"/>
        <w:bottom w:val="none" w:sz="0" w:space="0" w:color="auto"/>
        <w:right w:val="none" w:sz="0" w:space="0" w:color="auto"/>
      </w:divBdr>
    </w:div>
    <w:div w:id="1828590856">
      <w:bodyDiv w:val="1"/>
      <w:marLeft w:val="0"/>
      <w:marRight w:val="0"/>
      <w:marTop w:val="0"/>
      <w:marBottom w:val="0"/>
      <w:divBdr>
        <w:top w:val="none" w:sz="0" w:space="0" w:color="auto"/>
        <w:left w:val="none" w:sz="0" w:space="0" w:color="auto"/>
        <w:bottom w:val="none" w:sz="0" w:space="0" w:color="auto"/>
        <w:right w:val="none" w:sz="0" w:space="0" w:color="auto"/>
      </w:divBdr>
    </w:div>
    <w:div w:id="1848792647">
      <w:bodyDiv w:val="1"/>
      <w:marLeft w:val="0"/>
      <w:marRight w:val="0"/>
      <w:marTop w:val="0"/>
      <w:marBottom w:val="0"/>
      <w:divBdr>
        <w:top w:val="none" w:sz="0" w:space="0" w:color="auto"/>
        <w:left w:val="none" w:sz="0" w:space="0" w:color="auto"/>
        <w:bottom w:val="none" w:sz="0" w:space="0" w:color="auto"/>
        <w:right w:val="none" w:sz="0" w:space="0" w:color="auto"/>
      </w:divBdr>
      <w:divsChild>
        <w:div w:id="66459737">
          <w:marLeft w:val="1800"/>
          <w:marRight w:val="0"/>
          <w:marTop w:val="0"/>
          <w:marBottom w:val="120"/>
          <w:divBdr>
            <w:top w:val="none" w:sz="0" w:space="0" w:color="auto"/>
            <w:left w:val="none" w:sz="0" w:space="0" w:color="auto"/>
            <w:bottom w:val="none" w:sz="0" w:space="0" w:color="auto"/>
            <w:right w:val="none" w:sz="0" w:space="0" w:color="auto"/>
          </w:divBdr>
        </w:div>
        <w:div w:id="516774497">
          <w:marLeft w:val="547"/>
          <w:marRight w:val="0"/>
          <w:marTop w:val="0"/>
          <w:marBottom w:val="120"/>
          <w:divBdr>
            <w:top w:val="none" w:sz="0" w:space="0" w:color="auto"/>
            <w:left w:val="none" w:sz="0" w:space="0" w:color="auto"/>
            <w:bottom w:val="none" w:sz="0" w:space="0" w:color="auto"/>
            <w:right w:val="none" w:sz="0" w:space="0" w:color="auto"/>
          </w:divBdr>
        </w:div>
        <w:div w:id="595213327">
          <w:marLeft w:val="1166"/>
          <w:marRight w:val="0"/>
          <w:marTop w:val="0"/>
          <w:marBottom w:val="120"/>
          <w:divBdr>
            <w:top w:val="none" w:sz="0" w:space="0" w:color="auto"/>
            <w:left w:val="none" w:sz="0" w:space="0" w:color="auto"/>
            <w:bottom w:val="none" w:sz="0" w:space="0" w:color="auto"/>
            <w:right w:val="none" w:sz="0" w:space="0" w:color="auto"/>
          </w:divBdr>
        </w:div>
        <w:div w:id="631596602">
          <w:marLeft w:val="1800"/>
          <w:marRight w:val="0"/>
          <w:marTop w:val="0"/>
          <w:marBottom w:val="120"/>
          <w:divBdr>
            <w:top w:val="none" w:sz="0" w:space="0" w:color="auto"/>
            <w:left w:val="none" w:sz="0" w:space="0" w:color="auto"/>
            <w:bottom w:val="none" w:sz="0" w:space="0" w:color="auto"/>
            <w:right w:val="none" w:sz="0" w:space="0" w:color="auto"/>
          </w:divBdr>
        </w:div>
        <w:div w:id="1013722678">
          <w:marLeft w:val="547"/>
          <w:marRight w:val="0"/>
          <w:marTop w:val="0"/>
          <w:marBottom w:val="120"/>
          <w:divBdr>
            <w:top w:val="none" w:sz="0" w:space="0" w:color="auto"/>
            <w:left w:val="none" w:sz="0" w:space="0" w:color="auto"/>
            <w:bottom w:val="none" w:sz="0" w:space="0" w:color="auto"/>
            <w:right w:val="none" w:sz="0" w:space="0" w:color="auto"/>
          </w:divBdr>
        </w:div>
        <w:div w:id="1116754410">
          <w:marLeft w:val="1166"/>
          <w:marRight w:val="0"/>
          <w:marTop w:val="0"/>
          <w:marBottom w:val="120"/>
          <w:divBdr>
            <w:top w:val="none" w:sz="0" w:space="0" w:color="auto"/>
            <w:left w:val="none" w:sz="0" w:space="0" w:color="auto"/>
            <w:bottom w:val="none" w:sz="0" w:space="0" w:color="auto"/>
            <w:right w:val="none" w:sz="0" w:space="0" w:color="auto"/>
          </w:divBdr>
        </w:div>
        <w:div w:id="1268197641">
          <w:marLeft w:val="1166"/>
          <w:marRight w:val="0"/>
          <w:marTop w:val="0"/>
          <w:marBottom w:val="120"/>
          <w:divBdr>
            <w:top w:val="none" w:sz="0" w:space="0" w:color="auto"/>
            <w:left w:val="none" w:sz="0" w:space="0" w:color="auto"/>
            <w:bottom w:val="none" w:sz="0" w:space="0" w:color="auto"/>
            <w:right w:val="none" w:sz="0" w:space="0" w:color="auto"/>
          </w:divBdr>
        </w:div>
        <w:div w:id="1407805524">
          <w:marLeft w:val="1166"/>
          <w:marRight w:val="0"/>
          <w:marTop w:val="0"/>
          <w:marBottom w:val="120"/>
          <w:divBdr>
            <w:top w:val="none" w:sz="0" w:space="0" w:color="auto"/>
            <w:left w:val="none" w:sz="0" w:space="0" w:color="auto"/>
            <w:bottom w:val="none" w:sz="0" w:space="0" w:color="auto"/>
            <w:right w:val="none" w:sz="0" w:space="0" w:color="auto"/>
          </w:divBdr>
        </w:div>
        <w:div w:id="1515612237">
          <w:marLeft w:val="1166"/>
          <w:marRight w:val="0"/>
          <w:marTop w:val="0"/>
          <w:marBottom w:val="120"/>
          <w:divBdr>
            <w:top w:val="none" w:sz="0" w:space="0" w:color="auto"/>
            <w:left w:val="none" w:sz="0" w:space="0" w:color="auto"/>
            <w:bottom w:val="none" w:sz="0" w:space="0" w:color="auto"/>
            <w:right w:val="none" w:sz="0" w:space="0" w:color="auto"/>
          </w:divBdr>
        </w:div>
        <w:div w:id="1546137072">
          <w:marLeft w:val="1800"/>
          <w:marRight w:val="0"/>
          <w:marTop w:val="0"/>
          <w:marBottom w:val="120"/>
          <w:divBdr>
            <w:top w:val="none" w:sz="0" w:space="0" w:color="auto"/>
            <w:left w:val="none" w:sz="0" w:space="0" w:color="auto"/>
            <w:bottom w:val="none" w:sz="0" w:space="0" w:color="auto"/>
            <w:right w:val="none" w:sz="0" w:space="0" w:color="auto"/>
          </w:divBdr>
        </w:div>
        <w:div w:id="1782065104">
          <w:marLeft w:val="1166"/>
          <w:marRight w:val="0"/>
          <w:marTop w:val="0"/>
          <w:marBottom w:val="120"/>
          <w:divBdr>
            <w:top w:val="none" w:sz="0" w:space="0" w:color="auto"/>
            <w:left w:val="none" w:sz="0" w:space="0" w:color="auto"/>
            <w:bottom w:val="none" w:sz="0" w:space="0" w:color="auto"/>
            <w:right w:val="none" w:sz="0" w:space="0" w:color="auto"/>
          </w:divBdr>
        </w:div>
        <w:div w:id="1988315116">
          <w:marLeft w:val="1166"/>
          <w:marRight w:val="0"/>
          <w:marTop w:val="0"/>
          <w:marBottom w:val="120"/>
          <w:divBdr>
            <w:top w:val="none" w:sz="0" w:space="0" w:color="auto"/>
            <w:left w:val="none" w:sz="0" w:space="0" w:color="auto"/>
            <w:bottom w:val="none" w:sz="0" w:space="0" w:color="auto"/>
            <w:right w:val="none" w:sz="0" w:space="0" w:color="auto"/>
          </w:divBdr>
        </w:div>
      </w:divsChild>
    </w:div>
    <w:div w:id="1881240094">
      <w:bodyDiv w:val="1"/>
      <w:marLeft w:val="0"/>
      <w:marRight w:val="0"/>
      <w:marTop w:val="0"/>
      <w:marBottom w:val="0"/>
      <w:divBdr>
        <w:top w:val="none" w:sz="0" w:space="0" w:color="auto"/>
        <w:left w:val="none" w:sz="0" w:space="0" w:color="auto"/>
        <w:bottom w:val="none" w:sz="0" w:space="0" w:color="auto"/>
        <w:right w:val="none" w:sz="0" w:space="0" w:color="auto"/>
      </w:divBdr>
    </w:div>
    <w:div w:id="1895120356">
      <w:bodyDiv w:val="1"/>
      <w:marLeft w:val="0"/>
      <w:marRight w:val="0"/>
      <w:marTop w:val="0"/>
      <w:marBottom w:val="0"/>
      <w:divBdr>
        <w:top w:val="none" w:sz="0" w:space="0" w:color="auto"/>
        <w:left w:val="none" w:sz="0" w:space="0" w:color="auto"/>
        <w:bottom w:val="none" w:sz="0" w:space="0" w:color="auto"/>
        <w:right w:val="none" w:sz="0" w:space="0" w:color="auto"/>
      </w:divBdr>
    </w:div>
    <w:div w:id="1917592225">
      <w:bodyDiv w:val="1"/>
      <w:marLeft w:val="0"/>
      <w:marRight w:val="0"/>
      <w:marTop w:val="0"/>
      <w:marBottom w:val="0"/>
      <w:divBdr>
        <w:top w:val="none" w:sz="0" w:space="0" w:color="auto"/>
        <w:left w:val="none" w:sz="0" w:space="0" w:color="auto"/>
        <w:bottom w:val="none" w:sz="0" w:space="0" w:color="auto"/>
        <w:right w:val="none" w:sz="0" w:space="0" w:color="auto"/>
      </w:divBdr>
    </w:div>
    <w:div w:id="1921059139">
      <w:bodyDiv w:val="1"/>
      <w:marLeft w:val="0"/>
      <w:marRight w:val="0"/>
      <w:marTop w:val="0"/>
      <w:marBottom w:val="0"/>
      <w:divBdr>
        <w:top w:val="none" w:sz="0" w:space="0" w:color="auto"/>
        <w:left w:val="none" w:sz="0" w:space="0" w:color="auto"/>
        <w:bottom w:val="none" w:sz="0" w:space="0" w:color="auto"/>
        <w:right w:val="none" w:sz="0" w:space="0" w:color="auto"/>
      </w:divBdr>
    </w:div>
    <w:div w:id="1953048635">
      <w:bodyDiv w:val="1"/>
      <w:marLeft w:val="0"/>
      <w:marRight w:val="0"/>
      <w:marTop w:val="0"/>
      <w:marBottom w:val="0"/>
      <w:divBdr>
        <w:top w:val="none" w:sz="0" w:space="0" w:color="auto"/>
        <w:left w:val="none" w:sz="0" w:space="0" w:color="auto"/>
        <w:bottom w:val="none" w:sz="0" w:space="0" w:color="auto"/>
        <w:right w:val="none" w:sz="0" w:space="0" w:color="auto"/>
      </w:divBdr>
      <w:divsChild>
        <w:div w:id="94057255">
          <w:marLeft w:val="446"/>
          <w:marRight w:val="0"/>
          <w:marTop w:val="120"/>
          <w:marBottom w:val="120"/>
          <w:divBdr>
            <w:top w:val="none" w:sz="0" w:space="0" w:color="auto"/>
            <w:left w:val="none" w:sz="0" w:space="0" w:color="auto"/>
            <w:bottom w:val="none" w:sz="0" w:space="0" w:color="auto"/>
            <w:right w:val="none" w:sz="0" w:space="0" w:color="auto"/>
          </w:divBdr>
        </w:div>
        <w:div w:id="549343884">
          <w:marLeft w:val="1166"/>
          <w:marRight w:val="0"/>
          <w:marTop w:val="120"/>
          <w:marBottom w:val="120"/>
          <w:divBdr>
            <w:top w:val="none" w:sz="0" w:space="0" w:color="auto"/>
            <w:left w:val="none" w:sz="0" w:space="0" w:color="auto"/>
            <w:bottom w:val="none" w:sz="0" w:space="0" w:color="auto"/>
            <w:right w:val="none" w:sz="0" w:space="0" w:color="auto"/>
          </w:divBdr>
        </w:div>
        <w:div w:id="1132946992">
          <w:marLeft w:val="446"/>
          <w:marRight w:val="0"/>
          <w:marTop w:val="120"/>
          <w:marBottom w:val="120"/>
          <w:divBdr>
            <w:top w:val="none" w:sz="0" w:space="0" w:color="auto"/>
            <w:left w:val="none" w:sz="0" w:space="0" w:color="auto"/>
            <w:bottom w:val="none" w:sz="0" w:space="0" w:color="auto"/>
            <w:right w:val="none" w:sz="0" w:space="0" w:color="auto"/>
          </w:divBdr>
        </w:div>
        <w:div w:id="1720937430">
          <w:marLeft w:val="446"/>
          <w:marRight w:val="0"/>
          <w:marTop w:val="120"/>
          <w:marBottom w:val="120"/>
          <w:divBdr>
            <w:top w:val="none" w:sz="0" w:space="0" w:color="auto"/>
            <w:left w:val="none" w:sz="0" w:space="0" w:color="auto"/>
            <w:bottom w:val="none" w:sz="0" w:space="0" w:color="auto"/>
            <w:right w:val="none" w:sz="0" w:space="0" w:color="auto"/>
          </w:divBdr>
        </w:div>
      </w:divsChild>
    </w:div>
    <w:div w:id="1960214129">
      <w:bodyDiv w:val="1"/>
      <w:marLeft w:val="0"/>
      <w:marRight w:val="0"/>
      <w:marTop w:val="0"/>
      <w:marBottom w:val="0"/>
      <w:divBdr>
        <w:top w:val="none" w:sz="0" w:space="0" w:color="auto"/>
        <w:left w:val="none" w:sz="0" w:space="0" w:color="auto"/>
        <w:bottom w:val="none" w:sz="0" w:space="0" w:color="auto"/>
        <w:right w:val="none" w:sz="0" w:space="0" w:color="auto"/>
      </w:divBdr>
    </w:div>
    <w:div w:id="1989282819">
      <w:bodyDiv w:val="1"/>
      <w:marLeft w:val="0"/>
      <w:marRight w:val="0"/>
      <w:marTop w:val="0"/>
      <w:marBottom w:val="0"/>
      <w:divBdr>
        <w:top w:val="none" w:sz="0" w:space="0" w:color="auto"/>
        <w:left w:val="none" w:sz="0" w:space="0" w:color="auto"/>
        <w:bottom w:val="none" w:sz="0" w:space="0" w:color="auto"/>
        <w:right w:val="none" w:sz="0" w:space="0" w:color="auto"/>
      </w:divBdr>
    </w:div>
    <w:div w:id="2114087338">
      <w:bodyDiv w:val="1"/>
      <w:marLeft w:val="0"/>
      <w:marRight w:val="0"/>
      <w:marTop w:val="0"/>
      <w:marBottom w:val="0"/>
      <w:divBdr>
        <w:top w:val="none" w:sz="0" w:space="0" w:color="auto"/>
        <w:left w:val="none" w:sz="0" w:space="0" w:color="auto"/>
        <w:bottom w:val="none" w:sz="0" w:space="0" w:color="auto"/>
        <w:right w:val="none" w:sz="0" w:space="0" w:color="auto"/>
      </w:divBdr>
    </w:div>
    <w:div w:id="21166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rcmekong.org/"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dfat.gov.au/international-relations/themes/child-protection/Pages/child-protectio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ata.unwomen.org/sites/default/files/documents/Publications/ASEAN/ASEAN%20Gender%20Outlook_final.pdf" TargetMode="External"/><Relationship Id="rId13" Type="http://schemas.openxmlformats.org/officeDocument/2006/relationships/hyperlink" Target="https://www.worldbank.org/en/news/press-release/2022/07/21/myanmar-economy-remains-fragile-with-reform-reversals-further-weakening-the-outlook" TargetMode="External"/><Relationship Id="rId3" Type="http://schemas.openxmlformats.org/officeDocument/2006/relationships/hyperlink" Target="https://www.aic.gov.au/publications/sr/sr38" TargetMode="External"/><Relationship Id="rId7" Type="http://schemas.openxmlformats.org/officeDocument/2006/relationships/hyperlink" Target="https://www.worldbank.org/en/region/eap/publication/enterprising-women-toward-equal-business-opportunity-in-southeast-asia" TargetMode="External"/><Relationship Id="rId12" Type="http://schemas.openxmlformats.org/officeDocument/2006/relationships/hyperlink" Target="https://asialink.unimelb.edu.au/insights/thailand-risks-growing-old-and-poor" TargetMode="External"/><Relationship Id="rId2" Type="http://schemas.openxmlformats.org/officeDocument/2006/relationships/hyperlink" Target="https://www.unodc.org/unodc/frontpage/2023/June/interview_-policing-one-of-the-worlds-biggest-drug-trafficking-corridors.html" TargetMode="External"/><Relationship Id="rId16" Type="http://schemas.openxmlformats.org/officeDocument/2006/relationships/hyperlink" Target="https://www.pm.gov.au/media/australia-world-2023-lowy-lecture" TargetMode="External"/><Relationship Id="rId1" Type="http://schemas.openxmlformats.org/officeDocument/2006/relationships/hyperlink" Target="https://www.unodc.org/roseap/uploads/archive/documents/Publications/2019/SEA_TOCTA_2019_web.pdf" TargetMode="External"/><Relationship Id="rId6" Type="http://schemas.openxmlformats.org/officeDocument/2006/relationships/hyperlink" Target="https://www.unwomen.org/sites/default/files/2023-10/technical-brief-forecasting-time-spent-in-unpaid-care-and-domestic-work-en.pdf" TargetMode="External"/><Relationship Id="rId11" Type="http://schemas.openxmlformats.org/officeDocument/2006/relationships/hyperlink" Target="https://www.worldbank.org/en/news/press-release/2022/04/28/-addressing-chronic-poverty-ensuring-sustainable-economic-mobility-keys-to-achieving-vietnam-s-high-income-aspirations" TargetMode="External"/><Relationship Id="rId5" Type="http://schemas.openxmlformats.org/officeDocument/2006/relationships/hyperlink" Target="https://www.unwomen.org/sites/default/files/2023-07/paths-equal-twin-indices-women-empowerment.pdf" TargetMode="External"/><Relationship Id="rId15" Type="http://schemas.openxmlformats.org/officeDocument/2006/relationships/hyperlink" Target="https://asean.usmission.gov/u-s-press-statement-on-the-friends-of-the-mekong-senior-officials-meeting-enhancing-cooperation-coordinating-with-friends-and-allies/" TargetMode="External"/><Relationship Id="rId10" Type="http://schemas.openxmlformats.org/officeDocument/2006/relationships/hyperlink" Target="https://country.eiu.com/vietnam" TargetMode="External"/><Relationship Id="rId4" Type="http://schemas.openxmlformats.org/officeDocument/2006/relationships/hyperlink" Target="https://www.acic.gov.au/media-centre/media-releases-and-statements/new-report-identifies-six-key-enablersorganised-crime-australia" TargetMode="External"/><Relationship Id="rId9" Type="http://schemas.openxmlformats.org/officeDocument/2006/relationships/hyperlink" Target="https://www.adb.org/where-we-work/viet-nam/economy" TargetMode="External"/><Relationship Id="rId14" Type="http://schemas.openxmlformats.org/officeDocument/2006/relationships/hyperlink" Target="https://www.usaid.gov/asia-regional/lower-mekong-initiative-lmi"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C378-F66F-464F-ADAA-9EF07A05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22261</Words>
  <Characters>136409</Characters>
  <Application>Microsoft Office Word</Application>
  <DocSecurity>0</DocSecurity>
  <Lines>2236</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Mekong - Australia partnership phase 2</dc:title>
  <dc:subject/>
  <dc:creator/>
  <cp:keywords>[SEC=OFFICIAL]</cp:keywords>
  <cp:lastModifiedBy/>
  <cp:revision>1</cp:revision>
  <dcterms:created xsi:type="dcterms:W3CDTF">2024-08-20T00:02:00Z</dcterms:created>
  <dcterms:modified xsi:type="dcterms:W3CDTF">2024-08-20T00:03:00Z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DisplayValueSecClassificationWithQualifier">
    <vt:lpwstr>OFFICIAL</vt:lpwstr>
  </property>
  <property fmtid="{D5CDD505-2E9C-101B-9397-08002B2CF9AE}" pid="4" name="PMHMAC">
    <vt:lpwstr>v=2022.1;a=SHA256;h=4FFB7EEB3A71169320DCC2B6F253BC38AF57E3546F5A4702AC99BEA496F55E80</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1FF7E5DC14D444DAA887E4DA98360471</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2023-04-27T04:56:04Z</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OriginatorDomainName_SHA256">
    <vt:lpwstr>6F3591835F3B2A8A025B00B5BA6418010DA3A17C9C26EA9C049FFD28039489A2</vt:lpwstr>
  </property>
  <property fmtid="{D5CDD505-2E9C-101B-9397-08002B2CF9AE}" pid="24" name="PM_Originator_Hash_SHA1">
    <vt:lpwstr>D9F6E5C82DFAF7AB6E3D596D48DD43C72EDFDAB4</vt:lpwstr>
  </property>
  <property fmtid="{D5CDD505-2E9C-101B-9397-08002B2CF9AE}" pid="25" name="PM_OriginatorUserAccountName_SHA256">
    <vt:lpwstr>3E9DB5AB808CA91EB3E8EC398CDB7F67B110581D6BB28BC88565729DCE387350</vt:lpwstr>
  </property>
  <property fmtid="{D5CDD505-2E9C-101B-9397-08002B2CF9AE}" pid="26" name="PM_Hash_Salt_Prev">
    <vt:lpwstr>D9A52778B88E26ED9D952DDCB8A82A4E</vt:lpwstr>
  </property>
  <property fmtid="{D5CDD505-2E9C-101B-9397-08002B2CF9AE}" pid="27" name="PM_Hash_Salt">
    <vt:lpwstr>F643BC61396209BB4E2F3EE0F0EC4EDF</vt:lpwstr>
  </property>
  <property fmtid="{D5CDD505-2E9C-101B-9397-08002B2CF9AE}" pid="28" name="PM_Hash_SHA1">
    <vt:lpwstr>3AFF18D362ECA82A0C4711450072227BAE61C67A</vt:lpwstr>
  </property>
  <property fmtid="{D5CDD505-2E9C-101B-9397-08002B2CF9AE}" pid="29" name="PM_Caveats_Count">
    <vt:lpwstr>0</vt:lpwstr>
  </property>
</Properties>
</file>